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4CC2CE">
      <w:pPr>
        <w:adjustRightInd w:val="0"/>
        <w:snapToGrid w:val="0"/>
        <w:spacing w:line="240" w:lineRule="auto"/>
        <w:ind w:firstLine="0" w:firstLineChars="0"/>
        <w:jc w:val="center"/>
        <w:outlineLvl w:val="0"/>
        <w:rPr>
          <w:rFonts w:hint="eastAsia" w:ascii="方正小标宋_GBK" w:eastAsia="方正小标宋_GBK" w:cs="Times New Roman"/>
          <w:bCs/>
          <w:color w:val="auto"/>
          <w:sz w:val="72"/>
          <w:szCs w:val="72"/>
        </w:rPr>
      </w:pPr>
    </w:p>
    <w:p w14:paraId="31AA3D11">
      <w:pPr>
        <w:adjustRightInd w:val="0"/>
        <w:snapToGrid w:val="0"/>
        <w:spacing w:line="240" w:lineRule="auto"/>
        <w:ind w:firstLine="0" w:firstLineChars="0"/>
        <w:jc w:val="center"/>
        <w:outlineLvl w:val="0"/>
        <w:rPr>
          <w:rFonts w:hint="eastAsia" w:ascii="方正小标宋_GBK" w:eastAsia="方正小标宋_GBK" w:cs="Times New Roman"/>
          <w:bCs/>
          <w:color w:val="auto"/>
          <w:sz w:val="72"/>
          <w:szCs w:val="72"/>
        </w:rPr>
      </w:pPr>
      <w:r>
        <w:rPr>
          <w:rFonts w:hint="eastAsia" w:ascii="方正小标宋_GBK" w:eastAsia="方正小标宋_GBK" w:cs="Times New Roman"/>
          <w:bCs/>
          <w:color w:val="auto"/>
          <w:sz w:val="72"/>
          <w:szCs w:val="72"/>
        </w:rPr>
        <w:t>建设项目环境影响报告表</w:t>
      </w:r>
    </w:p>
    <w:p w14:paraId="44AF795A">
      <w:pPr>
        <w:adjustRightInd w:val="0"/>
        <w:snapToGrid w:val="0"/>
        <w:spacing w:before="249" w:beforeLines="80"/>
        <w:jc w:val="center"/>
        <w:rPr>
          <w:rFonts w:hint="eastAsia" w:ascii="楷体_GB2312" w:eastAsia="楷体_GB2312"/>
          <w:bCs/>
          <w:color w:val="auto"/>
          <w:sz w:val="48"/>
          <w:szCs w:val="48"/>
        </w:rPr>
      </w:pPr>
      <w:r>
        <w:rPr>
          <w:rFonts w:hint="eastAsia" w:ascii="楷体_GB2312" w:eastAsia="楷体_GB2312"/>
          <w:bCs/>
          <w:color w:val="auto"/>
          <w:sz w:val="48"/>
          <w:szCs w:val="48"/>
        </w:rPr>
        <w:t>（污染影响类）</w:t>
      </w:r>
    </w:p>
    <w:p w14:paraId="79651252">
      <w:pPr>
        <w:rPr>
          <w:color w:val="auto"/>
        </w:rPr>
      </w:pPr>
    </w:p>
    <w:p w14:paraId="7C43E68D">
      <w:pPr>
        <w:jc w:val="center"/>
        <w:rPr>
          <w:rFonts w:eastAsia="仿宋"/>
          <w:color w:val="auto"/>
          <w:sz w:val="52"/>
          <w:szCs w:val="52"/>
        </w:rPr>
      </w:pPr>
    </w:p>
    <w:p w14:paraId="4A5A94F7">
      <w:pPr>
        <w:ind w:firstLine="1040"/>
        <w:rPr>
          <w:rFonts w:eastAsia="仿宋"/>
          <w:color w:val="auto"/>
          <w:sz w:val="44"/>
          <w:szCs w:val="44"/>
        </w:rPr>
      </w:pPr>
    </w:p>
    <w:p w14:paraId="57841BBC">
      <w:pPr>
        <w:ind w:firstLine="1040"/>
        <w:rPr>
          <w:rFonts w:eastAsia="仿宋"/>
          <w:color w:val="auto"/>
          <w:sz w:val="44"/>
          <w:szCs w:val="44"/>
        </w:rPr>
      </w:pPr>
    </w:p>
    <w:p w14:paraId="4CBF9F80">
      <w:pPr>
        <w:ind w:firstLine="1040"/>
        <w:rPr>
          <w:rFonts w:eastAsia="仿宋"/>
          <w:color w:val="auto"/>
          <w:sz w:val="44"/>
          <w:szCs w:val="44"/>
        </w:rPr>
      </w:pPr>
    </w:p>
    <w:p w14:paraId="50DF56F1">
      <w:pPr>
        <w:ind w:firstLine="1040"/>
        <w:rPr>
          <w:rFonts w:eastAsia="仿宋"/>
          <w:color w:val="auto"/>
          <w:sz w:val="44"/>
          <w:szCs w:val="44"/>
        </w:rPr>
      </w:pPr>
    </w:p>
    <w:p w14:paraId="54F84D8E">
      <w:pPr>
        <w:adjustRightInd w:val="0"/>
        <w:snapToGrid w:val="0"/>
        <w:spacing w:line="288" w:lineRule="auto"/>
        <w:ind w:firstLine="0" w:firstLineChars="0"/>
        <w:rPr>
          <w:rFonts w:hint="eastAsia" w:ascii="仿宋_GB2312" w:eastAsia="仿宋_GB2312" w:cs="Times New Roman"/>
          <w:b/>
          <w:bCs/>
          <w:color w:val="auto"/>
          <w:sz w:val="32"/>
          <w:szCs w:val="32"/>
          <w:u w:val="single"/>
        </w:rPr>
      </w:pPr>
      <w:r>
        <w:rPr>
          <w:rFonts w:hint="eastAsia" w:ascii="仿宋_GB2312" w:eastAsia="仿宋_GB2312" w:cs="Times New Roman"/>
          <w:b/>
          <w:bCs/>
          <w:color w:val="auto"/>
          <w:sz w:val="32"/>
          <w:szCs w:val="32"/>
        </w:rPr>
        <w:t>项目名称：</w:t>
      </w:r>
      <w:r>
        <w:rPr>
          <w:rFonts w:hint="eastAsia" w:ascii="仿宋_GB2312" w:eastAsia="仿宋_GB2312" w:cs="Times New Roman"/>
          <w:b/>
          <w:bCs/>
          <w:color w:val="auto"/>
          <w:sz w:val="32"/>
          <w:szCs w:val="32"/>
          <w:u w:val="single"/>
        </w:rPr>
        <w:t xml:space="preserve">  </w:t>
      </w:r>
      <w:r>
        <w:rPr>
          <w:rFonts w:hint="eastAsia" w:ascii="仿宋_GB2312" w:eastAsia="仿宋_GB2312" w:cs="Times New Roman"/>
          <w:b/>
          <w:bCs/>
          <w:color w:val="auto"/>
          <w:sz w:val="32"/>
          <w:szCs w:val="32"/>
          <w:u w:val="single"/>
          <w:lang w:val="en-US" w:eastAsia="zh-CN"/>
        </w:rPr>
        <w:t xml:space="preserve">   年产10万吨焊管产能提升技术改造项目</w:t>
      </w:r>
      <w:r>
        <w:rPr>
          <w:rFonts w:hint="eastAsia" w:ascii="仿宋_GB2312" w:eastAsia="仿宋_GB2312" w:cs="Times New Roman"/>
          <w:b/>
          <w:bCs/>
          <w:color w:val="auto"/>
          <w:sz w:val="32"/>
          <w:szCs w:val="32"/>
          <w:u w:val="single"/>
        </w:rPr>
        <w:t xml:space="preserve">  </w:t>
      </w:r>
    </w:p>
    <w:p w14:paraId="329C9BBB">
      <w:pPr>
        <w:adjustRightInd w:val="0"/>
        <w:snapToGrid w:val="0"/>
        <w:spacing w:line="288" w:lineRule="auto"/>
        <w:ind w:firstLine="0" w:firstLineChars="0"/>
        <w:rPr>
          <w:rFonts w:hint="eastAsia" w:ascii="仿宋_GB2312" w:eastAsia="仿宋_GB2312" w:cs="Times New Roman"/>
          <w:b/>
          <w:bCs/>
          <w:color w:val="auto"/>
          <w:sz w:val="32"/>
          <w:szCs w:val="32"/>
          <w:u w:val="single"/>
        </w:rPr>
      </w:pPr>
    </w:p>
    <w:p w14:paraId="6091415E">
      <w:pPr>
        <w:adjustRightInd w:val="0"/>
        <w:snapToGrid w:val="0"/>
        <w:spacing w:line="288" w:lineRule="auto"/>
        <w:ind w:firstLine="0" w:firstLineChars="0"/>
        <w:rPr>
          <w:rFonts w:hint="eastAsia" w:ascii="仿宋_GB2312" w:eastAsia="仿宋_GB2312" w:cs="Times New Roman"/>
          <w:b/>
          <w:bCs/>
          <w:color w:val="auto"/>
          <w:sz w:val="32"/>
          <w:szCs w:val="32"/>
          <w:u w:val="single"/>
          <w:lang w:val="en-US" w:eastAsia="zh-CN"/>
        </w:rPr>
      </w:pPr>
      <w:r>
        <w:rPr>
          <w:rFonts w:hint="eastAsia" w:ascii="仿宋_GB2312" w:eastAsia="仿宋_GB2312" w:cs="Times New Roman"/>
          <w:b/>
          <w:bCs/>
          <w:color w:val="auto"/>
          <w:sz w:val="32"/>
          <w:szCs w:val="32"/>
        </w:rPr>
        <w:t>建设单位（盖章）：</w:t>
      </w:r>
      <w:r>
        <w:rPr>
          <w:rFonts w:hint="eastAsia" w:ascii="仿宋_GB2312" w:eastAsia="仿宋_GB2312" w:cs="Times New Roman"/>
          <w:b/>
          <w:bCs/>
          <w:color w:val="auto"/>
          <w:sz w:val="32"/>
          <w:szCs w:val="32"/>
          <w:u w:val="single"/>
          <w:lang w:val="en-US" w:eastAsia="zh-CN"/>
        </w:rPr>
        <w:t xml:space="preserve">   </w:t>
      </w:r>
      <w:r>
        <w:rPr>
          <w:rFonts w:hint="eastAsia" w:ascii="仿宋_GB2312" w:eastAsia="仿宋_GB2312" w:cs="Times New Roman"/>
          <w:b/>
          <w:bCs/>
          <w:color w:val="auto"/>
          <w:sz w:val="32"/>
          <w:szCs w:val="32"/>
          <w:u w:val="single"/>
          <w:lang w:eastAsia="zh-CN"/>
        </w:rPr>
        <w:t>云南省通海胜宝工贸</w:t>
      </w:r>
      <w:r>
        <w:rPr>
          <w:rFonts w:hint="eastAsia" w:ascii="仿宋_GB2312" w:eastAsia="仿宋_GB2312" w:cs="Times New Roman"/>
          <w:b/>
          <w:bCs/>
          <w:color w:val="auto"/>
          <w:sz w:val="32"/>
          <w:szCs w:val="32"/>
          <w:u w:val="single"/>
        </w:rPr>
        <w:t>有限公司</w:t>
      </w:r>
      <w:r>
        <w:rPr>
          <w:rFonts w:hint="eastAsia" w:ascii="仿宋_GB2312" w:eastAsia="仿宋_GB2312" w:cs="Times New Roman"/>
          <w:b/>
          <w:bCs/>
          <w:color w:val="auto"/>
          <w:sz w:val="32"/>
          <w:szCs w:val="32"/>
          <w:u w:val="single"/>
          <w:lang w:val="en-US" w:eastAsia="zh-CN"/>
        </w:rPr>
        <w:t xml:space="preserve">     </w:t>
      </w:r>
    </w:p>
    <w:p w14:paraId="1C079857">
      <w:pPr>
        <w:adjustRightInd w:val="0"/>
        <w:snapToGrid w:val="0"/>
        <w:spacing w:line="288" w:lineRule="auto"/>
        <w:ind w:firstLine="0" w:firstLineChars="0"/>
        <w:rPr>
          <w:rFonts w:hint="default" w:ascii="仿宋_GB2312" w:eastAsia="仿宋_GB2312" w:cs="Times New Roman"/>
          <w:b/>
          <w:bCs/>
          <w:color w:val="auto"/>
          <w:sz w:val="32"/>
          <w:szCs w:val="32"/>
          <w:u w:val="single"/>
          <w:lang w:val="en-US" w:eastAsia="zh-CN"/>
        </w:rPr>
      </w:pPr>
    </w:p>
    <w:p w14:paraId="62ADB184">
      <w:pPr>
        <w:adjustRightInd w:val="0"/>
        <w:snapToGrid w:val="0"/>
        <w:spacing w:line="288" w:lineRule="auto"/>
        <w:ind w:firstLine="0" w:firstLineChars="0"/>
        <w:rPr>
          <w:rFonts w:hint="eastAsia" w:ascii="仿宋_GB2312" w:eastAsia="仿宋_GB2312" w:cs="Times New Roman"/>
          <w:b/>
          <w:bCs/>
          <w:color w:val="auto"/>
          <w:sz w:val="32"/>
          <w:szCs w:val="32"/>
          <w:u w:val="single"/>
        </w:rPr>
      </w:pPr>
      <w:r>
        <w:rPr>
          <w:rFonts w:hint="eastAsia" w:ascii="仿宋_GB2312" w:eastAsia="仿宋_GB2312" w:cs="Times New Roman"/>
          <w:b/>
          <w:bCs/>
          <w:color w:val="auto"/>
          <w:sz w:val="32"/>
          <w:szCs w:val="32"/>
        </w:rPr>
        <w:t>编制日期：</w:t>
      </w:r>
      <w:r>
        <w:rPr>
          <w:rFonts w:hint="eastAsia" w:ascii="仿宋_GB2312" w:eastAsia="仿宋_GB2312" w:cs="Times New Roman"/>
          <w:b/>
          <w:bCs/>
          <w:color w:val="auto"/>
          <w:sz w:val="32"/>
          <w:szCs w:val="32"/>
          <w:u w:val="single"/>
        </w:rPr>
        <w:t xml:space="preserve">          </w:t>
      </w:r>
      <w:r>
        <w:rPr>
          <w:rFonts w:hint="eastAsia" w:ascii="仿宋_GB2312" w:eastAsia="仿宋_GB2312" w:cs="Times New Roman"/>
          <w:b/>
          <w:bCs/>
          <w:color w:val="auto"/>
          <w:sz w:val="32"/>
          <w:szCs w:val="32"/>
          <w:u w:val="single"/>
          <w:lang w:val="en-US" w:eastAsia="zh-CN"/>
        </w:rPr>
        <w:t xml:space="preserve">     二零二六</w:t>
      </w:r>
      <w:r>
        <w:rPr>
          <w:rFonts w:hint="eastAsia" w:ascii="仿宋_GB2312" w:eastAsia="仿宋_GB2312" w:cs="Times New Roman"/>
          <w:b/>
          <w:bCs/>
          <w:color w:val="auto"/>
          <w:sz w:val="32"/>
          <w:szCs w:val="32"/>
          <w:u w:val="single"/>
        </w:rPr>
        <w:t>年</w:t>
      </w:r>
      <w:r>
        <w:rPr>
          <w:rFonts w:hint="eastAsia" w:ascii="仿宋_GB2312" w:eastAsia="仿宋_GB2312" w:cs="Times New Roman"/>
          <w:b/>
          <w:bCs/>
          <w:color w:val="auto"/>
          <w:sz w:val="32"/>
          <w:szCs w:val="32"/>
          <w:u w:val="single"/>
          <w:lang w:val="en-US" w:eastAsia="zh-CN"/>
        </w:rPr>
        <w:t>八</w:t>
      </w:r>
      <w:r>
        <w:rPr>
          <w:rFonts w:hint="eastAsia" w:ascii="仿宋_GB2312" w:eastAsia="仿宋_GB2312" w:cs="Times New Roman"/>
          <w:b/>
          <w:bCs/>
          <w:color w:val="auto"/>
          <w:sz w:val="32"/>
          <w:szCs w:val="32"/>
          <w:u w:val="single"/>
        </w:rPr>
        <w:t xml:space="preserve">月             </w:t>
      </w:r>
      <w:bookmarkStart w:id="0" w:name="_Hlk57884087"/>
    </w:p>
    <w:p w14:paraId="6A106E7F">
      <w:pPr>
        <w:adjustRightInd w:val="0"/>
        <w:snapToGrid w:val="0"/>
        <w:spacing w:line="288" w:lineRule="auto"/>
        <w:ind w:firstLine="1040"/>
        <w:rPr>
          <w:rFonts w:hint="eastAsia" w:ascii="仿宋_GB2312" w:eastAsia="仿宋_GB2312"/>
          <w:b/>
          <w:bCs/>
          <w:color w:val="auto"/>
          <w:sz w:val="36"/>
          <w:szCs w:val="36"/>
        </w:rPr>
      </w:pPr>
    </w:p>
    <w:p w14:paraId="0C5DBD44">
      <w:pPr>
        <w:adjustRightInd w:val="0"/>
        <w:snapToGrid w:val="0"/>
        <w:spacing w:line="288" w:lineRule="auto"/>
        <w:jc w:val="center"/>
        <w:rPr>
          <w:rFonts w:hint="eastAsia" w:ascii="楷体_GB2312" w:eastAsia="楷体_GB2312"/>
          <w:color w:val="auto"/>
          <w:sz w:val="36"/>
          <w:szCs w:val="36"/>
        </w:rPr>
      </w:pPr>
    </w:p>
    <w:p w14:paraId="2D029DEF">
      <w:pPr>
        <w:pStyle w:val="16"/>
        <w:rPr>
          <w:rFonts w:hint="eastAsia" w:ascii="楷体_GB2312" w:eastAsia="楷体_GB2312"/>
          <w:color w:val="auto"/>
          <w:sz w:val="36"/>
          <w:szCs w:val="36"/>
        </w:rPr>
      </w:pPr>
    </w:p>
    <w:p w14:paraId="70211D2E">
      <w:pPr>
        <w:pStyle w:val="16"/>
        <w:rPr>
          <w:rFonts w:hint="eastAsia" w:ascii="楷体_GB2312" w:eastAsia="楷体_GB2312"/>
          <w:color w:val="auto"/>
          <w:sz w:val="36"/>
          <w:szCs w:val="36"/>
        </w:rPr>
      </w:pPr>
    </w:p>
    <w:p w14:paraId="246DE54D">
      <w:pPr>
        <w:adjustRightInd w:val="0"/>
        <w:snapToGrid w:val="0"/>
        <w:spacing w:line="288" w:lineRule="auto"/>
        <w:jc w:val="center"/>
        <w:rPr>
          <w:rFonts w:hint="eastAsia" w:ascii="楷体_GB2312" w:eastAsia="楷体_GB2312"/>
          <w:color w:val="auto"/>
          <w:sz w:val="36"/>
          <w:szCs w:val="36"/>
        </w:rPr>
      </w:pPr>
    </w:p>
    <w:bookmarkEnd w:id="0"/>
    <w:p w14:paraId="6078C288">
      <w:pPr>
        <w:adjustRightInd w:val="0"/>
        <w:snapToGrid w:val="0"/>
        <w:spacing w:line="288" w:lineRule="auto"/>
        <w:jc w:val="center"/>
        <w:rPr>
          <w:rFonts w:hint="eastAsia" w:ascii="楷体_GB2312" w:eastAsia="楷体_GB2312"/>
          <w:color w:val="auto"/>
          <w:sz w:val="36"/>
          <w:szCs w:val="36"/>
        </w:rPr>
      </w:pPr>
      <w:r>
        <w:rPr>
          <w:rFonts w:hint="eastAsia" w:ascii="楷体_GB2312" w:eastAsia="楷体_GB2312"/>
          <w:color w:val="auto"/>
          <w:sz w:val="36"/>
          <w:szCs w:val="36"/>
        </w:rPr>
        <w:t>中华人民共和国生态环境部制</w:t>
      </w:r>
    </w:p>
    <w:p w14:paraId="70B111EC">
      <w:pPr>
        <w:pStyle w:val="16"/>
        <w:rPr>
          <w:rFonts w:hint="eastAsia"/>
          <w:color w:val="auto"/>
        </w:rPr>
      </w:pPr>
    </w:p>
    <w:sdt>
      <w:sdtPr>
        <w:rPr>
          <w:rFonts w:ascii="宋体" w:hAnsi="宋体"/>
          <w:color w:val="auto"/>
          <w:sz w:val="21"/>
        </w:rPr>
        <w:id w:val="147460383"/>
        <w:docPartObj>
          <w:docPartGallery w:val="Table of Contents"/>
          <w:docPartUnique/>
        </w:docPartObj>
      </w:sdtPr>
      <w:sdtEndPr>
        <w:rPr>
          <w:rFonts w:hint="eastAsia" w:asciiTheme="minorHAnsi" w:hAnsiTheme="minorHAnsi" w:eastAsiaTheme="minorEastAsia" w:cstheme="minorBidi"/>
          <w:color w:val="auto"/>
          <w:sz w:val="20"/>
        </w:rPr>
      </w:sdtEndPr>
      <w:sdtContent>
        <w:p w14:paraId="014D8073">
          <w:pPr>
            <w:ind w:firstLine="0" w:firstLineChars="0"/>
            <w:jc w:val="both"/>
            <w:rPr>
              <w:rFonts w:ascii="宋体" w:hAnsi="宋体"/>
              <w:color w:val="auto"/>
              <w:sz w:val="21"/>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6552A41A">
          <w:pPr>
            <w:ind w:firstLine="0" w:firstLineChars="0"/>
            <w:jc w:val="center"/>
            <w:rPr>
              <w:rFonts w:cs="Times New Roman"/>
              <w:b/>
              <w:bCs/>
              <w:color w:val="auto"/>
              <w:sz w:val="28"/>
              <w:szCs w:val="28"/>
            </w:rPr>
          </w:pPr>
          <w:r>
            <w:rPr>
              <w:rFonts w:cs="Times New Roman"/>
              <w:b/>
              <w:bCs/>
              <w:color w:val="auto"/>
              <w:sz w:val="28"/>
              <w:szCs w:val="28"/>
            </w:rPr>
            <w:t>目录</w:t>
          </w:r>
        </w:p>
        <w:p w14:paraId="1F28249B">
          <w:pPr>
            <w:pStyle w:val="17"/>
            <w:tabs>
              <w:tab w:val="right" w:leader="dot" w:pos="8306"/>
            </w:tabs>
            <w:rPr>
              <w:color w:val="auto"/>
            </w:rPr>
          </w:pPr>
          <w:r>
            <w:rPr>
              <w:rFonts w:cs="Times New Roman"/>
              <w:color w:val="auto"/>
            </w:rPr>
            <w:fldChar w:fldCharType="begin"/>
          </w:r>
          <w:r>
            <w:rPr>
              <w:rFonts w:cs="Times New Roman"/>
              <w:color w:val="auto"/>
            </w:rPr>
            <w:instrText xml:space="preserve">TOC \o "1-1" \h \u </w:instrText>
          </w:r>
          <w:r>
            <w:rPr>
              <w:rFonts w:cs="Times New Roman"/>
              <w:color w:val="auto"/>
            </w:rPr>
            <w:fldChar w:fldCharType="separate"/>
          </w:r>
          <w:r>
            <w:rPr>
              <w:rFonts w:cs="Times New Roman"/>
              <w:color w:val="auto"/>
            </w:rPr>
            <w:fldChar w:fldCharType="begin"/>
          </w:r>
          <w:r>
            <w:rPr>
              <w:rFonts w:cs="Times New Roman"/>
              <w:color w:val="auto"/>
            </w:rPr>
            <w:instrText xml:space="preserve"> HYPERLINK \l _Toc27640 </w:instrText>
          </w:r>
          <w:r>
            <w:rPr>
              <w:rFonts w:cs="Times New Roman"/>
              <w:color w:val="auto"/>
            </w:rPr>
            <w:fldChar w:fldCharType="separate"/>
          </w:r>
          <w:r>
            <w:rPr>
              <w:rFonts w:hint="eastAsia"/>
              <w:color w:val="auto"/>
            </w:rPr>
            <w:t>前言</w:t>
          </w:r>
          <w:r>
            <w:rPr>
              <w:color w:val="auto"/>
            </w:rPr>
            <w:tab/>
          </w:r>
          <w:r>
            <w:rPr>
              <w:color w:val="auto"/>
            </w:rPr>
            <w:fldChar w:fldCharType="begin"/>
          </w:r>
          <w:r>
            <w:rPr>
              <w:color w:val="auto"/>
            </w:rPr>
            <w:instrText xml:space="preserve"> PAGEREF _Toc27640 \h </w:instrText>
          </w:r>
          <w:r>
            <w:rPr>
              <w:color w:val="auto"/>
            </w:rPr>
            <w:fldChar w:fldCharType="separate"/>
          </w:r>
          <w:r>
            <w:rPr>
              <w:color w:val="auto"/>
            </w:rPr>
            <w:t>1</w:t>
          </w:r>
          <w:r>
            <w:rPr>
              <w:color w:val="auto"/>
            </w:rPr>
            <w:fldChar w:fldCharType="end"/>
          </w:r>
          <w:r>
            <w:rPr>
              <w:rFonts w:cs="Times New Roman"/>
              <w:color w:val="auto"/>
            </w:rPr>
            <w:fldChar w:fldCharType="end"/>
          </w:r>
        </w:p>
        <w:p w14:paraId="4E102B83">
          <w:pPr>
            <w:pStyle w:val="17"/>
            <w:tabs>
              <w:tab w:val="right" w:leader="dot" w:pos="8306"/>
            </w:tabs>
            <w:rPr>
              <w:color w:val="auto"/>
            </w:rPr>
          </w:pPr>
          <w:r>
            <w:rPr>
              <w:rFonts w:cs="Times New Roman"/>
              <w:color w:val="auto"/>
            </w:rPr>
            <w:fldChar w:fldCharType="begin"/>
          </w:r>
          <w:r>
            <w:rPr>
              <w:rFonts w:cs="Times New Roman"/>
              <w:color w:val="auto"/>
            </w:rPr>
            <w:instrText xml:space="preserve"> HYPERLINK \l _Toc22985 </w:instrText>
          </w:r>
          <w:r>
            <w:rPr>
              <w:rFonts w:cs="Times New Roman"/>
              <w:color w:val="auto"/>
            </w:rPr>
            <w:fldChar w:fldCharType="separate"/>
          </w:r>
          <w:r>
            <w:rPr>
              <w:rFonts w:hint="eastAsia"/>
              <w:color w:val="auto"/>
            </w:rPr>
            <w:t>一、 建设项目基本情况</w:t>
          </w:r>
          <w:r>
            <w:rPr>
              <w:color w:val="auto"/>
            </w:rPr>
            <w:tab/>
          </w:r>
          <w:r>
            <w:rPr>
              <w:color w:val="auto"/>
            </w:rPr>
            <w:fldChar w:fldCharType="begin"/>
          </w:r>
          <w:r>
            <w:rPr>
              <w:color w:val="auto"/>
            </w:rPr>
            <w:instrText xml:space="preserve"> PAGEREF _Toc22985 \h </w:instrText>
          </w:r>
          <w:r>
            <w:rPr>
              <w:color w:val="auto"/>
            </w:rPr>
            <w:fldChar w:fldCharType="separate"/>
          </w:r>
          <w:r>
            <w:rPr>
              <w:color w:val="auto"/>
            </w:rPr>
            <w:t>2</w:t>
          </w:r>
          <w:r>
            <w:rPr>
              <w:color w:val="auto"/>
            </w:rPr>
            <w:fldChar w:fldCharType="end"/>
          </w:r>
          <w:r>
            <w:rPr>
              <w:rFonts w:cs="Times New Roman"/>
              <w:color w:val="auto"/>
            </w:rPr>
            <w:fldChar w:fldCharType="end"/>
          </w:r>
        </w:p>
        <w:p w14:paraId="6090931B">
          <w:pPr>
            <w:pStyle w:val="17"/>
            <w:tabs>
              <w:tab w:val="right" w:leader="dot" w:pos="8306"/>
            </w:tabs>
            <w:rPr>
              <w:color w:val="auto"/>
            </w:rPr>
          </w:pPr>
          <w:r>
            <w:rPr>
              <w:rFonts w:cs="Times New Roman"/>
              <w:color w:val="auto"/>
            </w:rPr>
            <w:fldChar w:fldCharType="begin"/>
          </w:r>
          <w:r>
            <w:rPr>
              <w:rFonts w:cs="Times New Roman"/>
              <w:color w:val="auto"/>
            </w:rPr>
            <w:instrText xml:space="preserve"> HYPERLINK \l _Toc18103 </w:instrText>
          </w:r>
          <w:r>
            <w:rPr>
              <w:rFonts w:cs="Times New Roman"/>
              <w:color w:val="auto"/>
            </w:rPr>
            <w:fldChar w:fldCharType="separate"/>
          </w:r>
          <w:r>
            <w:rPr>
              <w:rFonts w:hint="eastAsia"/>
              <w:color w:val="auto"/>
            </w:rPr>
            <w:t>二、 建设项目工程分析</w:t>
          </w:r>
          <w:r>
            <w:rPr>
              <w:color w:val="auto"/>
            </w:rPr>
            <w:tab/>
          </w:r>
          <w:r>
            <w:rPr>
              <w:color w:val="auto"/>
            </w:rPr>
            <w:fldChar w:fldCharType="begin"/>
          </w:r>
          <w:r>
            <w:rPr>
              <w:color w:val="auto"/>
            </w:rPr>
            <w:instrText xml:space="preserve"> PAGEREF _Toc18103 \h </w:instrText>
          </w:r>
          <w:r>
            <w:rPr>
              <w:color w:val="auto"/>
            </w:rPr>
            <w:fldChar w:fldCharType="separate"/>
          </w:r>
          <w:r>
            <w:rPr>
              <w:color w:val="auto"/>
            </w:rPr>
            <w:t>38</w:t>
          </w:r>
          <w:r>
            <w:rPr>
              <w:color w:val="auto"/>
            </w:rPr>
            <w:fldChar w:fldCharType="end"/>
          </w:r>
          <w:r>
            <w:rPr>
              <w:rFonts w:cs="Times New Roman"/>
              <w:color w:val="auto"/>
            </w:rPr>
            <w:fldChar w:fldCharType="end"/>
          </w:r>
        </w:p>
        <w:p w14:paraId="6B8D7B34">
          <w:pPr>
            <w:pStyle w:val="17"/>
            <w:tabs>
              <w:tab w:val="right" w:leader="dot" w:pos="8306"/>
            </w:tabs>
            <w:rPr>
              <w:color w:val="auto"/>
            </w:rPr>
          </w:pPr>
          <w:r>
            <w:rPr>
              <w:rFonts w:cs="Times New Roman"/>
              <w:color w:val="auto"/>
            </w:rPr>
            <w:fldChar w:fldCharType="begin"/>
          </w:r>
          <w:r>
            <w:rPr>
              <w:rFonts w:cs="Times New Roman"/>
              <w:color w:val="auto"/>
            </w:rPr>
            <w:instrText xml:space="preserve"> HYPERLINK \l _Toc3707 </w:instrText>
          </w:r>
          <w:r>
            <w:rPr>
              <w:rFonts w:cs="Times New Roman"/>
              <w:color w:val="auto"/>
            </w:rPr>
            <w:fldChar w:fldCharType="separate"/>
          </w:r>
          <w:r>
            <w:rPr>
              <w:rFonts w:hint="eastAsia"/>
              <w:color w:val="auto"/>
            </w:rPr>
            <w:t>三、 区域环境质量现状、环境保护目标及评价标准</w:t>
          </w:r>
          <w:r>
            <w:rPr>
              <w:color w:val="auto"/>
            </w:rPr>
            <w:tab/>
          </w:r>
          <w:r>
            <w:rPr>
              <w:color w:val="auto"/>
            </w:rPr>
            <w:fldChar w:fldCharType="begin"/>
          </w:r>
          <w:r>
            <w:rPr>
              <w:color w:val="auto"/>
            </w:rPr>
            <w:instrText xml:space="preserve"> PAGEREF _Toc3707 \h </w:instrText>
          </w:r>
          <w:r>
            <w:rPr>
              <w:color w:val="auto"/>
            </w:rPr>
            <w:fldChar w:fldCharType="separate"/>
          </w:r>
          <w:r>
            <w:rPr>
              <w:color w:val="auto"/>
            </w:rPr>
            <w:t>38</w:t>
          </w:r>
          <w:r>
            <w:rPr>
              <w:color w:val="auto"/>
            </w:rPr>
            <w:fldChar w:fldCharType="end"/>
          </w:r>
          <w:r>
            <w:rPr>
              <w:rFonts w:cs="Times New Roman"/>
              <w:color w:val="auto"/>
            </w:rPr>
            <w:fldChar w:fldCharType="end"/>
          </w:r>
        </w:p>
        <w:p w14:paraId="07973D0F">
          <w:pPr>
            <w:pStyle w:val="17"/>
            <w:tabs>
              <w:tab w:val="right" w:leader="dot" w:pos="8306"/>
            </w:tabs>
            <w:rPr>
              <w:color w:val="auto"/>
            </w:rPr>
          </w:pPr>
          <w:r>
            <w:rPr>
              <w:rFonts w:cs="Times New Roman"/>
              <w:color w:val="auto"/>
            </w:rPr>
            <w:fldChar w:fldCharType="begin"/>
          </w:r>
          <w:r>
            <w:rPr>
              <w:rFonts w:cs="Times New Roman"/>
              <w:color w:val="auto"/>
            </w:rPr>
            <w:instrText xml:space="preserve"> HYPERLINK \l _Toc13941 </w:instrText>
          </w:r>
          <w:r>
            <w:rPr>
              <w:rFonts w:cs="Times New Roman"/>
              <w:color w:val="auto"/>
            </w:rPr>
            <w:fldChar w:fldCharType="separate"/>
          </w:r>
          <w:r>
            <w:rPr>
              <w:rFonts w:hint="eastAsia"/>
              <w:color w:val="auto"/>
            </w:rPr>
            <w:t>四、 主要环境影响和保护措施</w:t>
          </w:r>
          <w:r>
            <w:rPr>
              <w:color w:val="auto"/>
            </w:rPr>
            <w:tab/>
          </w:r>
          <w:r>
            <w:rPr>
              <w:color w:val="auto"/>
            </w:rPr>
            <w:fldChar w:fldCharType="begin"/>
          </w:r>
          <w:r>
            <w:rPr>
              <w:color w:val="auto"/>
            </w:rPr>
            <w:instrText xml:space="preserve"> PAGEREF _Toc13941 \h </w:instrText>
          </w:r>
          <w:r>
            <w:rPr>
              <w:color w:val="auto"/>
            </w:rPr>
            <w:fldChar w:fldCharType="separate"/>
          </w:r>
          <w:r>
            <w:rPr>
              <w:color w:val="auto"/>
            </w:rPr>
            <w:t>71</w:t>
          </w:r>
          <w:r>
            <w:rPr>
              <w:color w:val="auto"/>
            </w:rPr>
            <w:fldChar w:fldCharType="end"/>
          </w:r>
          <w:r>
            <w:rPr>
              <w:rFonts w:cs="Times New Roman"/>
              <w:color w:val="auto"/>
            </w:rPr>
            <w:fldChar w:fldCharType="end"/>
          </w:r>
        </w:p>
        <w:p w14:paraId="2604C6BA">
          <w:pPr>
            <w:pStyle w:val="17"/>
            <w:tabs>
              <w:tab w:val="right" w:leader="dot" w:pos="8306"/>
            </w:tabs>
            <w:rPr>
              <w:color w:val="auto"/>
            </w:rPr>
          </w:pPr>
          <w:r>
            <w:rPr>
              <w:rFonts w:cs="Times New Roman"/>
              <w:color w:val="auto"/>
            </w:rPr>
            <w:fldChar w:fldCharType="begin"/>
          </w:r>
          <w:r>
            <w:rPr>
              <w:rFonts w:cs="Times New Roman"/>
              <w:color w:val="auto"/>
            </w:rPr>
            <w:instrText xml:space="preserve"> HYPERLINK \l _Toc32742 </w:instrText>
          </w:r>
          <w:r>
            <w:rPr>
              <w:rFonts w:cs="Times New Roman"/>
              <w:color w:val="auto"/>
            </w:rPr>
            <w:fldChar w:fldCharType="separate"/>
          </w:r>
          <w:r>
            <w:rPr>
              <w:rFonts w:hint="eastAsia"/>
              <w:color w:val="auto"/>
            </w:rPr>
            <w:t>五、 环境保护措施监督清单</w:t>
          </w:r>
          <w:r>
            <w:rPr>
              <w:color w:val="auto"/>
            </w:rPr>
            <w:tab/>
          </w:r>
          <w:r>
            <w:rPr>
              <w:color w:val="auto"/>
            </w:rPr>
            <w:fldChar w:fldCharType="begin"/>
          </w:r>
          <w:r>
            <w:rPr>
              <w:color w:val="auto"/>
            </w:rPr>
            <w:instrText xml:space="preserve"> PAGEREF _Toc32742 \h </w:instrText>
          </w:r>
          <w:r>
            <w:rPr>
              <w:color w:val="auto"/>
            </w:rPr>
            <w:fldChar w:fldCharType="separate"/>
          </w:r>
          <w:r>
            <w:rPr>
              <w:color w:val="auto"/>
            </w:rPr>
            <w:t>114</w:t>
          </w:r>
          <w:r>
            <w:rPr>
              <w:color w:val="auto"/>
            </w:rPr>
            <w:fldChar w:fldCharType="end"/>
          </w:r>
          <w:r>
            <w:rPr>
              <w:rFonts w:cs="Times New Roman"/>
              <w:color w:val="auto"/>
            </w:rPr>
            <w:fldChar w:fldCharType="end"/>
          </w:r>
        </w:p>
        <w:p w14:paraId="08AFD57B">
          <w:pPr>
            <w:pStyle w:val="17"/>
            <w:tabs>
              <w:tab w:val="right" w:leader="dot" w:pos="8306"/>
            </w:tabs>
            <w:rPr>
              <w:color w:val="auto"/>
            </w:rPr>
          </w:pPr>
          <w:r>
            <w:rPr>
              <w:rFonts w:cs="Times New Roman"/>
              <w:color w:val="auto"/>
            </w:rPr>
            <w:fldChar w:fldCharType="begin"/>
          </w:r>
          <w:r>
            <w:rPr>
              <w:rFonts w:cs="Times New Roman"/>
              <w:color w:val="auto"/>
            </w:rPr>
            <w:instrText xml:space="preserve"> HYPERLINK \l _Toc25065 </w:instrText>
          </w:r>
          <w:r>
            <w:rPr>
              <w:rFonts w:cs="Times New Roman"/>
              <w:color w:val="auto"/>
            </w:rPr>
            <w:fldChar w:fldCharType="separate"/>
          </w:r>
          <w:r>
            <w:rPr>
              <w:color w:val="auto"/>
            </w:rPr>
            <w:t xml:space="preserve">六、 </w:t>
          </w:r>
          <w:r>
            <w:rPr>
              <w:rFonts w:hint="eastAsia"/>
              <w:color w:val="auto"/>
            </w:rPr>
            <w:t>结论</w:t>
          </w:r>
          <w:r>
            <w:rPr>
              <w:color w:val="auto"/>
            </w:rPr>
            <w:tab/>
          </w:r>
          <w:r>
            <w:rPr>
              <w:color w:val="auto"/>
            </w:rPr>
            <w:fldChar w:fldCharType="begin"/>
          </w:r>
          <w:r>
            <w:rPr>
              <w:color w:val="auto"/>
            </w:rPr>
            <w:instrText xml:space="preserve"> PAGEREF _Toc25065 \h </w:instrText>
          </w:r>
          <w:r>
            <w:rPr>
              <w:color w:val="auto"/>
            </w:rPr>
            <w:fldChar w:fldCharType="separate"/>
          </w:r>
          <w:r>
            <w:rPr>
              <w:color w:val="auto"/>
            </w:rPr>
            <w:t>119</w:t>
          </w:r>
          <w:r>
            <w:rPr>
              <w:color w:val="auto"/>
            </w:rPr>
            <w:fldChar w:fldCharType="end"/>
          </w:r>
          <w:r>
            <w:rPr>
              <w:rFonts w:cs="Times New Roman"/>
              <w:color w:val="auto"/>
            </w:rPr>
            <w:fldChar w:fldCharType="end"/>
          </w:r>
        </w:p>
        <w:p w14:paraId="49A1E163">
          <w:pPr>
            <w:pStyle w:val="17"/>
            <w:tabs>
              <w:tab w:val="right" w:leader="dot" w:pos="8306"/>
            </w:tabs>
            <w:rPr>
              <w:color w:val="auto"/>
            </w:rPr>
          </w:pPr>
          <w:r>
            <w:rPr>
              <w:rFonts w:cs="Times New Roman"/>
              <w:color w:val="auto"/>
            </w:rPr>
            <w:fldChar w:fldCharType="begin"/>
          </w:r>
          <w:r>
            <w:rPr>
              <w:rFonts w:cs="Times New Roman"/>
              <w:color w:val="auto"/>
            </w:rPr>
            <w:instrText xml:space="preserve"> HYPERLINK \l _Toc14731 </w:instrText>
          </w:r>
          <w:r>
            <w:rPr>
              <w:rFonts w:cs="Times New Roman"/>
              <w:color w:val="auto"/>
            </w:rPr>
            <w:fldChar w:fldCharType="separate"/>
          </w:r>
          <w:r>
            <w:rPr>
              <w:rFonts w:hint="eastAsia"/>
              <w:color w:val="auto"/>
            </w:rPr>
            <w:t>附表</w:t>
          </w:r>
          <w:r>
            <w:rPr>
              <w:color w:val="auto"/>
            </w:rPr>
            <w:tab/>
          </w:r>
          <w:r>
            <w:rPr>
              <w:color w:val="auto"/>
            </w:rPr>
            <w:fldChar w:fldCharType="begin"/>
          </w:r>
          <w:r>
            <w:rPr>
              <w:color w:val="auto"/>
            </w:rPr>
            <w:instrText xml:space="preserve"> PAGEREF _Toc14731 \h </w:instrText>
          </w:r>
          <w:r>
            <w:rPr>
              <w:color w:val="auto"/>
            </w:rPr>
            <w:fldChar w:fldCharType="separate"/>
          </w:r>
          <w:r>
            <w:rPr>
              <w:color w:val="auto"/>
            </w:rPr>
            <w:t>120</w:t>
          </w:r>
          <w:r>
            <w:rPr>
              <w:color w:val="auto"/>
            </w:rPr>
            <w:fldChar w:fldCharType="end"/>
          </w:r>
          <w:r>
            <w:rPr>
              <w:rFonts w:cs="Times New Roman"/>
              <w:color w:val="auto"/>
            </w:rPr>
            <w:fldChar w:fldCharType="end"/>
          </w:r>
        </w:p>
        <w:p w14:paraId="249C9C57">
          <w:pPr>
            <w:pStyle w:val="17"/>
            <w:tabs>
              <w:tab w:val="right" w:leader="dot" w:pos="8306"/>
            </w:tabs>
            <w:rPr>
              <w:color w:val="auto"/>
            </w:rPr>
          </w:pPr>
          <w:r>
            <w:rPr>
              <w:rFonts w:cs="Times New Roman"/>
              <w:color w:val="auto"/>
            </w:rPr>
            <w:fldChar w:fldCharType="begin"/>
          </w:r>
          <w:r>
            <w:rPr>
              <w:rFonts w:cs="Times New Roman"/>
              <w:color w:val="auto"/>
            </w:rPr>
            <w:instrText xml:space="preserve"> HYPERLINK \l _Toc20368 </w:instrText>
          </w:r>
          <w:r>
            <w:rPr>
              <w:rFonts w:cs="Times New Roman"/>
              <w:color w:val="auto"/>
            </w:rPr>
            <w:fldChar w:fldCharType="separate"/>
          </w:r>
          <w:r>
            <w:rPr>
              <w:rFonts w:hint="eastAsia"/>
              <w:bCs/>
              <w:color w:val="auto"/>
            </w:rPr>
            <w:t>建设项目污染物排放量汇总表</w:t>
          </w:r>
          <w:r>
            <w:rPr>
              <w:color w:val="auto"/>
            </w:rPr>
            <w:tab/>
          </w:r>
          <w:r>
            <w:rPr>
              <w:color w:val="auto"/>
            </w:rPr>
            <w:fldChar w:fldCharType="begin"/>
          </w:r>
          <w:r>
            <w:rPr>
              <w:color w:val="auto"/>
            </w:rPr>
            <w:instrText xml:space="preserve"> PAGEREF _Toc20368 \h </w:instrText>
          </w:r>
          <w:r>
            <w:rPr>
              <w:color w:val="auto"/>
            </w:rPr>
            <w:fldChar w:fldCharType="separate"/>
          </w:r>
          <w:r>
            <w:rPr>
              <w:color w:val="auto"/>
            </w:rPr>
            <w:t>120</w:t>
          </w:r>
          <w:r>
            <w:rPr>
              <w:color w:val="auto"/>
            </w:rPr>
            <w:fldChar w:fldCharType="end"/>
          </w:r>
          <w:r>
            <w:rPr>
              <w:rFonts w:cs="Times New Roman"/>
              <w:color w:val="auto"/>
            </w:rPr>
            <w:fldChar w:fldCharType="end"/>
          </w:r>
        </w:p>
        <w:p w14:paraId="548B5A95">
          <w:pPr>
            <w:widowControl/>
            <w:tabs>
              <w:tab w:val="right" w:leader="dot" w:pos="8306"/>
            </w:tabs>
            <w:ind w:left="0" w:leftChars="0" w:firstLine="0" w:firstLineChars="0"/>
            <w:rPr>
              <w:color w:val="auto"/>
            </w:rPr>
          </w:pPr>
          <w:r>
            <w:rPr>
              <w:rFonts w:cs="Times New Roman"/>
              <w:color w:val="auto"/>
            </w:rPr>
            <w:fldChar w:fldCharType="end"/>
          </w:r>
        </w:p>
      </w:sdtContent>
    </w:sdt>
    <w:p w14:paraId="593F12C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b/>
          <w:bCs/>
          <w:color w:val="auto"/>
        </w:rPr>
      </w:pPr>
      <w:bookmarkStart w:id="1" w:name="_Toc31301"/>
      <w:r>
        <w:rPr>
          <w:rFonts w:hint="eastAsia"/>
          <w:b/>
          <w:bCs/>
          <w:color w:val="auto"/>
        </w:rPr>
        <w:t>附件</w:t>
      </w:r>
      <w:bookmarkEnd w:id="1"/>
    </w:p>
    <w:p w14:paraId="1CC4140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color w:val="auto"/>
        </w:rPr>
      </w:pPr>
      <w:bookmarkStart w:id="2" w:name="_Toc6814"/>
      <w:r>
        <w:rPr>
          <w:rFonts w:hint="eastAsia"/>
          <w:color w:val="auto"/>
        </w:rPr>
        <w:t>附件1</w:t>
      </w:r>
      <w:bookmarkEnd w:id="2"/>
      <w:r>
        <w:rPr>
          <w:rFonts w:hint="eastAsia"/>
          <w:color w:val="auto"/>
          <w:lang w:eastAsia="zh-CN"/>
        </w:rPr>
        <w:t>：环评</w:t>
      </w:r>
      <w:r>
        <w:rPr>
          <w:rFonts w:hint="eastAsia"/>
          <w:color w:val="auto"/>
        </w:rPr>
        <w:t>委托书</w:t>
      </w:r>
    </w:p>
    <w:p w14:paraId="31179CC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color w:val="auto"/>
        </w:rPr>
      </w:pPr>
      <w:bookmarkStart w:id="3" w:name="_Toc10519"/>
      <w:r>
        <w:rPr>
          <w:rFonts w:hint="eastAsia"/>
          <w:color w:val="auto"/>
        </w:rPr>
        <w:t>附件2</w:t>
      </w:r>
      <w:bookmarkEnd w:id="3"/>
      <w:r>
        <w:rPr>
          <w:rFonts w:hint="eastAsia"/>
          <w:color w:val="auto"/>
          <w:lang w:eastAsia="zh-CN"/>
        </w:rPr>
        <w:t>：项目投资</w:t>
      </w:r>
      <w:r>
        <w:rPr>
          <w:rFonts w:hint="eastAsia"/>
          <w:color w:val="auto"/>
        </w:rPr>
        <w:t>备案证</w:t>
      </w:r>
    </w:p>
    <w:p w14:paraId="777D2B1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color w:val="auto"/>
        </w:rPr>
      </w:pPr>
      <w:bookmarkStart w:id="4" w:name="_Toc140"/>
      <w:r>
        <w:rPr>
          <w:rFonts w:hint="eastAsia"/>
          <w:color w:val="auto"/>
        </w:rPr>
        <w:t>附件3：营业执照</w:t>
      </w:r>
    </w:p>
    <w:p w14:paraId="7C72808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color w:val="auto"/>
        </w:rPr>
      </w:pPr>
      <w:r>
        <w:rPr>
          <w:rFonts w:hint="eastAsia"/>
          <w:color w:val="auto"/>
        </w:rPr>
        <w:t>附件</w:t>
      </w:r>
      <w:bookmarkEnd w:id="4"/>
      <w:r>
        <w:rPr>
          <w:rFonts w:hint="eastAsia"/>
          <w:color w:val="auto"/>
          <w:lang w:val="en-US" w:eastAsia="zh-CN"/>
        </w:rPr>
        <w:t>4：纳古镇人民政府选址意见</w:t>
      </w:r>
    </w:p>
    <w:p w14:paraId="7610CCA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eastAsia="宋体"/>
          <w:color w:val="auto"/>
          <w:lang w:eastAsia="zh-CN"/>
        </w:rPr>
      </w:pPr>
      <w:r>
        <w:rPr>
          <w:rFonts w:hint="eastAsia"/>
          <w:color w:val="auto"/>
        </w:rPr>
        <w:t>附件</w:t>
      </w:r>
      <w:r>
        <w:rPr>
          <w:rFonts w:hint="eastAsia"/>
          <w:color w:val="auto"/>
          <w:lang w:val="en-US" w:eastAsia="zh-CN"/>
        </w:rPr>
        <w:t>5</w:t>
      </w:r>
      <w:r>
        <w:rPr>
          <w:rFonts w:hint="eastAsia"/>
          <w:color w:val="auto"/>
          <w:lang w:eastAsia="zh-CN"/>
        </w:rPr>
        <w:t>：三区三线查询结果</w:t>
      </w:r>
    </w:p>
    <w:p w14:paraId="4171FDD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color w:val="auto"/>
        </w:rPr>
      </w:pPr>
      <w:r>
        <w:rPr>
          <w:rFonts w:hint="eastAsia"/>
          <w:color w:val="auto"/>
        </w:rPr>
        <w:t>附件</w:t>
      </w:r>
      <w:r>
        <w:rPr>
          <w:rFonts w:hint="eastAsia"/>
          <w:color w:val="auto"/>
          <w:lang w:val="en-US" w:eastAsia="zh-CN"/>
        </w:rPr>
        <w:t>6</w:t>
      </w:r>
      <w:r>
        <w:rPr>
          <w:rFonts w:hint="eastAsia"/>
          <w:color w:val="auto"/>
        </w:rPr>
        <w:t>：杞麓湖湖管局选址意见</w:t>
      </w:r>
    </w:p>
    <w:p w14:paraId="57984EA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color w:val="auto"/>
        </w:rPr>
      </w:pPr>
      <w:r>
        <w:rPr>
          <w:rFonts w:hint="eastAsia"/>
          <w:color w:val="auto"/>
        </w:rPr>
        <w:t>附件</w:t>
      </w:r>
      <w:r>
        <w:rPr>
          <w:rFonts w:hint="eastAsia"/>
          <w:color w:val="auto"/>
          <w:lang w:val="en-US" w:eastAsia="zh-CN"/>
        </w:rPr>
        <w:t>7</w:t>
      </w:r>
      <w:r>
        <w:rPr>
          <w:rFonts w:hint="eastAsia"/>
          <w:color w:val="auto"/>
        </w:rPr>
        <w:t>：生态环境分区管控查询结果</w:t>
      </w:r>
    </w:p>
    <w:p w14:paraId="5A4895C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color w:val="auto"/>
        </w:rPr>
      </w:pPr>
      <w:r>
        <w:rPr>
          <w:rFonts w:hint="eastAsia"/>
          <w:color w:val="auto"/>
        </w:rPr>
        <w:t>附件</w:t>
      </w:r>
      <w:r>
        <w:rPr>
          <w:rFonts w:hint="eastAsia"/>
          <w:color w:val="auto"/>
          <w:lang w:val="en-US" w:eastAsia="zh-CN"/>
        </w:rPr>
        <w:t>8：</w:t>
      </w:r>
      <w:r>
        <w:rPr>
          <w:rFonts w:hint="eastAsia"/>
          <w:color w:val="auto"/>
        </w:rPr>
        <w:t>租地协议</w:t>
      </w:r>
    </w:p>
    <w:p w14:paraId="4589C87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color w:val="auto"/>
          <w:lang w:val="en-US" w:eastAsia="zh-CN"/>
        </w:rPr>
      </w:pPr>
      <w:r>
        <w:rPr>
          <w:rFonts w:hint="eastAsia"/>
          <w:color w:val="auto"/>
          <w:lang w:eastAsia="zh-CN"/>
        </w:rPr>
        <w:t>附件</w:t>
      </w:r>
      <w:r>
        <w:rPr>
          <w:rFonts w:hint="eastAsia"/>
          <w:color w:val="auto"/>
          <w:lang w:val="en-US" w:eastAsia="zh-CN"/>
        </w:rPr>
        <w:t>9：处罚决定书（原有项目）</w:t>
      </w:r>
    </w:p>
    <w:p w14:paraId="773EBD4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color w:val="auto"/>
          <w:lang w:val="en-US" w:eastAsia="zh-CN"/>
        </w:rPr>
      </w:pPr>
      <w:r>
        <w:rPr>
          <w:rFonts w:hint="default"/>
          <w:color w:val="auto"/>
          <w:lang w:val="en-US" w:eastAsia="zh-CN"/>
        </w:rPr>
        <w:t>附件10：处罚决定书及罚金缴纳单</w:t>
      </w:r>
      <w:r>
        <w:rPr>
          <w:rFonts w:hint="eastAsia"/>
          <w:color w:val="auto"/>
          <w:lang w:val="en-US" w:eastAsia="zh-CN"/>
        </w:rPr>
        <w:t>（本次项目）</w:t>
      </w:r>
    </w:p>
    <w:p w14:paraId="24647F7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b w:val="0"/>
          <w:bCs w:val="0"/>
          <w:color w:val="auto"/>
          <w:lang w:eastAsia="zh-CN"/>
        </w:rPr>
      </w:pPr>
      <w:r>
        <w:rPr>
          <w:rFonts w:hint="eastAsia"/>
          <w:b w:val="0"/>
          <w:bCs w:val="0"/>
          <w:color w:val="auto"/>
          <w:lang w:eastAsia="zh-CN"/>
        </w:rPr>
        <w:t>附件</w:t>
      </w:r>
      <w:r>
        <w:rPr>
          <w:rFonts w:hint="eastAsia"/>
          <w:b w:val="0"/>
          <w:bCs w:val="0"/>
          <w:color w:val="auto"/>
          <w:lang w:val="en-US" w:eastAsia="zh-CN"/>
        </w:rPr>
        <w:t>11</w:t>
      </w:r>
      <w:r>
        <w:rPr>
          <w:rFonts w:hint="eastAsia"/>
          <w:b w:val="0"/>
          <w:bCs w:val="0"/>
          <w:color w:val="auto"/>
          <w:lang w:eastAsia="zh-CN"/>
        </w:rPr>
        <w:t>：项目周边两口水井情况说明</w:t>
      </w:r>
    </w:p>
    <w:p w14:paraId="66A1095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b w:val="0"/>
          <w:bCs w:val="0"/>
          <w:color w:val="auto"/>
          <w:highlight w:val="none"/>
          <w:lang w:val="en-US" w:eastAsia="zh-CN"/>
        </w:rPr>
      </w:pPr>
      <w:r>
        <w:rPr>
          <w:rFonts w:hint="eastAsia"/>
          <w:b w:val="0"/>
          <w:bCs w:val="0"/>
          <w:color w:val="auto"/>
          <w:highlight w:val="none"/>
          <w:lang w:val="en-US" w:eastAsia="zh-CN"/>
        </w:rPr>
        <w:t>附件12：地下水监测报告</w:t>
      </w:r>
    </w:p>
    <w:p w14:paraId="1B4B5A8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b w:val="0"/>
          <w:bCs w:val="0"/>
          <w:color w:val="auto"/>
          <w:lang w:eastAsia="zh-CN"/>
        </w:rPr>
      </w:pPr>
      <w:r>
        <w:rPr>
          <w:rFonts w:hint="eastAsia"/>
          <w:b w:val="0"/>
          <w:bCs w:val="0"/>
          <w:color w:val="auto"/>
          <w:lang w:eastAsia="zh-CN"/>
        </w:rPr>
        <w:t>附件1</w:t>
      </w:r>
      <w:r>
        <w:rPr>
          <w:rFonts w:hint="eastAsia"/>
          <w:b w:val="0"/>
          <w:bCs w:val="0"/>
          <w:color w:val="auto"/>
          <w:lang w:val="en-US" w:eastAsia="zh-CN"/>
        </w:rPr>
        <w:t>3</w:t>
      </w:r>
      <w:r>
        <w:rPr>
          <w:rFonts w:hint="eastAsia"/>
          <w:b w:val="0"/>
          <w:bCs w:val="0"/>
          <w:color w:val="auto"/>
          <w:lang w:eastAsia="zh-CN"/>
        </w:rPr>
        <w:t>：项目合同</w:t>
      </w:r>
    </w:p>
    <w:p w14:paraId="4A385C5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eastAsia="宋体"/>
          <w:b w:val="0"/>
          <w:bCs w:val="0"/>
          <w:color w:val="auto"/>
          <w:lang w:val="en-US" w:eastAsia="zh-CN"/>
        </w:rPr>
      </w:pPr>
      <w:r>
        <w:rPr>
          <w:rFonts w:hint="default" w:eastAsia="宋体"/>
          <w:b w:val="0"/>
          <w:bCs w:val="0"/>
          <w:color w:val="auto"/>
          <w:lang w:val="en-US" w:eastAsia="zh-CN"/>
        </w:rPr>
        <w:t>附件1</w:t>
      </w:r>
      <w:r>
        <w:rPr>
          <w:rFonts w:hint="eastAsia"/>
          <w:b w:val="0"/>
          <w:bCs w:val="0"/>
          <w:color w:val="auto"/>
          <w:lang w:val="en-US" w:eastAsia="zh-CN"/>
        </w:rPr>
        <w:t>4</w:t>
      </w:r>
      <w:r>
        <w:rPr>
          <w:rFonts w:hint="default" w:eastAsia="宋体"/>
          <w:b w:val="0"/>
          <w:bCs w:val="0"/>
          <w:color w:val="auto"/>
          <w:lang w:val="en-US" w:eastAsia="zh-CN"/>
        </w:rPr>
        <w:t>：专家评审意见及专家签到表</w:t>
      </w:r>
    </w:p>
    <w:p w14:paraId="1732DF6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eastAsia="宋体"/>
          <w:b w:val="0"/>
          <w:bCs w:val="0"/>
          <w:color w:val="auto"/>
          <w:lang w:val="en-US" w:eastAsia="zh-CN"/>
        </w:rPr>
      </w:pPr>
      <w:r>
        <w:rPr>
          <w:rFonts w:hint="default" w:eastAsia="宋体"/>
          <w:b w:val="0"/>
          <w:bCs w:val="0"/>
          <w:color w:val="auto"/>
          <w:lang w:val="en-US" w:eastAsia="zh-CN"/>
        </w:rPr>
        <w:t>附件1</w:t>
      </w:r>
      <w:r>
        <w:rPr>
          <w:rFonts w:hint="eastAsia"/>
          <w:b w:val="0"/>
          <w:bCs w:val="0"/>
          <w:color w:val="auto"/>
          <w:lang w:val="en-US" w:eastAsia="zh-CN"/>
        </w:rPr>
        <w:t>5</w:t>
      </w:r>
      <w:r>
        <w:rPr>
          <w:rFonts w:hint="default" w:eastAsia="宋体"/>
          <w:b w:val="0"/>
          <w:bCs w:val="0"/>
          <w:color w:val="auto"/>
          <w:lang w:val="en-US" w:eastAsia="zh-CN"/>
        </w:rPr>
        <w:t>：修改内容对照表</w:t>
      </w:r>
    </w:p>
    <w:p w14:paraId="7E9F217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eastAsia="宋体"/>
          <w:b w:val="0"/>
          <w:bCs w:val="0"/>
          <w:color w:val="auto"/>
          <w:lang w:val="en-US" w:eastAsia="zh-CN"/>
        </w:rPr>
      </w:pPr>
      <w:r>
        <w:rPr>
          <w:rFonts w:hint="default" w:eastAsia="宋体"/>
          <w:b w:val="0"/>
          <w:bCs w:val="0"/>
          <w:color w:val="auto"/>
          <w:lang w:val="en-US" w:eastAsia="zh-CN"/>
        </w:rPr>
        <w:t>附件1</w:t>
      </w:r>
      <w:r>
        <w:rPr>
          <w:rFonts w:hint="eastAsia"/>
          <w:b w:val="0"/>
          <w:bCs w:val="0"/>
          <w:color w:val="auto"/>
          <w:lang w:val="en-US" w:eastAsia="zh-CN"/>
        </w:rPr>
        <w:t>6</w:t>
      </w:r>
      <w:r>
        <w:rPr>
          <w:rFonts w:hint="default" w:eastAsia="宋体"/>
          <w:b w:val="0"/>
          <w:bCs w:val="0"/>
          <w:color w:val="auto"/>
          <w:lang w:val="en-US" w:eastAsia="zh-CN"/>
        </w:rPr>
        <w:t>：</w:t>
      </w:r>
      <w:r>
        <w:rPr>
          <w:rFonts w:hint="eastAsia"/>
          <w:b w:val="0"/>
          <w:bCs w:val="0"/>
          <w:color w:val="auto"/>
          <w:lang w:val="en-US" w:eastAsia="zh-CN"/>
        </w:rPr>
        <w:t>二</w:t>
      </w:r>
      <w:r>
        <w:rPr>
          <w:rFonts w:hint="default" w:eastAsia="宋体"/>
          <w:b w:val="0"/>
          <w:bCs w:val="0"/>
          <w:color w:val="auto"/>
          <w:lang w:val="en-US" w:eastAsia="zh-CN"/>
        </w:rPr>
        <w:t>级审核单及工作进度表</w:t>
      </w:r>
    </w:p>
    <w:p w14:paraId="7B1209B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eastAsia="宋体"/>
          <w:b w:val="0"/>
          <w:bCs w:val="0"/>
          <w:color w:val="auto"/>
          <w:lang w:val="en-US" w:eastAsia="zh-CN"/>
        </w:rPr>
      </w:pPr>
    </w:p>
    <w:p w14:paraId="05CDA1B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eastAsia="宋体"/>
          <w:b w:val="0"/>
          <w:bCs w:val="0"/>
          <w:color w:val="auto"/>
          <w:lang w:val="en-US" w:eastAsia="zh-CN"/>
        </w:rPr>
      </w:pPr>
    </w:p>
    <w:p w14:paraId="58167D1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eastAsia="宋体"/>
          <w:b w:val="0"/>
          <w:bCs w:val="0"/>
          <w:color w:val="auto"/>
          <w:lang w:val="en-US" w:eastAsia="zh-CN"/>
        </w:rPr>
      </w:pPr>
    </w:p>
    <w:p w14:paraId="71434B1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b/>
          <w:bCs/>
          <w:color w:val="auto"/>
        </w:rPr>
      </w:pPr>
      <w:r>
        <w:rPr>
          <w:rFonts w:hint="eastAsia"/>
          <w:b/>
          <w:bCs/>
          <w:color w:val="auto"/>
        </w:rPr>
        <w:t>附图</w:t>
      </w:r>
    </w:p>
    <w:p w14:paraId="78CC033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color w:val="auto"/>
        </w:rPr>
      </w:pPr>
      <w:bookmarkStart w:id="5" w:name="_Toc6873"/>
      <w:r>
        <w:rPr>
          <w:rFonts w:hint="eastAsia"/>
          <w:color w:val="auto"/>
        </w:rPr>
        <w:t>附图1：项目地理位置图</w:t>
      </w:r>
    </w:p>
    <w:bookmarkEnd w:id="5"/>
    <w:p w14:paraId="0AD7420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color w:val="auto"/>
        </w:rPr>
      </w:pPr>
      <w:r>
        <w:rPr>
          <w:rFonts w:hint="eastAsia"/>
          <w:color w:val="auto"/>
        </w:rPr>
        <w:t>附图2：项目区水系图</w:t>
      </w:r>
    </w:p>
    <w:p w14:paraId="5FDB20F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color w:val="auto"/>
        </w:rPr>
      </w:pPr>
      <w:r>
        <w:rPr>
          <w:rFonts w:hint="eastAsia"/>
          <w:color w:val="auto"/>
        </w:rPr>
        <w:t>附图3：项目总平面布置图</w:t>
      </w:r>
    </w:p>
    <w:p w14:paraId="16362C4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color w:val="auto"/>
        </w:rPr>
      </w:pPr>
      <w:r>
        <w:rPr>
          <w:rFonts w:hint="eastAsia"/>
          <w:color w:val="auto"/>
        </w:rPr>
        <w:t>附图4：项目外环境关系图</w:t>
      </w:r>
    </w:p>
    <w:p w14:paraId="3C10EE8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color w:val="auto"/>
        </w:rPr>
      </w:pPr>
      <w:r>
        <w:rPr>
          <w:rFonts w:hint="eastAsia"/>
          <w:color w:val="auto"/>
        </w:rPr>
        <w:t>附图5：项目分区防渗图</w:t>
      </w:r>
    </w:p>
    <w:p w14:paraId="622DD5AB">
      <w:pPr>
        <w:pStyle w:val="16"/>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Times New Roman" w:hAnsi="Times New Roman" w:eastAsia="宋体" w:cs="黑体"/>
          <w:color w:val="auto"/>
          <w:kern w:val="2"/>
          <w:sz w:val="24"/>
          <w:szCs w:val="24"/>
          <w:lang w:val="en-US" w:eastAsia="zh-CN" w:bidi="ar-SA"/>
        </w:rPr>
      </w:pPr>
      <w:r>
        <w:rPr>
          <w:rFonts w:hint="eastAsia" w:ascii="Times New Roman" w:hAnsi="Times New Roman" w:eastAsia="宋体" w:cs="黑体"/>
          <w:color w:val="auto"/>
          <w:kern w:val="2"/>
          <w:sz w:val="24"/>
          <w:szCs w:val="24"/>
          <w:lang w:val="en-US" w:eastAsia="zh-CN" w:bidi="ar-SA"/>
        </w:rPr>
        <w:t>附图6：云南省主体功能区划分总图</w:t>
      </w:r>
    </w:p>
    <w:p w14:paraId="26BC12D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eastAsia="宋体"/>
          <w:color w:val="auto"/>
          <w:lang w:val="en-US" w:eastAsia="zh-CN"/>
        </w:rPr>
      </w:pPr>
      <w:r>
        <w:rPr>
          <w:rFonts w:hint="eastAsia"/>
          <w:color w:val="auto"/>
          <w:lang w:eastAsia="zh-CN"/>
        </w:rPr>
        <w:t>附图</w:t>
      </w:r>
      <w:r>
        <w:rPr>
          <w:rFonts w:hint="eastAsia"/>
          <w:color w:val="auto"/>
          <w:lang w:val="en-US" w:eastAsia="zh-CN"/>
        </w:rPr>
        <w:t>7：项目与杞麓湖湖滨生态红线及湖泊生态黄线“两线”划定的位置关系图</w:t>
      </w:r>
    </w:p>
    <w:p w14:paraId="27A05F7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color w:val="auto"/>
        </w:rPr>
      </w:pPr>
      <w:r>
        <w:rPr>
          <w:rFonts w:hint="eastAsia"/>
          <w:color w:val="auto"/>
        </w:rPr>
        <w:t>附图8：项目与纳古镇集镇区国土空间详细规划（2单元）位置关系图</w:t>
      </w:r>
    </w:p>
    <w:p w14:paraId="7861C9D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color w:val="auto"/>
        </w:rPr>
      </w:pPr>
      <w:r>
        <w:rPr>
          <w:rFonts w:hint="eastAsia"/>
          <w:color w:val="auto"/>
        </w:rPr>
        <w:t>附图9：项目用地性质规划图</w:t>
      </w:r>
    </w:p>
    <w:p w14:paraId="23F1EFE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color w:val="auto"/>
        </w:rPr>
      </w:pPr>
      <w:r>
        <w:rPr>
          <w:rFonts w:hint="eastAsia"/>
          <w:color w:val="auto"/>
        </w:rPr>
        <w:t>附图10：项目区水文地质图</w:t>
      </w:r>
    </w:p>
    <w:p w14:paraId="59624CD6">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66C5B728">
      <w:pPr>
        <w:pStyle w:val="3"/>
        <w:rPr>
          <w:color w:val="auto"/>
        </w:rPr>
      </w:pPr>
      <w:bookmarkStart w:id="6" w:name="_Toc27640"/>
      <w:r>
        <w:rPr>
          <w:rFonts w:hint="eastAsia"/>
          <w:color w:val="auto"/>
        </w:rPr>
        <w:t>前</w:t>
      </w:r>
      <w:r>
        <w:rPr>
          <w:rFonts w:hint="eastAsia"/>
          <w:color w:val="auto"/>
          <w:lang w:val="en-US" w:eastAsia="zh-CN"/>
        </w:rPr>
        <w:t xml:space="preserve">  </w:t>
      </w:r>
      <w:r>
        <w:rPr>
          <w:rFonts w:hint="eastAsia"/>
          <w:color w:val="auto"/>
        </w:rPr>
        <w:t>言</w:t>
      </w:r>
      <w:bookmarkEnd w:id="6"/>
    </w:p>
    <w:p w14:paraId="0EA9630B">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lang w:val="en-US" w:eastAsia="zh-CN"/>
        </w:rPr>
      </w:pPr>
      <w:r>
        <w:rPr>
          <w:rFonts w:hint="eastAsia"/>
          <w:color w:val="auto"/>
          <w:lang w:eastAsia="zh-CN"/>
        </w:rPr>
        <w:t>云南省通海胜宝工贸有限公司成立于</w:t>
      </w:r>
      <w:r>
        <w:rPr>
          <w:rFonts w:hint="eastAsia"/>
          <w:color w:val="auto"/>
          <w:lang w:val="en-US" w:eastAsia="zh-CN"/>
        </w:rPr>
        <w:t>1998年，位于云南省玉溪市通海县纳古镇，主要经营范围包括：生产销售；带钢、焊管、异型材料、五金；销售包括：建筑材料；货物进出口。该公司已建设8条高频焊管生产线，可实现年产7万吨焊管生产能力，因公司成立时间早，原有项目未办理过相关环保手续。</w:t>
      </w:r>
    </w:p>
    <w:p w14:paraId="2BCA6112">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lang w:val="en-US" w:eastAsia="zh-CN"/>
        </w:rPr>
      </w:pPr>
      <w:r>
        <w:rPr>
          <w:rFonts w:hint="eastAsia"/>
          <w:color w:val="auto"/>
          <w:lang w:val="en-US" w:eastAsia="zh-CN"/>
        </w:rPr>
        <w:t>为适配市场需求、保障生产运营，公司计划对厂区进行技术改造，在原有基础上实施改建：利用原有生产车间、原料库、成品库、办公楼及其他配套设置，安装空压机、变压器、起重机、平头机、车床等生产设备共76台（套），改建完成后，年生产10万吨焊管。该项目于2021年10月9日取得了通海县发展和改革局的项目投资备案“通发改企备〔2021〕92号”，因项目一直未进行环评手续，备案证已过期，后于2026年4月10日重新变更后取得了通海县发展和改革局的项目投资备案（详见附件2），该项目已完成8条生产线的改建，仅剩部分污染治理设施未建成，玉溪市生态环境局已于2025年11月25日对本项目进行立案调查</w:t>
      </w:r>
      <w:r>
        <w:rPr>
          <w:rFonts w:hint="eastAsia" w:ascii="Times New Roman" w:hAnsi="Times New Roman" w:cs="Times New Roman"/>
          <w:color w:val="auto"/>
          <w:lang w:val="en-US" w:eastAsia="zh-CN"/>
        </w:rPr>
        <w:t>（详见附件10）</w:t>
      </w:r>
      <w:r>
        <w:rPr>
          <w:rFonts w:hint="eastAsia"/>
          <w:color w:val="auto"/>
          <w:lang w:val="en-US" w:eastAsia="zh-CN"/>
        </w:rPr>
        <w:t>，并已缴纳处罚金。</w:t>
      </w:r>
    </w:p>
    <w:p w14:paraId="1143E39D">
      <w:pPr>
        <w:ind w:firstLine="480"/>
        <w:rPr>
          <w:color w:val="auto"/>
        </w:rPr>
      </w:pPr>
      <w:r>
        <w:rPr>
          <w:color w:val="auto"/>
        </w:rPr>
        <w:t>根据《中华人民共和国环境影响评价法》、《建设项目环境保护管理条例》（国务院令第682号令），建设项目应履行环境影响评价制度。依据《建设项目环境影响评价分类管理名录》</w:t>
      </w:r>
      <w:r>
        <w:rPr>
          <w:rFonts w:hint="eastAsia" w:ascii="宋体" w:hAnsi="宋体" w:cs="宋体"/>
          <w:color w:val="auto"/>
        </w:rPr>
        <w:t>(</w:t>
      </w:r>
      <w:r>
        <w:rPr>
          <w:color w:val="auto"/>
        </w:rPr>
        <w:t>2021版</w:t>
      </w:r>
      <w:r>
        <w:rPr>
          <w:rFonts w:hint="eastAsia" w:ascii="宋体" w:hAnsi="宋体" w:cs="宋体"/>
          <w:color w:val="auto"/>
        </w:rPr>
        <w:t>)</w:t>
      </w:r>
      <w:r>
        <w:rPr>
          <w:color w:val="auto"/>
        </w:rPr>
        <w:t>：</w:t>
      </w:r>
      <w:r>
        <w:rPr>
          <w:rFonts w:hint="eastAsia"/>
          <w:color w:val="auto"/>
          <w:lang w:eastAsia="zh-CN"/>
        </w:rPr>
        <w:t>二十八</w:t>
      </w:r>
      <w:r>
        <w:rPr>
          <w:rFonts w:hint="eastAsia"/>
          <w:color w:val="auto"/>
        </w:rPr>
        <w:t>、</w:t>
      </w:r>
      <w:r>
        <w:rPr>
          <w:rFonts w:hint="eastAsia"/>
          <w:color w:val="auto"/>
          <w:lang w:eastAsia="zh-CN"/>
        </w:rPr>
        <w:t>黑色金属冶炼和压延加工业，</w:t>
      </w:r>
      <w:r>
        <w:rPr>
          <w:rFonts w:hint="eastAsia"/>
          <w:color w:val="auto"/>
          <w:lang w:val="en-US" w:eastAsia="zh-CN"/>
        </w:rPr>
        <w:t>63钢压延加工中的“其他”类别</w:t>
      </w:r>
      <w:r>
        <w:rPr>
          <w:color w:val="auto"/>
        </w:rPr>
        <w:t>故应编制环境影响报告表。受</w:t>
      </w:r>
      <w:r>
        <w:rPr>
          <w:rFonts w:hint="eastAsia"/>
          <w:color w:val="auto"/>
          <w:lang w:eastAsia="zh-CN"/>
        </w:rPr>
        <w:t>云南省通海胜宝工贸有限公司</w:t>
      </w:r>
      <w:r>
        <w:rPr>
          <w:color w:val="auto"/>
        </w:rPr>
        <w:t>的委托，由</w:t>
      </w:r>
      <w:r>
        <w:rPr>
          <w:rFonts w:hint="eastAsia"/>
          <w:color w:val="auto"/>
          <w:lang w:val="en-US" w:eastAsia="zh-CN"/>
        </w:rPr>
        <w:t>云南畅泓环境技术工程有限公司</w:t>
      </w:r>
      <w:r>
        <w:rPr>
          <w:color w:val="auto"/>
        </w:rPr>
        <w:t>承担本项目环境影响报告表的编制工作（详见附件</w:t>
      </w:r>
      <w:r>
        <w:rPr>
          <w:rFonts w:hint="eastAsia"/>
          <w:color w:val="auto"/>
        </w:rPr>
        <w:t>1</w:t>
      </w:r>
      <w:r>
        <w:rPr>
          <w:color w:val="auto"/>
        </w:rPr>
        <w:t>）。</w:t>
      </w:r>
      <w:r>
        <w:rPr>
          <w:rFonts w:hint="eastAsia"/>
          <w:color w:val="auto"/>
          <w:lang w:val="en-US" w:eastAsia="zh-CN"/>
        </w:rPr>
        <w:t>云南畅泓环境技术工程有限公司</w:t>
      </w:r>
      <w:r>
        <w:rPr>
          <w:color w:val="auto"/>
        </w:rPr>
        <w:t>接受委托后，进行了现场踏勘、环境状况调查、资料收集</w:t>
      </w:r>
      <w:r>
        <w:rPr>
          <w:rFonts w:hint="eastAsia"/>
          <w:color w:val="auto"/>
        </w:rPr>
        <w:t>，在</w:t>
      </w:r>
      <w:r>
        <w:rPr>
          <w:color w:val="auto"/>
        </w:rPr>
        <w:t>认真分析工程内容</w:t>
      </w:r>
      <w:r>
        <w:rPr>
          <w:rFonts w:hint="eastAsia"/>
          <w:color w:val="auto"/>
        </w:rPr>
        <w:t>的基础上</w:t>
      </w:r>
      <w:r>
        <w:rPr>
          <w:color w:val="auto"/>
        </w:rPr>
        <w:t>，编制</w:t>
      </w:r>
      <w:r>
        <w:rPr>
          <w:rFonts w:hint="eastAsia"/>
          <w:color w:val="auto"/>
        </w:rPr>
        <w:t>完成</w:t>
      </w:r>
      <w:r>
        <w:rPr>
          <w:color w:val="auto"/>
        </w:rPr>
        <w:t>了本项目环境影响报告表，</w:t>
      </w:r>
      <w:r>
        <w:rPr>
          <w:rFonts w:hint="eastAsia"/>
          <w:color w:val="auto"/>
        </w:rPr>
        <w:t>供建设单位</w:t>
      </w:r>
      <w:r>
        <w:rPr>
          <w:color w:val="auto"/>
        </w:rPr>
        <w:t>上报</w:t>
      </w:r>
      <w:r>
        <w:rPr>
          <w:rFonts w:hint="eastAsia"/>
          <w:color w:val="auto"/>
        </w:rPr>
        <w:t>生态环境</w:t>
      </w:r>
      <w:r>
        <w:rPr>
          <w:color w:val="auto"/>
        </w:rPr>
        <w:t>行政管理部门审批</w:t>
      </w:r>
      <w:r>
        <w:rPr>
          <w:rFonts w:hint="eastAsia"/>
          <w:color w:val="auto"/>
        </w:rPr>
        <w:t>后作为项目环境管理的依据</w:t>
      </w:r>
      <w:r>
        <w:rPr>
          <w:color w:val="auto"/>
        </w:rPr>
        <w:t>。</w:t>
      </w:r>
    </w:p>
    <w:p w14:paraId="5DA978BD">
      <w:pPr>
        <w:pStyle w:val="3"/>
        <w:numPr>
          <w:ilvl w:val="0"/>
          <w:numId w:val="2"/>
        </w:numPr>
        <w:rPr>
          <w:color w:val="auto"/>
        </w:rPr>
      </w:pPr>
      <w:bookmarkStart w:id="7" w:name="_Toc22985"/>
      <w:r>
        <w:rPr>
          <w:rFonts w:hint="eastAsia"/>
          <w:color w:val="auto"/>
        </w:rPr>
        <w:t>建设项目基本情况</w:t>
      </w:r>
      <w:bookmarkEnd w:id="7"/>
    </w:p>
    <w:tbl>
      <w:tblPr>
        <w:tblStyle w:val="22"/>
        <w:tblW w:w="88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2316"/>
        <w:gridCol w:w="1975"/>
        <w:gridCol w:w="3024"/>
      </w:tblGrid>
      <w:tr w14:paraId="4FE4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501" w:type="dxa"/>
            <w:vAlign w:val="center"/>
          </w:tcPr>
          <w:p w14:paraId="4A62EDE4">
            <w:pPr>
              <w:spacing w:line="240" w:lineRule="auto"/>
              <w:ind w:firstLine="0" w:firstLineChars="0"/>
              <w:jc w:val="center"/>
              <w:rPr>
                <w:color w:val="auto"/>
              </w:rPr>
            </w:pPr>
            <w:r>
              <w:rPr>
                <w:rFonts w:hint="eastAsia"/>
                <w:color w:val="auto"/>
              </w:rPr>
              <w:t>建设项目名称</w:t>
            </w:r>
          </w:p>
        </w:tc>
        <w:tc>
          <w:tcPr>
            <w:tcW w:w="7315" w:type="dxa"/>
            <w:gridSpan w:val="3"/>
            <w:vAlign w:val="center"/>
          </w:tcPr>
          <w:p w14:paraId="04B2947C">
            <w:pPr>
              <w:spacing w:line="240" w:lineRule="auto"/>
              <w:ind w:firstLine="0" w:firstLineChars="0"/>
              <w:jc w:val="center"/>
              <w:rPr>
                <w:rFonts w:hint="default" w:eastAsia="宋体"/>
                <w:color w:val="auto"/>
                <w:lang w:val="en-US" w:eastAsia="zh-CN"/>
              </w:rPr>
            </w:pPr>
            <w:r>
              <w:rPr>
                <w:rFonts w:hint="eastAsia"/>
                <w:color w:val="auto"/>
                <w:lang w:eastAsia="zh-CN"/>
              </w:rPr>
              <w:t>年产</w:t>
            </w:r>
            <w:r>
              <w:rPr>
                <w:rFonts w:hint="eastAsia"/>
                <w:color w:val="auto"/>
                <w:lang w:val="en-US" w:eastAsia="zh-CN"/>
              </w:rPr>
              <w:t>10万吨焊管产能提升技术改造项目</w:t>
            </w:r>
          </w:p>
        </w:tc>
      </w:tr>
      <w:tr w14:paraId="7465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501" w:type="dxa"/>
            <w:vAlign w:val="center"/>
          </w:tcPr>
          <w:p w14:paraId="572E5FAF">
            <w:pPr>
              <w:spacing w:line="240" w:lineRule="auto"/>
              <w:ind w:firstLine="0" w:firstLineChars="0"/>
              <w:jc w:val="center"/>
              <w:rPr>
                <w:color w:val="auto"/>
              </w:rPr>
            </w:pPr>
            <w:r>
              <w:rPr>
                <w:rFonts w:hint="eastAsia"/>
                <w:color w:val="auto"/>
              </w:rPr>
              <w:t>项目代码</w:t>
            </w:r>
          </w:p>
        </w:tc>
        <w:tc>
          <w:tcPr>
            <w:tcW w:w="7315" w:type="dxa"/>
            <w:gridSpan w:val="3"/>
            <w:vAlign w:val="center"/>
          </w:tcPr>
          <w:p w14:paraId="066ED8CD">
            <w:pPr>
              <w:spacing w:line="240" w:lineRule="auto"/>
              <w:ind w:firstLine="0" w:firstLineChars="0"/>
              <w:jc w:val="center"/>
              <w:rPr>
                <w:rFonts w:hint="default" w:eastAsia="宋体"/>
                <w:color w:val="auto"/>
                <w:lang w:val="en-US" w:eastAsia="zh-CN"/>
              </w:rPr>
            </w:pPr>
            <w:r>
              <w:rPr>
                <w:rFonts w:hint="eastAsia"/>
                <w:color w:val="auto"/>
                <w:lang w:val="en-US" w:eastAsia="zh-CN"/>
              </w:rPr>
              <w:t>2110-530423-04-02-684405</w:t>
            </w:r>
          </w:p>
        </w:tc>
      </w:tr>
      <w:tr w14:paraId="60C6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501" w:type="dxa"/>
            <w:vAlign w:val="center"/>
          </w:tcPr>
          <w:p w14:paraId="79CE78B3">
            <w:pPr>
              <w:spacing w:line="240" w:lineRule="auto"/>
              <w:ind w:firstLine="0" w:firstLineChars="0"/>
              <w:jc w:val="center"/>
              <w:rPr>
                <w:color w:val="auto"/>
              </w:rPr>
            </w:pPr>
            <w:r>
              <w:rPr>
                <w:rFonts w:cs="Times New Roman"/>
                <w:color w:val="auto"/>
              </w:rPr>
              <w:t>建设单位联系人</w:t>
            </w:r>
          </w:p>
        </w:tc>
        <w:tc>
          <w:tcPr>
            <w:tcW w:w="2316" w:type="dxa"/>
            <w:vAlign w:val="center"/>
          </w:tcPr>
          <w:p w14:paraId="657A535F">
            <w:pPr>
              <w:spacing w:line="240" w:lineRule="auto"/>
              <w:ind w:firstLine="0" w:firstLineChars="0"/>
              <w:jc w:val="center"/>
              <w:rPr>
                <w:rFonts w:hint="eastAsia" w:eastAsia="宋体"/>
                <w:color w:val="auto"/>
                <w:lang w:eastAsia="zh-CN"/>
              </w:rPr>
            </w:pPr>
            <w:r>
              <w:rPr>
                <w:rFonts w:hint="eastAsia" w:eastAsia="宋体"/>
                <w:color w:val="auto"/>
                <w:lang w:eastAsia="zh-CN"/>
              </w:rPr>
              <w:t>纳凯蔚</w:t>
            </w:r>
          </w:p>
        </w:tc>
        <w:tc>
          <w:tcPr>
            <w:tcW w:w="1975" w:type="dxa"/>
            <w:vAlign w:val="center"/>
          </w:tcPr>
          <w:p w14:paraId="1E8918E4">
            <w:pPr>
              <w:spacing w:line="240" w:lineRule="auto"/>
              <w:ind w:firstLine="0" w:firstLineChars="0"/>
              <w:jc w:val="center"/>
              <w:rPr>
                <w:color w:val="auto"/>
              </w:rPr>
            </w:pPr>
            <w:r>
              <w:rPr>
                <w:rFonts w:hint="eastAsia" w:ascii="宋体" w:hAnsi="宋体" w:cs="宋体"/>
                <w:color w:val="auto"/>
              </w:rPr>
              <w:t>联系方式</w:t>
            </w:r>
          </w:p>
        </w:tc>
        <w:tc>
          <w:tcPr>
            <w:tcW w:w="3024" w:type="dxa"/>
            <w:vAlign w:val="center"/>
          </w:tcPr>
          <w:p w14:paraId="40C9F048">
            <w:pPr>
              <w:spacing w:line="240" w:lineRule="auto"/>
              <w:ind w:firstLine="0" w:firstLineChars="0"/>
              <w:jc w:val="center"/>
              <w:rPr>
                <w:rFonts w:hint="default" w:eastAsia="宋体"/>
                <w:color w:val="auto"/>
                <w:lang w:val="en-US" w:eastAsia="zh-CN"/>
              </w:rPr>
            </w:pPr>
            <w:r>
              <w:rPr>
                <w:rFonts w:hint="eastAsia"/>
                <w:color w:val="auto"/>
                <w:lang w:val="en-US" w:eastAsia="zh-CN"/>
              </w:rPr>
              <w:t>13908896822</w:t>
            </w:r>
          </w:p>
        </w:tc>
      </w:tr>
      <w:tr w14:paraId="6F21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501" w:type="dxa"/>
            <w:vAlign w:val="center"/>
          </w:tcPr>
          <w:p w14:paraId="66AD49FF">
            <w:pPr>
              <w:spacing w:line="240" w:lineRule="auto"/>
              <w:ind w:firstLine="0" w:firstLineChars="0"/>
              <w:jc w:val="center"/>
              <w:rPr>
                <w:color w:val="auto"/>
              </w:rPr>
            </w:pPr>
            <w:r>
              <w:rPr>
                <w:rFonts w:cs="Times New Roman"/>
                <w:color w:val="auto"/>
              </w:rPr>
              <w:t>建设地点</w:t>
            </w:r>
          </w:p>
        </w:tc>
        <w:tc>
          <w:tcPr>
            <w:tcW w:w="7315" w:type="dxa"/>
            <w:gridSpan w:val="3"/>
            <w:vAlign w:val="center"/>
          </w:tcPr>
          <w:p w14:paraId="3B1FA51B">
            <w:pPr>
              <w:spacing w:line="240" w:lineRule="auto"/>
              <w:ind w:firstLine="0" w:firstLineChars="0"/>
              <w:jc w:val="center"/>
              <w:rPr>
                <w:color w:val="auto"/>
              </w:rPr>
            </w:pPr>
            <w:r>
              <w:rPr>
                <w:rFonts w:hint="eastAsia" w:ascii="宋体" w:hAnsi="宋体" w:cs="宋体"/>
                <w:color w:val="auto"/>
                <w:u w:val="single"/>
              </w:rPr>
              <w:t>云南</w:t>
            </w:r>
            <w:r>
              <w:rPr>
                <w:rFonts w:ascii="宋体" w:hAnsi="宋体" w:cs="宋体"/>
                <w:color w:val="auto"/>
                <w:u w:val="single"/>
              </w:rPr>
              <w:t xml:space="preserve"> </w:t>
            </w:r>
            <w:r>
              <w:rPr>
                <w:rFonts w:hint="eastAsia" w:ascii="宋体" w:hAnsi="宋体" w:cs="宋体"/>
                <w:color w:val="auto"/>
              </w:rPr>
              <w:t>省</w:t>
            </w:r>
            <w:r>
              <w:rPr>
                <w:rFonts w:ascii="宋体" w:hAnsi="宋体" w:cs="宋体"/>
                <w:color w:val="auto"/>
                <w:u w:val="single"/>
              </w:rPr>
              <w:t xml:space="preserve"> </w:t>
            </w:r>
            <w:r>
              <w:rPr>
                <w:rFonts w:hint="eastAsia" w:ascii="宋体" w:hAnsi="宋体" w:cs="宋体"/>
                <w:color w:val="auto"/>
                <w:u w:val="single"/>
              </w:rPr>
              <w:t>玉溪</w:t>
            </w:r>
            <w:r>
              <w:rPr>
                <w:rFonts w:ascii="宋体" w:hAnsi="宋体" w:cs="宋体"/>
                <w:color w:val="auto"/>
                <w:u w:val="single"/>
              </w:rPr>
              <w:t xml:space="preserve"> </w:t>
            </w:r>
            <w:r>
              <w:rPr>
                <w:rFonts w:hint="eastAsia" w:ascii="宋体" w:hAnsi="宋体" w:cs="宋体"/>
                <w:color w:val="auto"/>
              </w:rPr>
              <w:t>市</w:t>
            </w:r>
            <w:r>
              <w:rPr>
                <w:rFonts w:hint="eastAsia" w:ascii="宋体" w:hAnsi="宋体" w:cs="宋体"/>
                <w:color w:val="auto"/>
                <w:u w:val="single"/>
              </w:rPr>
              <w:t xml:space="preserve"> </w:t>
            </w:r>
            <w:r>
              <w:rPr>
                <w:rFonts w:hint="eastAsia" w:ascii="宋体" w:hAnsi="宋体" w:cs="宋体"/>
                <w:color w:val="auto"/>
                <w:u w:val="single"/>
                <w:lang w:eastAsia="zh-CN"/>
              </w:rPr>
              <w:t>通海</w:t>
            </w:r>
            <w:r>
              <w:rPr>
                <w:rFonts w:ascii="宋体" w:hAnsi="宋体" w:cs="宋体"/>
                <w:color w:val="auto"/>
                <w:u w:val="single"/>
              </w:rPr>
              <w:t xml:space="preserve"> </w:t>
            </w:r>
            <w:r>
              <w:rPr>
                <w:rFonts w:hint="eastAsia" w:ascii="宋体" w:hAnsi="宋体" w:cs="宋体"/>
                <w:color w:val="auto"/>
                <w:lang w:eastAsia="zh-CN"/>
              </w:rPr>
              <w:t>县</w:t>
            </w:r>
            <w:r>
              <w:rPr>
                <w:rFonts w:ascii="宋体" w:hAnsi="宋体" w:cs="宋体"/>
                <w:color w:val="auto"/>
                <w:u w:val="single"/>
              </w:rPr>
              <w:t xml:space="preserve"> </w:t>
            </w:r>
            <w:r>
              <w:rPr>
                <w:rFonts w:hint="eastAsia" w:ascii="宋体" w:hAnsi="宋体" w:cs="宋体"/>
                <w:color w:val="auto"/>
                <w:u w:val="single"/>
                <w:lang w:eastAsia="zh-CN"/>
              </w:rPr>
              <w:t>纳古镇</w:t>
            </w:r>
            <w:r>
              <w:rPr>
                <w:rFonts w:ascii="宋体" w:hAnsi="宋体" w:cs="宋体"/>
                <w:color w:val="auto"/>
                <w:u w:val="single"/>
              </w:rPr>
              <w:t xml:space="preserve"> </w:t>
            </w:r>
          </w:p>
        </w:tc>
      </w:tr>
      <w:tr w14:paraId="79BA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501" w:type="dxa"/>
            <w:vAlign w:val="center"/>
          </w:tcPr>
          <w:p w14:paraId="30FB74F9">
            <w:pPr>
              <w:spacing w:line="240" w:lineRule="auto"/>
              <w:ind w:firstLine="0" w:firstLineChars="0"/>
              <w:jc w:val="center"/>
              <w:rPr>
                <w:color w:val="auto"/>
              </w:rPr>
            </w:pPr>
            <w:r>
              <w:rPr>
                <w:rFonts w:cs="Times New Roman"/>
                <w:color w:val="auto"/>
              </w:rPr>
              <w:t>地理坐标</w:t>
            </w:r>
          </w:p>
        </w:tc>
        <w:tc>
          <w:tcPr>
            <w:tcW w:w="7315" w:type="dxa"/>
            <w:gridSpan w:val="3"/>
            <w:vAlign w:val="center"/>
          </w:tcPr>
          <w:p w14:paraId="2F4B0101">
            <w:pPr>
              <w:spacing w:line="240" w:lineRule="auto"/>
              <w:ind w:firstLine="0" w:firstLineChars="0"/>
              <w:jc w:val="center"/>
              <w:rPr>
                <w:rFonts w:ascii="宋体" w:hAnsi="宋体" w:cs="宋体"/>
                <w:color w:val="auto"/>
              </w:rPr>
            </w:pPr>
            <w:r>
              <w:rPr>
                <w:rFonts w:hint="eastAsia" w:ascii="宋体" w:hAnsi="宋体" w:cs="宋体"/>
                <w:color w:val="auto"/>
              </w:rPr>
              <w:t>（</w:t>
            </w:r>
            <w:r>
              <w:rPr>
                <w:rFonts w:hint="eastAsia" w:ascii="宋体" w:hAnsi="宋体" w:cs="宋体"/>
                <w:color w:val="auto"/>
                <w:lang w:eastAsia="zh-CN"/>
              </w:rPr>
              <w:t>东经：</w:t>
            </w:r>
            <w:r>
              <w:rPr>
                <w:rFonts w:cs="Times New Roman"/>
                <w:color w:val="auto"/>
                <w:u w:val="single"/>
              </w:rPr>
              <w:t>102</w:t>
            </w:r>
            <w:r>
              <w:rPr>
                <w:rFonts w:cs="Times New Roman"/>
                <w:color w:val="auto"/>
              </w:rPr>
              <w:t>度</w:t>
            </w:r>
            <w:r>
              <w:rPr>
                <w:rFonts w:hint="eastAsia" w:cs="Times New Roman"/>
                <w:color w:val="auto"/>
                <w:u w:val="single"/>
                <w:lang w:val="en-US" w:eastAsia="zh-CN"/>
              </w:rPr>
              <w:t>44</w:t>
            </w:r>
            <w:r>
              <w:rPr>
                <w:rFonts w:cs="Times New Roman"/>
                <w:color w:val="auto"/>
              </w:rPr>
              <w:t>分</w:t>
            </w:r>
            <w:r>
              <w:rPr>
                <w:rFonts w:hint="eastAsia" w:cs="Times New Roman"/>
                <w:color w:val="auto"/>
                <w:u w:val="single"/>
                <w:lang w:val="en-US" w:eastAsia="zh-CN"/>
              </w:rPr>
              <w:t>37.176</w:t>
            </w:r>
            <w:r>
              <w:rPr>
                <w:rFonts w:cs="Times New Roman"/>
                <w:color w:val="auto"/>
              </w:rPr>
              <w:t>秒，</w:t>
            </w:r>
            <w:r>
              <w:rPr>
                <w:rFonts w:hint="eastAsia" w:cs="Times New Roman"/>
                <w:color w:val="auto"/>
                <w:lang w:eastAsia="zh-CN"/>
              </w:rPr>
              <w:t>北纬：</w:t>
            </w:r>
            <w:r>
              <w:rPr>
                <w:rFonts w:cs="Times New Roman"/>
                <w:color w:val="auto"/>
                <w:u w:val="single"/>
              </w:rPr>
              <w:t>24</w:t>
            </w:r>
            <w:r>
              <w:rPr>
                <w:rFonts w:cs="Times New Roman"/>
                <w:color w:val="auto"/>
              </w:rPr>
              <w:t>度</w:t>
            </w:r>
            <w:r>
              <w:rPr>
                <w:rFonts w:hint="eastAsia" w:cs="Times New Roman"/>
                <w:color w:val="auto"/>
                <w:u w:val="single"/>
              </w:rPr>
              <w:t>12</w:t>
            </w:r>
            <w:r>
              <w:rPr>
                <w:rFonts w:cs="Times New Roman"/>
                <w:color w:val="auto"/>
              </w:rPr>
              <w:t>分</w:t>
            </w:r>
            <w:r>
              <w:rPr>
                <w:rFonts w:hint="eastAsia" w:cs="Times New Roman"/>
                <w:color w:val="auto"/>
                <w:u w:val="single"/>
                <w:lang w:val="en-US" w:eastAsia="zh-CN"/>
              </w:rPr>
              <w:t>8.520</w:t>
            </w:r>
            <w:r>
              <w:rPr>
                <w:rFonts w:hint="eastAsia" w:ascii="宋体" w:hAnsi="宋体" w:cs="宋体"/>
                <w:color w:val="auto"/>
              </w:rPr>
              <w:t>秒）</w:t>
            </w:r>
          </w:p>
        </w:tc>
      </w:tr>
      <w:tr w14:paraId="322EE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501" w:type="dxa"/>
            <w:vAlign w:val="center"/>
          </w:tcPr>
          <w:p w14:paraId="2B601D52">
            <w:pPr>
              <w:adjustRightInd w:val="0"/>
              <w:snapToGrid w:val="0"/>
              <w:spacing w:line="240" w:lineRule="auto"/>
              <w:ind w:firstLine="0" w:firstLineChars="0"/>
              <w:jc w:val="center"/>
              <w:rPr>
                <w:rFonts w:cs="Times New Roman"/>
                <w:color w:val="auto"/>
              </w:rPr>
            </w:pPr>
            <w:r>
              <w:rPr>
                <w:rFonts w:cs="Times New Roman"/>
                <w:color w:val="auto"/>
              </w:rPr>
              <w:t>国民经济</w:t>
            </w:r>
          </w:p>
          <w:p w14:paraId="02167A5D">
            <w:pPr>
              <w:spacing w:line="240" w:lineRule="auto"/>
              <w:ind w:firstLine="0" w:firstLineChars="0"/>
              <w:jc w:val="center"/>
              <w:rPr>
                <w:color w:val="auto"/>
              </w:rPr>
            </w:pPr>
            <w:r>
              <w:rPr>
                <w:rFonts w:cs="Times New Roman"/>
                <w:color w:val="auto"/>
              </w:rPr>
              <w:t>行业类别</w:t>
            </w:r>
          </w:p>
        </w:tc>
        <w:tc>
          <w:tcPr>
            <w:tcW w:w="2316" w:type="dxa"/>
            <w:vAlign w:val="center"/>
          </w:tcPr>
          <w:p w14:paraId="12176C7F">
            <w:pPr>
              <w:spacing w:line="240" w:lineRule="auto"/>
              <w:ind w:firstLine="0" w:firstLineChars="0"/>
              <w:jc w:val="center"/>
              <w:rPr>
                <w:rFonts w:hint="eastAsia" w:eastAsia="宋体"/>
                <w:color w:val="auto"/>
                <w:lang w:eastAsia="zh-CN"/>
              </w:rPr>
            </w:pPr>
            <w:r>
              <w:rPr>
                <w:rFonts w:hint="eastAsia" w:cs="Times New Roman"/>
                <w:color w:val="auto"/>
                <w:lang w:val="en-US" w:eastAsia="zh-CN"/>
              </w:rPr>
              <w:t>3130</w:t>
            </w:r>
            <w:r>
              <w:rPr>
                <w:rFonts w:hint="eastAsia" w:cs="Times New Roman"/>
                <w:color w:val="auto"/>
                <w:lang w:eastAsia="zh-CN"/>
              </w:rPr>
              <w:t>钢压延加工</w:t>
            </w:r>
          </w:p>
        </w:tc>
        <w:tc>
          <w:tcPr>
            <w:tcW w:w="1975" w:type="dxa"/>
            <w:vAlign w:val="center"/>
          </w:tcPr>
          <w:p w14:paraId="5E9F7539">
            <w:pPr>
              <w:adjustRightInd w:val="0"/>
              <w:snapToGrid w:val="0"/>
              <w:spacing w:line="240" w:lineRule="auto"/>
              <w:ind w:firstLine="0" w:firstLineChars="0"/>
              <w:jc w:val="center"/>
              <w:rPr>
                <w:rFonts w:ascii="宋体" w:hAnsi="宋体" w:cs="宋体"/>
                <w:color w:val="auto"/>
              </w:rPr>
            </w:pPr>
            <w:bookmarkStart w:id="8" w:name="_Hlk49843745"/>
            <w:r>
              <w:rPr>
                <w:rFonts w:hint="eastAsia" w:ascii="宋体" w:hAnsi="宋体" w:cs="宋体"/>
                <w:color w:val="auto"/>
              </w:rPr>
              <w:t>建设项目</w:t>
            </w:r>
          </w:p>
          <w:p w14:paraId="6A4DD225">
            <w:pPr>
              <w:spacing w:line="240" w:lineRule="auto"/>
              <w:ind w:firstLine="0" w:firstLineChars="0"/>
              <w:jc w:val="center"/>
              <w:rPr>
                <w:color w:val="auto"/>
              </w:rPr>
            </w:pPr>
            <w:r>
              <w:rPr>
                <w:rFonts w:hint="eastAsia" w:ascii="宋体" w:hAnsi="宋体" w:cs="宋体"/>
                <w:color w:val="auto"/>
              </w:rPr>
              <w:t>行业类别</w:t>
            </w:r>
            <w:bookmarkEnd w:id="8"/>
          </w:p>
        </w:tc>
        <w:tc>
          <w:tcPr>
            <w:tcW w:w="3024" w:type="dxa"/>
            <w:vAlign w:val="center"/>
          </w:tcPr>
          <w:p w14:paraId="25FC7D54">
            <w:pPr>
              <w:spacing w:line="240" w:lineRule="auto"/>
              <w:ind w:firstLine="0" w:firstLineChars="0"/>
              <w:jc w:val="center"/>
              <w:rPr>
                <w:rFonts w:hint="default" w:eastAsia="宋体"/>
                <w:color w:val="auto"/>
                <w:lang w:val="en-US" w:eastAsia="zh-CN"/>
              </w:rPr>
            </w:pPr>
            <w:r>
              <w:rPr>
                <w:rFonts w:hint="default" w:eastAsia="宋体"/>
                <w:color w:val="auto"/>
                <w:lang w:val="en-US" w:eastAsia="zh-CN"/>
              </w:rPr>
              <w:t>二十八、黑色金属冶炼和压延加工业 31-63钢压延加工313</w:t>
            </w:r>
          </w:p>
        </w:tc>
      </w:tr>
      <w:tr w14:paraId="066A9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501" w:type="dxa"/>
            <w:vAlign w:val="center"/>
          </w:tcPr>
          <w:p w14:paraId="2047D987">
            <w:pPr>
              <w:spacing w:line="240" w:lineRule="auto"/>
              <w:ind w:firstLine="0" w:firstLineChars="0"/>
              <w:jc w:val="center"/>
              <w:rPr>
                <w:color w:val="auto"/>
              </w:rPr>
            </w:pPr>
            <w:r>
              <w:rPr>
                <w:rFonts w:cs="Times New Roman"/>
                <w:color w:val="auto"/>
              </w:rPr>
              <w:t>建设性质</w:t>
            </w:r>
          </w:p>
        </w:tc>
        <w:tc>
          <w:tcPr>
            <w:tcW w:w="2316" w:type="dxa"/>
            <w:vAlign w:val="center"/>
          </w:tcPr>
          <w:p w14:paraId="0F3CBF09">
            <w:pPr>
              <w:spacing w:line="240" w:lineRule="auto"/>
              <w:ind w:firstLine="0" w:firstLineChars="0"/>
              <w:jc w:val="left"/>
              <w:rPr>
                <w:rFonts w:ascii="宋体" w:hAnsi="宋体" w:cs="宋体"/>
                <w:color w:val="auto"/>
              </w:rPr>
            </w:pPr>
            <w:r>
              <w:rPr>
                <w:rFonts w:hint="eastAsia" w:ascii="宋体" w:hAnsi="宋体" w:cs="宋体"/>
                <w:color w:val="auto"/>
                <w:lang w:eastAsia="zh-CN"/>
              </w:rPr>
              <w:t>□</w:t>
            </w:r>
            <w:r>
              <w:rPr>
                <w:rFonts w:hint="eastAsia" w:ascii="宋体" w:hAnsi="宋体" w:cs="宋体"/>
                <w:color w:val="auto"/>
              </w:rPr>
              <w:t>新建（迁建）</w:t>
            </w:r>
          </w:p>
          <w:p w14:paraId="27B0C1EE">
            <w:pPr>
              <w:spacing w:line="240" w:lineRule="auto"/>
              <w:ind w:firstLine="0" w:firstLineChars="0"/>
              <w:jc w:val="left"/>
              <w:rPr>
                <w:rFonts w:ascii="宋体" w:hAnsi="宋体" w:cs="宋体"/>
                <w:color w:val="auto"/>
              </w:rPr>
            </w:pPr>
            <w:r>
              <w:rPr>
                <w:rFonts w:hint="eastAsia" w:ascii="宋体" w:hAnsi="宋体" w:eastAsia="宋体" w:cs="宋体"/>
                <w:color w:val="auto"/>
                <w:lang w:eastAsia="zh-CN"/>
              </w:rPr>
              <w:sym w:font="Wingdings 2" w:char="0052"/>
            </w:r>
            <w:r>
              <w:rPr>
                <w:rFonts w:hint="eastAsia" w:ascii="宋体" w:hAnsi="宋体" w:cs="宋体"/>
                <w:color w:val="auto"/>
              </w:rPr>
              <w:t>改建</w:t>
            </w:r>
          </w:p>
          <w:p w14:paraId="13964AD6">
            <w:pPr>
              <w:spacing w:line="240" w:lineRule="auto"/>
              <w:ind w:firstLine="0" w:firstLineChars="0"/>
              <w:jc w:val="left"/>
              <w:rPr>
                <w:rFonts w:ascii="宋体" w:hAnsi="宋体" w:cs="宋体"/>
                <w:color w:val="auto"/>
              </w:rPr>
            </w:pPr>
            <w:r>
              <w:rPr>
                <w:rFonts w:hint="eastAsia" w:ascii="宋体" w:hAnsi="宋体" w:eastAsia="宋体" w:cs="宋体"/>
                <w:color w:val="auto"/>
                <w:lang w:eastAsia="zh-CN"/>
              </w:rPr>
              <w:t>□</w:t>
            </w:r>
            <w:r>
              <w:rPr>
                <w:rFonts w:hint="eastAsia" w:ascii="宋体" w:hAnsi="宋体" w:cs="宋体"/>
                <w:color w:val="auto"/>
              </w:rPr>
              <w:t>扩建</w:t>
            </w:r>
          </w:p>
          <w:p w14:paraId="1DE281FE">
            <w:pPr>
              <w:spacing w:line="240" w:lineRule="auto"/>
              <w:ind w:firstLine="0" w:firstLineChars="0"/>
              <w:rPr>
                <w:color w:val="auto"/>
              </w:rPr>
            </w:pPr>
            <w:r>
              <w:rPr>
                <w:rFonts w:hint="eastAsia" w:ascii="宋体" w:hAnsi="宋体" w:cs="宋体"/>
                <w:color w:val="auto"/>
              </w:rPr>
              <w:sym w:font="Wingdings 2" w:char="00A3"/>
            </w:r>
            <w:r>
              <w:rPr>
                <w:rFonts w:hint="eastAsia" w:ascii="宋体" w:hAnsi="宋体" w:cs="宋体"/>
                <w:color w:val="auto"/>
              </w:rPr>
              <w:t>技术改造</w:t>
            </w:r>
          </w:p>
        </w:tc>
        <w:tc>
          <w:tcPr>
            <w:tcW w:w="1975" w:type="dxa"/>
            <w:vAlign w:val="center"/>
          </w:tcPr>
          <w:p w14:paraId="39201E73">
            <w:pPr>
              <w:adjustRightInd w:val="0"/>
              <w:snapToGrid w:val="0"/>
              <w:spacing w:line="240" w:lineRule="auto"/>
              <w:ind w:firstLine="0" w:firstLineChars="0"/>
              <w:jc w:val="center"/>
              <w:rPr>
                <w:rFonts w:ascii="宋体" w:hAnsi="宋体" w:cs="宋体"/>
                <w:color w:val="auto"/>
              </w:rPr>
            </w:pPr>
            <w:r>
              <w:rPr>
                <w:rFonts w:hint="eastAsia" w:ascii="宋体" w:hAnsi="宋体" w:cs="宋体"/>
                <w:color w:val="auto"/>
              </w:rPr>
              <w:t>建设项目</w:t>
            </w:r>
          </w:p>
          <w:p w14:paraId="6FB5EB9E">
            <w:pPr>
              <w:spacing w:line="240" w:lineRule="auto"/>
              <w:ind w:firstLine="0" w:firstLineChars="0"/>
              <w:jc w:val="center"/>
              <w:rPr>
                <w:color w:val="auto"/>
              </w:rPr>
            </w:pPr>
            <w:r>
              <w:rPr>
                <w:rFonts w:hint="eastAsia" w:ascii="宋体" w:hAnsi="宋体" w:cs="宋体"/>
                <w:color w:val="auto"/>
              </w:rPr>
              <w:t>申报情形</w:t>
            </w:r>
          </w:p>
        </w:tc>
        <w:tc>
          <w:tcPr>
            <w:tcW w:w="3024" w:type="dxa"/>
            <w:vAlign w:val="center"/>
          </w:tcPr>
          <w:p w14:paraId="58D37E59">
            <w:pPr>
              <w:spacing w:line="240" w:lineRule="auto"/>
              <w:ind w:firstLine="0" w:firstLineChars="0"/>
              <w:jc w:val="left"/>
              <w:rPr>
                <w:rFonts w:ascii="宋体" w:hAnsi="宋体" w:cs="宋体"/>
                <w:color w:val="auto"/>
              </w:rPr>
            </w:pPr>
            <w:r>
              <w:rPr>
                <w:rFonts w:hint="eastAsia" w:ascii="宋体" w:hAnsi="宋体" w:cs="宋体"/>
                <w:color w:val="auto"/>
                <w:lang w:eastAsia="zh-CN"/>
              </w:rPr>
              <w:sym w:font="Wingdings 2" w:char="0052"/>
            </w:r>
            <w:r>
              <w:rPr>
                <w:rFonts w:hint="eastAsia" w:ascii="宋体" w:hAnsi="宋体" w:cs="宋体"/>
                <w:color w:val="auto"/>
              </w:rPr>
              <w:t>首次申报项目</w:t>
            </w:r>
          </w:p>
          <w:p w14:paraId="2648307E">
            <w:pPr>
              <w:spacing w:line="240" w:lineRule="auto"/>
              <w:ind w:firstLine="0" w:firstLineChars="0"/>
              <w:jc w:val="left"/>
              <w:rPr>
                <w:rFonts w:ascii="宋体" w:hAnsi="宋体" w:cs="宋体"/>
                <w:color w:val="auto"/>
              </w:rPr>
            </w:pPr>
            <w:r>
              <w:rPr>
                <w:rFonts w:hint="eastAsia" w:ascii="宋体" w:hAnsi="宋体" w:cs="宋体"/>
                <w:color w:val="auto"/>
              </w:rPr>
              <w:t>□不予批准后再次申报项目</w:t>
            </w:r>
          </w:p>
          <w:p w14:paraId="1DC8BE10">
            <w:pPr>
              <w:spacing w:line="240" w:lineRule="auto"/>
              <w:ind w:firstLine="0" w:firstLineChars="0"/>
              <w:jc w:val="left"/>
              <w:rPr>
                <w:rFonts w:ascii="宋体" w:hAnsi="宋体" w:cs="宋体"/>
                <w:color w:val="auto"/>
              </w:rPr>
            </w:pPr>
            <w:r>
              <w:rPr>
                <w:rFonts w:hint="eastAsia" w:ascii="宋体" w:hAnsi="宋体" w:cs="宋体"/>
                <w:color w:val="auto"/>
              </w:rPr>
              <w:t>□超五年重新审核项目</w:t>
            </w:r>
          </w:p>
          <w:p w14:paraId="76314664">
            <w:pPr>
              <w:spacing w:line="240" w:lineRule="auto"/>
              <w:ind w:firstLine="0" w:firstLineChars="0"/>
              <w:rPr>
                <w:color w:val="auto"/>
              </w:rPr>
            </w:pPr>
            <w:r>
              <w:rPr>
                <w:rFonts w:hint="eastAsia" w:ascii="宋体" w:hAnsi="宋体" w:cs="宋体"/>
                <w:color w:val="auto"/>
              </w:rPr>
              <w:t>□重大变动重新报批项目</w:t>
            </w:r>
          </w:p>
        </w:tc>
      </w:tr>
      <w:tr w14:paraId="3891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501" w:type="dxa"/>
            <w:vAlign w:val="center"/>
          </w:tcPr>
          <w:p w14:paraId="349E8A25">
            <w:pPr>
              <w:adjustRightInd w:val="0"/>
              <w:snapToGrid w:val="0"/>
              <w:spacing w:line="240" w:lineRule="auto"/>
              <w:ind w:firstLine="0" w:firstLineChars="0"/>
              <w:jc w:val="center"/>
              <w:rPr>
                <w:color w:val="auto"/>
              </w:rPr>
            </w:pPr>
            <w:r>
              <w:rPr>
                <w:rFonts w:cs="Times New Roman"/>
                <w:color w:val="auto"/>
              </w:rPr>
              <w:t>项目审批（核准/备案）部门（选填）</w:t>
            </w:r>
          </w:p>
        </w:tc>
        <w:tc>
          <w:tcPr>
            <w:tcW w:w="2316" w:type="dxa"/>
            <w:vAlign w:val="center"/>
          </w:tcPr>
          <w:p w14:paraId="5C739849">
            <w:pPr>
              <w:spacing w:line="240" w:lineRule="auto"/>
              <w:ind w:firstLine="0" w:firstLineChars="0"/>
              <w:jc w:val="center"/>
              <w:rPr>
                <w:rFonts w:hint="eastAsia" w:eastAsia="宋体"/>
                <w:color w:val="auto"/>
                <w:lang w:eastAsia="zh-CN"/>
              </w:rPr>
            </w:pPr>
            <w:r>
              <w:rPr>
                <w:rFonts w:hint="eastAsia"/>
                <w:color w:val="auto"/>
                <w:lang w:eastAsia="zh-CN"/>
              </w:rPr>
              <w:t>通海县发展和改革局</w:t>
            </w:r>
          </w:p>
        </w:tc>
        <w:tc>
          <w:tcPr>
            <w:tcW w:w="1975" w:type="dxa"/>
            <w:vAlign w:val="center"/>
          </w:tcPr>
          <w:p w14:paraId="0AF9B972">
            <w:pPr>
              <w:adjustRightInd w:val="0"/>
              <w:snapToGrid w:val="0"/>
              <w:spacing w:line="240" w:lineRule="auto"/>
              <w:ind w:firstLine="0" w:firstLineChars="0"/>
              <w:rPr>
                <w:color w:val="auto"/>
              </w:rPr>
            </w:pPr>
            <w:r>
              <w:rPr>
                <w:rFonts w:hint="eastAsia" w:ascii="宋体" w:hAnsi="宋体" w:cs="宋体"/>
                <w:color w:val="auto"/>
              </w:rPr>
              <w:t>项目审批（核准</w:t>
            </w:r>
            <w:r>
              <w:rPr>
                <w:rFonts w:ascii="宋体" w:hAnsi="宋体" w:cs="宋体"/>
                <w:color w:val="auto"/>
              </w:rPr>
              <w:t>/</w:t>
            </w:r>
            <w:r>
              <w:rPr>
                <w:rFonts w:hint="eastAsia" w:ascii="宋体" w:hAnsi="宋体" w:cs="宋体"/>
                <w:color w:val="auto"/>
              </w:rPr>
              <w:t>备案）文号（选填）</w:t>
            </w:r>
          </w:p>
        </w:tc>
        <w:tc>
          <w:tcPr>
            <w:tcW w:w="3024" w:type="dxa"/>
            <w:vAlign w:val="center"/>
          </w:tcPr>
          <w:p w14:paraId="3D97C6D3">
            <w:pPr>
              <w:spacing w:line="240" w:lineRule="auto"/>
              <w:ind w:firstLine="0" w:firstLineChars="0"/>
              <w:jc w:val="center"/>
              <w:rPr>
                <w:rFonts w:hint="eastAsia" w:eastAsia="宋体"/>
                <w:color w:val="auto"/>
                <w:lang w:eastAsia="zh-CN"/>
              </w:rPr>
            </w:pPr>
            <w:r>
              <w:rPr>
                <w:rFonts w:hint="eastAsia"/>
                <w:color w:val="auto"/>
                <w:lang w:eastAsia="zh-CN"/>
              </w:rPr>
              <w:t>通发改企备</w:t>
            </w:r>
            <w:r>
              <w:rPr>
                <w:rFonts w:hint="eastAsia"/>
                <w:color w:val="auto"/>
                <w:lang w:val="en-US" w:eastAsia="zh-CN"/>
              </w:rPr>
              <w:t>〔2021〕92号</w:t>
            </w:r>
          </w:p>
        </w:tc>
      </w:tr>
      <w:tr w14:paraId="5BB8C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501" w:type="dxa"/>
            <w:vAlign w:val="center"/>
          </w:tcPr>
          <w:p w14:paraId="0EE2565E">
            <w:pPr>
              <w:spacing w:line="240" w:lineRule="auto"/>
              <w:ind w:firstLine="0" w:firstLineChars="0"/>
              <w:jc w:val="center"/>
              <w:rPr>
                <w:rFonts w:cs="Times New Roman"/>
                <w:color w:val="auto"/>
              </w:rPr>
            </w:pPr>
            <w:r>
              <w:rPr>
                <w:rFonts w:cs="Times New Roman"/>
                <w:color w:val="auto"/>
              </w:rPr>
              <w:t>总投资</w:t>
            </w:r>
          </w:p>
          <w:p w14:paraId="3E0920B9">
            <w:pPr>
              <w:spacing w:line="240" w:lineRule="auto"/>
              <w:ind w:firstLine="0" w:firstLineChars="0"/>
              <w:jc w:val="center"/>
              <w:rPr>
                <w:color w:val="auto"/>
              </w:rPr>
            </w:pPr>
            <w:r>
              <w:rPr>
                <w:rFonts w:cs="Times New Roman"/>
                <w:color w:val="auto"/>
              </w:rPr>
              <w:t>（万元）</w:t>
            </w:r>
          </w:p>
        </w:tc>
        <w:tc>
          <w:tcPr>
            <w:tcW w:w="2316" w:type="dxa"/>
            <w:vAlign w:val="center"/>
          </w:tcPr>
          <w:p w14:paraId="02CB6FD2">
            <w:pPr>
              <w:spacing w:line="240" w:lineRule="auto"/>
              <w:ind w:firstLine="0" w:firstLineChars="0"/>
              <w:jc w:val="center"/>
              <w:rPr>
                <w:rFonts w:hint="default" w:eastAsia="宋体"/>
                <w:color w:val="auto"/>
                <w:lang w:val="en-US" w:eastAsia="zh-CN"/>
              </w:rPr>
            </w:pPr>
            <w:r>
              <w:rPr>
                <w:rFonts w:hint="eastAsia"/>
                <w:color w:val="auto"/>
                <w:lang w:val="en-US" w:eastAsia="zh-CN"/>
              </w:rPr>
              <w:t>1400</w:t>
            </w:r>
          </w:p>
        </w:tc>
        <w:tc>
          <w:tcPr>
            <w:tcW w:w="1975" w:type="dxa"/>
            <w:vAlign w:val="center"/>
          </w:tcPr>
          <w:p w14:paraId="6566378C">
            <w:pPr>
              <w:spacing w:line="240" w:lineRule="auto"/>
              <w:ind w:firstLine="0" w:firstLineChars="0"/>
              <w:jc w:val="center"/>
              <w:rPr>
                <w:rFonts w:ascii="宋体" w:hAnsi="宋体" w:cs="宋体"/>
                <w:color w:val="auto"/>
              </w:rPr>
            </w:pPr>
            <w:r>
              <w:rPr>
                <w:rFonts w:hint="eastAsia" w:ascii="宋体" w:hAnsi="宋体" w:cs="宋体"/>
                <w:color w:val="auto"/>
              </w:rPr>
              <w:t>环保投资</w:t>
            </w:r>
          </w:p>
          <w:p w14:paraId="7D030E7E">
            <w:pPr>
              <w:spacing w:line="240" w:lineRule="auto"/>
              <w:ind w:firstLine="0" w:firstLineChars="0"/>
              <w:jc w:val="center"/>
              <w:rPr>
                <w:color w:val="auto"/>
              </w:rPr>
            </w:pPr>
            <w:r>
              <w:rPr>
                <w:rFonts w:hint="eastAsia" w:ascii="宋体" w:hAnsi="宋体" w:cs="宋体"/>
                <w:color w:val="auto"/>
              </w:rPr>
              <w:t>（万元）</w:t>
            </w:r>
          </w:p>
        </w:tc>
        <w:tc>
          <w:tcPr>
            <w:tcW w:w="3024" w:type="dxa"/>
            <w:vAlign w:val="center"/>
          </w:tcPr>
          <w:p w14:paraId="799ABD6F">
            <w:pPr>
              <w:spacing w:line="240" w:lineRule="auto"/>
              <w:ind w:firstLine="0" w:firstLineChars="0"/>
              <w:jc w:val="center"/>
              <w:rPr>
                <w:rFonts w:hint="default" w:eastAsia="宋体"/>
                <w:color w:val="auto"/>
                <w:lang w:val="en-US" w:eastAsia="zh-CN"/>
              </w:rPr>
            </w:pPr>
            <w:r>
              <w:rPr>
                <w:rFonts w:hint="eastAsia"/>
                <w:color w:val="auto"/>
                <w:lang w:val="en-US" w:eastAsia="zh-CN"/>
              </w:rPr>
              <w:t>51</w:t>
            </w:r>
          </w:p>
        </w:tc>
      </w:tr>
      <w:tr w14:paraId="15800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501" w:type="dxa"/>
            <w:vAlign w:val="center"/>
          </w:tcPr>
          <w:p w14:paraId="01C10F9F">
            <w:pPr>
              <w:spacing w:line="240" w:lineRule="auto"/>
              <w:ind w:firstLine="0" w:firstLineChars="0"/>
              <w:jc w:val="center"/>
              <w:rPr>
                <w:color w:val="auto"/>
              </w:rPr>
            </w:pPr>
            <w:r>
              <w:rPr>
                <w:rFonts w:cs="Times New Roman"/>
                <w:color w:val="auto"/>
              </w:rPr>
              <w:t>环保投资占比（%）</w:t>
            </w:r>
          </w:p>
        </w:tc>
        <w:tc>
          <w:tcPr>
            <w:tcW w:w="2316" w:type="dxa"/>
            <w:vAlign w:val="center"/>
          </w:tcPr>
          <w:p w14:paraId="6B3348D2">
            <w:pPr>
              <w:spacing w:line="240" w:lineRule="auto"/>
              <w:ind w:firstLine="0" w:firstLineChars="0"/>
              <w:jc w:val="center"/>
              <w:rPr>
                <w:rFonts w:hint="default" w:eastAsia="宋体"/>
                <w:color w:val="auto"/>
                <w:lang w:val="en-US" w:eastAsia="zh-CN"/>
              </w:rPr>
            </w:pPr>
            <w:r>
              <w:rPr>
                <w:rFonts w:hint="eastAsia"/>
                <w:color w:val="auto"/>
                <w:lang w:val="en-US" w:eastAsia="zh-CN"/>
              </w:rPr>
              <w:t>3.643</w:t>
            </w:r>
          </w:p>
        </w:tc>
        <w:tc>
          <w:tcPr>
            <w:tcW w:w="1975" w:type="dxa"/>
            <w:vAlign w:val="center"/>
          </w:tcPr>
          <w:p w14:paraId="3BFCE121">
            <w:pPr>
              <w:spacing w:line="240" w:lineRule="auto"/>
              <w:ind w:firstLine="0" w:firstLineChars="0"/>
              <w:jc w:val="center"/>
              <w:rPr>
                <w:color w:val="auto"/>
              </w:rPr>
            </w:pPr>
            <w:r>
              <w:rPr>
                <w:rFonts w:hint="eastAsia" w:ascii="宋体" w:hAnsi="宋体" w:cs="宋体"/>
                <w:color w:val="auto"/>
              </w:rPr>
              <w:t>施工工期（月）</w:t>
            </w:r>
          </w:p>
        </w:tc>
        <w:tc>
          <w:tcPr>
            <w:tcW w:w="3024" w:type="dxa"/>
            <w:vAlign w:val="center"/>
          </w:tcPr>
          <w:p w14:paraId="71D4AF7D">
            <w:pPr>
              <w:spacing w:line="240" w:lineRule="auto"/>
              <w:ind w:firstLine="0" w:firstLineChars="0"/>
              <w:jc w:val="center"/>
              <w:rPr>
                <w:rFonts w:hint="default" w:eastAsia="宋体"/>
                <w:color w:val="auto"/>
                <w:lang w:val="en-US" w:eastAsia="zh-CN"/>
              </w:rPr>
            </w:pPr>
            <w:r>
              <w:rPr>
                <w:rFonts w:hint="eastAsia"/>
                <w:color w:val="auto"/>
                <w:lang w:val="en-US" w:eastAsia="zh-CN"/>
              </w:rPr>
              <w:t>12</w:t>
            </w:r>
          </w:p>
        </w:tc>
      </w:tr>
      <w:tr w14:paraId="1C96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501" w:type="dxa"/>
            <w:vAlign w:val="center"/>
          </w:tcPr>
          <w:p w14:paraId="3B410AB2">
            <w:pPr>
              <w:spacing w:line="240" w:lineRule="auto"/>
              <w:ind w:firstLine="0" w:firstLineChars="0"/>
              <w:jc w:val="center"/>
              <w:rPr>
                <w:color w:val="auto"/>
              </w:rPr>
            </w:pPr>
            <w:r>
              <w:rPr>
                <w:rFonts w:cs="Times New Roman"/>
                <w:color w:val="auto"/>
              </w:rPr>
              <w:t>是否开工建设</w:t>
            </w:r>
          </w:p>
        </w:tc>
        <w:tc>
          <w:tcPr>
            <w:tcW w:w="2316" w:type="dxa"/>
            <w:vAlign w:val="center"/>
          </w:tcPr>
          <w:p w14:paraId="053C7E72">
            <w:pPr>
              <w:adjustRightInd w:val="0"/>
              <w:snapToGrid w:val="0"/>
              <w:spacing w:line="240" w:lineRule="auto"/>
              <w:ind w:firstLine="0" w:firstLineChars="0"/>
              <w:rPr>
                <w:rFonts w:ascii="宋体" w:hAnsi="宋体" w:cs="宋体"/>
                <w:color w:val="auto"/>
              </w:rPr>
            </w:pPr>
            <w:r>
              <w:rPr>
                <w:rFonts w:hint="eastAsia" w:ascii="宋体" w:hAnsi="宋体" w:cs="宋体"/>
                <w:color w:val="auto"/>
              </w:rPr>
              <w:sym w:font="Wingdings 2" w:char="00A3"/>
            </w:r>
            <w:r>
              <w:rPr>
                <w:rFonts w:hint="eastAsia" w:ascii="宋体" w:hAnsi="宋体" w:cs="宋体"/>
                <w:color w:val="auto"/>
              </w:rPr>
              <w:t>否</w:t>
            </w:r>
          </w:p>
          <w:p w14:paraId="40F80D69">
            <w:pPr>
              <w:spacing w:line="240" w:lineRule="auto"/>
              <w:ind w:firstLine="0" w:firstLineChars="0"/>
              <w:rPr>
                <w:rFonts w:hint="default" w:eastAsia="宋体"/>
                <w:color w:val="auto"/>
                <w:lang w:val="en-US" w:eastAsia="zh-CN"/>
              </w:rPr>
            </w:pPr>
            <w:r>
              <w:rPr>
                <w:color w:val="auto"/>
              </w:rPr>
              <w:sym w:font="Wingdings 2" w:char="0052"/>
            </w:r>
            <w:r>
              <w:rPr>
                <w:rFonts w:hint="eastAsia" w:ascii="宋体" w:hAnsi="宋体" w:cs="宋体"/>
                <w:color w:val="auto"/>
              </w:rPr>
              <w:t>是：</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1</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项目</w:t>
            </w:r>
            <w:r>
              <w:rPr>
                <w:rFonts w:hint="eastAsia" w:ascii="Times New Roman" w:hAnsi="Times New Roman" w:cs="Times New Roman"/>
                <w:color w:val="auto"/>
                <w:lang w:val="en-US" w:eastAsia="zh-CN"/>
              </w:rPr>
              <w:t>已完成8条生产线的改建，仅剩部分污染治理设施未建成。（2）</w:t>
            </w:r>
            <w:r>
              <w:rPr>
                <w:rFonts w:hint="eastAsia" w:ascii="Times New Roman" w:hAnsi="Times New Roman" w:eastAsia="宋体"/>
                <w:color w:val="auto"/>
                <w:sz w:val="24"/>
                <w:highlight w:val="none"/>
              </w:rPr>
              <w:t>处罚及执行情况：</w:t>
            </w:r>
            <w:r>
              <w:rPr>
                <w:rFonts w:hint="default" w:ascii="Times New Roman" w:hAnsi="Times New Roman" w:cs="Times New Roman"/>
                <w:color w:val="auto"/>
                <w:lang w:val="en-US" w:eastAsia="zh-CN"/>
              </w:rPr>
              <w:t>玉溪市生态环境局于2025年11月25日对该项目进行</w:t>
            </w:r>
            <w:r>
              <w:rPr>
                <w:rFonts w:hint="eastAsia" w:ascii="Times New Roman" w:hAnsi="Times New Roman" w:cs="Times New Roman"/>
                <w:color w:val="auto"/>
                <w:lang w:val="en-US" w:eastAsia="zh-CN"/>
              </w:rPr>
              <w:t>立案调查（详见附件10），</w:t>
            </w:r>
            <w:r>
              <w:rPr>
                <w:rFonts w:hint="eastAsia" w:cs="Times New Roman"/>
                <w:color w:val="auto"/>
                <w:lang w:val="en-US" w:eastAsia="zh-CN"/>
              </w:rPr>
              <w:t>并已缴纳处罚金</w:t>
            </w:r>
            <w:r>
              <w:rPr>
                <w:rFonts w:hint="eastAsia" w:ascii="Times New Roman" w:hAnsi="Times New Roman" w:cs="Times New Roman"/>
                <w:color w:val="auto"/>
                <w:lang w:val="en-US" w:eastAsia="zh-CN"/>
              </w:rPr>
              <w:t>。</w:t>
            </w:r>
          </w:p>
        </w:tc>
        <w:tc>
          <w:tcPr>
            <w:tcW w:w="1975" w:type="dxa"/>
            <w:vAlign w:val="center"/>
          </w:tcPr>
          <w:p w14:paraId="295F7267">
            <w:pPr>
              <w:adjustRightInd w:val="0"/>
              <w:snapToGrid w:val="0"/>
              <w:spacing w:line="240" w:lineRule="auto"/>
              <w:ind w:firstLine="0" w:firstLineChars="0"/>
              <w:jc w:val="center"/>
              <w:rPr>
                <w:rFonts w:ascii="宋体" w:hAnsi="宋体" w:cs="宋体"/>
                <w:color w:val="auto"/>
                <w:spacing w:val="-6"/>
              </w:rPr>
            </w:pPr>
            <w:r>
              <w:rPr>
                <w:rFonts w:hint="eastAsia" w:ascii="宋体" w:hAnsi="宋体" w:cs="宋体"/>
                <w:color w:val="auto"/>
                <w:spacing w:val="-6"/>
              </w:rPr>
              <w:t>用地（用海）</w:t>
            </w:r>
          </w:p>
          <w:p w14:paraId="3B9CDBFF">
            <w:pPr>
              <w:spacing w:line="240" w:lineRule="auto"/>
              <w:ind w:firstLine="0" w:firstLineChars="0"/>
              <w:jc w:val="center"/>
              <w:rPr>
                <w:color w:val="auto"/>
              </w:rPr>
            </w:pPr>
            <w:r>
              <w:rPr>
                <w:rFonts w:hint="eastAsia" w:ascii="宋体" w:hAnsi="宋体" w:cs="宋体"/>
                <w:color w:val="auto"/>
                <w:spacing w:val="-6"/>
              </w:rPr>
              <w:t>面积（</w:t>
            </w:r>
            <w:r>
              <w:rPr>
                <w:rFonts w:cs="Times New Roman"/>
                <w:color w:val="auto"/>
                <w:spacing w:val="-6"/>
              </w:rPr>
              <w:t>m</w:t>
            </w:r>
            <w:r>
              <w:rPr>
                <w:rFonts w:cs="Times New Roman"/>
                <w:color w:val="auto"/>
                <w:spacing w:val="-6"/>
                <w:vertAlign w:val="superscript"/>
              </w:rPr>
              <w:t>2</w:t>
            </w:r>
            <w:r>
              <w:rPr>
                <w:rFonts w:hint="eastAsia" w:ascii="宋体" w:hAnsi="宋体" w:cs="宋体"/>
                <w:color w:val="auto"/>
                <w:spacing w:val="-6"/>
              </w:rPr>
              <w:t>）</w:t>
            </w:r>
          </w:p>
        </w:tc>
        <w:tc>
          <w:tcPr>
            <w:tcW w:w="3024" w:type="dxa"/>
            <w:vAlign w:val="center"/>
          </w:tcPr>
          <w:p w14:paraId="4757209D">
            <w:pPr>
              <w:spacing w:line="240" w:lineRule="auto"/>
              <w:ind w:firstLine="0" w:firstLineChars="0"/>
              <w:jc w:val="center"/>
              <w:rPr>
                <w:rFonts w:hint="default" w:eastAsia="宋体"/>
                <w:color w:val="auto"/>
                <w:lang w:val="en-US" w:eastAsia="zh-CN"/>
              </w:rPr>
            </w:pPr>
            <w:r>
              <w:rPr>
                <w:rFonts w:hint="default" w:eastAsia="宋体"/>
                <w:color w:val="auto"/>
                <w:lang w:val="en-US" w:eastAsia="zh-CN"/>
              </w:rPr>
              <w:t>12720</w:t>
            </w:r>
          </w:p>
        </w:tc>
      </w:tr>
      <w:tr w14:paraId="7CC02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501" w:type="dxa"/>
            <w:vAlign w:val="center"/>
          </w:tcPr>
          <w:p w14:paraId="5B7929AF">
            <w:pPr>
              <w:spacing w:line="240" w:lineRule="auto"/>
              <w:ind w:firstLine="0" w:firstLineChars="0"/>
              <w:jc w:val="center"/>
              <w:rPr>
                <w:color w:val="auto"/>
              </w:rPr>
            </w:pPr>
            <w:r>
              <w:rPr>
                <w:rFonts w:cs="Times New Roman"/>
                <w:color w:val="auto"/>
                <w:kern w:val="0"/>
              </w:rPr>
              <w:t>专项评价设置情况</w:t>
            </w:r>
          </w:p>
        </w:tc>
        <w:tc>
          <w:tcPr>
            <w:tcW w:w="7315" w:type="dxa"/>
            <w:gridSpan w:val="3"/>
            <w:vAlign w:val="center"/>
          </w:tcPr>
          <w:p w14:paraId="2925D78F">
            <w:pPr>
              <w:ind w:firstLine="0" w:firstLineChars="0"/>
              <w:jc w:val="left"/>
              <w:rPr>
                <w:color w:val="auto"/>
              </w:rPr>
            </w:pPr>
            <w:bookmarkStart w:id="9" w:name="OLE_LINK1"/>
            <w:r>
              <w:rPr>
                <w:rFonts w:hint="eastAsia"/>
                <w:color w:val="auto"/>
              </w:rPr>
              <w:t>根据《建设项目环境影响报告表编制技术指南（污染影响类）（试行）》，本项目不涉及专项评价设置原则中的内容，因此不设置专项评价，具体专项评价设置原则及判定情况详见下表。</w:t>
            </w:r>
          </w:p>
          <w:bookmarkEnd w:id="9"/>
          <w:p w14:paraId="1B536E84">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4"/>
                <w:szCs w:val="24"/>
              </w:rPr>
            </w:pPr>
          </w:p>
          <w:p w14:paraId="7C6347BE">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表1-1  本项目专项设置判定情况表</w:t>
            </w:r>
          </w:p>
          <w:tbl>
            <w:tblPr>
              <w:tblStyle w:val="2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2734"/>
              <w:gridCol w:w="2578"/>
              <w:gridCol w:w="1006"/>
            </w:tblGrid>
            <w:tr w14:paraId="092C2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Align w:val="center"/>
                </w:tcPr>
                <w:p w14:paraId="3C7A86ED">
                  <w:pPr>
                    <w:pStyle w:val="31"/>
                    <w:rPr>
                      <w:rFonts w:hint="default"/>
                      <w:color w:val="auto"/>
                    </w:rPr>
                  </w:pPr>
                  <w:r>
                    <w:rPr>
                      <w:color w:val="auto"/>
                    </w:rPr>
                    <w:t>专项类别</w:t>
                  </w:r>
                </w:p>
              </w:tc>
              <w:tc>
                <w:tcPr>
                  <w:tcW w:w="1929" w:type="pct"/>
                  <w:vAlign w:val="center"/>
                </w:tcPr>
                <w:p w14:paraId="44FE2866">
                  <w:pPr>
                    <w:pStyle w:val="31"/>
                    <w:rPr>
                      <w:rFonts w:hint="default"/>
                      <w:color w:val="auto"/>
                    </w:rPr>
                  </w:pPr>
                  <w:r>
                    <w:rPr>
                      <w:color w:val="auto"/>
                    </w:rPr>
                    <w:t>设置原则</w:t>
                  </w:r>
                </w:p>
              </w:tc>
              <w:tc>
                <w:tcPr>
                  <w:tcW w:w="1819" w:type="pct"/>
                  <w:vAlign w:val="center"/>
                </w:tcPr>
                <w:p w14:paraId="53931CB1">
                  <w:pPr>
                    <w:pStyle w:val="31"/>
                    <w:rPr>
                      <w:rFonts w:hint="default"/>
                      <w:color w:val="auto"/>
                    </w:rPr>
                  </w:pPr>
                  <w:r>
                    <w:rPr>
                      <w:color w:val="auto"/>
                    </w:rPr>
                    <w:t>本项目情况</w:t>
                  </w:r>
                </w:p>
              </w:tc>
              <w:tc>
                <w:tcPr>
                  <w:tcW w:w="710" w:type="pct"/>
                  <w:vAlign w:val="center"/>
                </w:tcPr>
                <w:p w14:paraId="47588DB1">
                  <w:pPr>
                    <w:pStyle w:val="31"/>
                    <w:rPr>
                      <w:rFonts w:hint="default"/>
                      <w:color w:val="auto"/>
                    </w:rPr>
                  </w:pPr>
                  <w:r>
                    <w:rPr>
                      <w:color w:val="auto"/>
                    </w:rPr>
                    <w:t>是否设置专项</w:t>
                  </w:r>
                </w:p>
              </w:tc>
            </w:tr>
            <w:tr w14:paraId="4546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Align w:val="center"/>
                </w:tcPr>
                <w:p w14:paraId="3D658E90">
                  <w:pPr>
                    <w:pStyle w:val="31"/>
                    <w:rPr>
                      <w:rFonts w:hint="default"/>
                      <w:color w:val="auto"/>
                    </w:rPr>
                  </w:pPr>
                  <w:r>
                    <w:rPr>
                      <w:color w:val="auto"/>
                    </w:rPr>
                    <w:t>大气</w:t>
                  </w:r>
                </w:p>
              </w:tc>
              <w:tc>
                <w:tcPr>
                  <w:tcW w:w="1929" w:type="pct"/>
                  <w:vAlign w:val="center"/>
                </w:tcPr>
                <w:p w14:paraId="4AF28365">
                  <w:pPr>
                    <w:pStyle w:val="31"/>
                    <w:rPr>
                      <w:rFonts w:hint="default"/>
                      <w:color w:val="auto"/>
                    </w:rPr>
                  </w:pPr>
                  <w:r>
                    <w:rPr>
                      <w:color w:val="auto"/>
                    </w:rPr>
                    <w:t>排放废气含有毒有害污染物</w:t>
                  </w:r>
                  <w:r>
                    <w:rPr>
                      <w:rFonts w:hint="eastAsia"/>
                      <w:color w:val="auto"/>
                      <w:vertAlign w:val="superscript"/>
                      <w:lang w:val="en-US" w:eastAsia="zh-CN"/>
                    </w:rPr>
                    <w:t>1</w:t>
                  </w:r>
                  <w:r>
                    <w:rPr>
                      <w:color w:val="auto"/>
                    </w:rPr>
                    <w:t>、二噁英、苯并[a]芘、氰化物、氯气且厂界外500米范围内有环境空气保护目标的建设项目</w:t>
                  </w:r>
                </w:p>
              </w:tc>
              <w:tc>
                <w:tcPr>
                  <w:tcW w:w="1819" w:type="pct"/>
                  <w:vAlign w:val="center"/>
                </w:tcPr>
                <w:p w14:paraId="6D3D74A5">
                  <w:pPr>
                    <w:pStyle w:val="31"/>
                    <w:rPr>
                      <w:rFonts w:hint="default"/>
                      <w:color w:val="auto"/>
                    </w:rPr>
                  </w:pPr>
                  <w:r>
                    <w:rPr>
                      <w:color w:val="auto"/>
                    </w:rPr>
                    <w:t>本项目</w:t>
                  </w:r>
                  <w:r>
                    <w:rPr>
                      <w:rFonts w:hint="eastAsia" w:eastAsia="宋体"/>
                      <w:color w:val="auto"/>
                      <w:lang w:eastAsia="zh-CN"/>
                    </w:rPr>
                    <w:t>排放废气主要为</w:t>
                  </w:r>
                  <w:r>
                    <w:rPr>
                      <w:color w:val="auto"/>
                    </w:rPr>
                    <w:t>颗粒物</w:t>
                  </w:r>
                  <w:r>
                    <w:rPr>
                      <w:rFonts w:hint="eastAsia"/>
                      <w:color w:val="auto"/>
                      <w:lang w:eastAsia="zh-CN"/>
                    </w:rPr>
                    <w:t>，不涉及</w:t>
                  </w:r>
                  <w:r>
                    <w:rPr>
                      <w:color w:val="auto"/>
                    </w:rPr>
                    <w:t>《有毒有害大气污染物名录》的污染物及二噁英、苯并[a]芘、氰化物、氯气等污染物。</w:t>
                  </w:r>
                </w:p>
              </w:tc>
              <w:tc>
                <w:tcPr>
                  <w:tcW w:w="710" w:type="pct"/>
                  <w:vAlign w:val="center"/>
                </w:tcPr>
                <w:p w14:paraId="028DFACC">
                  <w:pPr>
                    <w:pStyle w:val="31"/>
                    <w:rPr>
                      <w:rFonts w:hint="default"/>
                      <w:color w:val="auto"/>
                    </w:rPr>
                  </w:pPr>
                  <w:r>
                    <w:rPr>
                      <w:color w:val="auto"/>
                    </w:rPr>
                    <w:t>否</w:t>
                  </w:r>
                </w:p>
              </w:tc>
            </w:tr>
            <w:tr w14:paraId="5A71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Align w:val="center"/>
                </w:tcPr>
                <w:p w14:paraId="11B41458">
                  <w:pPr>
                    <w:pStyle w:val="31"/>
                    <w:rPr>
                      <w:rFonts w:hint="default"/>
                      <w:color w:val="auto"/>
                    </w:rPr>
                  </w:pPr>
                  <w:r>
                    <w:rPr>
                      <w:color w:val="auto"/>
                    </w:rPr>
                    <w:t>地表水</w:t>
                  </w:r>
                </w:p>
              </w:tc>
              <w:tc>
                <w:tcPr>
                  <w:tcW w:w="1929" w:type="pct"/>
                  <w:vAlign w:val="center"/>
                </w:tcPr>
                <w:p w14:paraId="28658ED5">
                  <w:pPr>
                    <w:pStyle w:val="31"/>
                    <w:rPr>
                      <w:rFonts w:hint="default"/>
                      <w:color w:val="auto"/>
                    </w:rPr>
                  </w:pPr>
                  <w:r>
                    <w:rPr>
                      <w:color w:val="auto"/>
                    </w:rPr>
                    <w:t>新增工业废水直排建设项目（槽罐车外送污水处理厂的除外）；</w:t>
                  </w:r>
                </w:p>
                <w:p w14:paraId="346CC953">
                  <w:pPr>
                    <w:pStyle w:val="31"/>
                    <w:rPr>
                      <w:rFonts w:hint="default"/>
                      <w:color w:val="auto"/>
                    </w:rPr>
                  </w:pPr>
                  <w:r>
                    <w:rPr>
                      <w:color w:val="auto"/>
                    </w:rPr>
                    <w:t>新增废水直排的污水集中处理厂</w:t>
                  </w:r>
                </w:p>
              </w:tc>
              <w:tc>
                <w:tcPr>
                  <w:tcW w:w="1819" w:type="pct"/>
                  <w:vAlign w:val="center"/>
                </w:tcPr>
                <w:p w14:paraId="12A4A85E">
                  <w:pPr>
                    <w:pStyle w:val="31"/>
                    <w:rPr>
                      <w:rFonts w:hint="default"/>
                      <w:color w:val="auto"/>
                    </w:rPr>
                  </w:pPr>
                  <w:r>
                    <w:rPr>
                      <w:color w:val="auto"/>
                    </w:rPr>
                    <w:t>本项目废水主要是生产废水和生活污水。生产废水</w:t>
                  </w:r>
                  <w:r>
                    <w:rPr>
                      <w:rFonts w:hint="eastAsia" w:eastAsia="宋体"/>
                      <w:color w:val="auto"/>
                      <w:lang w:eastAsia="zh-CN"/>
                    </w:rPr>
                    <w:t>处理后</w:t>
                  </w:r>
                  <w:r>
                    <w:rPr>
                      <w:color w:val="auto"/>
                    </w:rPr>
                    <w:t>循环使用，不外排；</w:t>
                  </w:r>
                  <w:r>
                    <w:rPr>
                      <w:color w:val="auto"/>
                      <w:highlight w:val="none"/>
                    </w:rPr>
                    <w:t>生活污水</w:t>
                  </w:r>
                  <w:r>
                    <w:rPr>
                      <w:rFonts w:hint="eastAsia"/>
                      <w:color w:val="auto"/>
                      <w:highlight w:val="none"/>
                      <w:lang w:val="en-US" w:eastAsia="zh-CN"/>
                    </w:rPr>
                    <w:t>经</w:t>
                  </w:r>
                  <w:r>
                    <w:rPr>
                      <w:color w:val="auto"/>
                      <w:highlight w:val="none"/>
                    </w:rPr>
                    <w:t>化粪池</w:t>
                  </w:r>
                  <w:r>
                    <w:rPr>
                      <w:rFonts w:hint="eastAsia"/>
                      <w:color w:val="auto"/>
                      <w:highlight w:val="none"/>
                      <w:lang w:val="en-US" w:eastAsia="zh-CN"/>
                    </w:rPr>
                    <w:t>预处理后进入自建</w:t>
                  </w:r>
                  <w:r>
                    <w:rPr>
                      <w:rFonts w:hint="eastAsia"/>
                      <w:color w:val="auto"/>
                      <w:highlight w:val="none"/>
                      <w:lang w:eastAsia="zh-CN"/>
                    </w:rPr>
                    <w:t>一体化污水处理设备</w:t>
                  </w:r>
                  <w:r>
                    <w:rPr>
                      <w:color w:val="auto"/>
                      <w:highlight w:val="none"/>
                    </w:rPr>
                    <w:t>达标后，回用于</w:t>
                  </w:r>
                  <w:r>
                    <w:rPr>
                      <w:rFonts w:hint="eastAsia"/>
                      <w:color w:val="auto"/>
                      <w:highlight w:val="none"/>
                      <w:lang w:val="en-US" w:eastAsia="zh-CN"/>
                    </w:rPr>
                    <w:t>厂区绿化用水及厂区道路空地浇洒，不外排</w:t>
                  </w:r>
                  <w:r>
                    <w:rPr>
                      <w:color w:val="auto"/>
                      <w:highlight w:val="none"/>
                    </w:rPr>
                    <w:t>。</w:t>
                  </w:r>
                </w:p>
              </w:tc>
              <w:tc>
                <w:tcPr>
                  <w:tcW w:w="710" w:type="pct"/>
                  <w:vAlign w:val="center"/>
                </w:tcPr>
                <w:p w14:paraId="1408A514">
                  <w:pPr>
                    <w:pStyle w:val="31"/>
                    <w:rPr>
                      <w:rFonts w:hint="default"/>
                      <w:color w:val="auto"/>
                    </w:rPr>
                  </w:pPr>
                  <w:r>
                    <w:rPr>
                      <w:color w:val="auto"/>
                    </w:rPr>
                    <w:t>否</w:t>
                  </w:r>
                </w:p>
              </w:tc>
            </w:tr>
            <w:tr w14:paraId="589F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Align w:val="center"/>
                </w:tcPr>
                <w:p w14:paraId="67D2914C">
                  <w:pPr>
                    <w:pStyle w:val="31"/>
                    <w:rPr>
                      <w:rFonts w:hint="default"/>
                      <w:color w:val="auto"/>
                    </w:rPr>
                  </w:pPr>
                  <w:r>
                    <w:rPr>
                      <w:color w:val="auto"/>
                    </w:rPr>
                    <w:t>环境风险</w:t>
                  </w:r>
                </w:p>
              </w:tc>
              <w:tc>
                <w:tcPr>
                  <w:tcW w:w="1929" w:type="pct"/>
                  <w:vAlign w:val="center"/>
                </w:tcPr>
                <w:p w14:paraId="45406B6C">
                  <w:pPr>
                    <w:pStyle w:val="31"/>
                    <w:rPr>
                      <w:rFonts w:hint="default"/>
                      <w:color w:val="auto"/>
                    </w:rPr>
                  </w:pPr>
                  <w:r>
                    <w:rPr>
                      <w:color w:val="auto"/>
                    </w:rPr>
                    <w:t>有毒有害和易燃易爆危险物质存储量超过临界量的建设项目</w:t>
                  </w:r>
                </w:p>
              </w:tc>
              <w:tc>
                <w:tcPr>
                  <w:tcW w:w="1819" w:type="pct"/>
                  <w:vAlign w:val="center"/>
                </w:tcPr>
                <w:p w14:paraId="56DACD23">
                  <w:pPr>
                    <w:pStyle w:val="31"/>
                    <w:jc w:val="left"/>
                    <w:rPr>
                      <w:rFonts w:hint="default"/>
                      <w:color w:val="auto"/>
                    </w:rPr>
                  </w:pPr>
                  <w:r>
                    <w:rPr>
                      <w:color w:val="auto"/>
                    </w:rPr>
                    <w:t>本项目</w:t>
                  </w:r>
                  <w:r>
                    <w:rPr>
                      <w:rFonts w:hint="eastAsia" w:eastAsia="宋体"/>
                      <w:color w:val="auto"/>
                      <w:lang w:eastAsia="zh-CN"/>
                    </w:rPr>
                    <w:t>危废暂存间的废</w:t>
                  </w:r>
                  <w:r>
                    <w:rPr>
                      <w:rFonts w:hint="eastAsia"/>
                      <w:color w:val="auto"/>
                      <w:lang w:val="en-US" w:eastAsia="zh-CN"/>
                    </w:rPr>
                    <w:t>液压油和废机油</w:t>
                  </w:r>
                  <w:r>
                    <w:rPr>
                      <w:rFonts w:hint="eastAsia"/>
                      <w:color w:val="auto"/>
                      <w:lang w:eastAsia="zh-CN"/>
                    </w:rPr>
                    <w:t>最大存储量</w:t>
                  </w:r>
                  <w:r>
                    <w:rPr>
                      <w:rFonts w:hint="eastAsia"/>
                      <w:color w:val="auto"/>
                      <w:lang w:val="en-US" w:eastAsia="zh-CN"/>
                    </w:rPr>
                    <w:t>为</w:t>
                  </w:r>
                  <w:r>
                    <w:rPr>
                      <w:rFonts w:hint="eastAsia"/>
                      <w:color w:val="auto"/>
                    </w:rPr>
                    <w:t>0.</w:t>
                  </w:r>
                  <w:r>
                    <w:rPr>
                      <w:rFonts w:hint="eastAsia"/>
                      <w:color w:val="auto"/>
                      <w:lang w:val="en-US" w:eastAsia="zh-CN"/>
                    </w:rPr>
                    <w:t>6</w:t>
                  </w:r>
                  <w:r>
                    <w:rPr>
                      <w:rFonts w:hint="eastAsia"/>
                      <w:color w:val="auto"/>
                    </w:rPr>
                    <w:t>t</w:t>
                  </w:r>
                  <w:r>
                    <w:rPr>
                      <w:rFonts w:hint="eastAsia"/>
                      <w:color w:val="auto"/>
                      <w:lang w:eastAsia="zh-CN"/>
                    </w:rPr>
                    <w:t>，</w:t>
                  </w:r>
                  <w:r>
                    <w:rPr>
                      <w:rFonts w:hint="eastAsia"/>
                      <w:color w:val="auto"/>
                      <w:lang w:val="en-US" w:eastAsia="zh-CN"/>
                    </w:rPr>
                    <w:t>乙炔最大储存量为0.5t，均</w:t>
                  </w:r>
                  <w:r>
                    <w:rPr>
                      <w:rFonts w:hint="eastAsia" w:eastAsia="宋体"/>
                      <w:color w:val="auto"/>
                      <w:lang w:eastAsia="zh-CN"/>
                    </w:rPr>
                    <w:t>不超临界量</w:t>
                  </w:r>
                  <w:r>
                    <w:rPr>
                      <w:color w:val="auto"/>
                    </w:rPr>
                    <w:t>。</w:t>
                  </w:r>
                </w:p>
              </w:tc>
              <w:tc>
                <w:tcPr>
                  <w:tcW w:w="710" w:type="pct"/>
                  <w:vAlign w:val="center"/>
                </w:tcPr>
                <w:p w14:paraId="5BDDC2A7">
                  <w:pPr>
                    <w:pStyle w:val="31"/>
                    <w:rPr>
                      <w:rFonts w:hint="default"/>
                      <w:color w:val="auto"/>
                    </w:rPr>
                  </w:pPr>
                  <w:r>
                    <w:rPr>
                      <w:color w:val="auto"/>
                    </w:rPr>
                    <w:t>否</w:t>
                  </w:r>
                </w:p>
              </w:tc>
            </w:tr>
            <w:tr w14:paraId="7055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Align w:val="center"/>
                </w:tcPr>
                <w:p w14:paraId="0A53F877">
                  <w:pPr>
                    <w:pStyle w:val="31"/>
                    <w:rPr>
                      <w:rFonts w:hint="default"/>
                      <w:color w:val="auto"/>
                    </w:rPr>
                  </w:pPr>
                  <w:r>
                    <w:rPr>
                      <w:color w:val="auto"/>
                    </w:rPr>
                    <w:t>生态</w:t>
                  </w:r>
                </w:p>
              </w:tc>
              <w:tc>
                <w:tcPr>
                  <w:tcW w:w="1929" w:type="pct"/>
                  <w:vAlign w:val="center"/>
                </w:tcPr>
                <w:p w14:paraId="727B76E2">
                  <w:pPr>
                    <w:pStyle w:val="31"/>
                    <w:rPr>
                      <w:rFonts w:hint="default"/>
                      <w:color w:val="auto"/>
                    </w:rPr>
                  </w:pPr>
                  <w:r>
                    <w:rPr>
                      <w:color w:val="auto"/>
                    </w:rPr>
                    <w:t>取水口下游500米范围内有重要水生生物的自然产卵场、索饵场、越冬场和洄游通道的新增河道取水的污染类建设项目</w:t>
                  </w:r>
                </w:p>
              </w:tc>
              <w:tc>
                <w:tcPr>
                  <w:tcW w:w="1819" w:type="pct"/>
                  <w:vAlign w:val="center"/>
                </w:tcPr>
                <w:p w14:paraId="04DE3238">
                  <w:pPr>
                    <w:pStyle w:val="31"/>
                    <w:rPr>
                      <w:rFonts w:hint="eastAsia" w:eastAsia="宋体"/>
                      <w:color w:val="auto"/>
                      <w:lang w:eastAsia="zh-CN"/>
                    </w:rPr>
                  </w:pPr>
                  <w:r>
                    <w:rPr>
                      <w:color w:val="auto"/>
                    </w:rPr>
                    <w:t>本项目用水主要来自城镇供水管网，不涉及取水口。</w:t>
                  </w:r>
                  <w:r>
                    <w:rPr>
                      <w:rFonts w:hint="eastAsia"/>
                      <w:color w:val="auto"/>
                      <w:lang w:eastAsia="zh-CN"/>
                    </w:rPr>
                    <w:t>因此项目不做生态环境专项评价。</w:t>
                  </w:r>
                </w:p>
              </w:tc>
              <w:tc>
                <w:tcPr>
                  <w:tcW w:w="710" w:type="pct"/>
                  <w:vAlign w:val="center"/>
                </w:tcPr>
                <w:p w14:paraId="78FBF494">
                  <w:pPr>
                    <w:pStyle w:val="31"/>
                    <w:rPr>
                      <w:rFonts w:hint="default"/>
                      <w:color w:val="auto"/>
                    </w:rPr>
                  </w:pPr>
                  <w:r>
                    <w:rPr>
                      <w:color w:val="auto"/>
                    </w:rPr>
                    <w:t>否</w:t>
                  </w:r>
                </w:p>
              </w:tc>
            </w:tr>
            <w:tr w14:paraId="6B7DE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Align w:val="center"/>
                </w:tcPr>
                <w:p w14:paraId="2C49D95A">
                  <w:pPr>
                    <w:pStyle w:val="31"/>
                    <w:rPr>
                      <w:rFonts w:hint="default"/>
                      <w:color w:val="auto"/>
                    </w:rPr>
                  </w:pPr>
                  <w:r>
                    <w:rPr>
                      <w:color w:val="auto"/>
                    </w:rPr>
                    <w:t>海洋</w:t>
                  </w:r>
                </w:p>
              </w:tc>
              <w:tc>
                <w:tcPr>
                  <w:tcW w:w="1929" w:type="pct"/>
                  <w:vAlign w:val="center"/>
                </w:tcPr>
                <w:p w14:paraId="31D98F0C">
                  <w:pPr>
                    <w:pStyle w:val="31"/>
                    <w:rPr>
                      <w:rFonts w:hint="default"/>
                      <w:color w:val="auto"/>
                    </w:rPr>
                  </w:pPr>
                  <w:r>
                    <w:rPr>
                      <w:color w:val="auto"/>
                    </w:rPr>
                    <w:t>直接向海排放污染物的海洋工程建设项目</w:t>
                  </w:r>
                </w:p>
              </w:tc>
              <w:tc>
                <w:tcPr>
                  <w:tcW w:w="1819" w:type="pct"/>
                  <w:vAlign w:val="center"/>
                </w:tcPr>
                <w:p w14:paraId="1A5FE9F0">
                  <w:pPr>
                    <w:pStyle w:val="31"/>
                    <w:rPr>
                      <w:rFonts w:hint="eastAsia" w:eastAsia="宋体"/>
                      <w:color w:val="auto"/>
                      <w:lang w:eastAsia="zh-CN"/>
                    </w:rPr>
                  </w:pPr>
                  <w:r>
                    <w:rPr>
                      <w:rFonts w:hint="eastAsia"/>
                      <w:color w:val="auto"/>
                      <w:lang w:eastAsia="zh-CN"/>
                    </w:rPr>
                    <w:t>项目不属于海洋工程建设项目，因此，项目不做海洋专项评价。</w:t>
                  </w:r>
                </w:p>
              </w:tc>
              <w:tc>
                <w:tcPr>
                  <w:tcW w:w="710" w:type="pct"/>
                  <w:vAlign w:val="center"/>
                </w:tcPr>
                <w:p w14:paraId="195BBD26">
                  <w:pPr>
                    <w:pStyle w:val="31"/>
                    <w:rPr>
                      <w:rFonts w:hint="default"/>
                      <w:color w:val="auto"/>
                    </w:rPr>
                  </w:pPr>
                  <w:r>
                    <w:rPr>
                      <w:color w:val="auto"/>
                    </w:rPr>
                    <w:t>否</w:t>
                  </w:r>
                </w:p>
              </w:tc>
            </w:tr>
          </w:tbl>
          <w:p w14:paraId="48302720">
            <w:pPr>
              <w:ind w:firstLine="480"/>
              <w:rPr>
                <w:color w:val="auto"/>
                <w:sz w:val="21"/>
                <w:szCs w:val="21"/>
              </w:rPr>
            </w:pPr>
            <w:r>
              <w:rPr>
                <w:rFonts w:hint="eastAsia"/>
                <w:color w:val="auto"/>
                <w:sz w:val="21"/>
                <w:szCs w:val="21"/>
              </w:rPr>
              <w:t>注：1.废气中有毒有害污染物指纳入《有毒有害大气污染物名录》的污染物（二氯甲烷、甲醛、三氯甲烷、三氯乙烯、四氯乙烯、乙醛、镉及其化合物、铬及其化合物、汞及其化合物、铅及其化合物、砷及其化合物）（不包括无排放标准的污染物）。</w:t>
            </w:r>
          </w:p>
          <w:p w14:paraId="50300097">
            <w:pPr>
              <w:ind w:firstLine="480"/>
              <w:rPr>
                <w:color w:val="auto"/>
                <w:sz w:val="21"/>
                <w:szCs w:val="21"/>
              </w:rPr>
            </w:pPr>
            <w:r>
              <w:rPr>
                <w:rFonts w:hint="eastAsia"/>
                <w:color w:val="auto"/>
                <w:sz w:val="21"/>
                <w:szCs w:val="21"/>
              </w:rPr>
              <w:t>2.环境空气保护目标指自然保护区、风景名胜区、居住区、文化区和农村地区中人群较集中的区域。</w:t>
            </w:r>
          </w:p>
          <w:p w14:paraId="17EC82EC">
            <w:pPr>
              <w:ind w:firstLine="480"/>
              <w:rPr>
                <w:rFonts w:hint="eastAsia"/>
                <w:color w:val="auto"/>
                <w:lang w:eastAsia="zh-CN"/>
              </w:rPr>
            </w:pPr>
            <w:r>
              <w:rPr>
                <w:rFonts w:hint="eastAsia"/>
                <w:color w:val="auto"/>
                <w:sz w:val="21"/>
                <w:szCs w:val="21"/>
              </w:rPr>
              <w:t>3.临界量及其计算方法可参考《建设项目环境风险评价技术导则》（HJ169）附录B、附录C。</w:t>
            </w:r>
          </w:p>
        </w:tc>
      </w:tr>
      <w:tr w14:paraId="78C07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501" w:type="dxa"/>
            <w:vAlign w:val="center"/>
          </w:tcPr>
          <w:p w14:paraId="6B6B960B">
            <w:pPr>
              <w:spacing w:line="240" w:lineRule="auto"/>
              <w:ind w:firstLine="0" w:firstLineChars="0"/>
              <w:jc w:val="center"/>
              <w:rPr>
                <w:color w:val="auto"/>
              </w:rPr>
            </w:pPr>
            <w:r>
              <w:rPr>
                <w:rFonts w:cs="Times New Roman"/>
                <w:color w:val="auto"/>
              </w:rPr>
              <w:t>规划情况</w:t>
            </w:r>
          </w:p>
        </w:tc>
        <w:tc>
          <w:tcPr>
            <w:tcW w:w="7315" w:type="dxa"/>
            <w:gridSpan w:val="3"/>
            <w:vAlign w:val="center"/>
          </w:tcPr>
          <w:p w14:paraId="54F75616">
            <w:pPr>
              <w:keepNext w:val="0"/>
              <w:keepLines w:val="0"/>
              <w:pageBreakBefore w:val="0"/>
              <w:widowControl w:val="0"/>
              <w:kinsoku/>
              <w:wordWrap/>
              <w:overflowPunct/>
              <w:topLinePunct w:val="0"/>
              <w:autoSpaceDE/>
              <w:autoSpaceDN/>
              <w:bidi w:val="0"/>
              <w:adjustRightInd w:val="0"/>
              <w:snapToGrid w:val="0"/>
              <w:ind w:firstLine="482" w:firstLineChars="200"/>
              <w:jc w:val="both"/>
              <w:textAlignment w:val="auto"/>
              <w:rPr>
                <w:rFonts w:hint="default" w:eastAsia="宋体"/>
                <w:b/>
                <w:bCs/>
                <w:color w:val="auto"/>
                <w:lang w:val="en-US" w:eastAsia="zh-CN"/>
              </w:rPr>
            </w:pPr>
            <w:r>
              <w:rPr>
                <w:rFonts w:hint="eastAsia"/>
                <w:b/>
                <w:bCs/>
                <w:color w:val="auto"/>
                <w:lang w:val="en-US" w:eastAsia="zh-CN"/>
              </w:rPr>
              <w:t>1、项目与《通海县国土空间总体规划（2021—2035年）》规划符合性分析</w:t>
            </w:r>
          </w:p>
          <w:p w14:paraId="7183BAD8">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eastAsia"/>
                <w:color w:val="auto"/>
              </w:rPr>
            </w:pPr>
            <w:r>
              <w:rPr>
                <w:rFonts w:hint="eastAsia"/>
                <w:color w:val="auto"/>
              </w:rPr>
              <w:t>根据《通海县国土空间总体规划（2021—2035年）》，通海县中心城区范围为：北至玉通公路—杞麓湖湖泊生态黄线，南至呈通高速公路—秀山后山沿线—里山工业园区城镇开发边界，西至通海火车站西侧呈通高速连接线，东至秀山街道行政边界，包括秀山街道城镇集中连片区域、里山工业园区城镇开发边界内区域、九龙街道集镇和通海火车站物流园片区。规划要求夯实“三区三线”，优化总体格局。</w:t>
            </w:r>
          </w:p>
          <w:p w14:paraId="2C1190BA">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eastAsia"/>
                <w:color w:val="auto"/>
              </w:rPr>
            </w:pPr>
            <w:r>
              <w:rPr>
                <w:rFonts w:hint="eastAsia"/>
                <w:color w:val="auto"/>
              </w:rPr>
              <w:t>本项目位于玉溪市通海县</w:t>
            </w:r>
            <w:r>
              <w:rPr>
                <w:rFonts w:hint="eastAsia"/>
                <w:color w:val="auto"/>
                <w:lang w:val="en-US" w:eastAsia="zh-CN"/>
              </w:rPr>
              <w:t>纳古镇</w:t>
            </w:r>
            <w:r>
              <w:rPr>
                <w:rFonts w:hint="eastAsia"/>
                <w:color w:val="auto"/>
              </w:rPr>
              <w:t>，根据通海县自然资源局于202</w:t>
            </w:r>
            <w:r>
              <w:rPr>
                <w:rFonts w:hint="eastAsia"/>
                <w:color w:val="auto"/>
                <w:lang w:val="en-US" w:eastAsia="zh-CN"/>
              </w:rPr>
              <w:t>6</w:t>
            </w:r>
            <w:r>
              <w:rPr>
                <w:rFonts w:hint="eastAsia"/>
                <w:color w:val="auto"/>
              </w:rPr>
              <w:t>年</w:t>
            </w:r>
            <w:r>
              <w:rPr>
                <w:rFonts w:hint="eastAsia"/>
                <w:color w:val="auto"/>
                <w:lang w:val="en-US" w:eastAsia="zh-CN"/>
              </w:rPr>
              <w:t>3</w:t>
            </w:r>
            <w:r>
              <w:rPr>
                <w:rFonts w:hint="eastAsia"/>
                <w:color w:val="auto"/>
              </w:rPr>
              <w:t>月</w:t>
            </w:r>
            <w:r>
              <w:rPr>
                <w:rFonts w:hint="eastAsia"/>
                <w:color w:val="auto"/>
                <w:lang w:val="en-US" w:eastAsia="zh-CN"/>
              </w:rPr>
              <w:t>3</w:t>
            </w:r>
            <w:r>
              <w:rPr>
                <w:rFonts w:hint="eastAsia"/>
                <w:color w:val="auto"/>
              </w:rPr>
              <w:t>日出具的“通海县‘三区三线’”数据查询结果，本项目矢量范围内不涉及永久基本农田，不涉及生态保护红线，</w:t>
            </w:r>
            <w:r>
              <w:rPr>
                <w:rFonts w:hint="eastAsia"/>
                <w:color w:val="auto"/>
                <w:lang w:val="en-US" w:eastAsia="zh-CN"/>
              </w:rPr>
              <w:t>1.3435公顷</w:t>
            </w:r>
            <w:r>
              <w:rPr>
                <w:rFonts w:hint="eastAsia"/>
                <w:color w:val="auto"/>
              </w:rPr>
              <w:t>位于城镇开发边界内</w:t>
            </w:r>
            <w:r>
              <w:rPr>
                <w:rFonts w:hint="eastAsia"/>
                <w:color w:val="auto"/>
                <w:lang w:eastAsia="zh-CN"/>
              </w:rPr>
              <w:t>（</w:t>
            </w:r>
            <w:r>
              <w:rPr>
                <w:rFonts w:hint="eastAsia"/>
                <w:color w:val="auto"/>
                <w:lang w:val="en-US" w:eastAsia="zh-CN"/>
              </w:rPr>
              <w:t>详见附件5</w:t>
            </w:r>
            <w:r>
              <w:rPr>
                <w:rFonts w:hint="eastAsia"/>
                <w:color w:val="auto"/>
                <w:lang w:eastAsia="zh-CN"/>
              </w:rPr>
              <w:t>），</w:t>
            </w:r>
            <w:r>
              <w:rPr>
                <w:rFonts w:hint="eastAsia"/>
                <w:color w:val="auto"/>
                <w:lang w:val="en-US" w:eastAsia="zh-CN"/>
              </w:rPr>
              <w:t>本项目占地面积为19.08亩（1.272公顷，详见附件8），三区三线查询范围大于本项目占地范围，且本项目用地范围在查询范围内，因此本项目占地面积全部位于开发边界内</w:t>
            </w:r>
            <w:r>
              <w:rPr>
                <w:rFonts w:hint="eastAsia"/>
                <w:color w:val="auto"/>
                <w:lang w:eastAsia="zh-CN"/>
              </w:rPr>
              <w:t>；根据</w:t>
            </w:r>
            <w:r>
              <w:rPr>
                <w:rFonts w:hint="eastAsia"/>
                <w:color w:val="auto"/>
                <w:highlight w:val="none"/>
                <w:lang w:eastAsia="zh-CN"/>
              </w:rPr>
              <w:t>2026年</w:t>
            </w:r>
            <w:r>
              <w:rPr>
                <w:rFonts w:hint="eastAsia"/>
                <w:color w:val="auto"/>
                <w:highlight w:val="none"/>
                <w:lang w:val="en-US" w:eastAsia="zh-CN"/>
              </w:rPr>
              <w:t>7</w:t>
            </w:r>
            <w:r>
              <w:rPr>
                <w:rFonts w:hint="eastAsia"/>
                <w:color w:val="auto"/>
                <w:highlight w:val="none"/>
                <w:lang w:eastAsia="zh-CN"/>
              </w:rPr>
              <w:t>月</w:t>
            </w:r>
            <w:r>
              <w:rPr>
                <w:rFonts w:hint="eastAsia"/>
                <w:color w:val="auto"/>
                <w:highlight w:val="none"/>
                <w:lang w:val="en-US" w:eastAsia="zh-CN"/>
              </w:rPr>
              <w:t>22</w:t>
            </w:r>
            <w:r>
              <w:rPr>
                <w:rFonts w:hint="eastAsia"/>
                <w:color w:val="auto"/>
                <w:highlight w:val="none"/>
                <w:lang w:eastAsia="zh-CN"/>
              </w:rPr>
              <w:t>日</w:t>
            </w:r>
            <w:r>
              <w:rPr>
                <w:rFonts w:hint="eastAsia"/>
                <w:color w:val="auto"/>
                <w:lang w:eastAsia="zh-CN"/>
              </w:rPr>
              <w:t>玉溪市生态环境局通海分局出具的《云南省通海胜宝工贸有限公司</w:t>
            </w:r>
            <w:r>
              <w:rPr>
                <w:rFonts w:hint="eastAsia"/>
                <w:color w:val="auto"/>
                <w:lang w:val="en-US" w:eastAsia="zh-CN"/>
              </w:rPr>
              <w:t>生态环境分区管控查询结果</w:t>
            </w:r>
            <w:r>
              <w:rPr>
                <w:rFonts w:hint="eastAsia"/>
                <w:color w:val="auto"/>
                <w:lang w:eastAsia="zh-CN"/>
              </w:rPr>
              <w:t>》（</w:t>
            </w:r>
            <w:r>
              <w:rPr>
                <w:rFonts w:hint="eastAsia"/>
                <w:color w:val="auto"/>
                <w:lang w:val="en-US" w:eastAsia="zh-CN"/>
              </w:rPr>
              <w:t>详见附件7</w:t>
            </w:r>
            <w:r>
              <w:rPr>
                <w:rFonts w:hint="eastAsia"/>
                <w:color w:val="auto"/>
                <w:lang w:eastAsia="zh-CN"/>
              </w:rPr>
              <w:t>）</w:t>
            </w:r>
            <w:r>
              <w:rPr>
                <w:rFonts w:hint="eastAsia"/>
                <w:color w:val="auto"/>
                <w:lang w:val="en-US" w:eastAsia="zh-CN"/>
              </w:rPr>
              <w:t>可知</w:t>
            </w:r>
            <w:r>
              <w:rPr>
                <w:rFonts w:hint="eastAsia"/>
                <w:color w:val="auto"/>
                <w:lang w:eastAsia="zh-CN"/>
              </w:rPr>
              <w:t>，项目涉及通海县农业农村面源污染重点管控单元、通海县乡镇生活污染重点管控单元。经对照分析，项目符合所在地“三线一单”生态环境分区管控中与本项目有关的相关要求。</w:t>
            </w:r>
            <w:r>
              <w:rPr>
                <w:rFonts w:hint="eastAsia"/>
                <w:color w:val="auto"/>
              </w:rPr>
              <w:t>于202</w:t>
            </w:r>
            <w:r>
              <w:rPr>
                <w:rFonts w:hint="eastAsia"/>
                <w:color w:val="auto"/>
                <w:lang w:val="en-US" w:eastAsia="zh-CN"/>
              </w:rPr>
              <w:t>1</w:t>
            </w:r>
            <w:r>
              <w:rPr>
                <w:rFonts w:hint="eastAsia"/>
                <w:color w:val="auto"/>
              </w:rPr>
              <w:t>年</w:t>
            </w:r>
            <w:r>
              <w:rPr>
                <w:rFonts w:hint="eastAsia"/>
                <w:color w:val="auto"/>
                <w:lang w:val="en-US" w:eastAsia="zh-CN"/>
              </w:rPr>
              <w:t>9</w:t>
            </w:r>
            <w:r>
              <w:rPr>
                <w:rFonts w:hint="eastAsia"/>
                <w:color w:val="auto"/>
              </w:rPr>
              <w:t>月</w:t>
            </w:r>
            <w:r>
              <w:rPr>
                <w:rFonts w:hint="eastAsia"/>
                <w:color w:val="auto"/>
                <w:lang w:val="en-US" w:eastAsia="zh-CN"/>
              </w:rPr>
              <w:t>28</w:t>
            </w:r>
            <w:r>
              <w:rPr>
                <w:rFonts w:hint="eastAsia"/>
                <w:color w:val="auto"/>
              </w:rPr>
              <w:t>日，通海县纳古镇人民政府出具同意选址的意见（详见附件</w:t>
            </w:r>
            <w:r>
              <w:rPr>
                <w:rFonts w:hint="eastAsia"/>
                <w:color w:val="auto"/>
                <w:lang w:val="en-US" w:eastAsia="zh-CN"/>
              </w:rPr>
              <w:t>4</w:t>
            </w:r>
            <w:r>
              <w:rPr>
                <w:rFonts w:hint="eastAsia"/>
                <w:color w:val="auto"/>
              </w:rPr>
              <w:t>），项目用地与《通海县国土空间总体规划（2021—2035年）》规划不冲突。</w:t>
            </w:r>
          </w:p>
          <w:p w14:paraId="069CF89E">
            <w:pPr>
              <w:keepNext w:val="0"/>
              <w:keepLines w:val="0"/>
              <w:pageBreakBefore w:val="0"/>
              <w:widowControl w:val="0"/>
              <w:kinsoku/>
              <w:wordWrap/>
              <w:overflowPunct/>
              <w:topLinePunct w:val="0"/>
              <w:autoSpaceDE/>
              <w:autoSpaceDN/>
              <w:bidi w:val="0"/>
              <w:adjustRightInd w:val="0"/>
              <w:snapToGrid w:val="0"/>
              <w:ind w:firstLine="482" w:firstLineChars="200"/>
              <w:jc w:val="both"/>
              <w:textAlignment w:val="auto"/>
              <w:rPr>
                <w:rFonts w:hint="default" w:eastAsia="宋体"/>
                <w:b/>
                <w:bCs/>
                <w:color w:val="auto"/>
                <w:lang w:val="en-US" w:eastAsia="zh-CN"/>
              </w:rPr>
            </w:pPr>
            <w:r>
              <w:rPr>
                <w:rFonts w:hint="eastAsia"/>
                <w:b/>
                <w:bCs/>
                <w:color w:val="auto"/>
                <w:lang w:val="en-US" w:eastAsia="zh-CN"/>
              </w:rPr>
              <w:t>2、项目与《玉溪市通海县纳古镇集镇区国土空间详细规划（2单元）》规划符合性分析</w:t>
            </w:r>
          </w:p>
          <w:p w14:paraId="46214CD6">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eastAsia"/>
                <w:color w:val="auto"/>
              </w:rPr>
            </w:pPr>
            <w:r>
              <w:rPr>
                <w:rFonts w:hint="eastAsia"/>
                <w:color w:val="auto"/>
              </w:rPr>
              <w:t>根据《玉溪市通海县纳古镇集镇区国土空间详细规划（2单元）》，规划范围与已批复的《通海县国土空间总体规划(2021—2035年)》划定的城镇单元纳古-2单元</w:t>
            </w:r>
            <w:r>
              <w:rPr>
                <w:rFonts w:hint="eastAsia"/>
                <w:color w:val="auto"/>
                <w:lang w:eastAsia="zh-CN"/>
              </w:rPr>
              <w:t>（</w:t>
            </w:r>
            <w:r>
              <w:rPr>
                <w:rFonts w:hint="eastAsia"/>
                <w:color w:val="auto"/>
              </w:rPr>
              <w:t>530423106010020</w:t>
            </w:r>
            <w:r>
              <w:rPr>
                <w:rFonts w:hint="eastAsia"/>
                <w:color w:val="auto"/>
                <w:lang w:eastAsia="zh-CN"/>
              </w:rPr>
              <w:t>）</w:t>
            </w:r>
            <w:r>
              <w:rPr>
                <w:rFonts w:hint="eastAsia"/>
                <w:color w:val="auto"/>
              </w:rPr>
              <w:t>的范围保持一致，北接江川区，南至在建弥楚高速与G245国道交汇处，西至鸡脖子山脚，东至米冲水库，总面积222.50公顷，其中146.47公顷在纳古镇行政区范围内，另外76.03公顷在四街镇行政区范围内。</w:t>
            </w:r>
          </w:p>
          <w:p w14:paraId="205BD558">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eastAsia"/>
                <w:color w:val="auto"/>
              </w:rPr>
            </w:pPr>
            <w:r>
              <w:rPr>
                <w:rFonts w:hint="eastAsia"/>
                <w:color w:val="auto"/>
              </w:rPr>
              <w:t>本项目位于玉溪市通海县</w:t>
            </w:r>
            <w:r>
              <w:rPr>
                <w:rFonts w:hint="eastAsia"/>
                <w:color w:val="auto"/>
                <w:lang w:val="en-US" w:eastAsia="zh-CN"/>
              </w:rPr>
              <w:t>纳古镇</w:t>
            </w:r>
            <w:r>
              <w:rPr>
                <w:rFonts w:hint="eastAsia"/>
                <w:color w:val="auto"/>
              </w:rPr>
              <w:t>，根据《玉溪市通海县纳古镇集镇区国土空间详细规划（2单元）》规划范围图，</w:t>
            </w:r>
            <w:r>
              <w:rPr>
                <w:rFonts w:hint="eastAsia"/>
                <w:color w:val="auto"/>
                <w:lang w:val="en-US" w:eastAsia="zh-CN"/>
              </w:rPr>
              <w:t>项目用地为工矿用地（详见附图9），</w:t>
            </w:r>
            <w:r>
              <w:rPr>
                <w:rFonts w:hint="eastAsia"/>
                <w:color w:val="auto"/>
              </w:rPr>
              <w:t>项目所在地属于通海县纳古镇集镇区范围（</w:t>
            </w:r>
            <w:r>
              <w:rPr>
                <w:rFonts w:hint="eastAsia"/>
                <w:color w:val="auto"/>
                <w:highlight w:val="none"/>
              </w:rPr>
              <w:t>详见附图</w:t>
            </w:r>
            <w:r>
              <w:rPr>
                <w:rFonts w:hint="eastAsia"/>
                <w:color w:val="auto"/>
                <w:highlight w:val="none"/>
                <w:lang w:val="en-US" w:eastAsia="zh-CN"/>
              </w:rPr>
              <w:t>8</w:t>
            </w:r>
            <w:r>
              <w:rPr>
                <w:rFonts w:hint="eastAsia"/>
                <w:color w:val="auto"/>
                <w:highlight w:val="none"/>
              </w:rPr>
              <w:t>）</w:t>
            </w:r>
            <w:r>
              <w:rPr>
                <w:rFonts w:hint="eastAsia"/>
                <w:color w:val="auto"/>
              </w:rPr>
              <w:t>，通海县纳古镇集镇区国土空间详细规划（2单元）国土空间结构规划构建“一环、一心、四片、两带”的国土空间功能结构。“一环”：将四个片区串联成集镇区多元绿色产业联动环；“一心”：指整个单元中心的综合服务中心；“四片”：整个单元由四个片区组成，分别为北部现代物流片区、西部彩印包装片区、东部装备制造片区；“两带”：由东西两侧山体、林地构建的两条山林屏障隔离带。项目位于“四片”中的东部装备制造片区，2021年9月28日，通海县纳古镇人民政府出具同意选址的意见（详见附件</w:t>
            </w:r>
            <w:r>
              <w:rPr>
                <w:rFonts w:hint="eastAsia"/>
                <w:color w:val="auto"/>
                <w:lang w:val="en-US" w:eastAsia="zh-CN"/>
              </w:rPr>
              <w:t>4</w:t>
            </w:r>
            <w:r>
              <w:rPr>
                <w:rFonts w:hint="eastAsia"/>
                <w:color w:val="auto"/>
              </w:rPr>
              <w:t>）。项目用地与《玉溪市通海县纳古镇集镇区国土空间详细规划（2单元）》不冲突。</w:t>
            </w:r>
          </w:p>
          <w:p w14:paraId="77270B70">
            <w:pPr>
              <w:keepNext w:val="0"/>
              <w:keepLines w:val="0"/>
              <w:pageBreakBefore w:val="0"/>
              <w:widowControl w:val="0"/>
              <w:kinsoku/>
              <w:wordWrap/>
              <w:overflowPunct/>
              <w:topLinePunct w:val="0"/>
              <w:autoSpaceDE/>
              <w:autoSpaceDN/>
              <w:bidi w:val="0"/>
              <w:adjustRightInd w:val="0"/>
              <w:snapToGrid w:val="0"/>
              <w:ind w:firstLine="482" w:firstLineChars="200"/>
              <w:jc w:val="both"/>
              <w:textAlignment w:val="auto"/>
              <w:rPr>
                <w:rFonts w:hint="eastAsia" w:eastAsia="宋体"/>
                <w:b/>
                <w:bCs/>
                <w:color w:val="auto"/>
                <w:lang w:val="en-US" w:eastAsia="zh-CN"/>
              </w:rPr>
            </w:pPr>
            <w:r>
              <w:rPr>
                <w:rFonts w:hint="eastAsia"/>
                <w:b/>
                <w:bCs/>
                <w:color w:val="auto"/>
                <w:lang w:val="en-US" w:eastAsia="zh-CN"/>
              </w:rPr>
              <w:t>3、项目与《杞麓湖流域国土空间保护和科学利用专项规划（2021-2035 年）》规划符合性分析</w:t>
            </w:r>
          </w:p>
          <w:p w14:paraId="01AF797B">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eastAsia"/>
                <w:color w:val="auto"/>
              </w:rPr>
            </w:pPr>
            <w:r>
              <w:rPr>
                <w:rFonts w:hint="eastAsia"/>
                <w:color w:val="auto"/>
              </w:rPr>
              <w:t>《杞麓湖流域国土空间保护和科学利用专项规划（2021-2035 年）》范围覆盖杞麓湖流域全域，规划期限为 2021—2035 年，以生态保护优先、系统综合治理、国土空间集约管控为原则，紧扣湖泊革命治理要求。规划严守生态保护红线、永久基本农田、城镇开发边界三条控制线，优化流域生态、农业、城镇三大空间格局，构建“一湖一屏、一心一片、三轴四点”总体布局与流域生态安全格局。按湖泊核心保护区、入湖河道管控区、环湖生态屏障区、农业绿色发展区、城镇集约发展区实行分区管控，重点开展湿地修复、入湖河道整治、环湖截污、农业面源污染治理、水土保持及矿山生态修复等工程。严格管控岸线开发与产业准入，优化城镇、农业、文旅及特色农业空间布局，保护历史文化与湖城风貌；同步完善水资源调配、污水垃圾处理、交通等基础设施，建立空间管控、生态补偿、动态监测与执法监管长效机制。近期实现水质脱劣企稳、污染负荷有效削减，远期力争湖体水质稳步提升，推动流域生态环境持续改善、国土空间科学高效利用、生态保护与绿色协调可持续发展。</w:t>
            </w:r>
          </w:p>
          <w:p w14:paraId="7F022F78">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eastAsia" w:eastAsia="宋体"/>
                <w:color w:val="auto"/>
                <w:lang w:eastAsia="zh-CN"/>
              </w:rPr>
            </w:pPr>
            <w:r>
              <w:rPr>
                <w:rFonts w:hint="eastAsia"/>
                <w:color w:val="auto"/>
                <w:lang w:val="en-US" w:eastAsia="zh-CN"/>
              </w:rPr>
              <w:t>本</w:t>
            </w:r>
            <w:r>
              <w:rPr>
                <w:rFonts w:hint="eastAsia"/>
                <w:color w:val="auto"/>
              </w:rPr>
              <w:t>项目选址于通海县纳古镇，地处杞麓湖流域绿色发展区范围内，不在生态保护核心区、生态保护缓冲区及湖滨带内，远离湖泊及入湖河流敏感区域，完全契合“两线三区”分级管控要求，规避了生态保护核心区、缓冲区的开发禁令，项目用地为纳古镇规划工</w:t>
            </w:r>
            <w:r>
              <w:rPr>
                <w:rFonts w:hint="eastAsia"/>
                <w:color w:val="auto"/>
                <w:lang w:val="en-US" w:eastAsia="zh-CN"/>
              </w:rPr>
              <w:t>矿</w:t>
            </w:r>
            <w:r>
              <w:rPr>
                <w:rFonts w:hint="eastAsia"/>
                <w:color w:val="auto"/>
              </w:rPr>
              <w:t>用地，符合《通海县纳古镇国土空间规划（2021-2035 年）》及城镇开发边界管控要求，不占用永久基本农田、林地、生态保护红线，项目为技改项目，不新增建设用地，依托现有厂房实施设备升级，</w:t>
            </w:r>
            <w:r>
              <w:rPr>
                <w:rFonts w:hint="eastAsia"/>
                <w:color w:val="auto"/>
                <w:lang w:val="en-US" w:eastAsia="zh-CN"/>
              </w:rPr>
              <w:t>与规划不冲突</w:t>
            </w:r>
            <w:r>
              <w:rPr>
                <w:rFonts w:hint="eastAsia"/>
                <w:color w:val="auto"/>
                <w:lang w:eastAsia="zh-CN"/>
              </w:rPr>
              <w:t>。</w:t>
            </w:r>
          </w:p>
          <w:p w14:paraId="0B51BB66">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color w:val="auto"/>
                <w:lang w:val="en-US" w:eastAsia="zh-CN"/>
              </w:rPr>
            </w:pPr>
          </w:p>
        </w:tc>
      </w:tr>
      <w:tr w14:paraId="77EEC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501" w:type="dxa"/>
            <w:vAlign w:val="center"/>
          </w:tcPr>
          <w:p w14:paraId="0526B5F0">
            <w:pPr>
              <w:adjustRightInd w:val="0"/>
              <w:snapToGrid w:val="0"/>
              <w:spacing w:line="240" w:lineRule="auto"/>
              <w:ind w:firstLine="0" w:firstLineChars="0"/>
              <w:jc w:val="center"/>
              <w:rPr>
                <w:color w:val="auto"/>
              </w:rPr>
            </w:pPr>
            <w:r>
              <w:rPr>
                <w:rFonts w:cs="Times New Roman"/>
                <w:color w:val="auto"/>
              </w:rPr>
              <w:t>规划环境影响评价情况</w:t>
            </w:r>
          </w:p>
        </w:tc>
        <w:tc>
          <w:tcPr>
            <w:tcW w:w="7315" w:type="dxa"/>
            <w:gridSpan w:val="3"/>
            <w:vAlign w:val="center"/>
          </w:tcPr>
          <w:p w14:paraId="78AE1C63">
            <w:pPr>
              <w:ind w:firstLine="0" w:firstLineChars="0"/>
              <w:jc w:val="center"/>
              <w:rPr>
                <w:rFonts w:ascii="Times New Roman" w:hAnsi="Times New Roman" w:eastAsia="宋体" w:cs="黑体"/>
                <w:color w:val="auto"/>
                <w:kern w:val="2"/>
                <w:sz w:val="24"/>
                <w:szCs w:val="24"/>
                <w:lang w:val="en-US" w:eastAsia="zh-CN" w:bidi="ar-SA"/>
              </w:rPr>
            </w:pPr>
            <w:r>
              <w:rPr>
                <w:rFonts w:hint="eastAsia" w:cs="黑体"/>
                <w:color w:val="auto"/>
                <w:kern w:val="2"/>
                <w:sz w:val="24"/>
                <w:szCs w:val="24"/>
                <w:lang w:val="en-US" w:eastAsia="zh-CN" w:bidi="ar-SA"/>
              </w:rPr>
              <w:t>无</w:t>
            </w:r>
          </w:p>
        </w:tc>
      </w:tr>
      <w:tr w14:paraId="5EF2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501" w:type="dxa"/>
            <w:vAlign w:val="center"/>
          </w:tcPr>
          <w:p w14:paraId="3ACA2D1E">
            <w:pPr>
              <w:autoSpaceDE w:val="0"/>
              <w:autoSpaceDN w:val="0"/>
              <w:adjustRightInd w:val="0"/>
              <w:snapToGrid w:val="0"/>
              <w:spacing w:line="240" w:lineRule="auto"/>
              <w:ind w:firstLine="0" w:firstLineChars="0"/>
              <w:jc w:val="center"/>
              <w:rPr>
                <w:color w:val="auto"/>
              </w:rPr>
            </w:pPr>
            <w:r>
              <w:rPr>
                <w:rFonts w:cs="Times New Roman"/>
                <w:color w:val="auto"/>
                <w:kern w:val="0"/>
              </w:rPr>
              <w:t>规划及规划环境影响评价符合性分析</w:t>
            </w:r>
          </w:p>
        </w:tc>
        <w:tc>
          <w:tcPr>
            <w:tcW w:w="7315" w:type="dxa"/>
            <w:gridSpan w:val="3"/>
            <w:vAlign w:val="center"/>
          </w:tcPr>
          <w:p w14:paraId="6D00319B">
            <w:pPr>
              <w:ind w:firstLine="0" w:firstLineChars="0"/>
              <w:jc w:val="center"/>
              <w:rPr>
                <w:rFonts w:hint="eastAsia" w:eastAsia="宋体"/>
                <w:color w:val="auto"/>
                <w:lang w:eastAsia="zh-CN"/>
              </w:rPr>
            </w:pPr>
            <w:r>
              <w:rPr>
                <w:rFonts w:hint="eastAsia" w:eastAsia="宋体"/>
                <w:color w:val="auto"/>
                <w:lang w:eastAsia="zh-CN"/>
              </w:rPr>
              <w:t>无</w:t>
            </w:r>
          </w:p>
        </w:tc>
      </w:tr>
      <w:tr w14:paraId="5840B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7" w:hRule="atLeast"/>
        </w:trPr>
        <w:tc>
          <w:tcPr>
            <w:tcW w:w="1501" w:type="dxa"/>
            <w:vAlign w:val="center"/>
          </w:tcPr>
          <w:p w14:paraId="055B83FE">
            <w:pPr>
              <w:spacing w:line="240" w:lineRule="auto"/>
              <w:ind w:firstLine="0" w:firstLineChars="0"/>
              <w:jc w:val="center"/>
              <w:rPr>
                <w:color w:val="auto"/>
              </w:rPr>
            </w:pPr>
            <w:r>
              <w:rPr>
                <w:rFonts w:cs="Times New Roman"/>
                <w:color w:val="auto"/>
              </w:rPr>
              <w:t>其他符合性分析</w:t>
            </w:r>
          </w:p>
        </w:tc>
        <w:tc>
          <w:tcPr>
            <w:tcW w:w="7315" w:type="dxa"/>
            <w:gridSpan w:val="3"/>
            <w:vAlign w:val="center"/>
          </w:tcPr>
          <w:p w14:paraId="4E33F22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b/>
                <w:bCs/>
                <w:color w:val="auto"/>
                <w:lang w:val="en-US" w:eastAsia="zh-CN"/>
              </w:rPr>
            </w:pPr>
            <w:r>
              <w:rPr>
                <w:rFonts w:hint="eastAsia" w:ascii="Times New Roman" w:hAnsi="Times New Roman" w:eastAsia="宋体"/>
                <w:b/>
                <w:bCs/>
                <w:color w:val="auto"/>
                <w:lang w:val="en-US" w:eastAsia="zh-CN"/>
              </w:rPr>
              <w:t>1、产业政策符合性分析</w:t>
            </w:r>
          </w:p>
          <w:p w14:paraId="706A3F15">
            <w:pPr>
              <w:ind w:firstLine="480"/>
              <w:rPr>
                <w:rFonts w:hint="eastAsia" w:eastAsia="宋体"/>
                <w:color w:val="auto"/>
                <w:lang w:eastAsia="zh-CN"/>
              </w:rPr>
            </w:pPr>
            <w:r>
              <w:rPr>
                <w:rFonts w:hint="eastAsia"/>
                <w:color w:val="auto"/>
                <w:lang w:eastAsia="zh-CN"/>
              </w:rPr>
              <w:t>本项目产品为高频直缝焊管，项目原材料为外购镀锌钢带，不生产及使用地条钢为原料，本项目轧机选用国内先进设备，均不使用淘汰类的生产设备。</w:t>
            </w:r>
            <w:r>
              <w:rPr>
                <w:rFonts w:hint="eastAsia"/>
                <w:color w:val="auto"/>
                <w:lang w:val="en-US" w:eastAsia="zh-CN"/>
              </w:rPr>
              <w:t>根据《产业结构调整指导目录（2024年本）》，</w:t>
            </w:r>
            <w:r>
              <w:rPr>
                <w:rFonts w:hint="eastAsia"/>
                <w:color w:val="auto"/>
              </w:rPr>
              <w:t>项目不属于鼓励类、限制类、淘汰类范围，“鼓励类、限制类和淘汰类之外的，且符合国家有关法律、法规和政策规定的属于允许类”</w:t>
            </w:r>
            <w:r>
              <w:rPr>
                <w:rFonts w:hint="eastAsia"/>
                <w:color w:val="auto"/>
                <w:lang w:eastAsia="zh-CN"/>
              </w:rPr>
              <w:t>。</w:t>
            </w:r>
          </w:p>
          <w:p w14:paraId="78E1D6B0">
            <w:pPr>
              <w:ind w:firstLine="480"/>
              <w:rPr>
                <w:rFonts w:hint="default" w:eastAsia="宋体"/>
                <w:color w:val="auto"/>
                <w:lang w:val="en-US" w:eastAsia="zh-CN"/>
              </w:rPr>
            </w:pPr>
            <w:r>
              <w:rPr>
                <w:rFonts w:hint="eastAsia"/>
                <w:color w:val="auto"/>
                <w:lang w:eastAsia="zh-CN"/>
              </w:rPr>
              <w:t>项目于</w:t>
            </w:r>
            <w:r>
              <w:rPr>
                <w:rFonts w:hint="eastAsia"/>
                <w:color w:val="auto"/>
                <w:lang w:val="en-US" w:eastAsia="zh-CN"/>
              </w:rPr>
              <w:t>2026年4月10日，取得了通海县发展和改革局下发的投资备案证，项目备案编码：2110-530423-04-02-684405。</w:t>
            </w:r>
          </w:p>
          <w:p w14:paraId="470D8447">
            <w:pPr>
              <w:ind w:firstLine="480"/>
              <w:rPr>
                <w:rFonts w:hint="eastAsia" w:eastAsia="宋体"/>
                <w:color w:val="auto"/>
                <w:lang w:eastAsia="zh-CN"/>
              </w:rPr>
            </w:pPr>
            <w:r>
              <w:rPr>
                <w:rFonts w:hint="eastAsia"/>
                <w:color w:val="auto"/>
                <w:lang w:eastAsia="zh-CN"/>
              </w:rPr>
              <w:t>综上所述，本项目符合国家及地方现行产业政策。</w:t>
            </w:r>
          </w:p>
          <w:p w14:paraId="068A5C91">
            <w:pPr>
              <w:ind w:firstLine="482"/>
              <w:rPr>
                <w:b/>
                <w:bCs/>
                <w:color w:val="auto"/>
              </w:rPr>
            </w:pPr>
            <w:r>
              <w:rPr>
                <w:rFonts w:hint="eastAsia"/>
                <w:b/>
                <w:bCs/>
                <w:color w:val="auto"/>
                <w:lang w:val="en-US" w:eastAsia="zh-CN"/>
              </w:rPr>
              <w:t>2、项目</w:t>
            </w:r>
            <w:r>
              <w:rPr>
                <w:rFonts w:hint="eastAsia"/>
                <w:b/>
                <w:bCs/>
                <w:color w:val="auto"/>
                <w:lang w:eastAsia="zh-CN"/>
              </w:rPr>
              <w:t>与《玉溪市生态环境局关于印发玉溪市生态环境分区管控动态更新调整方案（2023年）的通知》符合性分析</w:t>
            </w:r>
          </w:p>
          <w:p w14:paraId="06BC1CB7">
            <w:pPr>
              <w:ind w:firstLine="480"/>
              <w:rPr>
                <w:rFonts w:hint="eastAsia"/>
                <w:color w:val="auto"/>
              </w:rPr>
            </w:pPr>
            <w:r>
              <w:rPr>
                <w:rFonts w:hint="eastAsia"/>
                <w:color w:val="auto"/>
              </w:rPr>
              <w:t>2024年6月7日玉溪市人民政府印发了《玉溪市生态环境局关于印发玉溪市生态环境分区管控动态更新调整方案(2023年)的通知》（玉市环〔2024〕40号）（以下简称《通知》）。</w:t>
            </w:r>
          </w:p>
          <w:p w14:paraId="081FEC2F">
            <w:pPr>
              <w:ind w:firstLine="480"/>
              <w:rPr>
                <w:rFonts w:hint="eastAsia"/>
                <w:color w:val="auto"/>
              </w:rPr>
            </w:pPr>
            <w:r>
              <w:rPr>
                <w:rFonts w:hint="eastAsia"/>
                <w:color w:val="auto"/>
              </w:rPr>
              <w:t>玉溪市通过划分区域的环境管控单元，提出分区管控要求，进行构建生态环境分区体系。玉溪市划分优先保护、重点管控、一般管控三大类，共83个生态环境管控单元。</w:t>
            </w:r>
          </w:p>
          <w:p w14:paraId="570E0F9C">
            <w:pPr>
              <w:ind w:firstLine="480"/>
              <w:rPr>
                <w:rFonts w:hint="eastAsia"/>
                <w:color w:val="auto"/>
              </w:rPr>
            </w:pPr>
            <w:r>
              <w:rPr>
                <w:rFonts w:hint="eastAsia"/>
                <w:color w:val="auto"/>
              </w:rPr>
              <w:t>①优先保护单元。共27个，包含生态保护红线和一般生态空间，主要分布在哀牢山、红河（元江）干热河谷、珠江上游及滇东南喀斯特地带、高原湖泊湖区及流域水源涵养区等生态功能重要、生态环境敏感区域。</w:t>
            </w:r>
          </w:p>
          <w:p w14:paraId="4365A998">
            <w:pPr>
              <w:ind w:firstLine="480"/>
              <w:rPr>
                <w:rFonts w:hint="eastAsia"/>
                <w:color w:val="auto"/>
              </w:rPr>
            </w:pPr>
            <w:r>
              <w:rPr>
                <w:rFonts w:hint="eastAsia"/>
                <w:color w:val="auto"/>
              </w:rPr>
              <w:t>②重点管控单元。共47个，包含开发强度高、污染物排放强度大、环境问题相对集中的区域和大气环境布局敏感区等，主要分布在“三湖”（抚仙湖、星云湖、杞麓湖）坝区、各类开发区和工业集中区、城镇规划区及环境质量改善压力较大的区域。</w:t>
            </w:r>
          </w:p>
          <w:p w14:paraId="42E359A9">
            <w:pPr>
              <w:ind w:firstLine="480"/>
              <w:rPr>
                <w:rFonts w:hint="eastAsia"/>
                <w:color w:val="auto"/>
              </w:rPr>
            </w:pPr>
            <w:r>
              <w:rPr>
                <w:rFonts w:hint="eastAsia"/>
                <w:color w:val="auto"/>
              </w:rPr>
              <w:t>③一般管控单元。共9个，为优先保护、重点管控单元之外的区域。</w:t>
            </w:r>
          </w:p>
          <w:p w14:paraId="095EEF4A">
            <w:pPr>
              <w:ind w:firstLine="480"/>
              <w:rPr>
                <w:rFonts w:hint="eastAsia"/>
                <w:color w:val="auto"/>
              </w:rPr>
            </w:pPr>
            <w:r>
              <w:rPr>
                <w:rFonts w:hint="eastAsia"/>
                <w:color w:val="auto"/>
              </w:rPr>
              <w:t>本项目位于</w:t>
            </w:r>
            <w:r>
              <w:rPr>
                <w:rFonts w:hint="eastAsia"/>
                <w:color w:val="auto"/>
                <w:lang w:val="en-US" w:eastAsia="zh-CN"/>
              </w:rPr>
              <w:t>通海县纳古镇，</w:t>
            </w:r>
            <w:r>
              <w:rPr>
                <w:rFonts w:hint="eastAsia"/>
                <w:color w:val="auto"/>
                <w:lang w:eastAsia="zh-CN"/>
              </w:rPr>
              <w:t>《云南省通海胜宝工贸有限公司</w:t>
            </w:r>
            <w:r>
              <w:rPr>
                <w:rFonts w:hint="eastAsia"/>
                <w:color w:val="auto"/>
                <w:lang w:val="en-US" w:eastAsia="zh-CN"/>
              </w:rPr>
              <w:t>生态环境分区管控查询结果</w:t>
            </w:r>
            <w:r>
              <w:rPr>
                <w:rFonts w:hint="eastAsia"/>
                <w:color w:val="auto"/>
                <w:lang w:eastAsia="zh-CN"/>
              </w:rPr>
              <w:t>》（</w:t>
            </w:r>
            <w:r>
              <w:rPr>
                <w:rFonts w:hint="eastAsia"/>
                <w:color w:val="auto"/>
                <w:lang w:val="en-US" w:eastAsia="zh-CN"/>
              </w:rPr>
              <w:t>详见附件7</w:t>
            </w:r>
            <w:r>
              <w:rPr>
                <w:rFonts w:hint="eastAsia"/>
                <w:color w:val="auto"/>
                <w:lang w:eastAsia="zh-CN"/>
              </w:rPr>
              <w:t>）</w:t>
            </w:r>
            <w:r>
              <w:rPr>
                <w:rFonts w:hint="eastAsia"/>
                <w:color w:val="auto"/>
                <w:lang w:val="en-US" w:eastAsia="zh-CN"/>
              </w:rPr>
              <w:t>可知</w:t>
            </w:r>
            <w:r>
              <w:rPr>
                <w:rFonts w:hint="eastAsia"/>
                <w:color w:val="auto"/>
                <w:lang w:eastAsia="zh-CN"/>
              </w:rPr>
              <w:t>，</w:t>
            </w:r>
            <w:r>
              <w:rPr>
                <w:rFonts w:hint="eastAsia"/>
                <w:color w:val="auto"/>
              </w:rPr>
              <w:t>项目地块涉及通海县农业农村面源污染重点管控单元（编码ZH53042320004）</w:t>
            </w:r>
            <w:r>
              <w:rPr>
                <w:rFonts w:hint="eastAsia"/>
                <w:color w:val="auto"/>
                <w:lang w:val="en-US" w:eastAsia="zh-CN"/>
              </w:rPr>
              <w:t>和通海县乡镇生活污染重点管控单元</w:t>
            </w:r>
            <w:r>
              <w:rPr>
                <w:rFonts w:hint="eastAsia"/>
                <w:color w:val="auto"/>
              </w:rPr>
              <w:t>（编码ZH53042320005）。</w:t>
            </w:r>
          </w:p>
          <w:p w14:paraId="0DFFB26F">
            <w:pPr>
              <w:ind w:firstLine="480"/>
              <w:rPr>
                <w:rFonts w:hint="eastAsia"/>
                <w:b/>
                <w:bCs/>
                <w:color w:val="auto"/>
              </w:rPr>
            </w:pPr>
            <w:r>
              <w:rPr>
                <w:rFonts w:hint="eastAsia"/>
                <w:b/>
                <w:bCs/>
                <w:color w:val="auto"/>
              </w:rPr>
              <w:t>与《玉溪市生态环境分区管控动态更新调整方案（通海县）》符合性分析</w:t>
            </w:r>
          </w:p>
          <w:p w14:paraId="0E7FCF61">
            <w:pPr>
              <w:ind w:firstLine="480"/>
              <w:rPr>
                <w:rFonts w:hint="eastAsia"/>
                <w:color w:val="auto"/>
              </w:rPr>
            </w:pPr>
            <w:r>
              <w:rPr>
                <w:rFonts w:hint="eastAsia"/>
                <w:color w:val="auto"/>
              </w:rPr>
              <w:t>（1）调整背景与依据</w:t>
            </w:r>
          </w:p>
          <w:p w14:paraId="6E276F8D">
            <w:pPr>
              <w:ind w:firstLine="480"/>
              <w:rPr>
                <w:rFonts w:hint="eastAsia"/>
                <w:color w:val="auto"/>
              </w:rPr>
            </w:pPr>
            <w:r>
              <w:rPr>
                <w:rFonts w:hint="eastAsia"/>
                <w:color w:val="auto"/>
              </w:rPr>
              <w:t>2024年2月3日，玉溪市人民政府批复《云南通海产业园区总体规划修编（2021—2035年）》（玉政复〔2024〕1号），已备案的生态环境分区管控动态更新调整成果中通海产业园区管控单元边界范围与2024年修编批复后产业园区总体规划存在不一致。根据《生态环境分区管控管理暂行规定》第十八条第一款第三项关于“国民经济和社会发展规划、国土空间规划、重大战略、生态环境保护目标、产业准入政策等发生变化”时可进行动态更新的规定，确保生态环境分区管控与《通海县国土空间总体规划（2021-2035年）》《云南通海产业园区总体规划修编（2021-2035年）》精准衔接，经市人民政府研究同意，对通海产业园区重点管控单元边界范围进行动态更新，更新成果已上报生态环境部同意。</w:t>
            </w:r>
          </w:p>
          <w:p w14:paraId="66201783">
            <w:pPr>
              <w:ind w:firstLine="480"/>
              <w:rPr>
                <w:rFonts w:hint="eastAsia"/>
                <w:color w:val="auto"/>
              </w:rPr>
            </w:pPr>
            <w:r>
              <w:rPr>
                <w:rFonts w:hint="eastAsia"/>
                <w:color w:val="auto"/>
              </w:rPr>
              <w:t>（2）调整原则</w:t>
            </w:r>
          </w:p>
          <w:p w14:paraId="1D2D6789">
            <w:pPr>
              <w:ind w:firstLine="480"/>
              <w:rPr>
                <w:rFonts w:hint="eastAsia"/>
                <w:color w:val="auto"/>
              </w:rPr>
            </w:pPr>
            <w:r>
              <w:rPr>
                <w:rFonts w:hint="eastAsia"/>
                <w:color w:val="auto"/>
              </w:rPr>
              <w:t>1）衔接规划，精准管控</w:t>
            </w:r>
          </w:p>
          <w:p w14:paraId="6A11B508">
            <w:pPr>
              <w:ind w:firstLine="480"/>
              <w:rPr>
                <w:rFonts w:hint="eastAsia"/>
                <w:color w:val="auto"/>
              </w:rPr>
            </w:pPr>
            <w:r>
              <w:rPr>
                <w:rFonts w:hint="eastAsia"/>
                <w:color w:val="auto"/>
              </w:rPr>
              <w:t>严格对接最新批复的国土空间规划和产业园区规划，确保管控边界与规划实施范围一致。</w:t>
            </w:r>
          </w:p>
          <w:p w14:paraId="33D7DC66">
            <w:pPr>
              <w:ind w:firstLine="480"/>
              <w:rPr>
                <w:rFonts w:hint="eastAsia"/>
                <w:color w:val="auto"/>
              </w:rPr>
            </w:pPr>
            <w:r>
              <w:rPr>
                <w:rFonts w:hint="eastAsia"/>
                <w:color w:val="auto"/>
              </w:rPr>
              <w:t>2）总体稳定，优化布局</w:t>
            </w:r>
          </w:p>
          <w:p w14:paraId="1719AF56">
            <w:pPr>
              <w:ind w:firstLine="480"/>
              <w:rPr>
                <w:rFonts w:hint="eastAsia"/>
                <w:color w:val="auto"/>
              </w:rPr>
            </w:pPr>
            <w:r>
              <w:rPr>
                <w:rFonts w:hint="eastAsia"/>
                <w:color w:val="auto"/>
              </w:rPr>
              <w:t>遵循环境管控单元面积总体稳定的要求，通过等量置换优化重点管控单元空间布局。</w:t>
            </w:r>
          </w:p>
          <w:p w14:paraId="335D8848">
            <w:pPr>
              <w:ind w:firstLine="480"/>
              <w:rPr>
                <w:rFonts w:hint="eastAsia"/>
                <w:color w:val="auto"/>
              </w:rPr>
            </w:pPr>
            <w:r>
              <w:rPr>
                <w:rFonts w:hint="eastAsia"/>
                <w:color w:val="auto"/>
              </w:rPr>
              <w:t>3）底线约束，保持管控</w:t>
            </w:r>
          </w:p>
          <w:p w14:paraId="5F065DD5">
            <w:pPr>
              <w:ind w:firstLine="480"/>
              <w:rPr>
                <w:rFonts w:hint="eastAsia"/>
                <w:color w:val="auto"/>
              </w:rPr>
            </w:pPr>
            <w:r>
              <w:rPr>
                <w:rFonts w:hint="eastAsia"/>
                <w:color w:val="auto"/>
              </w:rPr>
              <w:t>严守生态保护红线、环境质量底线、资源利用上线，保持单元管控要求的连续性和稳定性。</w:t>
            </w:r>
          </w:p>
          <w:p w14:paraId="6D4D3D08">
            <w:pPr>
              <w:ind w:firstLine="480"/>
              <w:rPr>
                <w:rFonts w:hint="eastAsia"/>
                <w:color w:val="auto"/>
              </w:rPr>
            </w:pPr>
            <w:r>
              <w:rPr>
                <w:rFonts w:hint="eastAsia"/>
                <w:color w:val="auto"/>
              </w:rPr>
              <w:t>4）程序合规，成果有效</w:t>
            </w:r>
          </w:p>
          <w:p w14:paraId="18F1D886">
            <w:pPr>
              <w:ind w:firstLine="480"/>
              <w:rPr>
                <w:rFonts w:hint="eastAsia"/>
                <w:color w:val="auto"/>
              </w:rPr>
            </w:pPr>
            <w:r>
              <w:rPr>
                <w:rFonts w:hint="eastAsia"/>
                <w:color w:val="auto"/>
              </w:rPr>
              <w:t>严格履行专家论证、征求意见、备案审查等程序，确保调整成果合法有效。</w:t>
            </w:r>
          </w:p>
          <w:p w14:paraId="1A81B159">
            <w:pPr>
              <w:ind w:firstLine="480"/>
              <w:rPr>
                <w:rFonts w:hint="eastAsia"/>
                <w:color w:val="auto"/>
              </w:rPr>
            </w:pPr>
            <w:r>
              <w:rPr>
                <w:rFonts w:hint="eastAsia"/>
                <w:color w:val="auto"/>
              </w:rPr>
              <w:t>（3）调整内容</w:t>
            </w:r>
          </w:p>
          <w:p w14:paraId="0696D09E">
            <w:pPr>
              <w:ind w:firstLine="480"/>
              <w:rPr>
                <w:rFonts w:hint="eastAsia"/>
                <w:color w:val="auto"/>
              </w:rPr>
            </w:pPr>
            <w:r>
              <w:rPr>
                <w:rFonts w:hint="eastAsia"/>
                <w:color w:val="auto"/>
              </w:rPr>
              <w:t>1）调整范围</w:t>
            </w:r>
          </w:p>
          <w:p w14:paraId="2EAFDB2D">
            <w:pPr>
              <w:ind w:firstLine="480"/>
              <w:rPr>
                <w:rFonts w:hint="eastAsia"/>
                <w:color w:val="auto"/>
              </w:rPr>
            </w:pPr>
            <w:r>
              <w:rPr>
                <w:rFonts w:hint="eastAsia"/>
                <w:color w:val="auto"/>
              </w:rPr>
              <w:t>云南通海产业园区里山片区南侧1.1217公顷工业用地调入通海县产业园区重点管控单元，里山片区东北部1.1217公顷农用地调出通海县产业园区重点管控单元。调整后，通海县产业园区重点管控单元总面积维持不变。</w:t>
            </w:r>
          </w:p>
          <w:p w14:paraId="3E6E1466">
            <w:pPr>
              <w:ind w:firstLine="480"/>
              <w:rPr>
                <w:rFonts w:hint="eastAsia"/>
                <w:color w:val="auto"/>
              </w:rPr>
            </w:pPr>
            <w:r>
              <w:rPr>
                <w:rFonts w:hint="eastAsia"/>
                <w:color w:val="auto"/>
              </w:rPr>
              <w:t>2）管控单元归属调整</w:t>
            </w:r>
          </w:p>
          <w:p w14:paraId="0977AADD">
            <w:pPr>
              <w:ind w:firstLine="480"/>
              <w:rPr>
                <w:rFonts w:hint="eastAsia"/>
                <w:color w:val="auto"/>
              </w:rPr>
            </w:pPr>
            <w:r>
              <w:rPr>
                <w:rFonts w:hint="eastAsia"/>
                <w:color w:val="auto"/>
              </w:rPr>
              <w:t>a.“通海县城区生活污染重点管控单元（ZH53042320002）”调出的1.1217公顷划入“通海县产业园区重点管控单元（ZH53042320001）”。</w:t>
            </w:r>
          </w:p>
          <w:p w14:paraId="009E093D">
            <w:pPr>
              <w:ind w:firstLine="480"/>
              <w:rPr>
                <w:rFonts w:hint="eastAsia"/>
                <w:color w:val="auto"/>
              </w:rPr>
            </w:pPr>
            <w:r>
              <w:rPr>
                <w:rFonts w:hint="eastAsia"/>
                <w:color w:val="auto"/>
              </w:rPr>
              <w:t>b.“通海县产业园区重点管控单元（ZH53042320001）”调出的1.1217公顷划入“通海县一般管控单元（ZH53042330001）”。</w:t>
            </w:r>
          </w:p>
          <w:p w14:paraId="429B3AAA">
            <w:pPr>
              <w:ind w:firstLine="480"/>
              <w:rPr>
                <w:rFonts w:hint="eastAsia"/>
                <w:color w:val="auto"/>
              </w:rPr>
            </w:pPr>
            <w:r>
              <w:rPr>
                <w:rFonts w:hint="eastAsia"/>
                <w:color w:val="auto"/>
              </w:rPr>
              <w:t>（4）调整结果</w:t>
            </w:r>
          </w:p>
          <w:p w14:paraId="5817C048">
            <w:pPr>
              <w:ind w:firstLine="480"/>
              <w:rPr>
                <w:rFonts w:hint="eastAsia"/>
                <w:color w:val="auto"/>
              </w:rPr>
            </w:pPr>
            <w:r>
              <w:rPr>
                <w:rFonts w:hint="eastAsia"/>
                <w:color w:val="auto"/>
              </w:rPr>
              <w:t>环境管控单元调整结果</w:t>
            </w:r>
          </w:p>
          <w:p w14:paraId="03CA9632">
            <w:pPr>
              <w:ind w:firstLine="480"/>
              <w:rPr>
                <w:rFonts w:hint="eastAsia"/>
                <w:color w:val="auto"/>
              </w:rPr>
            </w:pPr>
            <w:r>
              <w:rPr>
                <w:rFonts w:hint="eastAsia"/>
                <w:color w:val="auto"/>
              </w:rPr>
              <w:t>调整后，通海县环境管控单元数量不变（9个）。</w:t>
            </w:r>
          </w:p>
          <w:p w14:paraId="3585AA98">
            <w:pPr>
              <w:ind w:firstLine="480"/>
              <w:rPr>
                <w:rFonts w:hint="eastAsia"/>
                <w:color w:val="auto"/>
              </w:rPr>
            </w:pPr>
            <w:r>
              <w:rPr>
                <w:rFonts w:hint="eastAsia"/>
                <w:color w:val="auto"/>
              </w:rPr>
              <w:t>优先保护单元：个数不变、面积不变；</w:t>
            </w:r>
          </w:p>
          <w:p w14:paraId="7BB75845">
            <w:pPr>
              <w:ind w:firstLine="480"/>
              <w:rPr>
                <w:rFonts w:hint="eastAsia"/>
                <w:color w:val="auto"/>
              </w:rPr>
            </w:pPr>
            <w:r>
              <w:rPr>
                <w:rFonts w:hint="eastAsia"/>
                <w:color w:val="auto"/>
              </w:rPr>
              <w:t>重点管控单元：个数不变、面积减少1.1217公顷（通海县城区生活污染重点管控单元面积减少）；</w:t>
            </w:r>
          </w:p>
          <w:p w14:paraId="4E6E0197">
            <w:pPr>
              <w:ind w:firstLine="480"/>
              <w:rPr>
                <w:rFonts w:hint="eastAsia"/>
                <w:color w:val="auto"/>
              </w:rPr>
            </w:pPr>
            <w:r>
              <w:rPr>
                <w:rFonts w:hint="eastAsia"/>
                <w:color w:val="auto"/>
              </w:rPr>
              <w:t>一般管控单元：个数不变、面积增加1.1217公顷。</w:t>
            </w:r>
          </w:p>
          <w:p w14:paraId="4A047410">
            <w:pPr>
              <w:ind w:firstLine="480"/>
              <w:rPr>
                <w:color w:val="auto"/>
              </w:rPr>
            </w:pPr>
            <w:r>
              <w:rPr>
                <w:rFonts w:hint="eastAsia"/>
                <w:color w:val="auto"/>
              </w:rPr>
              <w:t>本项目与《玉溪市生态环境分区管控动态更新调整方案（2023 年）》相关要求相符性分析详见下表。</w:t>
            </w:r>
          </w:p>
          <w:p w14:paraId="46B01FD9">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表1-</w:t>
            </w: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 xml:space="preserve">  与《玉溪市生态环境分区管控动态更新调整方案（2023 年）》符合性分析</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3124"/>
              <w:gridCol w:w="2725"/>
              <w:gridCol w:w="646"/>
            </w:tblGrid>
            <w:tr w14:paraId="33C2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713E75FF">
                  <w:pPr>
                    <w:pStyle w:val="31"/>
                    <w:bidi w:val="0"/>
                    <w:rPr>
                      <w:rFonts w:hint="default"/>
                      <w:color w:val="auto"/>
                    </w:rPr>
                  </w:pPr>
                  <w:r>
                    <w:rPr>
                      <w:color w:val="auto"/>
                    </w:rPr>
                    <w:t>序号</w:t>
                  </w:r>
                </w:p>
              </w:tc>
              <w:tc>
                <w:tcPr>
                  <w:tcW w:w="2204" w:type="pct"/>
                  <w:vAlign w:val="center"/>
                </w:tcPr>
                <w:p w14:paraId="7629AE31">
                  <w:pPr>
                    <w:pStyle w:val="31"/>
                    <w:bidi w:val="0"/>
                    <w:rPr>
                      <w:rFonts w:hint="default"/>
                      <w:color w:val="auto"/>
                    </w:rPr>
                  </w:pPr>
                  <w:r>
                    <w:rPr>
                      <w:color w:val="auto"/>
                    </w:rPr>
                    <w:t>《通知》要求</w:t>
                  </w:r>
                </w:p>
              </w:tc>
              <w:tc>
                <w:tcPr>
                  <w:tcW w:w="1923" w:type="pct"/>
                  <w:vAlign w:val="center"/>
                </w:tcPr>
                <w:p w14:paraId="38F88E04">
                  <w:pPr>
                    <w:pStyle w:val="31"/>
                    <w:bidi w:val="0"/>
                    <w:rPr>
                      <w:rFonts w:hint="default"/>
                      <w:color w:val="auto"/>
                    </w:rPr>
                  </w:pPr>
                  <w:r>
                    <w:rPr>
                      <w:color w:val="auto"/>
                    </w:rPr>
                    <w:t>项目情况</w:t>
                  </w:r>
                </w:p>
              </w:tc>
              <w:tc>
                <w:tcPr>
                  <w:tcW w:w="454" w:type="pct"/>
                  <w:vAlign w:val="center"/>
                </w:tcPr>
                <w:p w14:paraId="0ED288B4">
                  <w:pPr>
                    <w:pStyle w:val="31"/>
                    <w:bidi w:val="0"/>
                    <w:rPr>
                      <w:rFonts w:hint="default"/>
                      <w:color w:val="auto"/>
                    </w:rPr>
                  </w:pPr>
                  <w:r>
                    <w:rPr>
                      <w:color w:val="auto"/>
                    </w:rPr>
                    <w:t>符合性</w:t>
                  </w:r>
                </w:p>
              </w:tc>
            </w:tr>
            <w:tr w14:paraId="30EB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4"/>
                  <w:vAlign w:val="center"/>
                </w:tcPr>
                <w:p w14:paraId="0775CD75">
                  <w:pPr>
                    <w:pStyle w:val="31"/>
                    <w:bidi w:val="0"/>
                    <w:rPr>
                      <w:rFonts w:hint="default"/>
                      <w:color w:val="auto"/>
                    </w:rPr>
                  </w:pPr>
                  <w:r>
                    <w:rPr>
                      <w:color w:val="auto"/>
                    </w:rPr>
                    <w:t>一、生态保护红线和一般生态空间</w:t>
                  </w:r>
                </w:p>
              </w:tc>
            </w:tr>
            <w:tr w14:paraId="601D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7" w:type="pct"/>
                  <w:vAlign w:val="center"/>
                </w:tcPr>
                <w:p w14:paraId="601AB8AC">
                  <w:pPr>
                    <w:pStyle w:val="31"/>
                    <w:bidi w:val="0"/>
                    <w:rPr>
                      <w:rFonts w:hint="default"/>
                      <w:color w:val="auto"/>
                    </w:rPr>
                  </w:pPr>
                  <w:r>
                    <w:rPr>
                      <w:color w:val="auto"/>
                    </w:rPr>
                    <w:t>1</w:t>
                  </w:r>
                </w:p>
              </w:tc>
              <w:tc>
                <w:tcPr>
                  <w:tcW w:w="2204" w:type="pct"/>
                  <w:vAlign w:val="center"/>
                </w:tcPr>
                <w:p w14:paraId="422CA22E">
                  <w:pPr>
                    <w:pStyle w:val="31"/>
                    <w:bidi w:val="0"/>
                    <w:rPr>
                      <w:rFonts w:hint="default"/>
                      <w:color w:val="auto"/>
                    </w:rPr>
                  </w:pPr>
                  <w:r>
                    <w:rPr>
                      <w:rFonts w:hint="default"/>
                      <w:color w:val="auto"/>
                    </w:rPr>
                    <w:t>执行《云南省人民政府关于发布云南省生态保护红线的通知》（云政发〔2018〕32号），生态保护红线评估调整成果获批后，按照批准成果执行。将未划入生态保护红线的自然保护地、饮用水水源保护区、重要湿地、基本草原、生态公益林、天然林等生态功能重要、生态环境敏感区域划为一般生态空间。</w:t>
                  </w:r>
                </w:p>
              </w:tc>
              <w:tc>
                <w:tcPr>
                  <w:tcW w:w="1923" w:type="pct"/>
                  <w:vAlign w:val="center"/>
                </w:tcPr>
                <w:p w14:paraId="735F90B1">
                  <w:pPr>
                    <w:pStyle w:val="31"/>
                    <w:bidi w:val="0"/>
                    <w:rPr>
                      <w:rFonts w:hint="default"/>
                      <w:color w:val="auto"/>
                    </w:rPr>
                  </w:pPr>
                  <w:r>
                    <w:rPr>
                      <w:color w:val="auto"/>
                    </w:rPr>
                    <w:t>本项目</w:t>
                  </w:r>
                  <w:r>
                    <w:rPr>
                      <w:rFonts w:hint="eastAsia"/>
                      <w:color w:val="auto"/>
                      <w:lang w:val="en-US" w:eastAsia="zh-CN"/>
                    </w:rPr>
                    <w:t>位于</w:t>
                  </w:r>
                  <w:r>
                    <w:rPr>
                      <w:rFonts w:hint="eastAsia"/>
                      <w:color w:val="auto"/>
                      <w:lang w:eastAsia="zh-CN"/>
                    </w:rPr>
                    <w:t>通海县纳古镇</w:t>
                  </w:r>
                  <w:r>
                    <w:rPr>
                      <w:color w:val="auto"/>
                    </w:rPr>
                    <w:t>，</w:t>
                  </w:r>
                  <w:r>
                    <w:rPr>
                      <w:rFonts w:hint="eastAsia"/>
                      <w:color w:val="auto"/>
                    </w:rPr>
                    <w:t>用地范围不涉及自然保护区、风景名胜区、世界文化和自然遗产地、森林公园、饮用水源保护区，</w:t>
                  </w:r>
                  <w:r>
                    <w:rPr>
                      <w:color w:val="auto"/>
                      <w:highlight w:val="none"/>
                    </w:rPr>
                    <w:t>根据</w:t>
                  </w:r>
                  <w:r>
                    <w:rPr>
                      <w:rFonts w:hint="eastAsia"/>
                      <w:color w:val="auto"/>
                      <w:highlight w:val="none"/>
                      <w:lang w:eastAsia="zh-CN"/>
                    </w:rPr>
                    <w:t>三区三线查询</w:t>
                  </w:r>
                  <w:r>
                    <w:rPr>
                      <w:color w:val="auto"/>
                      <w:highlight w:val="none"/>
                    </w:rPr>
                    <w:t>结果，本项目不占用</w:t>
                  </w:r>
                  <w:r>
                    <w:rPr>
                      <w:rFonts w:hint="eastAsia"/>
                      <w:color w:val="auto"/>
                      <w:highlight w:val="none"/>
                      <w:lang w:eastAsia="zh-CN"/>
                    </w:rPr>
                    <w:t>通海县</w:t>
                  </w:r>
                  <w:r>
                    <w:rPr>
                      <w:color w:val="auto"/>
                      <w:highlight w:val="none"/>
                    </w:rPr>
                    <w:t>生态保护红线，</w:t>
                  </w:r>
                  <w:r>
                    <w:rPr>
                      <w:color w:val="auto"/>
                    </w:rPr>
                    <w:t>满足生态保护红线要求</w:t>
                  </w:r>
                  <w:r>
                    <w:rPr>
                      <w:rFonts w:hint="eastAsia"/>
                      <w:color w:val="auto"/>
                      <w:lang w:eastAsia="zh-CN"/>
                    </w:rPr>
                    <w:t>，项目不涉及一般生态空间</w:t>
                  </w:r>
                  <w:r>
                    <w:rPr>
                      <w:color w:val="auto"/>
                    </w:rPr>
                    <w:t>。</w:t>
                  </w:r>
                </w:p>
              </w:tc>
              <w:tc>
                <w:tcPr>
                  <w:tcW w:w="454" w:type="pct"/>
                  <w:vAlign w:val="center"/>
                </w:tcPr>
                <w:p w14:paraId="3BB164A6">
                  <w:pPr>
                    <w:pStyle w:val="31"/>
                    <w:bidi w:val="0"/>
                    <w:rPr>
                      <w:rFonts w:hint="default"/>
                      <w:color w:val="auto"/>
                    </w:rPr>
                  </w:pPr>
                  <w:r>
                    <w:rPr>
                      <w:color w:val="auto"/>
                    </w:rPr>
                    <w:t>符合</w:t>
                  </w:r>
                </w:p>
              </w:tc>
            </w:tr>
            <w:tr w14:paraId="160B1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0DFB7EE8">
                  <w:pPr>
                    <w:pStyle w:val="31"/>
                    <w:bidi w:val="0"/>
                    <w:rPr>
                      <w:rFonts w:hint="default"/>
                      <w:color w:val="auto"/>
                    </w:rPr>
                  </w:pPr>
                  <w:r>
                    <w:rPr>
                      <w:color w:val="auto"/>
                    </w:rPr>
                    <w:t>二、环境质量底线</w:t>
                  </w:r>
                </w:p>
              </w:tc>
            </w:tr>
            <w:tr w14:paraId="0576A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21FA4B6D">
                  <w:pPr>
                    <w:pStyle w:val="31"/>
                    <w:bidi w:val="0"/>
                    <w:rPr>
                      <w:rFonts w:hint="default"/>
                      <w:color w:val="auto"/>
                    </w:rPr>
                  </w:pPr>
                  <w:r>
                    <w:rPr>
                      <w:color w:val="auto"/>
                    </w:rPr>
                    <w:t>1</w:t>
                  </w:r>
                </w:p>
              </w:tc>
              <w:tc>
                <w:tcPr>
                  <w:tcW w:w="2204" w:type="pct"/>
                  <w:vAlign w:val="center"/>
                </w:tcPr>
                <w:p w14:paraId="43C85634">
                  <w:pPr>
                    <w:pStyle w:val="31"/>
                    <w:bidi w:val="0"/>
                    <w:rPr>
                      <w:rFonts w:hint="default"/>
                      <w:color w:val="auto"/>
                    </w:rPr>
                  </w:pPr>
                  <w:r>
                    <w:rPr>
                      <w:rFonts w:hint="default"/>
                      <w:color w:val="auto"/>
                    </w:rPr>
                    <w:t>水环境质量底线。到2025年，全市水环境质量持续改善，纳入国家和省级考核的地表水监测断面水质优良率稳步提升。抚仙湖水质稳定保持Ⅰ类水质标准，星云湖、杞麓湖水质指标均达到Ⅴ类水质标准。中心城区及县城集中式饮用水水源地水质达标率为100%。到2035年，全市水环境质量总体改善，水生生态系统功能恢复。地表水水体水质优良率全面提升，彻底消除劣V类水体。抚仙湖水质稳定保持Ⅰ类水质标准，星云湖和杞麓湖水质持续稳定向好。</w:t>
                  </w:r>
                </w:p>
              </w:tc>
              <w:tc>
                <w:tcPr>
                  <w:tcW w:w="1923" w:type="pct"/>
                  <w:vAlign w:val="center"/>
                </w:tcPr>
                <w:p w14:paraId="25A39DDA">
                  <w:pPr>
                    <w:pStyle w:val="31"/>
                    <w:bidi w:val="0"/>
                    <w:jc w:val="left"/>
                    <w:rPr>
                      <w:rFonts w:hint="default"/>
                      <w:color w:val="auto"/>
                    </w:rPr>
                  </w:pPr>
                  <w:r>
                    <w:rPr>
                      <w:rFonts w:hint="default"/>
                      <w:color w:val="auto"/>
                    </w:rPr>
                    <w:t>项目区域地表水为</w:t>
                  </w:r>
                  <w:r>
                    <w:rPr>
                      <w:rFonts w:hint="eastAsia"/>
                      <w:color w:val="auto"/>
                      <w:lang w:eastAsia="zh-CN"/>
                    </w:rPr>
                    <w:t>杞麓湖，根据《云南杞麓湖国控断面和全湖平均水质双脱劣》2025年，杞麓湖实现了国控断面和全湖平均水质双脱劣。监测数据显示，杞麓湖湖心（国控点）、全湖平均水质类别由2019年至2024年连续6年的劣Ⅴ类，提升为2025年的Ⅴ类。本项目附近不涉及集中式饮用水水源。运行期间生产废水仅为冷却水，循环使用不外排，生活污水经化粪池处理后</w:t>
                  </w:r>
                  <w:r>
                    <w:rPr>
                      <w:rFonts w:hint="eastAsia"/>
                      <w:color w:val="auto"/>
                      <w:lang w:val="en-US" w:eastAsia="zh-CN"/>
                    </w:rPr>
                    <w:t>进入自建一体化污水处理设施处理达标后，回用于厂区绿化及道路空地浇洒，不外排，</w:t>
                  </w:r>
                  <w:r>
                    <w:rPr>
                      <w:rFonts w:hint="eastAsia"/>
                      <w:color w:val="auto"/>
                      <w:lang w:eastAsia="zh-CN"/>
                    </w:rPr>
                    <w:t>对地表水环境的影响较小。</w:t>
                  </w:r>
                </w:p>
              </w:tc>
              <w:tc>
                <w:tcPr>
                  <w:tcW w:w="454" w:type="pct"/>
                  <w:vAlign w:val="center"/>
                </w:tcPr>
                <w:p w14:paraId="4663A3D6">
                  <w:pPr>
                    <w:pStyle w:val="31"/>
                    <w:bidi w:val="0"/>
                    <w:rPr>
                      <w:rFonts w:hint="default"/>
                      <w:color w:val="auto"/>
                    </w:rPr>
                  </w:pPr>
                  <w:r>
                    <w:rPr>
                      <w:color w:val="auto"/>
                    </w:rPr>
                    <w:t>符合</w:t>
                  </w:r>
                </w:p>
              </w:tc>
            </w:tr>
            <w:tr w14:paraId="459D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161FA6C7">
                  <w:pPr>
                    <w:pStyle w:val="31"/>
                    <w:bidi w:val="0"/>
                    <w:rPr>
                      <w:rFonts w:hint="default"/>
                      <w:color w:val="auto"/>
                    </w:rPr>
                  </w:pPr>
                  <w:r>
                    <w:rPr>
                      <w:color w:val="auto"/>
                    </w:rPr>
                    <w:t>2</w:t>
                  </w:r>
                </w:p>
              </w:tc>
              <w:tc>
                <w:tcPr>
                  <w:tcW w:w="2204" w:type="pct"/>
                  <w:vAlign w:val="center"/>
                </w:tcPr>
                <w:p w14:paraId="01A2218B">
                  <w:pPr>
                    <w:pStyle w:val="31"/>
                    <w:bidi w:val="0"/>
                    <w:rPr>
                      <w:rFonts w:hint="default"/>
                      <w:color w:val="auto"/>
                    </w:rPr>
                  </w:pPr>
                  <w:r>
                    <w:rPr>
                      <w:rFonts w:hint="default"/>
                      <w:color w:val="auto"/>
                    </w:rPr>
                    <w:t>大气环境质量底线。到2025年，全市环境空气质量稳中向好，中心城区城市空气质量优良天数比率保持稳定，主要污染物排放量达到国家和省级污染物总量控制要求，单位GDP二氧化碳排放控制在省下达指标内。到2035年，全市环境空气质量持续保持优良，实现稳中向好，主要污染物排放总量和二氧化碳排放量持续减少。</w:t>
                  </w:r>
                </w:p>
              </w:tc>
              <w:tc>
                <w:tcPr>
                  <w:tcW w:w="1923" w:type="pct"/>
                  <w:vAlign w:val="center"/>
                </w:tcPr>
                <w:p w14:paraId="38288EA9">
                  <w:pPr>
                    <w:pStyle w:val="31"/>
                    <w:bidi w:val="0"/>
                    <w:rPr>
                      <w:rFonts w:hint="default"/>
                      <w:color w:val="auto"/>
                    </w:rPr>
                  </w:pPr>
                  <w:r>
                    <w:rPr>
                      <w:rFonts w:hint="default"/>
                      <w:color w:val="auto"/>
                    </w:rPr>
                    <w:t>根据《2024 年玉溪市生态环境状况公报》，</w:t>
                  </w:r>
                  <w:r>
                    <w:rPr>
                      <w:rFonts w:hint="eastAsia"/>
                      <w:color w:val="auto"/>
                      <w:lang w:val="en-US" w:eastAsia="zh-CN"/>
                    </w:rPr>
                    <w:t>2024年通海县</w:t>
                  </w:r>
                  <w:r>
                    <w:rPr>
                      <w:rFonts w:hint="default"/>
                      <w:color w:val="auto"/>
                    </w:rPr>
                    <w:t>SO</w:t>
                  </w:r>
                  <w:r>
                    <w:rPr>
                      <w:rFonts w:hint="default"/>
                      <w:color w:val="auto"/>
                      <w:vertAlign w:val="subscript"/>
                    </w:rPr>
                    <w:t>2</w:t>
                  </w:r>
                  <w:r>
                    <w:rPr>
                      <w:rFonts w:hint="default"/>
                      <w:color w:val="auto"/>
                    </w:rPr>
                    <w:t>、NO</w:t>
                  </w:r>
                  <w:r>
                    <w:rPr>
                      <w:rFonts w:hint="default"/>
                      <w:color w:val="auto"/>
                      <w:vertAlign w:val="subscript"/>
                    </w:rPr>
                    <w:t>2</w:t>
                  </w:r>
                  <w:r>
                    <w:rPr>
                      <w:rFonts w:hint="default"/>
                      <w:color w:val="auto"/>
                    </w:rPr>
                    <w:t>、PM</w:t>
                  </w:r>
                  <w:r>
                    <w:rPr>
                      <w:rFonts w:hint="default"/>
                      <w:color w:val="auto"/>
                      <w:vertAlign w:val="subscript"/>
                    </w:rPr>
                    <w:t>10</w:t>
                  </w:r>
                  <w:r>
                    <w:rPr>
                      <w:rFonts w:hint="default"/>
                      <w:color w:val="auto"/>
                    </w:rPr>
                    <w:t>、PM</w:t>
                  </w:r>
                  <w:r>
                    <w:rPr>
                      <w:rFonts w:hint="default"/>
                      <w:color w:val="auto"/>
                      <w:vertAlign w:val="subscript"/>
                    </w:rPr>
                    <w:t>2.5</w:t>
                  </w:r>
                  <w:r>
                    <w:rPr>
                      <w:rFonts w:hint="default"/>
                      <w:color w:val="auto"/>
                    </w:rPr>
                    <w:t>、O</w:t>
                  </w:r>
                  <w:r>
                    <w:rPr>
                      <w:rFonts w:hint="default"/>
                      <w:color w:val="auto"/>
                      <w:vertAlign w:val="subscript"/>
                    </w:rPr>
                    <w:t>3</w:t>
                  </w:r>
                  <w:r>
                    <w:rPr>
                      <w:rFonts w:hint="default"/>
                      <w:color w:val="auto"/>
                    </w:rPr>
                    <w:t>、CO六项污染物均满足《环境空气质量标准》（GB3095－</w:t>
                  </w:r>
                  <w:r>
                    <w:rPr>
                      <w:rFonts w:hint="eastAsia"/>
                      <w:color w:val="auto"/>
                      <w:lang w:val="en-US" w:eastAsia="zh-CN"/>
                    </w:rPr>
                    <w:t>2012</w:t>
                  </w:r>
                  <w:r>
                    <w:rPr>
                      <w:rFonts w:hint="default"/>
                      <w:color w:val="auto"/>
                    </w:rPr>
                    <w:t>）及2018年修改单中的二级标准要求（因项目引用数据为2024年，不在新标准执行的时限内，因此对标执行（GB3095-2012）及2018年修改单中的二级标准），项目所在区域为达标区。经分析，项目产生的大气污染物经采取积极有效的污染控制措施后，能达标排放，且排放量小，对区域环境空气质量的影响很小，不影响区域环境空气质量改善的目标要求。</w:t>
                  </w:r>
                </w:p>
              </w:tc>
              <w:tc>
                <w:tcPr>
                  <w:tcW w:w="454" w:type="pct"/>
                  <w:vAlign w:val="center"/>
                </w:tcPr>
                <w:p w14:paraId="349F0017">
                  <w:pPr>
                    <w:pStyle w:val="31"/>
                    <w:bidi w:val="0"/>
                    <w:rPr>
                      <w:rFonts w:hint="default"/>
                      <w:color w:val="auto"/>
                    </w:rPr>
                  </w:pPr>
                  <w:r>
                    <w:rPr>
                      <w:color w:val="auto"/>
                    </w:rPr>
                    <w:t>符合</w:t>
                  </w:r>
                </w:p>
              </w:tc>
            </w:tr>
            <w:tr w14:paraId="0ACE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20F49F7E">
                  <w:pPr>
                    <w:pStyle w:val="31"/>
                    <w:bidi w:val="0"/>
                    <w:rPr>
                      <w:rFonts w:hint="default"/>
                      <w:color w:val="auto"/>
                    </w:rPr>
                  </w:pPr>
                  <w:r>
                    <w:rPr>
                      <w:color w:val="auto"/>
                    </w:rPr>
                    <w:t>3</w:t>
                  </w:r>
                </w:p>
              </w:tc>
              <w:tc>
                <w:tcPr>
                  <w:tcW w:w="2204" w:type="pct"/>
                  <w:vAlign w:val="center"/>
                </w:tcPr>
                <w:p w14:paraId="016CAB08">
                  <w:pPr>
                    <w:pStyle w:val="31"/>
                    <w:bidi w:val="0"/>
                    <w:rPr>
                      <w:rFonts w:hint="default"/>
                      <w:color w:val="auto"/>
                    </w:rPr>
                  </w:pPr>
                  <w:r>
                    <w:rPr>
                      <w:rFonts w:hint="default"/>
                      <w:color w:val="auto"/>
                    </w:rPr>
                    <w:t>土壤环境风险防控底线。到2025年，全市土壤环境风险防范体系进一步完善，受污染耕地安全利用率和污染地块安全利用率达到省下达的目标要求。到2035年，全市土壤环境质量稳中向好，农用地和建设用地土壤环境安全得到有效保障，受污染耕地安全利用率和污染地块安全利用率进一步提高，土壤环境风险得到全面管控。</w:t>
                  </w:r>
                </w:p>
              </w:tc>
              <w:tc>
                <w:tcPr>
                  <w:tcW w:w="1923" w:type="pct"/>
                  <w:vAlign w:val="center"/>
                </w:tcPr>
                <w:p w14:paraId="0F1D71D4">
                  <w:pPr>
                    <w:pStyle w:val="31"/>
                    <w:bidi w:val="0"/>
                    <w:rPr>
                      <w:rFonts w:hint="default"/>
                      <w:color w:val="auto"/>
                    </w:rPr>
                  </w:pPr>
                  <w:r>
                    <w:rPr>
                      <w:color w:val="auto"/>
                    </w:rPr>
                    <w:t>项目不涉及使用危险化学品，运营期废气达标排放，无废水外排，</w:t>
                  </w:r>
                  <w:r>
                    <w:rPr>
                      <w:rFonts w:hint="eastAsia"/>
                      <w:color w:val="auto"/>
                    </w:rPr>
                    <w:t>危险废物妥善处理，固废均得到合理处置。项目建成后对区域土壤环境质量产生影响较小，土壤环境风险较低。</w:t>
                  </w:r>
                </w:p>
              </w:tc>
              <w:tc>
                <w:tcPr>
                  <w:tcW w:w="454" w:type="pct"/>
                  <w:vAlign w:val="center"/>
                </w:tcPr>
                <w:p w14:paraId="1495B7B7">
                  <w:pPr>
                    <w:pStyle w:val="31"/>
                    <w:bidi w:val="0"/>
                    <w:rPr>
                      <w:rFonts w:hint="default"/>
                      <w:color w:val="auto"/>
                    </w:rPr>
                  </w:pPr>
                  <w:r>
                    <w:rPr>
                      <w:color w:val="auto"/>
                    </w:rPr>
                    <w:t>符合</w:t>
                  </w:r>
                </w:p>
              </w:tc>
            </w:tr>
            <w:tr w14:paraId="5C27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7BBC251C">
                  <w:pPr>
                    <w:pStyle w:val="31"/>
                    <w:bidi w:val="0"/>
                    <w:rPr>
                      <w:rFonts w:hint="default"/>
                      <w:color w:val="auto"/>
                    </w:rPr>
                  </w:pPr>
                  <w:r>
                    <w:rPr>
                      <w:color w:val="auto"/>
                    </w:rPr>
                    <w:t>三、资源利用上线</w:t>
                  </w:r>
                </w:p>
              </w:tc>
            </w:tr>
            <w:tr w14:paraId="2645D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46725978">
                  <w:pPr>
                    <w:pStyle w:val="31"/>
                    <w:bidi w:val="0"/>
                    <w:rPr>
                      <w:rFonts w:hint="default"/>
                      <w:color w:val="auto"/>
                    </w:rPr>
                  </w:pPr>
                  <w:r>
                    <w:rPr>
                      <w:color w:val="auto"/>
                    </w:rPr>
                    <w:t>1</w:t>
                  </w:r>
                </w:p>
              </w:tc>
              <w:tc>
                <w:tcPr>
                  <w:tcW w:w="2204" w:type="pct"/>
                  <w:vAlign w:val="center"/>
                </w:tcPr>
                <w:p w14:paraId="5301F81D">
                  <w:pPr>
                    <w:pStyle w:val="31"/>
                    <w:bidi w:val="0"/>
                    <w:rPr>
                      <w:rFonts w:hint="default"/>
                      <w:color w:val="auto"/>
                    </w:rPr>
                  </w:pPr>
                  <w:r>
                    <w:rPr>
                      <w:rFonts w:hint="default"/>
                      <w:color w:val="auto"/>
                    </w:rPr>
                    <w:t>强化资源能源节约集约利用，持续提升资源能源利用效率，水资源、土地资源、能源消耗等达到或优于省下达的总量和强度控制目标。</w:t>
                  </w:r>
                </w:p>
              </w:tc>
              <w:tc>
                <w:tcPr>
                  <w:tcW w:w="1923" w:type="pct"/>
                  <w:vAlign w:val="center"/>
                </w:tcPr>
                <w:p w14:paraId="63306E70">
                  <w:pPr>
                    <w:pStyle w:val="31"/>
                    <w:bidi w:val="0"/>
                    <w:rPr>
                      <w:rFonts w:hint="eastAsia"/>
                      <w:color w:val="auto"/>
                      <w:lang w:eastAsia="zh-CN"/>
                    </w:rPr>
                  </w:pPr>
                  <w:r>
                    <w:rPr>
                      <w:rFonts w:hint="eastAsia"/>
                      <w:color w:val="auto"/>
                      <w:lang w:eastAsia="zh-CN"/>
                    </w:rPr>
                    <w:t>本项目用水来自纳古镇自来水管网，用水主要为办公生活用水和焊管冷却用水不会突破水资源利用上线。本项目不占用基本农田和耕地，符合当地规划要求，符合土地资源利用上线求。</w:t>
                  </w:r>
                </w:p>
              </w:tc>
              <w:tc>
                <w:tcPr>
                  <w:tcW w:w="454" w:type="pct"/>
                  <w:vAlign w:val="center"/>
                </w:tcPr>
                <w:p w14:paraId="39BB0B14">
                  <w:pPr>
                    <w:pStyle w:val="31"/>
                    <w:bidi w:val="0"/>
                    <w:rPr>
                      <w:rFonts w:hint="default"/>
                      <w:color w:val="auto"/>
                    </w:rPr>
                  </w:pPr>
                  <w:r>
                    <w:rPr>
                      <w:color w:val="auto"/>
                    </w:rPr>
                    <w:t>符合</w:t>
                  </w:r>
                </w:p>
              </w:tc>
            </w:tr>
            <w:tr w14:paraId="51127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0108B1F0">
                  <w:pPr>
                    <w:pStyle w:val="31"/>
                    <w:bidi w:val="0"/>
                    <w:rPr>
                      <w:rFonts w:hint="default"/>
                      <w:color w:val="auto"/>
                    </w:rPr>
                  </w:pPr>
                  <w:r>
                    <w:rPr>
                      <w:color w:val="auto"/>
                    </w:rPr>
                    <w:t>四、</w:t>
                  </w:r>
                  <w:r>
                    <w:rPr>
                      <w:rFonts w:hint="eastAsia"/>
                      <w:color w:val="auto"/>
                    </w:rPr>
                    <w:t>生态环境准入清单（通海县农业农村面源污染重点管控单元）</w:t>
                  </w:r>
                </w:p>
              </w:tc>
            </w:tr>
            <w:tr w14:paraId="40EC5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22C1C455">
                  <w:pPr>
                    <w:pStyle w:val="31"/>
                    <w:bidi w:val="0"/>
                    <w:rPr>
                      <w:rFonts w:hint="eastAsia" w:eastAsia="宋体"/>
                      <w:color w:val="auto"/>
                      <w:lang w:val="en-US" w:eastAsia="zh-CN"/>
                    </w:rPr>
                  </w:pPr>
                  <w:r>
                    <w:rPr>
                      <w:rFonts w:hint="eastAsia"/>
                      <w:color w:val="auto"/>
                      <w:lang w:eastAsia="zh-CN"/>
                    </w:rPr>
                    <w:t>空间布局约束</w:t>
                  </w:r>
                </w:p>
              </w:tc>
              <w:tc>
                <w:tcPr>
                  <w:tcW w:w="2204" w:type="pct"/>
                  <w:vAlign w:val="center"/>
                </w:tcPr>
                <w:p w14:paraId="75A86EAA">
                  <w:pPr>
                    <w:pStyle w:val="31"/>
                    <w:bidi w:val="0"/>
                    <w:jc w:val="left"/>
                    <w:rPr>
                      <w:rFonts w:hint="default"/>
                      <w:color w:val="auto"/>
                    </w:rPr>
                  </w:pPr>
                  <w:r>
                    <w:rPr>
                      <w:rFonts w:hint="default"/>
                      <w:color w:val="auto"/>
                    </w:rPr>
                    <w:t>1.杞麓湖流域内开发建设活动必须严格遵守《云南省杞麓湖保护条例》要求。</w:t>
                  </w:r>
                </w:p>
                <w:p w14:paraId="401A29AE">
                  <w:pPr>
                    <w:pStyle w:val="31"/>
                    <w:bidi w:val="0"/>
                    <w:jc w:val="left"/>
                    <w:rPr>
                      <w:rFonts w:hint="default"/>
                      <w:color w:val="auto"/>
                    </w:rPr>
                  </w:pPr>
                  <w:r>
                    <w:rPr>
                      <w:rFonts w:hint="default"/>
                      <w:color w:val="auto"/>
                    </w:rPr>
                    <w:t>2.严禁以任何形式围垦河湖、违法占用河湖水域，严格实施杞麓湖“四退三还”。</w:t>
                  </w:r>
                </w:p>
                <w:p w14:paraId="05CDBBB0">
                  <w:pPr>
                    <w:pStyle w:val="31"/>
                    <w:bidi w:val="0"/>
                    <w:jc w:val="left"/>
                    <w:rPr>
                      <w:rFonts w:hint="default"/>
                      <w:color w:val="auto"/>
                    </w:rPr>
                  </w:pPr>
                  <w:r>
                    <w:rPr>
                      <w:rFonts w:hint="default"/>
                      <w:color w:val="auto"/>
                    </w:rPr>
                    <w:t>3.严格执行杞麓湖流域内畜禽养殖禁养限养规定。</w:t>
                  </w:r>
                </w:p>
                <w:p w14:paraId="5FDEECC7">
                  <w:pPr>
                    <w:pStyle w:val="31"/>
                    <w:bidi w:val="0"/>
                    <w:jc w:val="left"/>
                    <w:rPr>
                      <w:rFonts w:hint="default"/>
                      <w:color w:val="auto"/>
                    </w:rPr>
                  </w:pPr>
                  <w:r>
                    <w:rPr>
                      <w:rFonts w:hint="default"/>
                      <w:color w:val="auto"/>
                    </w:rPr>
                    <w:t>4.调整种植结构，推进水旱轮作，压缩蔬菜种植面积。</w:t>
                  </w:r>
                </w:p>
              </w:tc>
              <w:tc>
                <w:tcPr>
                  <w:tcW w:w="1923" w:type="pct"/>
                  <w:vAlign w:val="center"/>
                </w:tcPr>
                <w:p w14:paraId="50805206">
                  <w:pPr>
                    <w:pStyle w:val="31"/>
                    <w:bidi w:val="0"/>
                    <w:jc w:val="both"/>
                    <w:rPr>
                      <w:rFonts w:hint="eastAsia" w:eastAsia="宋体"/>
                      <w:color w:val="auto"/>
                      <w:lang w:eastAsia="zh-CN"/>
                    </w:rPr>
                  </w:pPr>
                  <w:r>
                    <w:rPr>
                      <w:rFonts w:hint="eastAsia" w:eastAsia="宋体"/>
                      <w:color w:val="auto"/>
                      <w:lang w:eastAsia="zh-CN"/>
                    </w:rPr>
                    <w:t>1、项目建设符合《云南省杞麓湖保护条例》要求；</w:t>
                  </w:r>
                </w:p>
                <w:p w14:paraId="24126692">
                  <w:pPr>
                    <w:pStyle w:val="31"/>
                    <w:bidi w:val="0"/>
                    <w:jc w:val="both"/>
                    <w:rPr>
                      <w:rFonts w:hint="eastAsia" w:eastAsia="宋体"/>
                      <w:color w:val="auto"/>
                      <w:lang w:eastAsia="zh-CN"/>
                    </w:rPr>
                  </w:pPr>
                  <w:r>
                    <w:rPr>
                      <w:rFonts w:hint="eastAsia" w:eastAsia="宋体"/>
                      <w:color w:val="auto"/>
                      <w:lang w:eastAsia="zh-CN"/>
                    </w:rPr>
                    <w:t>2、项目建设不涉及围垦河湖、违法占用河湖水域。</w:t>
                  </w:r>
                </w:p>
                <w:p w14:paraId="7969F6DA">
                  <w:pPr>
                    <w:pStyle w:val="31"/>
                    <w:bidi w:val="0"/>
                    <w:jc w:val="both"/>
                    <w:rPr>
                      <w:rFonts w:hint="eastAsia" w:eastAsia="宋体"/>
                      <w:color w:val="auto"/>
                      <w:lang w:eastAsia="zh-CN"/>
                    </w:rPr>
                  </w:pPr>
                  <w:r>
                    <w:rPr>
                      <w:rFonts w:hint="eastAsia" w:eastAsia="宋体"/>
                      <w:color w:val="auto"/>
                      <w:lang w:eastAsia="zh-CN"/>
                    </w:rPr>
                    <w:t>3、项目不涉及；</w:t>
                  </w:r>
                </w:p>
                <w:p w14:paraId="13684FBB">
                  <w:pPr>
                    <w:pStyle w:val="31"/>
                    <w:bidi w:val="0"/>
                    <w:jc w:val="both"/>
                    <w:rPr>
                      <w:rFonts w:hint="eastAsia" w:eastAsia="宋体"/>
                      <w:color w:val="auto"/>
                      <w:lang w:eastAsia="zh-CN"/>
                    </w:rPr>
                  </w:pPr>
                  <w:r>
                    <w:rPr>
                      <w:rFonts w:hint="eastAsia" w:eastAsia="宋体"/>
                      <w:color w:val="auto"/>
                      <w:lang w:eastAsia="zh-CN"/>
                    </w:rPr>
                    <w:t>4、项目不涉及。</w:t>
                  </w:r>
                </w:p>
              </w:tc>
              <w:tc>
                <w:tcPr>
                  <w:tcW w:w="454" w:type="pct"/>
                  <w:vAlign w:val="center"/>
                </w:tcPr>
                <w:p w14:paraId="009A70A4">
                  <w:pPr>
                    <w:pStyle w:val="31"/>
                    <w:bidi w:val="0"/>
                    <w:rPr>
                      <w:rFonts w:hint="eastAsia" w:eastAsia="宋体"/>
                      <w:color w:val="auto"/>
                      <w:lang w:eastAsia="zh-CN"/>
                    </w:rPr>
                  </w:pPr>
                  <w:r>
                    <w:rPr>
                      <w:rFonts w:hint="eastAsia"/>
                      <w:color w:val="auto"/>
                      <w:lang w:eastAsia="zh-CN"/>
                    </w:rPr>
                    <w:t>符合</w:t>
                  </w:r>
                </w:p>
              </w:tc>
            </w:tr>
            <w:tr w14:paraId="01CE7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40A48ED8">
                  <w:pPr>
                    <w:pStyle w:val="31"/>
                    <w:bidi w:val="0"/>
                    <w:rPr>
                      <w:rFonts w:hint="default"/>
                      <w:color w:val="auto"/>
                      <w:lang w:val="en-US" w:eastAsia="zh-CN"/>
                    </w:rPr>
                  </w:pPr>
                  <w:r>
                    <w:rPr>
                      <w:rFonts w:hint="default" w:ascii="Times New Roman" w:hAnsi="Times New Roman" w:eastAsia="宋体" w:cs="Times New Roman"/>
                      <w:color w:val="auto"/>
                      <w:sz w:val="21"/>
                      <w:szCs w:val="21"/>
                    </w:rPr>
                    <w:t>污染物排放管控</w:t>
                  </w:r>
                </w:p>
              </w:tc>
              <w:tc>
                <w:tcPr>
                  <w:tcW w:w="2204" w:type="pct"/>
                  <w:vAlign w:val="center"/>
                </w:tcPr>
                <w:p w14:paraId="4C58F2EF">
                  <w:pPr>
                    <w:pStyle w:val="31"/>
                    <w:bidi w:val="0"/>
                    <w:jc w:val="left"/>
                    <w:rPr>
                      <w:rFonts w:hint="default"/>
                      <w:color w:val="auto"/>
                    </w:rPr>
                  </w:pPr>
                  <w:r>
                    <w:rPr>
                      <w:rFonts w:hint="default"/>
                      <w:color w:val="auto"/>
                    </w:rPr>
                    <w:t>1.在杞麓湖实施退地减水，从源头控制农业面源入湖污染负荷。</w:t>
                  </w:r>
                </w:p>
                <w:p w14:paraId="5EA8175E">
                  <w:pPr>
                    <w:pStyle w:val="31"/>
                    <w:bidi w:val="0"/>
                    <w:jc w:val="left"/>
                    <w:rPr>
                      <w:rFonts w:hint="default"/>
                      <w:color w:val="auto"/>
                    </w:rPr>
                  </w:pPr>
                  <w:r>
                    <w:rPr>
                      <w:rFonts w:hint="default"/>
                      <w:color w:val="auto"/>
                    </w:rPr>
                    <w:t>2.加强农村人居环境整治，垃圾及生活污水治理水平稳步提升，完成非正规垃圾堆放点整治，到2025年，农村生活污水治理率达95.71%。</w:t>
                  </w:r>
                </w:p>
                <w:p w14:paraId="0A8D9941">
                  <w:pPr>
                    <w:pStyle w:val="31"/>
                    <w:bidi w:val="0"/>
                    <w:jc w:val="left"/>
                    <w:rPr>
                      <w:rFonts w:hint="default"/>
                      <w:color w:val="auto"/>
                    </w:rPr>
                  </w:pPr>
                  <w:r>
                    <w:rPr>
                      <w:rFonts w:hint="default"/>
                      <w:color w:val="auto"/>
                    </w:rPr>
                    <w:t>3.严禁未经处理或处理后未达标的农田尾水、养殖废水直接排入河道。严格执行禁养区制度，合理确定限养区内养殖总量。完善粪污资源化利用设施设备建设，实现粪污无害化处理，至2025年，畜禽粪便资源化利用率达到90%及以上。</w:t>
                  </w:r>
                </w:p>
                <w:p w14:paraId="2712B67B">
                  <w:pPr>
                    <w:pStyle w:val="31"/>
                    <w:bidi w:val="0"/>
                    <w:jc w:val="left"/>
                    <w:rPr>
                      <w:rFonts w:hint="default"/>
                      <w:color w:val="auto"/>
                    </w:rPr>
                  </w:pPr>
                  <w:r>
                    <w:rPr>
                      <w:rFonts w:hint="default"/>
                      <w:color w:val="auto"/>
                    </w:rPr>
                    <w:t>4.不使用含磷洗涤用品，减少化肥农药施用量，主要农作物化肥农药使用量实现负增长，2025化肥施用量年比2020年减少10%以上。</w:t>
                  </w:r>
                </w:p>
              </w:tc>
              <w:tc>
                <w:tcPr>
                  <w:tcW w:w="1923" w:type="pct"/>
                  <w:vAlign w:val="center"/>
                </w:tcPr>
                <w:p w14:paraId="7D5E9A29">
                  <w:pPr>
                    <w:pStyle w:val="31"/>
                    <w:bidi w:val="0"/>
                    <w:jc w:val="both"/>
                    <w:rPr>
                      <w:rFonts w:hint="eastAsia" w:eastAsia="宋体"/>
                      <w:color w:val="auto"/>
                      <w:lang w:eastAsia="zh-CN"/>
                    </w:rPr>
                  </w:pPr>
                  <w:r>
                    <w:rPr>
                      <w:rFonts w:hint="eastAsia" w:eastAsia="宋体"/>
                      <w:color w:val="auto"/>
                      <w:lang w:eastAsia="zh-CN"/>
                    </w:rPr>
                    <w:t>1、项目为钢压延加工，不涉及农业面源；</w:t>
                  </w:r>
                </w:p>
                <w:p w14:paraId="63CFFF0B">
                  <w:pPr>
                    <w:pStyle w:val="31"/>
                    <w:bidi w:val="0"/>
                    <w:jc w:val="both"/>
                    <w:rPr>
                      <w:rFonts w:hint="eastAsia" w:eastAsia="宋体"/>
                      <w:color w:val="auto"/>
                      <w:lang w:eastAsia="zh-CN"/>
                    </w:rPr>
                  </w:pPr>
                  <w:r>
                    <w:rPr>
                      <w:rFonts w:hint="eastAsia" w:eastAsia="宋体"/>
                      <w:color w:val="auto"/>
                      <w:lang w:eastAsia="zh-CN"/>
                    </w:rPr>
                    <w:t>2、项目生活垃圾委托</w:t>
                  </w:r>
                  <w:r>
                    <w:rPr>
                      <w:rFonts w:hint="eastAsia"/>
                      <w:color w:val="auto"/>
                      <w:lang w:val="en-US" w:eastAsia="zh-CN"/>
                    </w:rPr>
                    <w:t>纳古镇</w:t>
                  </w:r>
                  <w:r>
                    <w:rPr>
                      <w:rFonts w:hint="eastAsia" w:eastAsia="宋体"/>
                      <w:color w:val="auto"/>
                      <w:lang w:eastAsia="zh-CN"/>
                    </w:rPr>
                    <w:t>环卫部门清运，生活污水经化粪池处理后</w:t>
                  </w:r>
                  <w:r>
                    <w:rPr>
                      <w:rFonts w:hint="eastAsia"/>
                      <w:color w:val="auto"/>
                      <w:lang w:val="en-US" w:eastAsia="zh-CN"/>
                    </w:rPr>
                    <w:t>进入自建一体化污水处理设施处理达标后回用于厂区绿化及道路空地浇洒，不外排</w:t>
                  </w:r>
                  <w:r>
                    <w:rPr>
                      <w:rFonts w:hint="eastAsia" w:eastAsia="宋体"/>
                      <w:color w:val="auto"/>
                      <w:lang w:eastAsia="zh-CN"/>
                    </w:rPr>
                    <w:t>；</w:t>
                  </w:r>
                </w:p>
                <w:p w14:paraId="6FB2420D">
                  <w:pPr>
                    <w:pStyle w:val="31"/>
                    <w:bidi w:val="0"/>
                    <w:jc w:val="both"/>
                    <w:rPr>
                      <w:rFonts w:hint="eastAsia" w:eastAsia="宋体"/>
                      <w:color w:val="auto"/>
                      <w:lang w:eastAsia="zh-CN"/>
                    </w:rPr>
                  </w:pPr>
                  <w:r>
                    <w:rPr>
                      <w:rFonts w:hint="eastAsia" w:eastAsia="宋体"/>
                      <w:color w:val="auto"/>
                      <w:lang w:eastAsia="zh-CN"/>
                    </w:rPr>
                    <w:t>3、项目不涉及；</w:t>
                  </w:r>
                </w:p>
                <w:p w14:paraId="11EA4236">
                  <w:pPr>
                    <w:pStyle w:val="31"/>
                    <w:bidi w:val="0"/>
                    <w:jc w:val="both"/>
                    <w:rPr>
                      <w:rFonts w:hint="eastAsia" w:eastAsia="宋体"/>
                      <w:color w:val="auto"/>
                      <w:lang w:eastAsia="zh-CN"/>
                    </w:rPr>
                  </w:pPr>
                  <w:r>
                    <w:rPr>
                      <w:rFonts w:hint="eastAsia" w:eastAsia="宋体"/>
                      <w:color w:val="auto"/>
                      <w:lang w:eastAsia="zh-CN"/>
                    </w:rPr>
                    <w:t>4、项目不涉及。</w:t>
                  </w:r>
                </w:p>
              </w:tc>
              <w:tc>
                <w:tcPr>
                  <w:tcW w:w="454" w:type="pct"/>
                  <w:vAlign w:val="center"/>
                </w:tcPr>
                <w:p w14:paraId="16C79FB1">
                  <w:pPr>
                    <w:pStyle w:val="31"/>
                    <w:bidi w:val="0"/>
                    <w:rPr>
                      <w:rFonts w:hint="eastAsia" w:eastAsia="宋体"/>
                      <w:color w:val="auto"/>
                      <w:lang w:eastAsia="zh-CN"/>
                    </w:rPr>
                  </w:pPr>
                  <w:r>
                    <w:rPr>
                      <w:rFonts w:hint="eastAsia"/>
                      <w:color w:val="auto"/>
                      <w:lang w:eastAsia="zh-CN"/>
                    </w:rPr>
                    <w:t>符合</w:t>
                  </w:r>
                </w:p>
              </w:tc>
            </w:tr>
            <w:tr w14:paraId="15F10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4D0F088A">
                  <w:pPr>
                    <w:pStyle w:val="31"/>
                    <w:bidi w:val="0"/>
                    <w:rPr>
                      <w:rFonts w:hint="default"/>
                      <w:color w:val="auto"/>
                      <w:lang w:val="en-US" w:eastAsia="zh-CN"/>
                    </w:rPr>
                  </w:pPr>
                  <w:r>
                    <w:rPr>
                      <w:rFonts w:hint="default" w:ascii="Times New Roman" w:hAnsi="Times New Roman" w:eastAsia="宋体" w:cs="Times New Roman"/>
                      <w:color w:val="auto"/>
                      <w:sz w:val="21"/>
                      <w:szCs w:val="21"/>
                    </w:rPr>
                    <w:t>环境风险防控</w:t>
                  </w:r>
                </w:p>
              </w:tc>
              <w:tc>
                <w:tcPr>
                  <w:tcW w:w="2204" w:type="pct"/>
                  <w:vAlign w:val="center"/>
                </w:tcPr>
                <w:p w14:paraId="1F2559EC">
                  <w:pPr>
                    <w:pStyle w:val="31"/>
                    <w:bidi w:val="0"/>
                    <w:jc w:val="left"/>
                    <w:rPr>
                      <w:rFonts w:hint="default"/>
                      <w:color w:val="auto"/>
                    </w:rPr>
                  </w:pPr>
                  <w:r>
                    <w:rPr>
                      <w:rFonts w:hint="default"/>
                      <w:color w:val="auto"/>
                    </w:rPr>
                    <w:t>1.建立杞麓湖蓝藻水华和底泥防控体系。</w:t>
                  </w:r>
                </w:p>
                <w:p w14:paraId="0142ADD7">
                  <w:pPr>
                    <w:pStyle w:val="31"/>
                    <w:bidi w:val="0"/>
                    <w:jc w:val="left"/>
                    <w:rPr>
                      <w:rFonts w:hint="default"/>
                      <w:color w:val="auto"/>
                    </w:rPr>
                  </w:pPr>
                  <w:r>
                    <w:rPr>
                      <w:rFonts w:hint="default"/>
                      <w:color w:val="auto"/>
                    </w:rPr>
                    <w:t>2.禁止向农田灌溉渠道排放工业废水或者医疗污水。</w:t>
                  </w:r>
                </w:p>
                <w:p w14:paraId="63DAF8FC">
                  <w:pPr>
                    <w:pStyle w:val="31"/>
                    <w:bidi w:val="0"/>
                    <w:jc w:val="left"/>
                    <w:rPr>
                      <w:rFonts w:hint="default"/>
                      <w:color w:val="auto"/>
                    </w:rPr>
                  </w:pPr>
                  <w:r>
                    <w:rPr>
                      <w:rFonts w:hint="default"/>
                      <w:color w:val="auto"/>
                    </w:rPr>
                    <w:t>3.农田灌溉用水应当符合相应的水质标准，防止土壤、地下水和农产品污染。</w:t>
                  </w:r>
                </w:p>
                <w:p w14:paraId="17B94633">
                  <w:pPr>
                    <w:pStyle w:val="31"/>
                    <w:bidi w:val="0"/>
                    <w:jc w:val="left"/>
                    <w:rPr>
                      <w:rFonts w:hint="default"/>
                      <w:color w:val="auto"/>
                    </w:rPr>
                  </w:pPr>
                  <w:r>
                    <w:rPr>
                      <w:rFonts w:hint="default"/>
                      <w:color w:val="auto"/>
                    </w:rPr>
                    <w:t>4.实施农作物秸秆资源化利用，严防因秸秆露天焚烧造成区域性重污染天气。</w:t>
                  </w:r>
                </w:p>
                <w:p w14:paraId="791C2E22">
                  <w:pPr>
                    <w:pStyle w:val="31"/>
                    <w:bidi w:val="0"/>
                    <w:jc w:val="left"/>
                    <w:rPr>
                      <w:rFonts w:hint="default"/>
                      <w:color w:val="auto"/>
                    </w:rPr>
                  </w:pPr>
                  <w:r>
                    <w:rPr>
                      <w:rFonts w:hint="default"/>
                      <w:color w:val="auto"/>
                    </w:rPr>
                    <w:t>5.禁止生产、销售、使用国家明令禁止的农业投入品，开展农用地土壤污染防治宣传和技术培训活动，扶持农业生产专业化服务，指导农业生产者合理使用农药、兽药、肥料、饲料、农用薄膜等农业投入品，控制农药、兽药、化肥等的使用量。</w:t>
                  </w:r>
                </w:p>
                <w:p w14:paraId="683DA3B7">
                  <w:pPr>
                    <w:pStyle w:val="31"/>
                    <w:bidi w:val="0"/>
                    <w:jc w:val="left"/>
                    <w:rPr>
                      <w:rFonts w:hint="default"/>
                      <w:color w:val="auto"/>
                    </w:rPr>
                  </w:pPr>
                  <w:r>
                    <w:rPr>
                      <w:rFonts w:hint="default"/>
                      <w:color w:val="auto"/>
                    </w:rPr>
                    <w:t>6.增强废弃菜叶应急处置能力，防止废弃菜叶资源化工程二次污染。</w:t>
                  </w:r>
                </w:p>
              </w:tc>
              <w:tc>
                <w:tcPr>
                  <w:tcW w:w="1923" w:type="pct"/>
                  <w:vAlign w:val="center"/>
                </w:tcPr>
                <w:p w14:paraId="5D0A0A64">
                  <w:pPr>
                    <w:pStyle w:val="31"/>
                    <w:bidi w:val="0"/>
                    <w:jc w:val="both"/>
                    <w:rPr>
                      <w:rFonts w:hint="eastAsia" w:eastAsia="宋体"/>
                      <w:color w:val="auto"/>
                      <w:lang w:eastAsia="zh-CN"/>
                    </w:rPr>
                  </w:pPr>
                  <w:r>
                    <w:rPr>
                      <w:rFonts w:hint="eastAsia" w:eastAsia="宋体"/>
                      <w:color w:val="auto"/>
                      <w:lang w:eastAsia="zh-CN"/>
                    </w:rPr>
                    <w:t>1、项目不涉及；</w:t>
                  </w:r>
                </w:p>
                <w:p w14:paraId="23254AC3">
                  <w:pPr>
                    <w:pStyle w:val="31"/>
                    <w:bidi w:val="0"/>
                    <w:jc w:val="both"/>
                    <w:rPr>
                      <w:rFonts w:hint="eastAsia" w:eastAsia="宋体"/>
                      <w:color w:val="auto"/>
                      <w:lang w:eastAsia="zh-CN"/>
                    </w:rPr>
                  </w:pPr>
                  <w:r>
                    <w:rPr>
                      <w:rFonts w:hint="eastAsia" w:eastAsia="宋体"/>
                      <w:color w:val="auto"/>
                      <w:lang w:eastAsia="zh-CN"/>
                    </w:rPr>
                    <w:t>2、生活污水经化粪池处理后进入自建一体化</w:t>
                  </w:r>
                  <w:r>
                    <w:rPr>
                      <w:rFonts w:hint="eastAsia"/>
                      <w:color w:val="auto"/>
                      <w:lang w:val="en-US" w:eastAsia="zh-CN"/>
                    </w:rPr>
                    <w:t>污水</w:t>
                  </w:r>
                  <w:r>
                    <w:rPr>
                      <w:rFonts w:hint="eastAsia" w:eastAsia="宋体"/>
                      <w:color w:val="auto"/>
                      <w:lang w:eastAsia="zh-CN"/>
                    </w:rPr>
                    <w:t>处理设施处理达标后回用于厂区绿化及道路空地浇洒，不外排；</w:t>
                  </w:r>
                </w:p>
                <w:p w14:paraId="1EEB9AA4">
                  <w:pPr>
                    <w:pStyle w:val="31"/>
                    <w:bidi w:val="0"/>
                    <w:jc w:val="both"/>
                    <w:rPr>
                      <w:rFonts w:hint="eastAsia" w:eastAsia="宋体"/>
                      <w:color w:val="auto"/>
                      <w:lang w:eastAsia="zh-CN"/>
                    </w:rPr>
                  </w:pPr>
                  <w:r>
                    <w:rPr>
                      <w:rFonts w:hint="eastAsia" w:eastAsia="宋体"/>
                      <w:color w:val="auto"/>
                      <w:lang w:eastAsia="zh-CN"/>
                    </w:rPr>
                    <w:t>3～6：项目不涉及。</w:t>
                  </w:r>
                </w:p>
              </w:tc>
              <w:tc>
                <w:tcPr>
                  <w:tcW w:w="454" w:type="pct"/>
                  <w:vAlign w:val="center"/>
                </w:tcPr>
                <w:p w14:paraId="18B4F1F9">
                  <w:pPr>
                    <w:pStyle w:val="31"/>
                    <w:bidi w:val="0"/>
                    <w:rPr>
                      <w:rFonts w:hint="eastAsia" w:eastAsia="宋体"/>
                      <w:color w:val="auto"/>
                      <w:lang w:eastAsia="zh-CN"/>
                    </w:rPr>
                  </w:pPr>
                  <w:r>
                    <w:rPr>
                      <w:rFonts w:hint="eastAsia"/>
                      <w:color w:val="auto"/>
                      <w:lang w:eastAsia="zh-CN"/>
                    </w:rPr>
                    <w:t>符合</w:t>
                  </w:r>
                </w:p>
              </w:tc>
            </w:tr>
            <w:tr w14:paraId="726A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000B0F66">
                  <w:pPr>
                    <w:pStyle w:val="31"/>
                    <w:bidi w:val="0"/>
                    <w:rPr>
                      <w:rFonts w:hint="default"/>
                      <w:color w:val="auto"/>
                      <w:lang w:val="en-US" w:eastAsia="zh-CN"/>
                    </w:rPr>
                  </w:pPr>
                  <w:r>
                    <w:rPr>
                      <w:rFonts w:hint="default" w:ascii="Times New Roman" w:hAnsi="Times New Roman" w:eastAsia="宋体" w:cs="Times New Roman"/>
                      <w:color w:val="auto"/>
                      <w:sz w:val="21"/>
                      <w:szCs w:val="21"/>
                    </w:rPr>
                    <w:t>资源开发利用效率</w:t>
                  </w:r>
                </w:p>
              </w:tc>
              <w:tc>
                <w:tcPr>
                  <w:tcW w:w="2204" w:type="pct"/>
                  <w:vAlign w:val="center"/>
                </w:tcPr>
                <w:p w14:paraId="0DBFE394">
                  <w:pPr>
                    <w:pStyle w:val="31"/>
                    <w:bidi w:val="0"/>
                    <w:jc w:val="left"/>
                    <w:rPr>
                      <w:rFonts w:hint="default"/>
                      <w:color w:val="auto"/>
                      <w:lang w:val="en-US" w:eastAsia="zh-CN"/>
                    </w:rPr>
                  </w:pPr>
                  <w:r>
                    <w:rPr>
                      <w:rFonts w:hint="default"/>
                      <w:color w:val="auto"/>
                      <w:lang w:val="en-US" w:eastAsia="zh-CN"/>
                    </w:rPr>
                    <w:t>1.严控农业杞麓湖取水量，截留后的雨水经适度处理后通过水资源的循环利用于农田灌溉，农田灌溉水有效利用系数达到0.52以上。</w:t>
                  </w:r>
                </w:p>
                <w:p w14:paraId="56E9BE1D">
                  <w:pPr>
                    <w:pStyle w:val="31"/>
                    <w:bidi w:val="0"/>
                    <w:jc w:val="left"/>
                    <w:rPr>
                      <w:rFonts w:hint="default"/>
                      <w:color w:val="auto"/>
                      <w:lang w:val="en-US" w:eastAsia="zh-CN"/>
                    </w:rPr>
                  </w:pPr>
                  <w:r>
                    <w:rPr>
                      <w:rFonts w:hint="default"/>
                      <w:color w:val="auto"/>
                      <w:lang w:val="en-US" w:eastAsia="zh-CN"/>
                    </w:rPr>
                    <w:t>2.畜禽粪污综合利用率达到90%以上，畜禽规模养殖场粪污处理设施装备配套率达100%。</w:t>
                  </w:r>
                </w:p>
                <w:p w14:paraId="40AF2ACC">
                  <w:pPr>
                    <w:pStyle w:val="31"/>
                    <w:bidi w:val="0"/>
                    <w:jc w:val="left"/>
                    <w:rPr>
                      <w:rFonts w:hint="default"/>
                      <w:color w:val="auto"/>
                    </w:rPr>
                  </w:pPr>
                  <w:r>
                    <w:rPr>
                      <w:rFonts w:hint="default"/>
                      <w:color w:val="auto"/>
                      <w:lang w:val="en-US" w:eastAsia="zh-CN"/>
                    </w:rPr>
                    <w:t>3.利用沤肥池，加强废弃菜叶资源化利用。</w:t>
                  </w:r>
                </w:p>
              </w:tc>
              <w:tc>
                <w:tcPr>
                  <w:tcW w:w="1923" w:type="pct"/>
                  <w:vAlign w:val="center"/>
                </w:tcPr>
                <w:p w14:paraId="16313353">
                  <w:pPr>
                    <w:pStyle w:val="31"/>
                    <w:bidi w:val="0"/>
                    <w:jc w:val="both"/>
                    <w:rPr>
                      <w:rFonts w:hint="eastAsia" w:eastAsia="宋体"/>
                      <w:color w:val="auto"/>
                      <w:lang w:eastAsia="zh-CN"/>
                    </w:rPr>
                  </w:pPr>
                  <w:r>
                    <w:rPr>
                      <w:rFonts w:hint="eastAsia" w:eastAsia="宋体"/>
                      <w:color w:val="auto"/>
                      <w:lang w:eastAsia="zh-CN"/>
                    </w:rPr>
                    <w:t>1、本项目用水来自</w:t>
                  </w:r>
                  <w:r>
                    <w:rPr>
                      <w:rFonts w:hint="eastAsia"/>
                      <w:color w:val="auto"/>
                      <w:lang w:val="en-US" w:eastAsia="zh-CN"/>
                    </w:rPr>
                    <w:t>纳古镇</w:t>
                  </w:r>
                  <w:r>
                    <w:rPr>
                      <w:rFonts w:hint="eastAsia" w:eastAsia="宋体"/>
                      <w:color w:val="auto"/>
                      <w:lang w:eastAsia="zh-CN"/>
                    </w:rPr>
                    <w:t>自来水管网，不涉及杞麓湖取水。</w:t>
                  </w:r>
                </w:p>
                <w:p w14:paraId="44147A92">
                  <w:pPr>
                    <w:pStyle w:val="31"/>
                    <w:bidi w:val="0"/>
                    <w:jc w:val="both"/>
                    <w:rPr>
                      <w:rFonts w:hint="eastAsia" w:eastAsia="宋体"/>
                      <w:color w:val="auto"/>
                      <w:lang w:eastAsia="zh-CN"/>
                    </w:rPr>
                  </w:pPr>
                  <w:r>
                    <w:rPr>
                      <w:rFonts w:hint="eastAsia" w:eastAsia="宋体"/>
                      <w:color w:val="auto"/>
                      <w:lang w:eastAsia="zh-CN"/>
                    </w:rPr>
                    <w:t>2～3：项目不涉及。</w:t>
                  </w:r>
                </w:p>
              </w:tc>
              <w:tc>
                <w:tcPr>
                  <w:tcW w:w="454" w:type="pct"/>
                  <w:vAlign w:val="center"/>
                </w:tcPr>
                <w:p w14:paraId="3E1C8406">
                  <w:pPr>
                    <w:pStyle w:val="31"/>
                    <w:bidi w:val="0"/>
                    <w:rPr>
                      <w:rFonts w:hint="eastAsia" w:eastAsia="宋体"/>
                      <w:color w:val="auto"/>
                      <w:lang w:eastAsia="zh-CN"/>
                    </w:rPr>
                  </w:pPr>
                  <w:r>
                    <w:rPr>
                      <w:rFonts w:hint="eastAsia"/>
                      <w:color w:val="auto"/>
                      <w:lang w:eastAsia="zh-CN"/>
                    </w:rPr>
                    <w:t>符合</w:t>
                  </w:r>
                </w:p>
              </w:tc>
            </w:tr>
            <w:tr w14:paraId="7D57A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40A03D2E">
                  <w:pPr>
                    <w:pStyle w:val="31"/>
                    <w:bidi w:val="0"/>
                    <w:rPr>
                      <w:rFonts w:hint="eastAsia"/>
                      <w:color w:val="auto"/>
                      <w:lang w:eastAsia="zh-CN"/>
                    </w:rPr>
                  </w:pPr>
                  <w:r>
                    <w:rPr>
                      <w:rFonts w:hint="eastAsia"/>
                      <w:color w:val="auto"/>
                      <w:lang w:eastAsia="zh-CN"/>
                    </w:rPr>
                    <w:t>5、生态环境准入清单（通海县乡镇生活污染重点管控单元）</w:t>
                  </w:r>
                </w:p>
              </w:tc>
            </w:tr>
            <w:tr w14:paraId="18D6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66DF42FE">
                  <w:pPr>
                    <w:pStyle w:val="55"/>
                    <w:keepNext w:val="0"/>
                    <w:keepLines/>
                    <w:pageBreakBefore w:val="0"/>
                    <w:widowControl w:val="0"/>
                    <w:tabs>
                      <w:tab w:val="left" w:pos="3780"/>
                    </w:tabs>
                    <w:kinsoku/>
                    <w:wordWrap w:val="0"/>
                    <w:overflowPunct/>
                    <w:topLinePunct/>
                    <w:autoSpaceDE/>
                    <w:autoSpaceDN/>
                    <w:bidi w:val="0"/>
                    <w:adjustRightInd w:val="0"/>
                    <w:snapToGrid w:val="0"/>
                    <w:spacing w:before="0" w:after="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bCs/>
                      <w:color w:val="auto"/>
                      <w:sz w:val="21"/>
                      <w:highlight w:val="none"/>
                    </w:rPr>
                    <w:t>空间布局约束</w:t>
                  </w:r>
                </w:p>
              </w:tc>
              <w:tc>
                <w:tcPr>
                  <w:tcW w:w="2204" w:type="pct"/>
                  <w:vAlign w:val="center"/>
                </w:tcPr>
                <w:p w14:paraId="0079F065">
                  <w:pPr>
                    <w:pStyle w:val="55"/>
                    <w:keepNext w:val="0"/>
                    <w:keepLines/>
                    <w:pageBreakBefore w:val="0"/>
                    <w:widowControl w:val="0"/>
                    <w:tabs>
                      <w:tab w:val="left" w:pos="3780"/>
                    </w:tabs>
                    <w:kinsoku/>
                    <w:wordWrap w:val="0"/>
                    <w:overflowPunct/>
                    <w:topLinePunct/>
                    <w:autoSpaceDE/>
                    <w:autoSpaceDN/>
                    <w:bidi w:val="0"/>
                    <w:adjustRightInd w:val="0"/>
                    <w:snapToGrid w:val="0"/>
                    <w:spacing w:before="0" w:after="0" w:line="240" w:lineRule="auto"/>
                    <w:ind w:firstLine="0" w:firstLineChars="0"/>
                    <w:jc w:val="left"/>
                    <w:textAlignment w:val="auto"/>
                    <w:rPr>
                      <w:rFonts w:hint="eastAsia" w:ascii="Times New Roman" w:hAnsi="Times New Roman" w:eastAsia="宋体" w:cs="Times New Roman"/>
                      <w:b w:val="0"/>
                      <w:bCs/>
                      <w:color w:val="auto"/>
                      <w:sz w:val="21"/>
                      <w:highlight w:val="none"/>
                      <w:lang w:val="en-US" w:eastAsia="zh-CN"/>
                    </w:rPr>
                  </w:pPr>
                  <w:r>
                    <w:rPr>
                      <w:rFonts w:hint="eastAsia" w:ascii="Times New Roman" w:hAnsi="Times New Roman" w:eastAsia="宋体" w:cs="Times New Roman"/>
                      <w:b w:val="0"/>
                      <w:bCs/>
                      <w:color w:val="auto"/>
                      <w:sz w:val="21"/>
                      <w:highlight w:val="none"/>
                      <w:lang w:val="en-US" w:eastAsia="zh-CN"/>
                    </w:rPr>
                    <w:t>1.河西镇根据《河西历史文化名镇保护规划》进行保护。纳古镇严格执行《云南省杞麓湖保护条例》要求。</w:t>
                  </w:r>
                </w:p>
                <w:p w14:paraId="79854C78">
                  <w:pPr>
                    <w:pStyle w:val="55"/>
                    <w:keepNext w:val="0"/>
                    <w:keepLines/>
                    <w:pageBreakBefore w:val="0"/>
                    <w:widowControl w:val="0"/>
                    <w:tabs>
                      <w:tab w:val="left" w:pos="3780"/>
                    </w:tabs>
                    <w:kinsoku/>
                    <w:wordWrap w:val="0"/>
                    <w:overflowPunct/>
                    <w:topLinePunct/>
                    <w:autoSpaceDE/>
                    <w:autoSpaceDN/>
                    <w:bidi w:val="0"/>
                    <w:adjustRightInd w:val="0"/>
                    <w:snapToGrid w:val="0"/>
                    <w:spacing w:before="0" w:after="0" w:line="240" w:lineRule="auto"/>
                    <w:ind w:firstLine="0" w:firstLineChars="0"/>
                    <w:jc w:val="left"/>
                    <w:textAlignment w:val="auto"/>
                    <w:rPr>
                      <w:rFonts w:hint="default"/>
                      <w:color w:val="auto"/>
                      <w:lang w:val="en-US" w:eastAsia="zh-CN"/>
                    </w:rPr>
                  </w:pPr>
                  <w:r>
                    <w:rPr>
                      <w:rFonts w:hint="eastAsia" w:ascii="Times New Roman" w:hAnsi="Times New Roman" w:eastAsia="宋体" w:cs="Times New Roman"/>
                      <w:b w:val="0"/>
                      <w:bCs/>
                      <w:color w:val="auto"/>
                      <w:sz w:val="21"/>
                      <w:highlight w:val="none"/>
                      <w:lang w:val="en-US" w:eastAsia="zh-CN"/>
                    </w:rPr>
                    <w:t>2.优化产业空间布局，对不符合准入要求的既有项目，依法依规实施整改、退出等分类治理方案，促进企业向园区集中，产业向园区集聚，资源集约利用。</w:t>
                  </w:r>
                </w:p>
              </w:tc>
              <w:tc>
                <w:tcPr>
                  <w:tcW w:w="1923" w:type="pct"/>
                  <w:vAlign w:val="center"/>
                </w:tcPr>
                <w:p w14:paraId="343EE1DC">
                  <w:pPr>
                    <w:pStyle w:val="31"/>
                    <w:bidi w:val="0"/>
                    <w:jc w:val="both"/>
                    <w:rPr>
                      <w:rFonts w:hint="eastAsia" w:eastAsia="宋体"/>
                      <w:color w:val="auto"/>
                      <w:lang w:eastAsia="zh-CN"/>
                    </w:rPr>
                  </w:pPr>
                  <w:r>
                    <w:rPr>
                      <w:rFonts w:hint="eastAsia" w:eastAsia="宋体"/>
                      <w:color w:val="auto"/>
                      <w:lang w:eastAsia="zh-CN"/>
                    </w:rPr>
                    <w:t>1、项目</w:t>
                  </w:r>
                  <w:r>
                    <w:rPr>
                      <w:rFonts w:hint="eastAsia"/>
                      <w:color w:val="auto"/>
                      <w:lang w:val="en-US" w:eastAsia="zh-CN"/>
                    </w:rPr>
                    <w:t>位于纳古镇，</w:t>
                  </w:r>
                  <w:r>
                    <w:rPr>
                      <w:rFonts w:hint="eastAsia" w:eastAsia="宋体"/>
                      <w:color w:val="auto"/>
                      <w:lang w:eastAsia="zh-CN"/>
                    </w:rPr>
                    <w:t>建设符合《云南省杞麓湖保护条例》要求；</w:t>
                  </w:r>
                </w:p>
                <w:p w14:paraId="105E809D">
                  <w:pPr>
                    <w:pStyle w:val="31"/>
                    <w:bidi w:val="0"/>
                    <w:jc w:val="both"/>
                    <w:rPr>
                      <w:rFonts w:hint="eastAsia" w:eastAsia="宋体"/>
                      <w:color w:val="auto"/>
                      <w:lang w:eastAsia="zh-CN"/>
                    </w:rPr>
                  </w:pPr>
                  <w:r>
                    <w:rPr>
                      <w:rFonts w:hint="eastAsia" w:eastAsia="宋体"/>
                      <w:color w:val="auto"/>
                      <w:lang w:eastAsia="zh-CN"/>
                    </w:rPr>
                    <w:t>2、项目符合产业准入要求，响应产业空间布局优化导向，通过资源集约利用践行分类治理要求，助力产业高质量发展。</w:t>
                  </w:r>
                </w:p>
              </w:tc>
              <w:tc>
                <w:tcPr>
                  <w:tcW w:w="454" w:type="pct"/>
                  <w:vAlign w:val="center"/>
                </w:tcPr>
                <w:p w14:paraId="080B8E37">
                  <w:pPr>
                    <w:pStyle w:val="31"/>
                    <w:bidi w:val="0"/>
                    <w:rPr>
                      <w:rFonts w:hint="eastAsia"/>
                      <w:color w:val="auto"/>
                      <w:lang w:eastAsia="zh-CN"/>
                    </w:rPr>
                  </w:pPr>
                  <w:r>
                    <w:rPr>
                      <w:rFonts w:hint="eastAsia"/>
                      <w:color w:val="auto"/>
                      <w:lang w:eastAsia="zh-CN"/>
                    </w:rPr>
                    <w:t>符合</w:t>
                  </w:r>
                </w:p>
              </w:tc>
            </w:tr>
            <w:tr w14:paraId="2D57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4F247680">
                  <w:pPr>
                    <w:pStyle w:val="55"/>
                    <w:keepNext w:val="0"/>
                    <w:keepLines/>
                    <w:pageBreakBefore w:val="0"/>
                    <w:widowControl w:val="0"/>
                    <w:tabs>
                      <w:tab w:val="left" w:pos="3780"/>
                    </w:tabs>
                    <w:kinsoku/>
                    <w:wordWrap w:val="0"/>
                    <w:overflowPunct/>
                    <w:topLinePunct/>
                    <w:autoSpaceDE/>
                    <w:autoSpaceDN/>
                    <w:bidi w:val="0"/>
                    <w:adjustRightInd w:val="0"/>
                    <w:snapToGrid w:val="0"/>
                    <w:spacing w:before="0" w:after="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bCs/>
                      <w:color w:val="auto"/>
                      <w:sz w:val="21"/>
                      <w:highlight w:val="none"/>
                    </w:rPr>
                    <w:t>污染物排放管控</w:t>
                  </w:r>
                </w:p>
              </w:tc>
              <w:tc>
                <w:tcPr>
                  <w:tcW w:w="2204" w:type="pct"/>
                  <w:vAlign w:val="center"/>
                </w:tcPr>
                <w:p w14:paraId="73FA4AAD">
                  <w:pPr>
                    <w:pStyle w:val="55"/>
                    <w:keepNext w:val="0"/>
                    <w:keepLines/>
                    <w:pageBreakBefore w:val="0"/>
                    <w:widowControl w:val="0"/>
                    <w:tabs>
                      <w:tab w:val="left" w:pos="3780"/>
                    </w:tabs>
                    <w:kinsoku/>
                    <w:wordWrap w:val="0"/>
                    <w:overflowPunct/>
                    <w:topLinePunct/>
                    <w:autoSpaceDE/>
                    <w:autoSpaceDN/>
                    <w:bidi w:val="0"/>
                    <w:adjustRightInd w:val="0"/>
                    <w:snapToGrid w:val="0"/>
                    <w:spacing w:before="0" w:after="0" w:line="240" w:lineRule="auto"/>
                    <w:ind w:firstLine="0" w:firstLineChars="0"/>
                    <w:jc w:val="left"/>
                    <w:textAlignment w:val="auto"/>
                    <w:rPr>
                      <w:rFonts w:hint="eastAsia" w:ascii="Times New Roman" w:hAnsi="Times New Roman" w:eastAsia="宋体" w:cs="Times New Roman"/>
                      <w:b w:val="0"/>
                      <w:bCs/>
                      <w:color w:val="auto"/>
                      <w:sz w:val="21"/>
                      <w:highlight w:val="none"/>
                      <w:lang w:val="en-US" w:eastAsia="zh-CN"/>
                    </w:rPr>
                  </w:pPr>
                  <w:r>
                    <w:rPr>
                      <w:rFonts w:hint="eastAsia" w:ascii="Times New Roman" w:hAnsi="Times New Roman" w:eastAsia="宋体" w:cs="Times New Roman"/>
                      <w:b w:val="0"/>
                      <w:bCs/>
                      <w:color w:val="auto"/>
                      <w:sz w:val="21"/>
                      <w:highlight w:val="none"/>
                      <w:lang w:val="en-US" w:eastAsia="zh-CN"/>
                    </w:rPr>
                    <w:t>1.临杞麓湖区域严格落实禁养、限养措施，退出高耗水、耗肥、耗药作物，实施农业高效节水减排工程，重点发展优质水稻、豆类、烤烟、油菜、离地花卉、莲藕等种植，注重生态复绿与休耕，发展休闲观光农业。</w:t>
                  </w:r>
                </w:p>
                <w:p w14:paraId="2302243E">
                  <w:pPr>
                    <w:pStyle w:val="55"/>
                    <w:keepNext w:val="0"/>
                    <w:keepLines/>
                    <w:pageBreakBefore w:val="0"/>
                    <w:widowControl w:val="0"/>
                    <w:tabs>
                      <w:tab w:val="left" w:pos="3780"/>
                    </w:tabs>
                    <w:kinsoku/>
                    <w:wordWrap w:val="0"/>
                    <w:overflowPunct/>
                    <w:topLinePunct/>
                    <w:autoSpaceDE/>
                    <w:autoSpaceDN/>
                    <w:bidi w:val="0"/>
                    <w:adjustRightInd w:val="0"/>
                    <w:snapToGrid w:val="0"/>
                    <w:spacing w:before="0" w:after="0" w:line="240" w:lineRule="auto"/>
                    <w:ind w:firstLine="0" w:firstLineChars="0"/>
                    <w:jc w:val="left"/>
                    <w:textAlignment w:val="auto"/>
                    <w:rPr>
                      <w:rFonts w:hint="eastAsia" w:ascii="Times New Roman" w:hAnsi="Times New Roman" w:eastAsia="宋体" w:cs="Times New Roman"/>
                      <w:b w:val="0"/>
                      <w:bCs/>
                      <w:color w:val="auto"/>
                      <w:sz w:val="21"/>
                      <w:highlight w:val="none"/>
                      <w:lang w:val="en-US" w:eastAsia="zh-CN"/>
                    </w:rPr>
                  </w:pPr>
                  <w:r>
                    <w:rPr>
                      <w:rFonts w:hint="eastAsia" w:ascii="Times New Roman" w:hAnsi="Times New Roman" w:eastAsia="宋体" w:cs="Times New Roman"/>
                      <w:b w:val="0"/>
                      <w:bCs/>
                      <w:color w:val="auto"/>
                      <w:sz w:val="21"/>
                      <w:highlight w:val="none"/>
                      <w:lang w:val="en-US" w:eastAsia="zh-CN"/>
                    </w:rPr>
                    <w:t>2.向城镇污水集中处理设施排放水污染物，应当符合国家或者地方规定的水污染物排放标准。</w:t>
                  </w:r>
                  <w:r>
                    <w:rPr>
                      <w:rFonts w:hint="eastAsia" w:ascii="Times New Roman" w:hAnsi="Times New Roman" w:eastAsia="宋体" w:cs="Times New Roman"/>
                      <w:b w:val="0"/>
                      <w:bCs/>
                      <w:color w:val="auto"/>
                      <w:sz w:val="21"/>
                      <w:highlight w:val="none"/>
                      <w:lang w:val="en-US" w:eastAsia="zh-CN"/>
                    </w:rPr>
                    <w:br w:type="textWrapping"/>
                  </w:r>
                  <w:r>
                    <w:rPr>
                      <w:rFonts w:hint="eastAsia" w:ascii="Times New Roman" w:hAnsi="Times New Roman" w:eastAsia="宋体" w:cs="Times New Roman"/>
                      <w:b w:val="0"/>
                      <w:bCs/>
                      <w:color w:val="auto"/>
                      <w:sz w:val="21"/>
                      <w:highlight w:val="none"/>
                      <w:lang w:val="en-US" w:eastAsia="zh-CN"/>
                    </w:rPr>
                    <w:t>3.加强城镇生活污水收集处理设施建设和提标改造，城镇驻地逐步实现雨污分流。</w:t>
                  </w:r>
                </w:p>
                <w:p w14:paraId="0CF3E6B8">
                  <w:pPr>
                    <w:pStyle w:val="55"/>
                    <w:keepNext w:val="0"/>
                    <w:keepLines/>
                    <w:pageBreakBefore w:val="0"/>
                    <w:widowControl w:val="0"/>
                    <w:tabs>
                      <w:tab w:val="left" w:pos="3780"/>
                    </w:tabs>
                    <w:kinsoku/>
                    <w:wordWrap w:val="0"/>
                    <w:overflowPunct/>
                    <w:topLinePunct/>
                    <w:autoSpaceDE/>
                    <w:autoSpaceDN/>
                    <w:bidi w:val="0"/>
                    <w:adjustRightInd w:val="0"/>
                    <w:snapToGrid w:val="0"/>
                    <w:spacing w:before="0" w:after="0" w:line="240" w:lineRule="auto"/>
                    <w:ind w:firstLine="0" w:firstLineChars="0"/>
                    <w:jc w:val="left"/>
                    <w:textAlignment w:val="auto"/>
                    <w:rPr>
                      <w:rFonts w:hint="default"/>
                      <w:color w:val="auto"/>
                      <w:lang w:val="en-US" w:eastAsia="zh-CN"/>
                    </w:rPr>
                  </w:pPr>
                  <w:r>
                    <w:rPr>
                      <w:rFonts w:hint="eastAsia" w:ascii="Times New Roman" w:hAnsi="Times New Roman" w:eastAsia="宋体" w:cs="Times New Roman"/>
                      <w:b w:val="0"/>
                      <w:bCs/>
                      <w:color w:val="auto"/>
                      <w:sz w:val="21"/>
                      <w:highlight w:val="none"/>
                      <w:lang w:val="en-US" w:eastAsia="zh-CN"/>
                    </w:rPr>
                    <w:t>4.大力推进生活垃圾分类回收利用，建立分类投放、收集、运输、处理的生活垃圾收运处理系统。</w:t>
                  </w:r>
                </w:p>
              </w:tc>
              <w:tc>
                <w:tcPr>
                  <w:tcW w:w="1923" w:type="pct"/>
                  <w:vAlign w:val="center"/>
                </w:tcPr>
                <w:p w14:paraId="3B980DEF">
                  <w:pPr>
                    <w:pStyle w:val="31"/>
                    <w:bidi w:val="0"/>
                    <w:jc w:val="both"/>
                    <w:rPr>
                      <w:rFonts w:hint="eastAsia" w:eastAsia="宋体"/>
                      <w:color w:val="auto"/>
                      <w:lang w:eastAsia="zh-CN"/>
                    </w:rPr>
                  </w:pPr>
                  <w:r>
                    <w:rPr>
                      <w:rFonts w:hint="eastAsia" w:eastAsia="宋体"/>
                      <w:color w:val="auto"/>
                      <w:lang w:eastAsia="zh-CN"/>
                    </w:rPr>
                    <w:t>1、项目不涉及；</w:t>
                  </w:r>
                </w:p>
                <w:p w14:paraId="58E2018E">
                  <w:pPr>
                    <w:pStyle w:val="31"/>
                    <w:bidi w:val="0"/>
                    <w:jc w:val="both"/>
                    <w:rPr>
                      <w:rFonts w:hint="eastAsia" w:eastAsia="宋体"/>
                      <w:color w:val="auto"/>
                      <w:lang w:eastAsia="zh-CN"/>
                    </w:rPr>
                  </w:pPr>
                  <w:r>
                    <w:rPr>
                      <w:rFonts w:hint="eastAsia" w:eastAsia="宋体"/>
                      <w:color w:val="auto"/>
                      <w:lang w:eastAsia="zh-CN"/>
                    </w:rPr>
                    <w:t>2、生活污水经化粪池处理后进入自建一体化</w:t>
                  </w:r>
                  <w:r>
                    <w:rPr>
                      <w:rFonts w:hint="eastAsia"/>
                      <w:color w:val="auto"/>
                      <w:lang w:val="en-US" w:eastAsia="zh-CN"/>
                    </w:rPr>
                    <w:t>污水</w:t>
                  </w:r>
                  <w:r>
                    <w:rPr>
                      <w:rFonts w:hint="eastAsia" w:eastAsia="宋体"/>
                      <w:color w:val="auto"/>
                      <w:lang w:eastAsia="zh-CN"/>
                    </w:rPr>
                    <w:t>处理设施处理达标后回用于厂区绿化及道路空地浇洒，不外排；</w:t>
                  </w:r>
                </w:p>
                <w:p w14:paraId="19181E35">
                  <w:pPr>
                    <w:pStyle w:val="31"/>
                    <w:bidi w:val="0"/>
                    <w:jc w:val="both"/>
                    <w:rPr>
                      <w:rFonts w:hint="eastAsia" w:eastAsia="宋体"/>
                      <w:color w:val="auto"/>
                      <w:lang w:eastAsia="zh-CN"/>
                    </w:rPr>
                  </w:pPr>
                  <w:r>
                    <w:rPr>
                      <w:rFonts w:hint="eastAsia" w:eastAsia="宋体"/>
                      <w:color w:val="auto"/>
                      <w:lang w:eastAsia="zh-CN"/>
                    </w:rPr>
                    <w:t>3、项目不涉及；</w:t>
                  </w:r>
                </w:p>
                <w:p w14:paraId="229DBDF1">
                  <w:pPr>
                    <w:pStyle w:val="31"/>
                    <w:bidi w:val="0"/>
                    <w:jc w:val="both"/>
                    <w:rPr>
                      <w:rFonts w:hint="eastAsia" w:eastAsia="宋体"/>
                      <w:color w:val="auto"/>
                      <w:lang w:eastAsia="zh-CN"/>
                    </w:rPr>
                  </w:pPr>
                  <w:r>
                    <w:rPr>
                      <w:rFonts w:hint="eastAsia" w:eastAsia="宋体"/>
                      <w:color w:val="auto"/>
                      <w:lang w:eastAsia="zh-CN"/>
                    </w:rPr>
                    <w:t>4、项目生活垃圾委托</w:t>
                  </w:r>
                  <w:r>
                    <w:rPr>
                      <w:rFonts w:hint="eastAsia"/>
                      <w:color w:val="auto"/>
                      <w:lang w:val="en-US" w:eastAsia="zh-CN"/>
                    </w:rPr>
                    <w:t>纳古镇</w:t>
                  </w:r>
                  <w:r>
                    <w:rPr>
                      <w:rFonts w:hint="eastAsia" w:eastAsia="宋体"/>
                      <w:color w:val="auto"/>
                      <w:lang w:eastAsia="zh-CN"/>
                    </w:rPr>
                    <w:t>环卫部门清运，生活污水经化粪池处理后进入自建一体化</w:t>
                  </w:r>
                  <w:r>
                    <w:rPr>
                      <w:rFonts w:hint="eastAsia"/>
                      <w:color w:val="auto"/>
                      <w:lang w:val="en-US" w:eastAsia="zh-CN"/>
                    </w:rPr>
                    <w:t>污水</w:t>
                  </w:r>
                  <w:r>
                    <w:rPr>
                      <w:rFonts w:hint="eastAsia" w:eastAsia="宋体"/>
                      <w:color w:val="auto"/>
                      <w:lang w:eastAsia="zh-CN"/>
                    </w:rPr>
                    <w:t>处理设施处理达标后回用于厂区绿化及道路空地浇洒，不外排；</w:t>
                  </w:r>
                </w:p>
              </w:tc>
              <w:tc>
                <w:tcPr>
                  <w:tcW w:w="454" w:type="pct"/>
                  <w:vAlign w:val="center"/>
                </w:tcPr>
                <w:p w14:paraId="1BF05ABD">
                  <w:pPr>
                    <w:pStyle w:val="31"/>
                    <w:bidi w:val="0"/>
                    <w:rPr>
                      <w:rFonts w:hint="eastAsia"/>
                      <w:color w:val="auto"/>
                      <w:lang w:eastAsia="zh-CN"/>
                    </w:rPr>
                  </w:pPr>
                  <w:r>
                    <w:rPr>
                      <w:rFonts w:hint="eastAsia"/>
                      <w:color w:val="auto"/>
                      <w:lang w:eastAsia="zh-CN"/>
                    </w:rPr>
                    <w:t>符合</w:t>
                  </w:r>
                </w:p>
              </w:tc>
            </w:tr>
          </w:tbl>
          <w:p w14:paraId="4C78DDC0">
            <w:pPr>
              <w:ind w:firstLine="480"/>
              <w:rPr>
                <w:rFonts w:hint="eastAsia" w:eastAsia="宋体"/>
                <w:b w:val="0"/>
                <w:bCs w:val="0"/>
                <w:color w:val="auto"/>
                <w:lang w:val="en-US" w:eastAsia="zh-CN"/>
              </w:rPr>
            </w:pPr>
            <w:r>
              <w:rPr>
                <w:rFonts w:hint="eastAsia" w:eastAsia="宋体"/>
                <w:b w:val="0"/>
                <w:bCs w:val="0"/>
                <w:color w:val="auto"/>
                <w:lang w:val="en-US" w:eastAsia="zh-CN"/>
              </w:rPr>
              <w:t>根据分析，本项目符合《玉溪市生态环境局关于印发玉溪市生态环境分区管控动态更新调整方案</w:t>
            </w:r>
            <w:r>
              <w:rPr>
                <w:rFonts w:hint="eastAsia"/>
                <w:b w:val="0"/>
                <w:bCs w:val="0"/>
                <w:color w:val="auto"/>
                <w:lang w:val="en-US" w:eastAsia="zh-CN"/>
              </w:rPr>
              <w:t>（</w:t>
            </w:r>
            <w:r>
              <w:rPr>
                <w:rFonts w:hint="eastAsia" w:eastAsia="宋体"/>
                <w:b w:val="0"/>
                <w:bCs w:val="0"/>
                <w:color w:val="auto"/>
                <w:lang w:val="en-US" w:eastAsia="zh-CN"/>
              </w:rPr>
              <w:t>2023年</w:t>
            </w:r>
            <w:r>
              <w:rPr>
                <w:rFonts w:hint="eastAsia"/>
                <w:b w:val="0"/>
                <w:bCs w:val="0"/>
                <w:color w:val="auto"/>
                <w:lang w:val="en-US" w:eastAsia="zh-CN"/>
              </w:rPr>
              <w:t>）</w:t>
            </w:r>
            <w:r>
              <w:rPr>
                <w:rFonts w:hint="eastAsia" w:eastAsia="宋体"/>
                <w:b w:val="0"/>
                <w:bCs w:val="0"/>
                <w:color w:val="auto"/>
                <w:lang w:val="en-US" w:eastAsia="zh-CN"/>
              </w:rPr>
              <w:t>的通知》的要求。</w:t>
            </w:r>
          </w:p>
          <w:p w14:paraId="62253B1F">
            <w:pPr>
              <w:ind w:firstLine="480"/>
              <w:rPr>
                <w:rFonts w:hint="default" w:eastAsia="宋体"/>
                <w:b/>
                <w:bCs/>
                <w:color w:val="auto"/>
                <w:lang w:val="en-US" w:eastAsia="zh-CN"/>
              </w:rPr>
            </w:pPr>
            <w:r>
              <w:rPr>
                <w:rFonts w:hint="eastAsia"/>
                <w:b/>
                <w:bCs/>
                <w:color w:val="auto"/>
                <w:lang w:val="en-US" w:eastAsia="zh-CN"/>
              </w:rPr>
              <w:t>3、项目与《长江经济带发展负面清单指南实施细则（试行）》的相符性分析</w:t>
            </w:r>
          </w:p>
          <w:p w14:paraId="6334D712">
            <w:pPr>
              <w:ind w:firstLine="480"/>
              <w:rPr>
                <w:rFonts w:hint="eastAsia" w:eastAsia="宋体"/>
                <w:b w:val="0"/>
                <w:bCs w:val="0"/>
                <w:color w:val="auto"/>
                <w:lang w:val="en-US" w:eastAsia="zh-CN"/>
              </w:rPr>
            </w:pPr>
            <w:r>
              <w:rPr>
                <w:rFonts w:hint="eastAsia" w:eastAsia="宋体"/>
                <w:b w:val="0"/>
                <w:bCs w:val="0"/>
                <w:color w:val="auto"/>
                <w:lang w:val="en-US" w:eastAsia="zh-CN"/>
              </w:rPr>
              <w:t>项目位于玉溪市通海县纳古镇，不在《长江经济带发展负面清单指南实施细则（试行）》（长江办〔2022〕7号）禁止建设的负面清单内。具体符合性分析见下表。</w:t>
            </w:r>
          </w:p>
          <w:p w14:paraId="13E7453F">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color w:val="auto"/>
                <w:sz w:val="24"/>
                <w:szCs w:val="24"/>
                <w:lang w:val="en-US" w:eastAsia="zh-CN"/>
              </w:rPr>
            </w:pPr>
          </w:p>
          <w:p w14:paraId="3FE57ED2">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color w:val="auto"/>
                <w:sz w:val="24"/>
                <w:szCs w:val="24"/>
                <w:lang w:val="en-US" w:eastAsia="zh-CN"/>
              </w:rPr>
            </w:pPr>
          </w:p>
          <w:p w14:paraId="045FF6AE">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表1-3  项目与《长江经济带发展负面清单指南实施细则（试行）》符合性分析一览表</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9"/>
              <w:gridCol w:w="2517"/>
              <w:gridCol w:w="670"/>
            </w:tblGrid>
            <w:tr w14:paraId="4026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51" w:type="pct"/>
                  <w:tcBorders>
                    <w:tl2br w:val="nil"/>
                    <w:tr2bl w:val="nil"/>
                  </w:tcBorders>
                  <w:noWrap w:val="0"/>
                  <w:vAlign w:val="center"/>
                </w:tcPr>
                <w:p w14:paraId="75B8A8D6">
                  <w:pPr>
                    <w:pStyle w:val="65"/>
                    <w:widowControl w:val="0"/>
                    <w:adjustRightInd w:val="0"/>
                    <w:snapToGrid w:val="0"/>
                    <w:spacing w:line="240" w:lineRule="auto"/>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color w:val="auto"/>
                      <w:sz w:val="21"/>
                      <w:szCs w:val="21"/>
                    </w:rPr>
                    <w:t>法律规定保护要求</w:t>
                  </w:r>
                </w:p>
              </w:tc>
              <w:tc>
                <w:tcPr>
                  <w:tcW w:w="1776" w:type="pct"/>
                  <w:tcBorders>
                    <w:tl2br w:val="nil"/>
                    <w:tr2bl w:val="nil"/>
                  </w:tcBorders>
                  <w:noWrap w:val="0"/>
                  <w:vAlign w:val="center"/>
                </w:tcPr>
                <w:p w14:paraId="07EE3F9B">
                  <w:pPr>
                    <w:widowControl w:val="0"/>
                    <w:autoSpaceDE w:val="0"/>
                    <w:autoSpaceDN w:val="0"/>
                    <w:adjustRightInd w:val="0"/>
                    <w:snapToGrid w:val="0"/>
                    <w:spacing w:line="240" w:lineRule="auto"/>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color w:val="auto"/>
                      <w:sz w:val="21"/>
                      <w:szCs w:val="21"/>
                      <w:highlight w:val="none"/>
                    </w:rPr>
                    <w:t>本项目保护情况</w:t>
                  </w:r>
                </w:p>
              </w:tc>
              <w:tc>
                <w:tcPr>
                  <w:tcW w:w="472" w:type="pct"/>
                  <w:tcBorders>
                    <w:tl2br w:val="nil"/>
                    <w:tr2bl w:val="nil"/>
                  </w:tcBorders>
                  <w:noWrap w:val="0"/>
                  <w:vAlign w:val="center"/>
                </w:tcPr>
                <w:p w14:paraId="2FB6AEDE">
                  <w:pPr>
                    <w:widowControl w:val="0"/>
                    <w:autoSpaceDE w:val="0"/>
                    <w:autoSpaceDN w:val="0"/>
                    <w:adjustRightInd w:val="0"/>
                    <w:snapToGrid w:val="0"/>
                    <w:spacing w:line="240" w:lineRule="auto"/>
                    <w:ind w:firstLine="0" w:firstLineChars="0"/>
                    <w:jc w:val="center"/>
                    <w:rPr>
                      <w:rFonts w:hint="eastAsia" w:ascii="Times New Roman" w:hAnsi="Times New Roman" w:eastAsia="宋体" w:cs="Times New Roman"/>
                      <w:b/>
                      <w:bCs/>
                      <w:color w:val="auto"/>
                      <w:sz w:val="21"/>
                      <w:szCs w:val="21"/>
                      <w:lang w:eastAsia="zh-CN"/>
                    </w:rPr>
                  </w:pPr>
                  <w:r>
                    <w:rPr>
                      <w:rFonts w:hint="default" w:ascii="Times New Roman" w:hAnsi="Times New Roman" w:cs="Times New Roman"/>
                      <w:b/>
                      <w:color w:val="auto"/>
                      <w:sz w:val="21"/>
                      <w:szCs w:val="21"/>
                    </w:rPr>
                    <w:t>符合性</w:t>
                  </w:r>
                  <w:r>
                    <w:rPr>
                      <w:rFonts w:hint="eastAsia" w:ascii="Times New Roman" w:hAnsi="Times New Roman" w:cs="Times New Roman"/>
                      <w:b/>
                      <w:color w:val="auto"/>
                      <w:sz w:val="21"/>
                      <w:szCs w:val="21"/>
                      <w:lang w:eastAsia="zh-CN"/>
                    </w:rPr>
                    <w:t>分析</w:t>
                  </w:r>
                </w:p>
              </w:tc>
            </w:tr>
            <w:tr w14:paraId="44CCC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51" w:type="pct"/>
                  <w:tcBorders>
                    <w:tl2br w:val="nil"/>
                    <w:tr2bl w:val="nil"/>
                  </w:tcBorders>
                  <w:noWrap w:val="0"/>
                  <w:vAlign w:val="center"/>
                </w:tcPr>
                <w:p w14:paraId="56866F19">
                  <w:pPr>
                    <w:widowControl w:val="0"/>
                    <w:autoSpaceDE w:val="0"/>
                    <w:autoSpaceDN w:val="0"/>
                    <w:adjustRightInd w:val="0"/>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禁止建设不符合全国和省级港口布局规划以及港口总体规划的码头项目，禁止建设不符合《长江</w:t>
                  </w:r>
                  <w:r>
                    <w:rPr>
                      <w:rFonts w:hint="eastAsia" w:ascii="Times New Roman" w:hAnsi="Times New Roman" w:cs="Times New Roman"/>
                      <w:bCs/>
                      <w:color w:val="auto"/>
                      <w:sz w:val="21"/>
                      <w:szCs w:val="21"/>
                      <w:lang w:eastAsia="zh-CN"/>
                    </w:rPr>
                    <w:t>干</w:t>
                  </w:r>
                  <w:r>
                    <w:rPr>
                      <w:rFonts w:hint="default" w:ascii="Times New Roman" w:hAnsi="Times New Roman" w:cs="Times New Roman"/>
                      <w:bCs/>
                      <w:color w:val="auto"/>
                      <w:sz w:val="21"/>
                      <w:szCs w:val="21"/>
                    </w:rPr>
                    <w:t>线过江通道布局规划》的过长江通道项目。</w:t>
                  </w:r>
                </w:p>
              </w:tc>
              <w:tc>
                <w:tcPr>
                  <w:tcW w:w="1776" w:type="pct"/>
                  <w:tcBorders>
                    <w:tl2br w:val="nil"/>
                    <w:tr2bl w:val="nil"/>
                  </w:tcBorders>
                  <w:noWrap w:val="0"/>
                  <w:vAlign w:val="center"/>
                </w:tcPr>
                <w:p w14:paraId="42101DAC">
                  <w:pPr>
                    <w:widowControl w:val="0"/>
                    <w:autoSpaceDE w:val="0"/>
                    <w:autoSpaceDN w:val="0"/>
                    <w:adjustRightInd w:val="0"/>
                    <w:snapToGrid w:val="0"/>
                    <w:spacing w:line="240" w:lineRule="auto"/>
                    <w:ind w:firstLine="0" w:firstLineChars="0"/>
                    <w:jc w:val="center"/>
                    <w:rPr>
                      <w:rFonts w:hint="eastAsia" w:ascii="Times New Roman" w:hAnsi="Times New Roman" w:eastAsia="宋体" w:cs="Times New Roman"/>
                      <w:bCs/>
                      <w:color w:val="auto"/>
                      <w:sz w:val="21"/>
                      <w:szCs w:val="21"/>
                      <w:lang w:eastAsia="zh-CN"/>
                    </w:rPr>
                  </w:pPr>
                  <w:r>
                    <w:rPr>
                      <w:rFonts w:hint="eastAsia" w:ascii="Times New Roman" w:hAnsi="Times New Roman" w:eastAsia="宋体" w:cs="Times New Roman"/>
                      <w:bCs/>
                      <w:color w:val="auto"/>
                      <w:sz w:val="21"/>
                      <w:szCs w:val="21"/>
                      <w:lang w:eastAsia="zh-CN"/>
                    </w:rPr>
                    <w:t>本项目不属于码头及长江通道项目。</w:t>
                  </w:r>
                </w:p>
              </w:tc>
              <w:tc>
                <w:tcPr>
                  <w:tcW w:w="472" w:type="pct"/>
                  <w:tcBorders>
                    <w:tl2br w:val="nil"/>
                    <w:tr2bl w:val="nil"/>
                  </w:tcBorders>
                  <w:noWrap w:val="0"/>
                  <w:vAlign w:val="center"/>
                </w:tcPr>
                <w:p w14:paraId="6837D241">
                  <w:pPr>
                    <w:pStyle w:val="65"/>
                    <w:widowControl w:val="0"/>
                    <w:adjustRightInd w:val="0"/>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符合</w:t>
                  </w:r>
                </w:p>
              </w:tc>
            </w:tr>
            <w:tr w14:paraId="5D5EA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51" w:type="pct"/>
                  <w:tcBorders>
                    <w:tl2br w:val="nil"/>
                    <w:tr2bl w:val="nil"/>
                  </w:tcBorders>
                  <w:noWrap w:val="0"/>
                  <w:vAlign w:val="center"/>
                </w:tcPr>
                <w:p w14:paraId="426F43A7">
                  <w:pPr>
                    <w:widowControl w:val="0"/>
                    <w:autoSpaceDE w:val="0"/>
                    <w:autoSpaceDN w:val="0"/>
                    <w:adjustRightInd w:val="0"/>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禁止在自然保护区核心区、缓冲区的岸线和河段范围内投资建设旅游和生产经营项目。禁止在风景名胜区核心景区的岸线和河段范围内投资建设与风景名胜资源保护无关的项目。</w:t>
                  </w:r>
                </w:p>
              </w:tc>
              <w:tc>
                <w:tcPr>
                  <w:tcW w:w="1776" w:type="pct"/>
                  <w:tcBorders>
                    <w:tl2br w:val="nil"/>
                    <w:tr2bl w:val="nil"/>
                  </w:tcBorders>
                  <w:noWrap w:val="0"/>
                  <w:vAlign w:val="center"/>
                </w:tcPr>
                <w:p w14:paraId="39C7952A">
                  <w:pPr>
                    <w:widowControl w:val="0"/>
                    <w:autoSpaceDE w:val="0"/>
                    <w:autoSpaceDN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w:t>
                  </w:r>
                  <w:r>
                    <w:rPr>
                      <w:rFonts w:hint="eastAsia" w:ascii="Times New Roman" w:hAnsi="Times New Roman" w:cs="Times New Roman"/>
                      <w:color w:val="auto"/>
                      <w:sz w:val="21"/>
                      <w:szCs w:val="21"/>
                      <w:lang w:eastAsia="zh-CN"/>
                    </w:rPr>
                    <w:t>选址不在</w:t>
                  </w:r>
                  <w:r>
                    <w:rPr>
                      <w:rFonts w:hint="default" w:ascii="Times New Roman" w:hAnsi="Times New Roman" w:cs="Times New Roman"/>
                      <w:bCs/>
                      <w:color w:val="auto"/>
                      <w:sz w:val="21"/>
                      <w:szCs w:val="21"/>
                    </w:rPr>
                    <w:t>自然保护区核心区、缓冲区</w:t>
                  </w:r>
                  <w:r>
                    <w:rPr>
                      <w:rFonts w:hint="eastAsia" w:ascii="Times New Roman" w:hAnsi="Times New Roman" w:cs="Times New Roman"/>
                      <w:bCs/>
                      <w:color w:val="auto"/>
                      <w:sz w:val="21"/>
                      <w:szCs w:val="21"/>
                      <w:lang w:eastAsia="zh-CN"/>
                    </w:rPr>
                    <w:t>、</w:t>
                  </w:r>
                  <w:r>
                    <w:rPr>
                      <w:rFonts w:hint="default" w:ascii="Times New Roman" w:hAnsi="Times New Roman" w:cs="Times New Roman"/>
                      <w:bCs/>
                      <w:color w:val="auto"/>
                      <w:sz w:val="21"/>
                      <w:szCs w:val="21"/>
                    </w:rPr>
                    <w:t>风景名胜区核心景区的岸线和河段范围内。</w:t>
                  </w:r>
                </w:p>
              </w:tc>
              <w:tc>
                <w:tcPr>
                  <w:tcW w:w="472" w:type="pct"/>
                  <w:tcBorders>
                    <w:tl2br w:val="nil"/>
                    <w:tr2bl w:val="nil"/>
                  </w:tcBorders>
                  <w:noWrap w:val="0"/>
                  <w:vAlign w:val="center"/>
                </w:tcPr>
                <w:p w14:paraId="68C14AAF">
                  <w:pPr>
                    <w:widowControl w:val="0"/>
                    <w:autoSpaceDE w:val="0"/>
                    <w:autoSpaceDN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bCs/>
                      <w:color w:val="auto"/>
                      <w:sz w:val="21"/>
                      <w:szCs w:val="21"/>
                    </w:rPr>
                    <w:t>符合</w:t>
                  </w:r>
                </w:p>
              </w:tc>
            </w:tr>
            <w:tr w14:paraId="7CEEC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51" w:type="pct"/>
                  <w:tcBorders>
                    <w:tl2br w:val="nil"/>
                    <w:tr2bl w:val="nil"/>
                  </w:tcBorders>
                  <w:noWrap w:val="0"/>
                  <w:vAlign w:val="center"/>
                </w:tcPr>
                <w:p w14:paraId="5176B794">
                  <w:pPr>
                    <w:pStyle w:val="65"/>
                    <w:widowControl w:val="0"/>
                    <w:adjustRightInd w:val="0"/>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禁止在饮用水水源一级保护区的岸线和河段范围内新建、改建、扩建与供水设施和保护水源无关的项目，以及网箱养殖、畜禽养殖、旅游等可能污染饮用水水体的投资建设项目。禁止在饮用水水源二级保护区的岸线和河段范围内新建、改建、扩建排放污染物的投资建设项目。</w:t>
                  </w:r>
                </w:p>
              </w:tc>
              <w:tc>
                <w:tcPr>
                  <w:tcW w:w="1776" w:type="pct"/>
                  <w:tcBorders>
                    <w:tl2br w:val="nil"/>
                    <w:tr2bl w:val="nil"/>
                  </w:tcBorders>
                  <w:noWrap w:val="0"/>
                  <w:vAlign w:val="center"/>
                </w:tcPr>
                <w:p w14:paraId="48C4A7D8">
                  <w:pPr>
                    <w:pStyle w:val="65"/>
                    <w:widowControl w:val="0"/>
                    <w:adjustRightInd w:val="0"/>
                    <w:snapToGrid w:val="0"/>
                    <w:spacing w:line="240" w:lineRule="auto"/>
                    <w:ind w:firstLine="0" w:firstLineChars="0"/>
                    <w:jc w:val="center"/>
                    <w:rPr>
                      <w:rFonts w:hint="eastAsia" w:ascii="Times New Roman" w:hAnsi="Times New Roman" w:eastAsia="宋体" w:cs="Times New Roman"/>
                      <w:bCs/>
                      <w:color w:val="auto"/>
                      <w:sz w:val="21"/>
                      <w:szCs w:val="21"/>
                      <w:lang w:eastAsia="zh-CN"/>
                    </w:rPr>
                  </w:pPr>
                  <w:r>
                    <w:rPr>
                      <w:rFonts w:hint="default" w:ascii="Times New Roman" w:hAnsi="Times New Roman" w:cs="Times New Roman"/>
                      <w:color w:val="auto"/>
                      <w:sz w:val="21"/>
                      <w:szCs w:val="21"/>
                      <w:highlight w:val="none"/>
                    </w:rPr>
                    <w:t>本项目</w:t>
                  </w:r>
                  <w:r>
                    <w:rPr>
                      <w:rFonts w:hint="eastAsia" w:ascii="Times New Roman" w:hAnsi="Times New Roman" w:cs="Times New Roman"/>
                      <w:color w:val="auto"/>
                      <w:sz w:val="21"/>
                      <w:szCs w:val="21"/>
                      <w:highlight w:val="none"/>
                      <w:lang w:eastAsia="zh-CN"/>
                    </w:rPr>
                    <w:t>选址不在</w:t>
                  </w:r>
                  <w:r>
                    <w:rPr>
                      <w:rFonts w:hint="default" w:ascii="Times New Roman" w:hAnsi="Times New Roman" w:cs="Times New Roman"/>
                      <w:bCs/>
                      <w:color w:val="auto"/>
                      <w:sz w:val="21"/>
                      <w:szCs w:val="21"/>
                      <w:highlight w:val="none"/>
                    </w:rPr>
                    <w:t>饮用水水源一级</w:t>
                  </w:r>
                  <w:r>
                    <w:rPr>
                      <w:rFonts w:hint="eastAsia" w:ascii="Times New Roman" w:hAnsi="Times New Roman" w:cs="Times New Roman"/>
                      <w:bCs/>
                      <w:color w:val="auto"/>
                      <w:sz w:val="21"/>
                      <w:szCs w:val="21"/>
                      <w:highlight w:val="none"/>
                      <w:lang w:eastAsia="zh-CN"/>
                    </w:rPr>
                    <w:t>、二级</w:t>
                  </w:r>
                  <w:r>
                    <w:rPr>
                      <w:rFonts w:hint="default" w:ascii="Times New Roman" w:hAnsi="Times New Roman" w:cs="Times New Roman"/>
                      <w:bCs/>
                      <w:color w:val="auto"/>
                      <w:sz w:val="21"/>
                      <w:szCs w:val="21"/>
                      <w:highlight w:val="none"/>
                    </w:rPr>
                    <w:t>保护区的岸线和河段范围内</w:t>
                  </w:r>
                  <w:r>
                    <w:rPr>
                      <w:rFonts w:hint="eastAsia" w:ascii="Times New Roman" w:hAnsi="Times New Roman" w:cs="Times New Roman"/>
                      <w:bCs/>
                      <w:color w:val="auto"/>
                      <w:sz w:val="21"/>
                      <w:szCs w:val="21"/>
                      <w:highlight w:val="none"/>
                      <w:lang w:eastAsia="zh-CN"/>
                    </w:rPr>
                    <w:t>。</w:t>
                  </w:r>
                </w:p>
              </w:tc>
              <w:tc>
                <w:tcPr>
                  <w:tcW w:w="472" w:type="pct"/>
                  <w:tcBorders>
                    <w:tl2br w:val="nil"/>
                    <w:tr2bl w:val="nil"/>
                  </w:tcBorders>
                  <w:noWrap w:val="0"/>
                  <w:vAlign w:val="center"/>
                </w:tcPr>
                <w:p w14:paraId="2E354288">
                  <w:pPr>
                    <w:pStyle w:val="65"/>
                    <w:widowControl w:val="0"/>
                    <w:adjustRightInd w:val="0"/>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符合</w:t>
                  </w:r>
                </w:p>
              </w:tc>
            </w:tr>
            <w:tr w14:paraId="3011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51" w:type="pct"/>
                  <w:tcBorders>
                    <w:tl2br w:val="nil"/>
                    <w:tr2bl w:val="nil"/>
                  </w:tcBorders>
                  <w:noWrap w:val="0"/>
                  <w:vAlign w:val="center"/>
                </w:tcPr>
                <w:p w14:paraId="11753E16">
                  <w:pPr>
                    <w:widowControl w:val="0"/>
                    <w:autoSpaceDE w:val="0"/>
                    <w:autoSpaceDN w:val="0"/>
                    <w:adjustRightInd w:val="0"/>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禁止在水产种质资源保护区的岸线和河段范围内新建围湖造田、围海造地或围填海等投资建设项目。禁止在国家湿地公园的岸线和河段范围内挖沙、采矿，以及任何不符合主体功能定位的投资建设项目。</w:t>
                  </w:r>
                </w:p>
              </w:tc>
              <w:tc>
                <w:tcPr>
                  <w:tcW w:w="1776" w:type="pct"/>
                  <w:tcBorders>
                    <w:tl2br w:val="nil"/>
                    <w:tr2bl w:val="nil"/>
                  </w:tcBorders>
                  <w:noWrap w:val="0"/>
                  <w:vAlign w:val="center"/>
                </w:tcPr>
                <w:p w14:paraId="544E2E3C">
                  <w:pPr>
                    <w:pStyle w:val="65"/>
                    <w:widowControl w:val="0"/>
                    <w:adjustRightInd w:val="0"/>
                    <w:snapToGrid w:val="0"/>
                    <w:spacing w:line="240" w:lineRule="auto"/>
                    <w:ind w:firstLine="0" w:firstLineChars="0"/>
                    <w:jc w:val="center"/>
                    <w:rPr>
                      <w:rFonts w:hint="eastAsia" w:ascii="Times New Roman" w:hAnsi="Times New Roman" w:eastAsia="宋体" w:cs="Times New Roman"/>
                      <w:bCs/>
                      <w:color w:val="auto"/>
                      <w:sz w:val="21"/>
                      <w:szCs w:val="21"/>
                      <w:lang w:eastAsia="zh-CN"/>
                    </w:rPr>
                  </w:pPr>
                  <w:r>
                    <w:rPr>
                      <w:rFonts w:hint="eastAsia" w:ascii="Times New Roman" w:hAnsi="Times New Roman" w:eastAsia="宋体" w:cs="Times New Roman"/>
                      <w:bCs/>
                      <w:color w:val="auto"/>
                      <w:sz w:val="21"/>
                      <w:szCs w:val="21"/>
                      <w:lang w:eastAsia="zh-CN"/>
                    </w:rPr>
                    <w:t>本项目不涉及水产种质资源保护区、国家湿地公园。</w:t>
                  </w:r>
                </w:p>
              </w:tc>
              <w:tc>
                <w:tcPr>
                  <w:tcW w:w="472" w:type="pct"/>
                  <w:tcBorders>
                    <w:tl2br w:val="nil"/>
                    <w:tr2bl w:val="nil"/>
                  </w:tcBorders>
                  <w:noWrap w:val="0"/>
                  <w:vAlign w:val="center"/>
                </w:tcPr>
                <w:p w14:paraId="6E0998E0">
                  <w:pPr>
                    <w:pStyle w:val="65"/>
                    <w:widowControl w:val="0"/>
                    <w:adjustRightInd w:val="0"/>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符合</w:t>
                  </w:r>
                </w:p>
              </w:tc>
            </w:tr>
            <w:tr w14:paraId="49C10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51" w:type="pct"/>
                  <w:tcBorders>
                    <w:tl2br w:val="nil"/>
                    <w:tr2bl w:val="nil"/>
                  </w:tcBorders>
                  <w:noWrap w:val="0"/>
                  <w:vAlign w:val="center"/>
                </w:tcPr>
                <w:p w14:paraId="00A51559">
                  <w:pPr>
                    <w:widowControl w:val="0"/>
                    <w:autoSpaceDE w:val="0"/>
                    <w:autoSpaceDN w:val="0"/>
                    <w:adjustRightInd w:val="0"/>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在《全国重要江河湖泊水功能区划》划定的河段及湖泊保护区、保留区内投资建设不利于水资源及自然生态保护的项目。</w:t>
                  </w:r>
                </w:p>
              </w:tc>
              <w:tc>
                <w:tcPr>
                  <w:tcW w:w="1776" w:type="pct"/>
                  <w:tcBorders>
                    <w:tl2br w:val="nil"/>
                    <w:tr2bl w:val="nil"/>
                  </w:tcBorders>
                  <w:noWrap w:val="0"/>
                  <w:vAlign w:val="center"/>
                </w:tcPr>
                <w:p w14:paraId="7F6DA5B4">
                  <w:pPr>
                    <w:pStyle w:val="65"/>
                    <w:widowControl w:val="0"/>
                    <w:adjustRightInd w:val="0"/>
                    <w:snapToGrid w:val="0"/>
                    <w:spacing w:line="240" w:lineRule="auto"/>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本项目不在《长江岸线保护和开发利用总体规划》划定的岸线保护区和保留区，不在《全国重要江河湖泊水功能区划》划定的河段及湖泊保护区、保留区内。</w:t>
                  </w:r>
                </w:p>
              </w:tc>
              <w:tc>
                <w:tcPr>
                  <w:tcW w:w="472" w:type="pct"/>
                  <w:tcBorders>
                    <w:tl2br w:val="nil"/>
                    <w:tr2bl w:val="nil"/>
                  </w:tcBorders>
                  <w:noWrap w:val="0"/>
                  <w:vAlign w:val="center"/>
                </w:tcPr>
                <w:p w14:paraId="582A13DB">
                  <w:pPr>
                    <w:pStyle w:val="65"/>
                    <w:widowControl w:val="0"/>
                    <w:adjustRightInd w:val="0"/>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符合</w:t>
                  </w:r>
                </w:p>
              </w:tc>
            </w:tr>
            <w:tr w14:paraId="3E8F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51" w:type="pct"/>
                  <w:tcBorders>
                    <w:tl2br w:val="nil"/>
                    <w:tr2bl w:val="nil"/>
                  </w:tcBorders>
                  <w:noWrap w:val="0"/>
                  <w:vAlign w:val="center"/>
                </w:tcPr>
                <w:p w14:paraId="0FD371E6">
                  <w:pPr>
                    <w:widowControl w:val="0"/>
                    <w:autoSpaceDE w:val="0"/>
                    <w:autoSpaceDN w:val="0"/>
                    <w:adjustRightInd w:val="0"/>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禁止未经许可在长江干支流及湖泊新设、改设或扩大排污口。</w:t>
                  </w:r>
                </w:p>
              </w:tc>
              <w:tc>
                <w:tcPr>
                  <w:tcW w:w="1776" w:type="pct"/>
                  <w:tcBorders>
                    <w:tl2br w:val="nil"/>
                    <w:tr2bl w:val="nil"/>
                  </w:tcBorders>
                  <w:noWrap w:val="0"/>
                  <w:vAlign w:val="center"/>
                </w:tcPr>
                <w:p w14:paraId="7C917CF7">
                  <w:pPr>
                    <w:pStyle w:val="65"/>
                    <w:widowControl w:val="0"/>
                    <w:adjustRightInd w:val="0"/>
                    <w:snapToGrid w:val="0"/>
                    <w:spacing w:line="240" w:lineRule="auto"/>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本项目废水不外排，不设排污口。</w:t>
                  </w:r>
                </w:p>
              </w:tc>
              <w:tc>
                <w:tcPr>
                  <w:tcW w:w="472" w:type="pct"/>
                  <w:tcBorders>
                    <w:tl2br w:val="nil"/>
                    <w:tr2bl w:val="nil"/>
                  </w:tcBorders>
                  <w:noWrap w:val="0"/>
                  <w:vAlign w:val="center"/>
                </w:tcPr>
                <w:p w14:paraId="5D70CA8D">
                  <w:pPr>
                    <w:pStyle w:val="65"/>
                    <w:widowControl w:val="0"/>
                    <w:adjustRightInd w:val="0"/>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符合</w:t>
                  </w:r>
                </w:p>
              </w:tc>
            </w:tr>
            <w:tr w14:paraId="137DC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51" w:type="pct"/>
                  <w:tcBorders>
                    <w:tl2br w:val="nil"/>
                    <w:tr2bl w:val="nil"/>
                  </w:tcBorders>
                  <w:noWrap w:val="0"/>
                  <w:vAlign w:val="center"/>
                </w:tcPr>
                <w:p w14:paraId="69921558">
                  <w:pPr>
                    <w:widowControl w:val="0"/>
                    <w:autoSpaceDE w:val="0"/>
                    <w:autoSpaceDN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禁止在长江干支流、重要湖泊岸线一公里范围内新建、扩建化工园区和化工项目。禁止在长江干流岸线三公里范围内和重要支流岸线一公里范围内新建、改建、扩建尾矿库、冶炼渣库和磷石膏库，以提升安全、生态环境保护水平为目的的改建除外。</w:t>
                  </w:r>
                </w:p>
              </w:tc>
              <w:tc>
                <w:tcPr>
                  <w:tcW w:w="1776" w:type="pct"/>
                  <w:tcBorders>
                    <w:tl2br w:val="nil"/>
                    <w:tr2bl w:val="nil"/>
                  </w:tcBorders>
                  <w:noWrap w:val="0"/>
                  <w:vAlign w:val="center"/>
                </w:tcPr>
                <w:p w14:paraId="4525DDF7">
                  <w:pPr>
                    <w:pStyle w:val="65"/>
                    <w:widowControl w:val="0"/>
                    <w:adjustRightInd w:val="0"/>
                    <w:snapToGrid w:val="0"/>
                    <w:spacing w:line="240" w:lineRule="auto"/>
                    <w:ind w:firstLine="0" w:firstLineChars="0"/>
                    <w:jc w:val="center"/>
                    <w:rPr>
                      <w:rFonts w:hint="eastAsia" w:ascii="Times New Roman" w:hAnsi="Times New Roman" w:eastAsia="宋体" w:cs="Times New Roman"/>
                      <w:bCs/>
                      <w:color w:val="auto"/>
                      <w:sz w:val="21"/>
                      <w:szCs w:val="21"/>
                      <w:lang w:eastAsia="zh-CN"/>
                    </w:rPr>
                  </w:pPr>
                  <w:r>
                    <w:rPr>
                      <w:rFonts w:hint="default" w:ascii="Times New Roman" w:hAnsi="Times New Roman" w:cs="Times New Roman"/>
                      <w:bCs/>
                      <w:color w:val="auto"/>
                      <w:sz w:val="21"/>
                      <w:szCs w:val="21"/>
                    </w:rPr>
                    <w:t>项目所在地不涉及长江干支流、重要湖泊岸线一公里范围内，不涉及长江干流岸线三公里范围内和重要支流岸线一公里范围内</w:t>
                  </w:r>
                  <w:r>
                    <w:rPr>
                      <w:rFonts w:hint="eastAsia" w:ascii="Times New Roman" w:hAnsi="Times New Roman" w:cs="Times New Roman"/>
                      <w:bCs/>
                      <w:color w:val="auto"/>
                      <w:sz w:val="21"/>
                      <w:szCs w:val="21"/>
                      <w:lang w:eastAsia="zh-CN"/>
                    </w:rPr>
                    <w:t>。</w:t>
                  </w:r>
                </w:p>
              </w:tc>
              <w:tc>
                <w:tcPr>
                  <w:tcW w:w="472" w:type="pct"/>
                  <w:tcBorders>
                    <w:tl2br w:val="nil"/>
                    <w:tr2bl w:val="nil"/>
                  </w:tcBorders>
                  <w:noWrap w:val="0"/>
                  <w:vAlign w:val="center"/>
                </w:tcPr>
                <w:p w14:paraId="438464D8">
                  <w:pPr>
                    <w:pStyle w:val="65"/>
                    <w:widowControl w:val="0"/>
                    <w:adjustRightInd w:val="0"/>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符合</w:t>
                  </w:r>
                </w:p>
              </w:tc>
            </w:tr>
            <w:tr w14:paraId="51C0F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51" w:type="pct"/>
                  <w:tcBorders>
                    <w:tl2br w:val="nil"/>
                    <w:tr2bl w:val="nil"/>
                  </w:tcBorders>
                  <w:noWrap w:val="0"/>
                  <w:vAlign w:val="center"/>
                </w:tcPr>
                <w:p w14:paraId="6A5E40B1">
                  <w:pPr>
                    <w:widowControl w:val="0"/>
                    <w:autoSpaceDE w:val="0"/>
                    <w:autoSpaceDN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禁止在合规园区外新建、扩建钢铁、石化、化工、焦化、建材、有色、制浆造纸等高污染项目。</w:t>
                  </w:r>
                </w:p>
              </w:tc>
              <w:tc>
                <w:tcPr>
                  <w:tcW w:w="1776" w:type="pct"/>
                  <w:tcBorders>
                    <w:tl2br w:val="nil"/>
                    <w:tr2bl w:val="nil"/>
                  </w:tcBorders>
                  <w:noWrap w:val="0"/>
                  <w:vAlign w:val="center"/>
                </w:tcPr>
                <w:p w14:paraId="20E853D2">
                  <w:pPr>
                    <w:pStyle w:val="65"/>
                    <w:widowControl w:val="0"/>
                    <w:adjustRightInd w:val="0"/>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本项目</w:t>
                  </w:r>
                  <w:r>
                    <w:rPr>
                      <w:rFonts w:hint="eastAsia" w:ascii="Times New Roman" w:hAnsi="Times New Roman" w:cs="Times New Roman"/>
                      <w:bCs/>
                      <w:color w:val="auto"/>
                      <w:sz w:val="21"/>
                      <w:szCs w:val="21"/>
                      <w:lang w:val="en-US" w:eastAsia="zh-CN"/>
                    </w:rPr>
                    <w:t>为</w:t>
                  </w:r>
                  <w:r>
                    <w:rPr>
                      <w:rFonts w:hint="default" w:ascii="Times New Roman" w:hAnsi="Times New Roman" w:cs="Times New Roman"/>
                      <w:bCs/>
                      <w:color w:val="auto"/>
                      <w:sz w:val="21"/>
                      <w:szCs w:val="21"/>
                    </w:rPr>
                    <w:t>高频直缝焊管生产项目，不属于钢铁、石化、化工、焦化、建材、有色、制浆造纸等高污染项目。</w:t>
                  </w:r>
                </w:p>
              </w:tc>
              <w:tc>
                <w:tcPr>
                  <w:tcW w:w="472" w:type="pct"/>
                  <w:tcBorders>
                    <w:tl2br w:val="nil"/>
                    <w:tr2bl w:val="nil"/>
                  </w:tcBorders>
                  <w:noWrap w:val="0"/>
                  <w:vAlign w:val="center"/>
                </w:tcPr>
                <w:p w14:paraId="0C9EB8E4">
                  <w:pPr>
                    <w:pStyle w:val="65"/>
                    <w:widowControl w:val="0"/>
                    <w:adjustRightInd w:val="0"/>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符合</w:t>
                  </w:r>
                </w:p>
              </w:tc>
            </w:tr>
            <w:tr w14:paraId="5657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51" w:type="pct"/>
                  <w:tcBorders>
                    <w:tl2br w:val="nil"/>
                    <w:tr2bl w:val="nil"/>
                  </w:tcBorders>
                  <w:noWrap w:val="0"/>
                  <w:vAlign w:val="center"/>
                </w:tcPr>
                <w:p w14:paraId="7F9ED622">
                  <w:pPr>
                    <w:widowControl w:val="0"/>
                    <w:autoSpaceDE w:val="0"/>
                    <w:autoSpaceDN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禁止新建、扩建不符合国家石化、现代煤化工等产业布局规划的项目。</w:t>
                  </w:r>
                </w:p>
              </w:tc>
              <w:tc>
                <w:tcPr>
                  <w:tcW w:w="1776" w:type="pct"/>
                  <w:tcBorders>
                    <w:tl2br w:val="nil"/>
                    <w:tr2bl w:val="nil"/>
                  </w:tcBorders>
                  <w:noWrap w:val="0"/>
                  <w:vAlign w:val="center"/>
                </w:tcPr>
                <w:p w14:paraId="132AEC07">
                  <w:pPr>
                    <w:pStyle w:val="65"/>
                    <w:widowControl w:val="0"/>
                    <w:adjustRightInd w:val="0"/>
                    <w:snapToGrid w:val="0"/>
                    <w:spacing w:line="240" w:lineRule="auto"/>
                    <w:ind w:firstLine="0" w:firstLineChars="0"/>
                    <w:jc w:val="center"/>
                    <w:rPr>
                      <w:rFonts w:hint="eastAsia" w:ascii="Times New Roman" w:hAnsi="Times New Roman" w:eastAsia="宋体" w:cs="Times New Roman"/>
                      <w:bCs/>
                      <w:color w:val="auto"/>
                      <w:sz w:val="21"/>
                      <w:szCs w:val="21"/>
                      <w:lang w:eastAsia="zh-CN"/>
                    </w:rPr>
                  </w:pPr>
                  <w:r>
                    <w:rPr>
                      <w:rFonts w:hint="eastAsia" w:cs="Times New Roman"/>
                      <w:bCs/>
                      <w:color w:val="auto"/>
                      <w:sz w:val="21"/>
                      <w:szCs w:val="21"/>
                      <w:lang w:eastAsia="zh-CN"/>
                    </w:rPr>
                    <w:t>本项目不涉及。</w:t>
                  </w:r>
                </w:p>
              </w:tc>
              <w:tc>
                <w:tcPr>
                  <w:tcW w:w="472" w:type="pct"/>
                  <w:tcBorders>
                    <w:tl2br w:val="nil"/>
                    <w:tr2bl w:val="nil"/>
                  </w:tcBorders>
                  <w:noWrap w:val="0"/>
                  <w:vAlign w:val="center"/>
                </w:tcPr>
                <w:p w14:paraId="75F9B085">
                  <w:pPr>
                    <w:pStyle w:val="65"/>
                    <w:widowControl w:val="0"/>
                    <w:adjustRightInd w:val="0"/>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符合</w:t>
                  </w:r>
                </w:p>
              </w:tc>
            </w:tr>
            <w:tr w14:paraId="3DA38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51" w:type="pct"/>
                  <w:tcBorders>
                    <w:tl2br w:val="nil"/>
                    <w:tr2bl w:val="nil"/>
                  </w:tcBorders>
                  <w:noWrap w:val="0"/>
                  <w:vAlign w:val="center"/>
                </w:tcPr>
                <w:p w14:paraId="145E7B10">
                  <w:pPr>
                    <w:widowControl w:val="0"/>
                    <w:autoSpaceDE w:val="0"/>
                    <w:autoSpaceDN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禁止新建、扩建法律法规和相关政策明令禁止的落后产能项目。禁止新建、扩建不符合国家产能置换要求的严重过剩产能行业的项目。禁止新建、扩建不符合要求的高耗能高排放项目。</w:t>
                  </w:r>
                </w:p>
              </w:tc>
              <w:tc>
                <w:tcPr>
                  <w:tcW w:w="1776" w:type="pct"/>
                  <w:tcBorders>
                    <w:tl2br w:val="nil"/>
                    <w:tr2bl w:val="nil"/>
                  </w:tcBorders>
                  <w:noWrap w:val="0"/>
                  <w:vAlign w:val="center"/>
                </w:tcPr>
                <w:p w14:paraId="2E6BE4EE">
                  <w:pPr>
                    <w:pStyle w:val="65"/>
                    <w:widowControl w:val="0"/>
                    <w:adjustRightInd w:val="0"/>
                    <w:snapToGrid w:val="0"/>
                    <w:spacing w:line="240" w:lineRule="auto"/>
                    <w:ind w:firstLine="0" w:firstLineChars="0"/>
                    <w:jc w:val="center"/>
                    <w:rPr>
                      <w:rFonts w:hint="eastAsia" w:ascii="Times New Roman" w:hAnsi="Times New Roman" w:eastAsia="宋体" w:cs="Times New Roman"/>
                      <w:bCs/>
                      <w:color w:val="auto"/>
                      <w:sz w:val="21"/>
                      <w:szCs w:val="21"/>
                      <w:lang w:eastAsia="zh-CN"/>
                    </w:rPr>
                  </w:pPr>
                  <w:r>
                    <w:rPr>
                      <w:rFonts w:hint="eastAsia" w:ascii="Times New Roman" w:hAnsi="Times New Roman" w:eastAsia="宋体" w:cs="Times New Roman"/>
                      <w:bCs/>
                      <w:color w:val="auto"/>
                      <w:sz w:val="21"/>
                      <w:szCs w:val="21"/>
                      <w:lang w:eastAsia="zh-CN"/>
                    </w:rPr>
                    <w:t>本项目不涉及。</w:t>
                  </w:r>
                </w:p>
              </w:tc>
              <w:tc>
                <w:tcPr>
                  <w:tcW w:w="472" w:type="pct"/>
                  <w:tcBorders>
                    <w:tl2br w:val="nil"/>
                    <w:tr2bl w:val="nil"/>
                  </w:tcBorders>
                  <w:noWrap w:val="0"/>
                  <w:vAlign w:val="center"/>
                </w:tcPr>
                <w:p w14:paraId="0D48306A">
                  <w:pPr>
                    <w:pStyle w:val="65"/>
                    <w:widowControl w:val="0"/>
                    <w:adjustRightInd w:val="0"/>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符合</w:t>
                  </w:r>
                </w:p>
              </w:tc>
            </w:tr>
          </w:tbl>
          <w:p w14:paraId="641ED40A">
            <w:pPr>
              <w:ind w:firstLine="480"/>
              <w:rPr>
                <w:rFonts w:hint="eastAsia" w:eastAsia="宋体"/>
                <w:b w:val="0"/>
                <w:bCs w:val="0"/>
                <w:color w:val="auto"/>
                <w:lang w:val="en-US" w:eastAsia="zh-CN"/>
              </w:rPr>
            </w:pPr>
            <w:r>
              <w:rPr>
                <w:rFonts w:hint="eastAsia" w:eastAsia="宋体"/>
                <w:b w:val="0"/>
                <w:bCs w:val="0"/>
                <w:color w:val="auto"/>
                <w:lang w:val="en-US" w:eastAsia="zh-CN"/>
              </w:rPr>
              <w:t>由上表对照分析可知，本项目不属于长江经济带负面清单所列的企业。</w:t>
            </w:r>
          </w:p>
          <w:p w14:paraId="56CE55DA">
            <w:pPr>
              <w:ind w:firstLine="482"/>
              <w:rPr>
                <w:b/>
                <w:bCs/>
                <w:color w:val="auto"/>
              </w:rPr>
            </w:pPr>
            <w:r>
              <w:rPr>
                <w:rFonts w:hint="eastAsia"/>
                <w:b/>
                <w:bCs/>
                <w:color w:val="auto"/>
                <w:lang w:val="en-US" w:eastAsia="zh-CN"/>
              </w:rPr>
              <w:t>4、项目</w:t>
            </w:r>
            <w:r>
              <w:rPr>
                <w:rFonts w:hint="eastAsia"/>
                <w:b/>
                <w:bCs/>
                <w:color w:val="auto"/>
              </w:rPr>
              <w:t>与《云南省推动长江经济带发展领导小组办公室关于印发&lt;云南省长江经济带发展负面 清单指南实施细则（试行，2022 年版）&gt;的通知》的相符性分析</w:t>
            </w:r>
          </w:p>
          <w:p w14:paraId="5A93FD4B">
            <w:pPr>
              <w:ind w:firstLine="480"/>
              <w:rPr>
                <w:color w:val="auto"/>
              </w:rPr>
            </w:pPr>
            <w:r>
              <w:rPr>
                <w:rFonts w:hint="eastAsia"/>
                <w:color w:val="auto"/>
              </w:rPr>
              <w:t>根据《云南省推动长江经济带发展领导小组办公室关于印发&lt;云南省长江经济带发展负面清单指南实施细则（试行，2022年版）&gt;的通知》（云发改基础〔2022〕894号），项目与云发改基础〔2022〕894号的符合性见下表。</w:t>
            </w:r>
          </w:p>
          <w:p w14:paraId="1D9D1884">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表1-</w:t>
            </w:r>
            <w:r>
              <w:rPr>
                <w:rFonts w:hint="eastAsia" w:cs="Times New Roman"/>
                <w:color w:val="auto"/>
                <w:sz w:val="24"/>
                <w:szCs w:val="24"/>
                <w:lang w:val="en-US" w:eastAsia="zh-CN"/>
              </w:rPr>
              <w:t>4</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项目与《云南省长江经济带发展负面清单指南实施细则（试行）》对照分析</w:t>
            </w:r>
          </w:p>
          <w:tbl>
            <w:tblPr>
              <w:tblStyle w:val="2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3662"/>
              <w:gridCol w:w="2287"/>
              <w:gridCol w:w="710"/>
            </w:tblGrid>
            <w:tr w14:paraId="587A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shd w:val="clear" w:color="auto" w:fill="auto"/>
                  <w:vAlign w:val="center"/>
                </w:tcPr>
                <w:p w14:paraId="7C820432">
                  <w:pPr>
                    <w:pStyle w:val="31"/>
                    <w:rPr>
                      <w:rFonts w:hint="default"/>
                      <w:color w:val="auto"/>
                    </w:rPr>
                  </w:pPr>
                  <w:r>
                    <w:rPr>
                      <w:color w:val="auto"/>
                    </w:rPr>
                    <w:t>序号</w:t>
                  </w:r>
                </w:p>
              </w:tc>
              <w:tc>
                <w:tcPr>
                  <w:tcW w:w="2583" w:type="pct"/>
                  <w:shd w:val="clear" w:color="auto" w:fill="auto"/>
                  <w:vAlign w:val="center"/>
                </w:tcPr>
                <w:p w14:paraId="1800CFE8">
                  <w:pPr>
                    <w:pStyle w:val="31"/>
                    <w:rPr>
                      <w:rFonts w:hint="default"/>
                      <w:color w:val="auto"/>
                    </w:rPr>
                  </w:pPr>
                  <w:r>
                    <w:rPr>
                      <w:rFonts w:hint="default"/>
                      <w:color w:val="auto"/>
                    </w:rPr>
                    <w:t>云发改基础〔2022〕894号的相关要求</w:t>
                  </w:r>
                </w:p>
              </w:tc>
              <w:tc>
                <w:tcPr>
                  <w:tcW w:w="1613" w:type="pct"/>
                  <w:shd w:val="clear" w:color="auto" w:fill="auto"/>
                  <w:vAlign w:val="center"/>
                </w:tcPr>
                <w:p w14:paraId="3A782F3B">
                  <w:pPr>
                    <w:pStyle w:val="31"/>
                    <w:rPr>
                      <w:rFonts w:hint="default"/>
                      <w:color w:val="auto"/>
                    </w:rPr>
                  </w:pPr>
                  <w:r>
                    <w:rPr>
                      <w:color w:val="auto"/>
                    </w:rPr>
                    <w:t>本项目</w:t>
                  </w:r>
                </w:p>
              </w:tc>
              <w:tc>
                <w:tcPr>
                  <w:tcW w:w="501" w:type="pct"/>
                  <w:shd w:val="clear" w:color="auto" w:fill="auto"/>
                  <w:vAlign w:val="center"/>
                </w:tcPr>
                <w:p w14:paraId="54F254BB">
                  <w:pPr>
                    <w:pStyle w:val="31"/>
                    <w:jc w:val="center"/>
                    <w:rPr>
                      <w:rFonts w:hint="eastAsia" w:eastAsia="宋体"/>
                      <w:color w:val="auto"/>
                      <w:lang w:val="en-US" w:eastAsia="zh-CN"/>
                    </w:rPr>
                  </w:pPr>
                  <w:r>
                    <w:rPr>
                      <w:rFonts w:hint="eastAsia"/>
                      <w:color w:val="auto"/>
                      <w:lang w:val="en-US" w:eastAsia="zh-CN"/>
                    </w:rPr>
                    <w:t>符合性</w:t>
                  </w:r>
                </w:p>
              </w:tc>
            </w:tr>
            <w:tr w14:paraId="36DE7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shd w:val="clear" w:color="auto" w:fill="auto"/>
                  <w:vAlign w:val="center"/>
                </w:tcPr>
                <w:p w14:paraId="760E6BA0">
                  <w:pPr>
                    <w:pStyle w:val="31"/>
                    <w:ind w:firstLine="0" w:firstLineChars="0"/>
                    <w:rPr>
                      <w:rFonts w:hint="default" w:ascii="Times New Roman" w:hAnsi="Times New Roman" w:eastAsia="宋体" w:cs="黑体"/>
                      <w:b w:val="0"/>
                      <w:color w:val="auto"/>
                      <w:kern w:val="2"/>
                      <w:sz w:val="21"/>
                      <w:szCs w:val="24"/>
                      <w:lang w:val="en-US" w:eastAsia="zh-CN" w:bidi="ar-SA"/>
                    </w:rPr>
                  </w:pPr>
                  <w:r>
                    <w:rPr>
                      <w:color w:val="auto"/>
                    </w:rPr>
                    <w:t>1</w:t>
                  </w:r>
                </w:p>
              </w:tc>
              <w:tc>
                <w:tcPr>
                  <w:tcW w:w="2583" w:type="pct"/>
                  <w:shd w:val="clear" w:color="auto" w:fill="auto"/>
                  <w:vAlign w:val="center"/>
                </w:tcPr>
                <w:p w14:paraId="14D446DD">
                  <w:pPr>
                    <w:pStyle w:val="31"/>
                    <w:jc w:val="left"/>
                    <w:rPr>
                      <w:rFonts w:hint="eastAsia" w:ascii="Times New Roman" w:hAnsi="Times New Roman" w:eastAsia="宋体" w:cs="黑体"/>
                      <w:b w:val="0"/>
                      <w:color w:val="auto"/>
                      <w:kern w:val="2"/>
                      <w:sz w:val="21"/>
                      <w:szCs w:val="24"/>
                      <w:lang w:val="en-US" w:eastAsia="zh-CN" w:bidi="ar-SA"/>
                    </w:rPr>
                  </w:pPr>
                  <w:r>
                    <w:rPr>
                      <w:rFonts w:hint="eastAsia"/>
                      <w:color w:val="auto"/>
                    </w:rPr>
                    <w:t>禁止新建、改建和扩建不符合《全国内河航道与港口布局规划》等全国港口规划和《昭通市港口码头岸线规划（金沙江段2019年—2035年）》、《景洪港总体规划（2019—2035年）》等州（市）级以上港口布局规划以及港口总体规划的码头项目</w:t>
                  </w:r>
                  <w:r>
                    <w:rPr>
                      <w:rFonts w:hint="eastAsia"/>
                      <w:color w:val="auto"/>
                      <w:lang w:eastAsia="zh-CN"/>
                    </w:rPr>
                    <w:t>。</w:t>
                  </w:r>
                </w:p>
              </w:tc>
              <w:tc>
                <w:tcPr>
                  <w:tcW w:w="1613" w:type="pct"/>
                  <w:shd w:val="clear" w:color="auto" w:fill="auto"/>
                  <w:vAlign w:val="center"/>
                </w:tcPr>
                <w:p w14:paraId="3C2486DD">
                  <w:pPr>
                    <w:pStyle w:val="31"/>
                    <w:rPr>
                      <w:rFonts w:hint="default"/>
                      <w:color w:val="auto"/>
                    </w:rPr>
                  </w:pPr>
                  <w:r>
                    <w:rPr>
                      <w:rFonts w:hint="eastAsia"/>
                      <w:color w:val="auto"/>
                      <w:lang w:eastAsia="zh-CN"/>
                    </w:rPr>
                    <w:t>本项目主要位于云南玉溪市通海县纳古镇，在原址扩建，本项目属于高频直缝焊管生产项目，不涉及码头项目。</w:t>
                  </w:r>
                </w:p>
              </w:tc>
              <w:tc>
                <w:tcPr>
                  <w:tcW w:w="501" w:type="pct"/>
                  <w:shd w:val="clear" w:color="auto" w:fill="auto"/>
                  <w:vAlign w:val="center"/>
                </w:tcPr>
                <w:p w14:paraId="171E155C">
                  <w:pPr>
                    <w:pStyle w:val="31"/>
                    <w:jc w:val="center"/>
                    <w:rPr>
                      <w:rFonts w:hint="default"/>
                      <w:color w:val="auto"/>
                      <w:lang w:val="en-US" w:eastAsia="zh-CN"/>
                    </w:rPr>
                  </w:pPr>
                  <w:r>
                    <w:rPr>
                      <w:rFonts w:hint="eastAsia"/>
                      <w:color w:val="auto"/>
                      <w:lang w:val="en-US" w:eastAsia="zh-CN"/>
                    </w:rPr>
                    <w:t>符合</w:t>
                  </w:r>
                </w:p>
              </w:tc>
            </w:tr>
            <w:tr w14:paraId="0C1E0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shd w:val="clear" w:color="auto" w:fill="auto"/>
                  <w:vAlign w:val="center"/>
                </w:tcPr>
                <w:p w14:paraId="0C737513">
                  <w:pPr>
                    <w:pStyle w:val="31"/>
                    <w:ind w:firstLine="0" w:firstLineChars="0"/>
                    <w:rPr>
                      <w:rFonts w:hint="default" w:ascii="Times New Roman" w:hAnsi="Times New Roman" w:eastAsia="宋体" w:cs="黑体"/>
                      <w:b w:val="0"/>
                      <w:color w:val="auto"/>
                      <w:kern w:val="2"/>
                      <w:sz w:val="21"/>
                      <w:szCs w:val="24"/>
                      <w:lang w:val="en-US" w:eastAsia="zh-CN" w:bidi="ar-SA"/>
                    </w:rPr>
                  </w:pPr>
                  <w:r>
                    <w:rPr>
                      <w:color w:val="auto"/>
                    </w:rPr>
                    <w:t>2</w:t>
                  </w:r>
                </w:p>
              </w:tc>
              <w:tc>
                <w:tcPr>
                  <w:tcW w:w="2583" w:type="pct"/>
                  <w:shd w:val="clear" w:color="auto" w:fill="auto"/>
                  <w:vAlign w:val="center"/>
                </w:tcPr>
                <w:p w14:paraId="305F4FA8">
                  <w:pPr>
                    <w:pStyle w:val="31"/>
                    <w:jc w:val="left"/>
                    <w:rPr>
                      <w:rFonts w:hint="default" w:ascii="Times New Roman" w:hAnsi="Times New Roman" w:eastAsia="宋体" w:cs="黑体"/>
                      <w:b w:val="0"/>
                      <w:color w:val="auto"/>
                      <w:kern w:val="2"/>
                      <w:sz w:val="21"/>
                      <w:szCs w:val="24"/>
                      <w:lang w:val="en-US" w:eastAsia="zh-CN" w:bidi="ar-SA"/>
                    </w:rPr>
                  </w:pPr>
                  <w:r>
                    <w:rPr>
                      <w:rFonts w:hint="eastAsia"/>
                      <w:color w:val="auto"/>
                    </w:rPr>
                    <w:t>禁止在自然保护区核心区、缓冲区的岸线和河段范围内投资建设旅游和生产经营项目。禁止建设与自然保护区保护方向不一致的旅游项目。禁止在自然保护区内进行开矿、采石、挖沙等活动。禁止在自然保护区的核心区和缓冲区内建设任何生产设施，禁止在自然保护区的实验区内建设污染环境、破坏资源或者景观的生产设施</w:t>
                  </w:r>
                  <w:r>
                    <w:rPr>
                      <w:rFonts w:hint="eastAsia"/>
                      <w:color w:val="auto"/>
                      <w:lang w:eastAsia="zh-CN"/>
                    </w:rPr>
                    <w:t>。</w:t>
                  </w:r>
                </w:p>
              </w:tc>
              <w:tc>
                <w:tcPr>
                  <w:tcW w:w="1613" w:type="pct"/>
                  <w:shd w:val="clear" w:color="auto" w:fill="auto"/>
                  <w:vAlign w:val="center"/>
                </w:tcPr>
                <w:p w14:paraId="06FF3C4C">
                  <w:pPr>
                    <w:pStyle w:val="31"/>
                    <w:rPr>
                      <w:rFonts w:hint="default"/>
                      <w:color w:val="auto"/>
                    </w:rPr>
                  </w:pPr>
                  <w:r>
                    <w:rPr>
                      <w:rFonts w:hint="default"/>
                      <w:color w:val="auto"/>
                    </w:rPr>
                    <w:t>本项目用地不涉及自然保护区核心区、缓冲区的岸线和河段范围。</w:t>
                  </w:r>
                </w:p>
              </w:tc>
              <w:tc>
                <w:tcPr>
                  <w:tcW w:w="501" w:type="pct"/>
                  <w:shd w:val="clear" w:color="auto" w:fill="auto"/>
                  <w:vAlign w:val="center"/>
                </w:tcPr>
                <w:p w14:paraId="27592F07">
                  <w:pPr>
                    <w:pStyle w:val="31"/>
                    <w:jc w:val="center"/>
                    <w:rPr>
                      <w:color w:val="auto"/>
                    </w:rPr>
                  </w:pPr>
                  <w:r>
                    <w:rPr>
                      <w:rFonts w:hint="eastAsia"/>
                      <w:color w:val="auto"/>
                      <w:lang w:val="en-US" w:eastAsia="zh-CN"/>
                    </w:rPr>
                    <w:t>符合</w:t>
                  </w:r>
                </w:p>
              </w:tc>
            </w:tr>
            <w:tr w14:paraId="44DD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shd w:val="clear" w:color="auto" w:fill="auto"/>
                  <w:vAlign w:val="center"/>
                </w:tcPr>
                <w:p w14:paraId="125A7A42">
                  <w:pPr>
                    <w:pStyle w:val="31"/>
                    <w:ind w:firstLine="0" w:firstLineChars="0"/>
                    <w:rPr>
                      <w:rFonts w:hint="default" w:ascii="Times New Roman" w:hAnsi="Times New Roman" w:eastAsia="宋体" w:cs="黑体"/>
                      <w:b w:val="0"/>
                      <w:color w:val="auto"/>
                      <w:kern w:val="2"/>
                      <w:sz w:val="21"/>
                      <w:szCs w:val="24"/>
                      <w:lang w:val="en-US" w:eastAsia="zh-CN" w:bidi="ar-SA"/>
                    </w:rPr>
                  </w:pPr>
                  <w:r>
                    <w:rPr>
                      <w:color w:val="auto"/>
                    </w:rPr>
                    <w:t>3</w:t>
                  </w:r>
                </w:p>
              </w:tc>
              <w:tc>
                <w:tcPr>
                  <w:tcW w:w="2583" w:type="pct"/>
                  <w:shd w:val="clear" w:color="auto" w:fill="auto"/>
                  <w:vAlign w:val="center"/>
                </w:tcPr>
                <w:p w14:paraId="573C3D16">
                  <w:pPr>
                    <w:pStyle w:val="31"/>
                    <w:jc w:val="left"/>
                    <w:rPr>
                      <w:rFonts w:hint="default" w:ascii="Times New Roman" w:hAnsi="Times New Roman" w:eastAsia="宋体" w:cs="黑体"/>
                      <w:b w:val="0"/>
                      <w:color w:val="auto"/>
                      <w:kern w:val="2"/>
                      <w:sz w:val="21"/>
                      <w:szCs w:val="24"/>
                      <w:lang w:val="en-US" w:eastAsia="zh-CN" w:bidi="ar-SA"/>
                    </w:rPr>
                  </w:pPr>
                  <w:r>
                    <w:rPr>
                      <w:rFonts w:hint="eastAsia"/>
                      <w:color w:val="auto"/>
                    </w:rPr>
                    <w:t>禁止在风景名胜区核心景区的岸线和河段范围内投资建设与风景名胜资源保护无关的项目。禁止在风景名胜区内进行开山、采石、开矿、开荒、修坟立碑等破坏景观、植被和地形地貌的活动以及修建储存爆炸性、易燃性、放射性、毒害性、腐蚀性物品的设施；禁止在风景名胜区内设立开发区和在核心景区内建设宾馆、会所、培训中心、疗养院以及与风景名胜资源保护无关的投资建设项目。</w:t>
                  </w:r>
                </w:p>
              </w:tc>
              <w:tc>
                <w:tcPr>
                  <w:tcW w:w="1613" w:type="pct"/>
                  <w:shd w:val="clear" w:color="auto" w:fill="auto"/>
                  <w:vAlign w:val="center"/>
                </w:tcPr>
                <w:p w14:paraId="1CCC41F0">
                  <w:pPr>
                    <w:pStyle w:val="31"/>
                    <w:rPr>
                      <w:rFonts w:hint="default"/>
                      <w:color w:val="auto"/>
                    </w:rPr>
                  </w:pPr>
                  <w:r>
                    <w:rPr>
                      <w:rFonts w:hint="default"/>
                      <w:color w:val="auto"/>
                    </w:rPr>
                    <w:t>本项目用地不涉及风景名胜区核心景区的岸线和河段范围。</w:t>
                  </w:r>
                </w:p>
              </w:tc>
              <w:tc>
                <w:tcPr>
                  <w:tcW w:w="501" w:type="pct"/>
                  <w:shd w:val="clear" w:color="auto" w:fill="auto"/>
                  <w:vAlign w:val="center"/>
                </w:tcPr>
                <w:p w14:paraId="3B6F77AB">
                  <w:pPr>
                    <w:pStyle w:val="31"/>
                    <w:jc w:val="center"/>
                    <w:rPr>
                      <w:rFonts w:hint="default"/>
                      <w:color w:val="auto"/>
                    </w:rPr>
                  </w:pPr>
                  <w:r>
                    <w:rPr>
                      <w:rFonts w:hint="eastAsia"/>
                      <w:color w:val="auto"/>
                      <w:lang w:val="en-US" w:eastAsia="zh-CN"/>
                    </w:rPr>
                    <w:t>符合</w:t>
                  </w:r>
                </w:p>
              </w:tc>
            </w:tr>
            <w:tr w14:paraId="32169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shd w:val="clear" w:color="auto" w:fill="auto"/>
                  <w:vAlign w:val="center"/>
                </w:tcPr>
                <w:p w14:paraId="0E3CB3D9">
                  <w:pPr>
                    <w:pStyle w:val="31"/>
                    <w:ind w:firstLine="0" w:firstLineChars="0"/>
                    <w:rPr>
                      <w:rFonts w:hint="default" w:ascii="Times New Roman" w:hAnsi="Times New Roman" w:eastAsia="宋体" w:cs="黑体"/>
                      <w:b w:val="0"/>
                      <w:color w:val="auto"/>
                      <w:kern w:val="2"/>
                      <w:sz w:val="21"/>
                      <w:szCs w:val="24"/>
                      <w:lang w:val="en-US" w:eastAsia="zh-CN" w:bidi="ar-SA"/>
                    </w:rPr>
                  </w:pPr>
                  <w:r>
                    <w:rPr>
                      <w:color w:val="auto"/>
                    </w:rPr>
                    <w:t>4</w:t>
                  </w:r>
                </w:p>
              </w:tc>
              <w:tc>
                <w:tcPr>
                  <w:tcW w:w="2583" w:type="pct"/>
                  <w:shd w:val="clear" w:color="auto" w:fill="auto"/>
                  <w:vAlign w:val="center"/>
                </w:tcPr>
                <w:p w14:paraId="217745C8">
                  <w:pPr>
                    <w:pStyle w:val="31"/>
                    <w:jc w:val="left"/>
                    <w:rPr>
                      <w:rFonts w:hint="default" w:ascii="Times New Roman" w:hAnsi="Times New Roman" w:eastAsia="宋体" w:cs="黑体"/>
                      <w:b w:val="0"/>
                      <w:color w:val="auto"/>
                      <w:kern w:val="2"/>
                      <w:sz w:val="21"/>
                      <w:szCs w:val="24"/>
                      <w:lang w:val="en-US" w:eastAsia="zh-CN" w:bidi="ar-SA"/>
                    </w:rPr>
                  </w:pPr>
                  <w:r>
                    <w:rPr>
                      <w:rFonts w:hint="default"/>
                      <w:color w:val="auto"/>
                    </w:rPr>
                    <w:t>禁止在饮用水水源一级保护区的岸线和河段范围内新建、改建、扩建与供水设施和保护水源无关的投资建设项目，以及网箱养殖、畜禽养殖、旅游等可能污染饮用水水体的投资建设项目。禁止在饮用水水源二级保护区的岸线和河段范围内新建、改建、扩建排放污染物的投资建设项目。</w:t>
                  </w:r>
                </w:p>
              </w:tc>
              <w:tc>
                <w:tcPr>
                  <w:tcW w:w="1613" w:type="pct"/>
                  <w:shd w:val="clear" w:color="auto" w:fill="auto"/>
                  <w:vAlign w:val="center"/>
                </w:tcPr>
                <w:p w14:paraId="0773B0F2">
                  <w:pPr>
                    <w:pStyle w:val="31"/>
                    <w:jc w:val="both"/>
                    <w:rPr>
                      <w:rFonts w:hint="default"/>
                      <w:color w:val="auto"/>
                    </w:rPr>
                  </w:pPr>
                  <w:r>
                    <w:rPr>
                      <w:rFonts w:hint="eastAsia"/>
                      <w:color w:val="auto"/>
                      <w:lang w:eastAsia="zh-CN"/>
                    </w:rPr>
                    <w:t>本项目主要位于云南省玉溪市通海县纳古镇，利用已建厂房建设，项目周边不涉及饮用水水源保护区。</w:t>
                  </w:r>
                </w:p>
              </w:tc>
              <w:tc>
                <w:tcPr>
                  <w:tcW w:w="501" w:type="pct"/>
                  <w:shd w:val="clear" w:color="auto" w:fill="auto"/>
                  <w:vAlign w:val="center"/>
                </w:tcPr>
                <w:p w14:paraId="5AA8D1C9">
                  <w:pPr>
                    <w:pStyle w:val="31"/>
                    <w:jc w:val="center"/>
                    <w:rPr>
                      <w:rFonts w:hint="eastAsia"/>
                      <w:color w:val="auto"/>
                      <w:lang w:eastAsia="zh-CN"/>
                    </w:rPr>
                  </w:pPr>
                  <w:r>
                    <w:rPr>
                      <w:rFonts w:hint="eastAsia"/>
                      <w:color w:val="auto"/>
                      <w:lang w:val="en-US" w:eastAsia="zh-CN"/>
                    </w:rPr>
                    <w:t>符合</w:t>
                  </w:r>
                </w:p>
              </w:tc>
            </w:tr>
            <w:tr w14:paraId="6E60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shd w:val="clear" w:color="auto" w:fill="auto"/>
                  <w:vAlign w:val="center"/>
                </w:tcPr>
                <w:p w14:paraId="25D96072">
                  <w:pPr>
                    <w:pStyle w:val="31"/>
                    <w:ind w:firstLine="0" w:firstLineChars="0"/>
                    <w:rPr>
                      <w:rFonts w:hint="default" w:ascii="Times New Roman" w:hAnsi="Times New Roman" w:eastAsia="宋体" w:cs="黑体"/>
                      <w:b w:val="0"/>
                      <w:color w:val="auto"/>
                      <w:kern w:val="2"/>
                      <w:sz w:val="21"/>
                      <w:szCs w:val="24"/>
                      <w:lang w:val="en-US" w:eastAsia="zh-CN" w:bidi="ar-SA"/>
                    </w:rPr>
                  </w:pPr>
                  <w:r>
                    <w:rPr>
                      <w:color w:val="auto"/>
                    </w:rPr>
                    <w:t>5</w:t>
                  </w:r>
                </w:p>
              </w:tc>
              <w:tc>
                <w:tcPr>
                  <w:tcW w:w="2583" w:type="pct"/>
                  <w:shd w:val="clear" w:color="auto" w:fill="auto"/>
                  <w:vAlign w:val="center"/>
                </w:tcPr>
                <w:p w14:paraId="515FDBA9">
                  <w:pPr>
                    <w:pStyle w:val="31"/>
                    <w:ind w:firstLine="0" w:firstLineChars="0"/>
                    <w:jc w:val="left"/>
                    <w:rPr>
                      <w:rFonts w:hint="default" w:ascii="Times New Roman" w:hAnsi="Times New Roman" w:eastAsia="宋体" w:cs="黑体"/>
                      <w:b w:val="0"/>
                      <w:color w:val="auto"/>
                      <w:kern w:val="2"/>
                      <w:sz w:val="21"/>
                      <w:szCs w:val="24"/>
                      <w:lang w:val="en-US" w:eastAsia="zh-CN" w:bidi="ar-SA"/>
                    </w:rPr>
                  </w:pPr>
                  <w:r>
                    <w:rPr>
                      <w:rFonts w:hint="default"/>
                      <w:color w:val="auto"/>
                    </w:rPr>
                    <w:t>禁止在水产种质资源保护区的岸线和河段范围内新建围湖造田、围湖造地或围填海等投资建设项目。禁止擅自征收、占用国家湿地公园的土地；禁止在国家湿地公园内挖沙、采矿，以及建设度假村、高尔夫球场等任何不符合主体功能定位的投资建设项目</w:t>
                  </w:r>
                  <w:r>
                    <w:rPr>
                      <w:rFonts w:hint="eastAsia"/>
                      <w:color w:val="auto"/>
                      <w:lang w:eastAsia="zh-CN"/>
                    </w:rPr>
                    <w:t>。</w:t>
                  </w:r>
                </w:p>
              </w:tc>
              <w:tc>
                <w:tcPr>
                  <w:tcW w:w="1613" w:type="pct"/>
                  <w:shd w:val="clear" w:color="auto" w:fill="auto"/>
                  <w:vAlign w:val="center"/>
                </w:tcPr>
                <w:p w14:paraId="08532652">
                  <w:pPr>
                    <w:pStyle w:val="31"/>
                    <w:ind w:firstLine="0" w:firstLineChars="0"/>
                    <w:jc w:val="left"/>
                    <w:rPr>
                      <w:rFonts w:hint="eastAsia" w:ascii="Times New Roman" w:hAnsi="Times New Roman" w:eastAsia="宋体" w:cs="黑体"/>
                      <w:b w:val="0"/>
                      <w:color w:val="auto"/>
                      <w:kern w:val="2"/>
                      <w:sz w:val="21"/>
                      <w:szCs w:val="24"/>
                      <w:lang w:val="en-US" w:eastAsia="zh-CN" w:bidi="ar-SA"/>
                    </w:rPr>
                  </w:pPr>
                  <w:r>
                    <w:rPr>
                      <w:rFonts w:hint="default"/>
                      <w:color w:val="auto"/>
                    </w:rPr>
                    <w:t>本项目位于云南省玉溪市</w:t>
                  </w:r>
                  <w:r>
                    <w:rPr>
                      <w:rFonts w:hint="eastAsia"/>
                      <w:color w:val="auto"/>
                      <w:lang w:eastAsia="zh-CN"/>
                    </w:rPr>
                    <w:t>通海县纳古镇</w:t>
                  </w:r>
                  <w:r>
                    <w:rPr>
                      <w:rFonts w:hint="default"/>
                      <w:color w:val="auto"/>
                    </w:rPr>
                    <w:t>，不在水产种质资源保护区的岸线和河段范围内</w:t>
                  </w:r>
                  <w:r>
                    <w:rPr>
                      <w:rFonts w:hint="eastAsia"/>
                      <w:color w:val="auto"/>
                      <w:lang w:eastAsia="zh-CN"/>
                    </w:rPr>
                    <w:t>。</w:t>
                  </w:r>
                </w:p>
              </w:tc>
              <w:tc>
                <w:tcPr>
                  <w:tcW w:w="501" w:type="pct"/>
                  <w:shd w:val="clear" w:color="auto" w:fill="auto"/>
                  <w:vAlign w:val="center"/>
                </w:tcPr>
                <w:p w14:paraId="636754D9">
                  <w:pPr>
                    <w:pStyle w:val="31"/>
                    <w:ind w:firstLine="0" w:firstLineChars="0"/>
                    <w:jc w:val="center"/>
                    <w:rPr>
                      <w:rFonts w:hint="default"/>
                      <w:color w:val="auto"/>
                    </w:rPr>
                  </w:pPr>
                  <w:r>
                    <w:rPr>
                      <w:rFonts w:hint="eastAsia"/>
                      <w:color w:val="auto"/>
                      <w:lang w:val="en-US" w:eastAsia="zh-CN"/>
                    </w:rPr>
                    <w:t>符合</w:t>
                  </w:r>
                </w:p>
              </w:tc>
            </w:tr>
            <w:tr w14:paraId="38C0F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shd w:val="clear" w:color="auto" w:fill="auto"/>
                  <w:vAlign w:val="center"/>
                </w:tcPr>
                <w:p w14:paraId="10592E7A">
                  <w:pPr>
                    <w:pStyle w:val="31"/>
                    <w:ind w:firstLine="0" w:firstLineChars="0"/>
                    <w:rPr>
                      <w:rFonts w:hint="default" w:ascii="Times New Roman" w:hAnsi="Times New Roman" w:eastAsia="宋体" w:cs="黑体"/>
                      <w:b w:val="0"/>
                      <w:color w:val="auto"/>
                      <w:kern w:val="2"/>
                      <w:sz w:val="21"/>
                      <w:szCs w:val="24"/>
                      <w:lang w:val="en-US" w:eastAsia="zh-CN" w:bidi="ar-SA"/>
                    </w:rPr>
                  </w:pPr>
                  <w:r>
                    <w:rPr>
                      <w:color w:val="auto"/>
                    </w:rPr>
                    <w:t>6</w:t>
                  </w:r>
                </w:p>
              </w:tc>
              <w:tc>
                <w:tcPr>
                  <w:tcW w:w="2583" w:type="pct"/>
                  <w:shd w:val="clear" w:color="auto" w:fill="auto"/>
                  <w:vAlign w:val="center"/>
                </w:tcPr>
                <w:p w14:paraId="7400E2B8">
                  <w:pPr>
                    <w:pStyle w:val="31"/>
                    <w:jc w:val="left"/>
                    <w:rPr>
                      <w:rFonts w:hint="default" w:ascii="Times New Roman" w:hAnsi="Times New Roman" w:eastAsia="宋体" w:cs="黑体"/>
                      <w:b w:val="0"/>
                      <w:color w:val="auto"/>
                      <w:kern w:val="2"/>
                      <w:sz w:val="21"/>
                      <w:szCs w:val="24"/>
                      <w:lang w:val="en-US" w:eastAsia="zh-CN" w:bidi="ar-SA"/>
                    </w:rPr>
                  </w:pPr>
                  <w:r>
                    <w:rPr>
                      <w:rFonts w:hint="eastAsia"/>
                      <w:color w:val="auto"/>
                    </w:rPr>
                    <w:t>禁止违法利用、占用长江流域河湖岸线。禁止在金沙江岸线保护区和保留区内投资建设除事关公共安全及公众利益的防洪护岸、河道治理、供水、生态环境保护、航道整治、国家重要基础设施以外的项目。禁止在金沙江干流、九大高原湖泊保护区、保留区内投资建设不利于水资源及自然生态保护的项目</w:t>
                  </w:r>
                  <w:r>
                    <w:rPr>
                      <w:rFonts w:hint="eastAsia"/>
                      <w:color w:val="auto"/>
                      <w:lang w:eastAsia="zh-CN"/>
                    </w:rPr>
                    <w:t>。</w:t>
                  </w:r>
                </w:p>
              </w:tc>
              <w:tc>
                <w:tcPr>
                  <w:tcW w:w="1613" w:type="pct"/>
                  <w:vMerge w:val="restart"/>
                  <w:shd w:val="clear" w:color="auto" w:fill="auto"/>
                  <w:vAlign w:val="center"/>
                </w:tcPr>
                <w:p w14:paraId="7D7FFEDC">
                  <w:pPr>
                    <w:pStyle w:val="31"/>
                    <w:rPr>
                      <w:rFonts w:hint="default"/>
                      <w:color w:val="auto"/>
                    </w:rPr>
                  </w:pPr>
                  <w:r>
                    <w:rPr>
                      <w:rFonts w:hint="eastAsia"/>
                      <w:color w:val="auto"/>
                      <w:lang w:eastAsia="zh-CN"/>
                    </w:rPr>
                    <w:t>本</w:t>
                  </w:r>
                  <w:r>
                    <w:rPr>
                      <w:color w:val="auto"/>
                    </w:rPr>
                    <w:t>项目区域地表水</w:t>
                  </w:r>
                  <w:r>
                    <w:rPr>
                      <w:rFonts w:hint="eastAsia"/>
                      <w:color w:val="auto"/>
                      <w:lang w:eastAsia="zh-CN"/>
                    </w:rPr>
                    <w:t>为杞麓湖，</w:t>
                  </w:r>
                  <w:r>
                    <w:rPr>
                      <w:color w:val="auto"/>
                    </w:rPr>
                    <w:t>属于珠江</w:t>
                  </w:r>
                  <w:r>
                    <w:rPr>
                      <w:rFonts w:hint="eastAsia"/>
                      <w:color w:val="auto"/>
                      <w:lang w:eastAsia="zh-CN"/>
                    </w:rPr>
                    <w:t>流域，西江水系，项目不占用长江流域河湖岸线。</w:t>
                  </w:r>
                </w:p>
              </w:tc>
              <w:tc>
                <w:tcPr>
                  <w:tcW w:w="501" w:type="pct"/>
                  <w:shd w:val="clear" w:color="auto" w:fill="auto"/>
                  <w:vAlign w:val="center"/>
                </w:tcPr>
                <w:p w14:paraId="4CB6AA2E">
                  <w:pPr>
                    <w:pStyle w:val="31"/>
                    <w:jc w:val="center"/>
                    <w:rPr>
                      <w:rFonts w:hint="eastAsia"/>
                      <w:color w:val="auto"/>
                      <w:lang w:eastAsia="zh-CN"/>
                    </w:rPr>
                  </w:pPr>
                  <w:r>
                    <w:rPr>
                      <w:rFonts w:hint="eastAsia"/>
                      <w:color w:val="auto"/>
                      <w:lang w:val="en-US" w:eastAsia="zh-CN"/>
                    </w:rPr>
                    <w:t>符合</w:t>
                  </w:r>
                </w:p>
              </w:tc>
            </w:tr>
            <w:tr w14:paraId="01F82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shd w:val="clear" w:color="auto" w:fill="auto"/>
                  <w:vAlign w:val="center"/>
                </w:tcPr>
                <w:p w14:paraId="4045B250">
                  <w:pPr>
                    <w:pStyle w:val="31"/>
                    <w:ind w:firstLine="0" w:firstLineChars="0"/>
                    <w:rPr>
                      <w:rFonts w:hint="default" w:ascii="Times New Roman" w:hAnsi="Times New Roman" w:eastAsia="宋体" w:cs="黑体"/>
                      <w:b w:val="0"/>
                      <w:color w:val="auto"/>
                      <w:kern w:val="2"/>
                      <w:sz w:val="21"/>
                      <w:szCs w:val="24"/>
                      <w:lang w:val="en-US" w:eastAsia="zh-CN" w:bidi="ar-SA"/>
                    </w:rPr>
                  </w:pPr>
                  <w:r>
                    <w:rPr>
                      <w:color w:val="auto"/>
                    </w:rPr>
                    <w:t>7</w:t>
                  </w:r>
                </w:p>
              </w:tc>
              <w:tc>
                <w:tcPr>
                  <w:tcW w:w="2583" w:type="pct"/>
                  <w:shd w:val="clear" w:color="auto" w:fill="auto"/>
                  <w:vAlign w:val="center"/>
                </w:tcPr>
                <w:p w14:paraId="0932E971">
                  <w:pPr>
                    <w:pStyle w:val="31"/>
                    <w:jc w:val="left"/>
                    <w:rPr>
                      <w:rFonts w:hint="default" w:ascii="Times New Roman" w:hAnsi="Times New Roman" w:eastAsia="宋体" w:cs="黑体"/>
                      <w:b w:val="0"/>
                      <w:color w:val="auto"/>
                      <w:kern w:val="2"/>
                      <w:sz w:val="21"/>
                      <w:szCs w:val="24"/>
                      <w:lang w:val="en-US" w:eastAsia="zh-CN" w:bidi="ar-SA"/>
                    </w:rPr>
                  </w:pPr>
                  <w:r>
                    <w:rPr>
                      <w:rFonts w:hint="default"/>
                      <w:color w:val="auto"/>
                    </w:rPr>
                    <w:t>禁止在金沙江干流、长江一级支流建设除党中央、国务院、国家投资主管部门、省级有关部门批复同意以外的过江基础设施项目；禁止未经许可在金沙江干流、长江一级支流、九大高原湖泊流域新设、改设或扩大排污口。</w:t>
                  </w:r>
                </w:p>
              </w:tc>
              <w:tc>
                <w:tcPr>
                  <w:tcW w:w="1613" w:type="pct"/>
                  <w:vMerge w:val="continue"/>
                  <w:shd w:val="clear" w:color="auto" w:fill="auto"/>
                  <w:vAlign w:val="center"/>
                </w:tcPr>
                <w:p w14:paraId="18075803">
                  <w:pPr>
                    <w:pStyle w:val="31"/>
                    <w:rPr>
                      <w:rFonts w:hint="default"/>
                      <w:color w:val="auto"/>
                    </w:rPr>
                  </w:pPr>
                </w:p>
              </w:tc>
              <w:tc>
                <w:tcPr>
                  <w:tcW w:w="501" w:type="pct"/>
                  <w:shd w:val="clear" w:color="auto" w:fill="auto"/>
                  <w:vAlign w:val="center"/>
                </w:tcPr>
                <w:p w14:paraId="6E77BBEB">
                  <w:pPr>
                    <w:pStyle w:val="31"/>
                    <w:jc w:val="center"/>
                    <w:rPr>
                      <w:rFonts w:hint="default"/>
                      <w:color w:val="auto"/>
                    </w:rPr>
                  </w:pPr>
                  <w:r>
                    <w:rPr>
                      <w:rFonts w:hint="eastAsia"/>
                      <w:color w:val="auto"/>
                      <w:lang w:val="en-US" w:eastAsia="zh-CN"/>
                    </w:rPr>
                    <w:t>符合</w:t>
                  </w:r>
                </w:p>
              </w:tc>
            </w:tr>
            <w:tr w14:paraId="35C09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shd w:val="clear" w:color="auto" w:fill="auto"/>
                  <w:vAlign w:val="center"/>
                </w:tcPr>
                <w:p w14:paraId="7678C8BB">
                  <w:pPr>
                    <w:pStyle w:val="31"/>
                    <w:ind w:firstLine="0" w:firstLineChars="0"/>
                    <w:rPr>
                      <w:rFonts w:hint="default" w:ascii="Times New Roman" w:hAnsi="Times New Roman" w:eastAsia="宋体" w:cs="黑体"/>
                      <w:b w:val="0"/>
                      <w:color w:val="auto"/>
                      <w:kern w:val="2"/>
                      <w:sz w:val="21"/>
                      <w:szCs w:val="24"/>
                      <w:lang w:val="en-US" w:eastAsia="zh-CN" w:bidi="ar-SA"/>
                    </w:rPr>
                  </w:pPr>
                  <w:r>
                    <w:rPr>
                      <w:color w:val="auto"/>
                    </w:rPr>
                    <w:t>8</w:t>
                  </w:r>
                </w:p>
              </w:tc>
              <w:tc>
                <w:tcPr>
                  <w:tcW w:w="2583" w:type="pct"/>
                  <w:shd w:val="clear" w:color="auto" w:fill="auto"/>
                  <w:vAlign w:val="center"/>
                </w:tcPr>
                <w:p w14:paraId="67C2DA42">
                  <w:pPr>
                    <w:pStyle w:val="31"/>
                    <w:jc w:val="left"/>
                    <w:rPr>
                      <w:rFonts w:hint="default" w:ascii="Times New Roman" w:hAnsi="Times New Roman" w:eastAsia="宋体" w:cs="黑体"/>
                      <w:b w:val="0"/>
                      <w:color w:val="auto"/>
                      <w:kern w:val="2"/>
                      <w:sz w:val="21"/>
                      <w:szCs w:val="24"/>
                      <w:lang w:val="en-US" w:eastAsia="zh-CN" w:bidi="ar-SA"/>
                    </w:rPr>
                  </w:pPr>
                  <w:r>
                    <w:rPr>
                      <w:rFonts w:hint="default"/>
                      <w:color w:val="auto"/>
                    </w:rPr>
                    <w:t>禁止在金沙江干流、长江一级支流、水生生物保护区和长江流域禁捕水域开展天然渔业资源生产性捕捞。</w:t>
                  </w:r>
                </w:p>
              </w:tc>
              <w:tc>
                <w:tcPr>
                  <w:tcW w:w="1613" w:type="pct"/>
                  <w:shd w:val="clear" w:color="auto" w:fill="auto"/>
                  <w:vAlign w:val="center"/>
                </w:tcPr>
                <w:p w14:paraId="385F1562">
                  <w:pPr>
                    <w:pStyle w:val="31"/>
                    <w:rPr>
                      <w:rFonts w:hint="default"/>
                      <w:color w:val="auto"/>
                      <w:kern w:val="0"/>
                      <w:szCs w:val="22"/>
                    </w:rPr>
                  </w:pPr>
                  <w:r>
                    <w:rPr>
                      <w:color w:val="auto"/>
                    </w:rPr>
                    <w:t>本项目不涉及。</w:t>
                  </w:r>
                </w:p>
              </w:tc>
              <w:tc>
                <w:tcPr>
                  <w:tcW w:w="501" w:type="pct"/>
                  <w:shd w:val="clear" w:color="auto" w:fill="auto"/>
                  <w:vAlign w:val="center"/>
                </w:tcPr>
                <w:p w14:paraId="6A0FBD70">
                  <w:pPr>
                    <w:pStyle w:val="31"/>
                    <w:jc w:val="center"/>
                    <w:rPr>
                      <w:color w:val="auto"/>
                    </w:rPr>
                  </w:pPr>
                  <w:r>
                    <w:rPr>
                      <w:rFonts w:hint="eastAsia"/>
                      <w:color w:val="auto"/>
                      <w:lang w:val="en-US" w:eastAsia="zh-CN"/>
                    </w:rPr>
                    <w:t>符合</w:t>
                  </w:r>
                </w:p>
              </w:tc>
            </w:tr>
            <w:tr w14:paraId="5BB9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shd w:val="clear" w:color="auto" w:fill="auto"/>
                  <w:vAlign w:val="center"/>
                </w:tcPr>
                <w:p w14:paraId="089DE933">
                  <w:pPr>
                    <w:pStyle w:val="31"/>
                    <w:ind w:firstLine="0" w:firstLineChars="0"/>
                    <w:rPr>
                      <w:rFonts w:hint="default" w:ascii="Times New Roman" w:hAnsi="Times New Roman" w:eastAsia="宋体" w:cs="黑体"/>
                      <w:b w:val="0"/>
                      <w:color w:val="auto"/>
                      <w:kern w:val="2"/>
                      <w:sz w:val="21"/>
                      <w:szCs w:val="24"/>
                      <w:lang w:val="en-US" w:eastAsia="zh-CN" w:bidi="ar-SA"/>
                    </w:rPr>
                  </w:pPr>
                  <w:r>
                    <w:rPr>
                      <w:color w:val="auto"/>
                    </w:rPr>
                    <w:t>9</w:t>
                  </w:r>
                </w:p>
              </w:tc>
              <w:tc>
                <w:tcPr>
                  <w:tcW w:w="2583" w:type="pct"/>
                  <w:shd w:val="clear" w:color="auto" w:fill="auto"/>
                  <w:vAlign w:val="center"/>
                </w:tcPr>
                <w:p w14:paraId="3EA2316D">
                  <w:pPr>
                    <w:pStyle w:val="31"/>
                    <w:jc w:val="left"/>
                    <w:rPr>
                      <w:rFonts w:hint="default" w:ascii="Times New Roman" w:hAnsi="Times New Roman" w:eastAsia="宋体" w:cs="黑体"/>
                      <w:b w:val="0"/>
                      <w:color w:val="auto"/>
                      <w:kern w:val="2"/>
                      <w:sz w:val="21"/>
                      <w:szCs w:val="24"/>
                      <w:lang w:val="en-US" w:eastAsia="zh-CN" w:bidi="ar-SA"/>
                    </w:rPr>
                  </w:pPr>
                  <w:r>
                    <w:rPr>
                      <w:rFonts w:hint="eastAsia"/>
                      <w:color w:val="auto"/>
                    </w:rPr>
                    <w:t>禁止在金沙江干流，长江一级支流和九大高原湖泊岸线一公里范围内新建、扩建化工园区和化工项目。禁止在金沙江干流岸线三公里范围内和长江一级支流岸线一公里范围内新建、改建、扩建尾矿库、冶炼渣库和磷石膏库，以提升安全、生态环境保护水平为目的的改建除外。</w:t>
                  </w:r>
                </w:p>
              </w:tc>
              <w:tc>
                <w:tcPr>
                  <w:tcW w:w="1613" w:type="pct"/>
                  <w:shd w:val="clear" w:color="auto" w:fill="auto"/>
                  <w:vAlign w:val="center"/>
                </w:tcPr>
                <w:p w14:paraId="69CE465C">
                  <w:pPr>
                    <w:pStyle w:val="31"/>
                    <w:rPr>
                      <w:rFonts w:hint="default"/>
                      <w:color w:val="auto"/>
                      <w:kern w:val="0"/>
                      <w:szCs w:val="22"/>
                    </w:rPr>
                  </w:pPr>
                  <w:r>
                    <w:rPr>
                      <w:rFonts w:hint="default"/>
                      <w:color w:val="auto"/>
                      <w:kern w:val="0"/>
                      <w:szCs w:val="22"/>
                    </w:rPr>
                    <w:t>本项目属于高频直缝焊管生产项目，不属于尾矿库、冶炼渣库和磷石膏库项目。</w:t>
                  </w:r>
                </w:p>
              </w:tc>
              <w:tc>
                <w:tcPr>
                  <w:tcW w:w="501" w:type="pct"/>
                  <w:shd w:val="clear" w:color="auto" w:fill="auto"/>
                  <w:vAlign w:val="center"/>
                </w:tcPr>
                <w:p w14:paraId="7820931F">
                  <w:pPr>
                    <w:pStyle w:val="31"/>
                    <w:jc w:val="center"/>
                    <w:rPr>
                      <w:color w:val="auto"/>
                    </w:rPr>
                  </w:pPr>
                  <w:r>
                    <w:rPr>
                      <w:rFonts w:hint="eastAsia"/>
                      <w:color w:val="auto"/>
                      <w:lang w:val="en-US" w:eastAsia="zh-CN"/>
                    </w:rPr>
                    <w:t>符合</w:t>
                  </w:r>
                </w:p>
              </w:tc>
            </w:tr>
            <w:tr w14:paraId="283F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shd w:val="clear" w:color="auto" w:fill="auto"/>
                  <w:vAlign w:val="center"/>
                </w:tcPr>
                <w:p w14:paraId="1C0A9CB8">
                  <w:pPr>
                    <w:pStyle w:val="31"/>
                    <w:ind w:firstLine="0" w:firstLineChars="0"/>
                    <w:rPr>
                      <w:rFonts w:hint="default" w:ascii="Times New Roman" w:hAnsi="Times New Roman" w:eastAsia="宋体" w:cs="黑体"/>
                      <w:b w:val="0"/>
                      <w:color w:val="auto"/>
                      <w:kern w:val="2"/>
                      <w:sz w:val="21"/>
                      <w:szCs w:val="24"/>
                      <w:lang w:val="en-US" w:eastAsia="zh-CN" w:bidi="ar-SA"/>
                    </w:rPr>
                  </w:pPr>
                  <w:r>
                    <w:rPr>
                      <w:color w:val="auto"/>
                    </w:rPr>
                    <w:t>10</w:t>
                  </w:r>
                </w:p>
              </w:tc>
              <w:tc>
                <w:tcPr>
                  <w:tcW w:w="2583" w:type="pct"/>
                  <w:shd w:val="clear" w:color="auto" w:fill="auto"/>
                  <w:vAlign w:val="center"/>
                </w:tcPr>
                <w:p w14:paraId="1BDA1605">
                  <w:pPr>
                    <w:pStyle w:val="31"/>
                    <w:ind w:firstLine="0" w:firstLineChars="0"/>
                    <w:jc w:val="left"/>
                    <w:rPr>
                      <w:rFonts w:hint="default" w:ascii="Times New Roman" w:hAnsi="Times New Roman" w:eastAsia="宋体" w:cs="黑体"/>
                      <w:b w:val="0"/>
                      <w:color w:val="auto"/>
                      <w:kern w:val="2"/>
                      <w:sz w:val="21"/>
                      <w:szCs w:val="24"/>
                      <w:lang w:val="en-US" w:eastAsia="zh-CN" w:bidi="ar-SA"/>
                    </w:rPr>
                  </w:pPr>
                  <w:r>
                    <w:rPr>
                      <w:rFonts w:hint="default"/>
                      <w:color w:val="auto"/>
                    </w:rPr>
                    <w:t>禁止在合规园区外新建、扩建钢铁、石化、化工、焦化、建材、有色、制浆造纸行业中的高污染项目。</w:t>
                  </w:r>
                </w:p>
              </w:tc>
              <w:tc>
                <w:tcPr>
                  <w:tcW w:w="1613" w:type="pct"/>
                  <w:shd w:val="clear" w:color="auto" w:fill="auto"/>
                  <w:vAlign w:val="center"/>
                </w:tcPr>
                <w:p w14:paraId="77EA6BFF">
                  <w:pPr>
                    <w:pStyle w:val="31"/>
                    <w:rPr>
                      <w:rFonts w:hint="default"/>
                      <w:color w:val="auto"/>
                      <w:kern w:val="0"/>
                      <w:szCs w:val="22"/>
                    </w:rPr>
                  </w:pPr>
                  <w:r>
                    <w:rPr>
                      <w:rFonts w:hint="default"/>
                      <w:color w:val="auto"/>
                      <w:kern w:val="0"/>
                      <w:szCs w:val="22"/>
                    </w:rPr>
                    <w:t>本项目属于高频直缝焊管生产项目，不属于钢铁、石化、化工、焦化、建材、有色、制浆造纸等高污染项目。</w:t>
                  </w:r>
                </w:p>
              </w:tc>
              <w:tc>
                <w:tcPr>
                  <w:tcW w:w="501" w:type="pct"/>
                  <w:shd w:val="clear" w:color="auto" w:fill="auto"/>
                  <w:vAlign w:val="center"/>
                </w:tcPr>
                <w:p w14:paraId="2185D073">
                  <w:pPr>
                    <w:pStyle w:val="31"/>
                    <w:jc w:val="center"/>
                    <w:rPr>
                      <w:color w:val="auto"/>
                    </w:rPr>
                  </w:pPr>
                  <w:r>
                    <w:rPr>
                      <w:rFonts w:hint="eastAsia"/>
                      <w:color w:val="auto"/>
                      <w:lang w:val="en-US" w:eastAsia="zh-CN"/>
                    </w:rPr>
                    <w:t>符合</w:t>
                  </w:r>
                </w:p>
              </w:tc>
            </w:tr>
            <w:tr w14:paraId="178E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shd w:val="clear" w:color="auto" w:fill="auto"/>
                  <w:vAlign w:val="center"/>
                </w:tcPr>
                <w:p w14:paraId="3249F7FC">
                  <w:pPr>
                    <w:pStyle w:val="31"/>
                    <w:ind w:firstLine="0" w:firstLineChars="0"/>
                    <w:rPr>
                      <w:rFonts w:hint="default" w:ascii="Times New Roman" w:hAnsi="Times New Roman" w:eastAsia="宋体" w:cs="黑体"/>
                      <w:b w:val="0"/>
                      <w:color w:val="auto"/>
                      <w:kern w:val="2"/>
                      <w:sz w:val="21"/>
                      <w:szCs w:val="24"/>
                      <w:lang w:val="en-US" w:eastAsia="zh-CN" w:bidi="ar-SA"/>
                    </w:rPr>
                  </w:pPr>
                  <w:r>
                    <w:rPr>
                      <w:color w:val="auto"/>
                    </w:rPr>
                    <w:t>11</w:t>
                  </w:r>
                </w:p>
              </w:tc>
              <w:tc>
                <w:tcPr>
                  <w:tcW w:w="2583" w:type="pct"/>
                  <w:shd w:val="clear" w:color="auto" w:fill="auto"/>
                  <w:vAlign w:val="center"/>
                </w:tcPr>
                <w:p w14:paraId="0C0E0180">
                  <w:pPr>
                    <w:pStyle w:val="31"/>
                    <w:jc w:val="left"/>
                    <w:rPr>
                      <w:rFonts w:hint="eastAsia" w:ascii="Times New Roman" w:hAnsi="Times New Roman" w:eastAsia="宋体" w:cs="黑体"/>
                      <w:b w:val="0"/>
                      <w:color w:val="auto"/>
                      <w:kern w:val="2"/>
                      <w:sz w:val="21"/>
                      <w:szCs w:val="24"/>
                      <w:lang w:val="en-US" w:eastAsia="zh-CN" w:bidi="ar-SA"/>
                    </w:rPr>
                  </w:pPr>
                  <w:r>
                    <w:rPr>
                      <w:rFonts w:hint="default"/>
                      <w:color w:val="auto"/>
                    </w:rPr>
                    <w:t>禁止新建、扩建不符合国家石化、现代煤化工等产业布局规划的项目。禁止列入《云南省城镇人口密集区危险化学品生产企业搬迁改造名单》的搬迁改造企业在原址新建、扩建危险化学品生产项目</w:t>
                  </w:r>
                  <w:r>
                    <w:rPr>
                      <w:rFonts w:hint="eastAsia"/>
                      <w:color w:val="auto"/>
                      <w:lang w:eastAsia="zh-CN"/>
                    </w:rPr>
                    <w:t>。</w:t>
                  </w:r>
                </w:p>
              </w:tc>
              <w:tc>
                <w:tcPr>
                  <w:tcW w:w="1613" w:type="pct"/>
                  <w:shd w:val="clear" w:color="auto" w:fill="auto"/>
                  <w:vAlign w:val="center"/>
                </w:tcPr>
                <w:p w14:paraId="21D516BE">
                  <w:pPr>
                    <w:pStyle w:val="31"/>
                    <w:rPr>
                      <w:rFonts w:hint="eastAsia" w:eastAsia="宋体"/>
                      <w:color w:val="auto"/>
                      <w:lang w:eastAsia="zh-CN"/>
                    </w:rPr>
                  </w:pPr>
                  <w:r>
                    <w:rPr>
                      <w:rFonts w:hint="eastAsia"/>
                      <w:color w:val="auto"/>
                      <w:lang w:eastAsia="zh-CN"/>
                    </w:rPr>
                    <w:t>本项目不涉及</w:t>
                  </w:r>
                </w:p>
              </w:tc>
              <w:tc>
                <w:tcPr>
                  <w:tcW w:w="501" w:type="pct"/>
                  <w:shd w:val="clear" w:color="auto" w:fill="auto"/>
                  <w:vAlign w:val="center"/>
                </w:tcPr>
                <w:p w14:paraId="15B3149E">
                  <w:pPr>
                    <w:pStyle w:val="31"/>
                    <w:jc w:val="center"/>
                    <w:rPr>
                      <w:rFonts w:hint="eastAsia"/>
                      <w:color w:val="auto"/>
                      <w:lang w:eastAsia="zh-CN"/>
                    </w:rPr>
                  </w:pPr>
                  <w:r>
                    <w:rPr>
                      <w:rFonts w:hint="eastAsia"/>
                      <w:color w:val="auto"/>
                      <w:lang w:val="en-US" w:eastAsia="zh-CN"/>
                    </w:rPr>
                    <w:t>符合</w:t>
                  </w:r>
                </w:p>
              </w:tc>
            </w:tr>
            <w:tr w14:paraId="7A525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shd w:val="clear" w:color="auto" w:fill="auto"/>
                  <w:vAlign w:val="center"/>
                </w:tcPr>
                <w:p w14:paraId="7D20A51A">
                  <w:pPr>
                    <w:pStyle w:val="31"/>
                    <w:ind w:firstLine="0" w:firstLineChars="0"/>
                    <w:rPr>
                      <w:rFonts w:hint="default" w:ascii="Times New Roman" w:hAnsi="Times New Roman" w:eastAsia="宋体" w:cs="黑体"/>
                      <w:b w:val="0"/>
                      <w:color w:val="auto"/>
                      <w:kern w:val="2"/>
                      <w:sz w:val="21"/>
                      <w:szCs w:val="24"/>
                      <w:lang w:val="en-US" w:eastAsia="zh-CN" w:bidi="ar-SA"/>
                    </w:rPr>
                  </w:pPr>
                  <w:r>
                    <w:rPr>
                      <w:color w:val="auto"/>
                    </w:rPr>
                    <w:t>12</w:t>
                  </w:r>
                </w:p>
              </w:tc>
              <w:tc>
                <w:tcPr>
                  <w:tcW w:w="2583" w:type="pct"/>
                  <w:shd w:val="clear" w:color="auto" w:fill="auto"/>
                  <w:vAlign w:val="center"/>
                </w:tcPr>
                <w:p w14:paraId="2575CEB7">
                  <w:pPr>
                    <w:pStyle w:val="31"/>
                    <w:jc w:val="left"/>
                    <w:rPr>
                      <w:rFonts w:hint="default" w:ascii="Times New Roman" w:hAnsi="Times New Roman" w:eastAsia="宋体" w:cs="黑体"/>
                      <w:b w:val="0"/>
                      <w:color w:val="auto"/>
                      <w:kern w:val="2"/>
                      <w:sz w:val="21"/>
                      <w:szCs w:val="24"/>
                      <w:lang w:val="en-US" w:eastAsia="zh-CN" w:bidi="ar-SA"/>
                    </w:rPr>
                  </w:pPr>
                  <w:r>
                    <w:rPr>
                      <w:rFonts w:hint="default"/>
                      <w:color w:val="auto"/>
                    </w:rPr>
                    <w:t>禁止新建、扩建法律法规和相关政策明令禁止的落后产能项目，依法依规关停退出能耗、环保、质量、安全不达标产能和技术落后产能。禁止新建、扩建不符合国家产能置换要求的过剩产能行业的项目。禁止新建、扩建不符合要求的高耗能、高排放项目，推动退出重点高耗能行业“限制类”产能。禁止建设高毒高残留以及对环境影响大的农药原药生产装置，严控尿素、磷铵、电石、焦炭、黄磷、烧碱、纯碱、聚氯乙烯等行业新增产能。</w:t>
                  </w:r>
                </w:p>
              </w:tc>
              <w:tc>
                <w:tcPr>
                  <w:tcW w:w="1613" w:type="pct"/>
                  <w:shd w:val="clear" w:color="auto" w:fill="auto"/>
                  <w:vAlign w:val="center"/>
                </w:tcPr>
                <w:p w14:paraId="4CDF366B">
                  <w:pPr>
                    <w:pStyle w:val="31"/>
                    <w:rPr>
                      <w:rFonts w:hint="default"/>
                      <w:color w:val="auto"/>
                    </w:rPr>
                  </w:pPr>
                  <w:r>
                    <w:rPr>
                      <w:color w:val="auto"/>
                    </w:rPr>
                    <w:t>本项目不涉及。</w:t>
                  </w:r>
                </w:p>
              </w:tc>
              <w:tc>
                <w:tcPr>
                  <w:tcW w:w="501" w:type="pct"/>
                  <w:shd w:val="clear" w:color="auto" w:fill="auto"/>
                  <w:vAlign w:val="center"/>
                </w:tcPr>
                <w:p w14:paraId="73E18166">
                  <w:pPr>
                    <w:pStyle w:val="31"/>
                    <w:jc w:val="center"/>
                    <w:rPr>
                      <w:color w:val="auto"/>
                    </w:rPr>
                  </w:pPr>
                  <w:r>
                    <w:rPr>
                      <w:rFonts w:hint="eastAsia"/>
                      <w:color w:val="auto"/>
                      <w:lang w:val="en-US" w:eastAsia="zh-CN"/>
                    </w:rPr>
                    <w:t>符合</w:t>
                  </w:r>
                </w:p>
              </w:tc>
            </w:tr>
          </w:tbl>
          <w:p w14:paraId="76A61AE0">
            <w:pPr>
              <w:ind w:firstLine="480"/>
              <w:rPr>
                <w:rFonts w:hint="eastAsia"/>
                <w:color w:val="auto"/>
              </w:rPr>
            </w:pPr>
            <w:r>
              <w:rPr>
                <w:rFonts w:hint="eastAsia"/>
                <w:color w:val="auto"/>
              </w:rPr>
              <w:t>根据上表分析，项目符合《云南省推动长江经济带发展领导小组办公室关于印发&lt;云南省长江经济带发展负面 清单指南实施细则（试行，2022年版）&gt;的通知》（云发改基础〔2022〕894号）的相关要求。</w:t>
            </w:r>
          </w:p>
          <w:p w14:paraId="64B77E8C">
            <w:pPr>
              <w:ind w:firstLine="482"/>
              <w:rPr>
                <w:rFonts w:hint="default"/>
                <w:b/>
                <w:bCs/>
                <w:color w:val="auto"/>
                <w:lang w:val="en-US" w:eastAsia="zh-CN"/>
              </w:rPr>
            </w:pPr>
            <w:r>
              <w:rPr>
                <w:rFonts w:hint="eastAsia"/>
                <w:b/>
                <w:bCs/>
                <w:color w:val="auto"/>
                <w:lang w:val="en-US" w:eastAsia="zh-CN"/>
              </w:rPr>
              <w:t>5、与《云南省杞麓湖保护条例》的符合性分析</w:t>
            </w:r>
          </w:p>
          <w:p w14:paraId="196C5277">
            <w:pPr>
              <w:ind w:firstLine="482"/>
              <w:rPr>
                <w:rFonts w:hint="eastAsia"/>
                <w:b w:val="0"/>
                <w:bCs w:val="0"/>
                <w:color w:val="auto"/>
                <w:lang w:val="en-US" w:eastAsia="zh-CN"/>
              </w:rPr>
            </w:pPr>
            <w:r>
              <w:rPr>
                <w:rFonts w:hint="eastAsia"/>
                <w:b w:val="0"/>
                <w:bCs w:val="0"/>
                <w:color w:val="auto"/>
                <w:lang w:val="en-US" w:eastAsia="zh-CN"/>
              </w:rPr>
              <w:t>《云南省杞麓湖保护条例》已由云南省第十四届人民代表大会常务委员会第五次会议于2023年9月23日审议通过，自2024年1月1日起施行。玉溪市人民政府按照划定的湖滨生态红线和湖泊生态黄线，杞麓湖确定生态保护核心区、生态保护缓冲区和绿色发展区。</w:t>
            </w:r>
          </w:p>
          <w:p w14:paraId="0A51B4C2">
            <w:pPr>
              <w:ind w:firstLine="482"/>
              <w:rPr>
                <w:rFonts w:hint="eastAsia"/>
                <w:b w:val="0"/>
                <w:bCs w:val="0"/>
                <w:color w:val="auto"/>
                <w:lang w:val="en-US" w:eastAsia="zh-CN"/>
              </w:rPr>
            </w:pPr>
            <w:r>
              <w:rPr>
                <w:rFonts w:hint="eastAsia"/>
                <w:b w:val="0"/>
                <w:bCs w:val="0"/>
                <w:color w:val="auto"/>
                <w:lang w:val="en-US" w:eastAsia="zh-CN"/>
              </w:rPr>
              <w:t>本项目位于通海县纳古镇，根据《玉溪市人民政府关于抚仙湖、星云湖、杞麓湖生态保护核心区生态保护缓冲区绿色发展区划定公告》，项目属于杞麓湖绿色发展区</w:t>
            </w:r>
            <w:r>
              <w:rPr>
                <w:rFonts w:hint="eastAsia"/>
                <w:b w:val="0"/>
                <w:bCs w:val="0"/>
                <w:color w:val="auto"/>
                <w:highlight w:val="none"/>
                <w:lang w:val="en-US" w:eastAsia="zh-CN"/>
              </w:rPr>
              <w:t>（详见附图7）</w:t>
            </w:r>
            <w:r>
              <w:rPr>
                <w:rFonts w:hint="eastAsia"/>
                <w:b w:val="0"/>
                <w:bCs w:val="0"/>
                <w:color w:val="auto"/>
                <w:lang w:val="en-US" w:eastAsia="zh-CN"/>
              </w:rPr>
              <w:t>。本项目与《云南省杞麓湖保护条例》规定的绿色发展区禁止行为符合性详见下表。</w:t>
            </w:r>
          </w:p>
          <w:p w14:paraId="75C09692">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表1-</w:t>
            </w:r>
            <w:r>
              <w:rPr>
                <w:rFonts w:hint="eastAsia" w:cs="Times New Roman"/>
                <w:color w:val="auto"/>
                <w:sz w:val="24"/>
                <w:szCs w:val="24"/>
                <w:lang w:val="en-US" w:eastAsia="zh-CN"/>
              </w:rPr>
              <w:t>5</w:t>
            </w:r>
            <w:r>
              <w:rPr>
                <w:rFonts w:hint="default" w:ascii="Times New Roman" w:hAnsi="Times New Roman" w:eastAsia="宋体" w:cs="Times New Roman"/>
                <w:color w:val="auto"/>
                <w:sz w:val="24"/>
                <w:szCs w:val="24"/>
                <w:lang w:val="en-US" w:eastAsia="zh-CN"/>
              </w:rPr>
              <w:t>与《云南省杞麓湖</w:t>
            </w:r>
            <w:r>
              <w:rPr>
                <w:rFonts w:hint="eastAsia" w:ascii="Times New Roman" w:hAnsi="Times New Roman" w:eastAsia="宋体" w:cs="Times New Roman"/>
                <w:color w:val="auto"/>
                <w:sz w:val="24"/>
                <w:szCs w:val="24"/>
                <w:lang w:val="en-US" w:eastAsia="zh-CN"/>
              </w:rPr>
              <w:t>保护</w:t>
            </w:r>
            <w:r>
              <w:rPr>
                <w:rFonts w:hint="default" w:ascii="Times New Roman" w:hAnsi="Times New Roman" w:eastAsia="宋体" w:cs="Times New Roman"/>
                <w:color w:val="auto"/>
                <w:sz w:val="24"/>
                <w:szCs w:val="24"/>
                <w:lang w:val="en-US" w:eastAsia="zh-CN"/>
              </w:rPr>
              <w:t>条例》符合性分析一览表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83"/>
              <w:gridCol w:w="3266"/>
              <w:gridCol w:w="2249"/>
              <w:gridCol w:w="888"/>
            </w:tblGrid>
            <w:tr w14:paraId="442CB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2786" w:type="pct"/>
                  <w:gridSpan w:val="2"/>
                  <w:shd w:val="clear" w:color="auto" w:fill="auto"/>
                  <w:vAlign w:val="center"/>
                </w:tcPr>
                <w:p w14:paraId="09F014E3">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default" w:ascii="Times New Roman" w:hAnsi="Times New Roman" w:eastAsia="宋体"/>
                      <w:color w:val="auto"/>
                      <w:sz w:val="21"/>
                      <w:lang w:val="en-US" w:eastAsia="zh-CN"/>
                    </w:rPr>
                    <w:t>《云南省杞麓湖保护条例》</w:t>
                  </w:r>
                  <w:r>
                    <w:rPr>
                      <w:rFonts w:hint="eastAsia" w:ascii="Times New Roman" w:hAnsi="Times New Roman" w:eastAsia="宋体"/>
                      <w:color w:val="auto"/>
                      <w:sz w:val="21"/>
                      <w:lang w:val="en-US" w:eastAsia="zh-CN"/>
                    </w:rPr>
                    <w:t>绿色发展区</w:t>
                  </w:r>
                  <w:r>
                    <w:rPr>
                      <w:rFonts w:hint="default" w:ascii="Times New Roman" w:hAnsi="Times New Roman" w:eastAsia="宋体"/>
                      <w:color w:val="auto"/>
                      <w:sz w:val="21"/>
                      <w:lang w:val="en-US" w:eastAsia="zh-CN"/>
                    </w:rPr>
                    <w:t>禁止行为</w:t>
                  </w:r>
                </w:p>
              </w:tc>
              <w:tc>
                <w:tcPr>
                  <w:tcW w:w="1587" w:type="pct"/>
                  <w:shd w:val="clear" w:color="auto" w:fill="auto"/>
                  <w:vAlign w:val="center"/>
                </w:tcPr>
                <w:p w14:paraId="78ED209E">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项目情况</w:t>
                  </w:r>
                </w:p>
              </w:tc>
              <w:tc>
                <w:tcPr>
                  <w:tcW w:w="626" w:type="pct"/>
                  <w:shd w:val="clear" w:color="auto" w:fill="auto"/>
                  <w:vAlign w:val="center"/>
                </w:tcPr>
                <w:p w14:paraId="2E6AF0C4">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符合性</w:t>
                  </w:r>
                </w:p>
              </w:tc>
            </w:tr>
            <w:tr w14:paraId="6B16A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482" w:type="pct"/>
                  <w:vMerge w:val="restart"/>
                  <w:shd w:val="clear" w:color="auto" w:fill="auto"/>
                  <w:vAlign w:val="center"/>
                </w:tcPr>
                <w:p w14:paraId="00C12582">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default" w:ascii="Times New Roman" w:hAnsi="Times New Roman" w:eastAsia="宋体"/>
                      <w:color w:val="auto"/>
                      <w:sz w:val="21"/>
                    </w:rPr>
                    <w:t>第二十五条绿色发展区禁止下列行为</w:t>
                  </w:r>
                </w:p>
              </w:tc>
              <w:tc>
                <w:tcPr>
                  <w:tcW w:w="2303" w:type="pct"/>
                  <w:shd w:val="clear" w:color="auto" w:fill="auto"/>
                  <w:vAlign w:val="center"/>
                </w:tcPr>
                <w:p w14:paraId="719C298E">
                  <w:pPr>
                    <w:pStyle w:val="31"/>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（一）新建、改建、扩建严重污染环境、破坏生态平衡和自然景观的项目；</w:t>
                  </w:r>
                </w:p>
              </w:tc>
              <w:tc>
                <w:tcPr>
                  <w:tcW w:w="1587" w:type="pct"/>
                  <w:shd w:val="clear" w:color="auto" w:fill="auto"/>
                  <w:vAlign w:val="center"/>
                </w:tcPr>
                <w:p w14:paraId="383EB986">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default" w:ascii="Times New Roman" w:hAnsi="Times New Roman" w:eastAsia="宋体"/>
                      <w:color w:val="auto"/>
                      <w:sz w:val="21"/>
                      <w:lang w:val="en-US" w:eastAsia="zh-CN"/>
                    </w:rPr>
                    <w:t>本项目</w:t>
                  </w:r>
                  <w:r>
                    <w:rPr>
                      <w:rFonts w:hint="eastAsia" w:ascii="Times New Roman" w:hAnsi="Times New Roman" w:eastAsia="宋体"/>
                      <w:color w:val="auto"/>
                      <w:sz w:val="21"/>
                      <w:lang w:val="en-US" w:eastAsia="zh-CN"/>
                    </w:rPr>
                    <w:t>为</w:t>
                  </w:r>
                  <w:r>
                    <w:rPr>
                      <w:rFonts w:hint="default" w:ascii="Times New Roman" w:hAnsi="Times New Roman" w:eastAsia="宋体"/>
                      <w:color w:val="auto"/>
                      <w:sz w:val="21"/>
                      <w:lang w:val="en-US" w:eastAsia="zh-CN"/>
                    </w:rPr>
                    <w:t>高频直缝焊管</w:t>
                  </w:r>
                  <w:r>
                    <w:rPr>
                      <w:rFonts w:hint="eastAsia" w:ascii="Times New Roman" w:hAnsi="Times New Roman" w:eastAsia="宋体"/>
                      <w:color w:val="auto"/>
                      <w:sz w:val="21"/>
                      <w:lang w:val="en-US" w:eastAsia="zh-CN"/>
                    </w:rPr>
                    <w:t>生产，不属于严重污染环境、破坏生态平衡和自然景观的项目</w:t>
                  </w:r>
                </w:p>
              </w:tc>
              <w:tc>
                <w:tcPr>
                  <w:tcW w:w="626" w:type="pct"/>
                  <w:shd w:val="clear" w:color="auto" w:fill="auto"/>
                  <w:vAlign w:val="center"/>
                </w:tcPr>
                <w:p w14:paraId="60C8F994">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符合</w:t>
                  </w:r>
                </w:p>
              </w:tc>
            </w:tr>
            <w:tr w14:paraId="7AC0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482" w:type="pct"/>
                  <w:vMerge w:val="continue"/>
                  <w:shd w:val="clear" w:color="auto" w:fill="auto"/>
                  <w:vAlign w:val="center"/>
                </w:tcPr>
                <w:p w14:paraId="2944D1B5">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p>
              </w:tc>
              <w:tc>
                <w:tcPr>
                  <w:tcW w:w="2303" w:type="pct"/>
                  <w:shd w:val="clear" w:color="auto" w:fill="auto"/>
                  <w:vAlign w:val="center"/>
                </w:tcPr>
                <w:p w14:paraId="1741695F">
                  <w:pPr>
                    <w:pStyle w:val="31"/>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（二）开山、采石、挖砂、取土、毁林、毁草、挖树根等；</w:t>
                  </w:r>
                </w:p>
              </w:tc>
              <w:tc>
                <w:tcPr>
                  <w:tcW w:w="1587" w:type="pct"/>
                  <w:shd w:val="clear" w:color="auto" w:fill="auto"/>
                  <w:vAlign w:val="center"/>
                </w:tcPr>
                <w:p w14:paraId="5BE3A365">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项目利用现有厂房生产，不涉及</w:t>
                  </w:r>
                </w:p>
              </w:tc>
              <w:tc>
                <w:tcPr>
                  <w:tcW w:w="626" w:type="pct"/>
                  <w:shd w:val="clear" w:color="auto" w:fill="auto"/>
                  <w:vAlign w:val="center"/>
                </w:tcPr>
                <w:p w14:paraId="64540BA8">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符合</w:t>
                  </w:r>
                </w:p>
              </w:tc>
            </w:tr>
            <w:tr w14:paraId="1B2B8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97" w:hRule="atLeast"/>
              </w:trPr>
              <w:tc>
                <w:tcPr>
                  <w:tcW w:w="482" w:type="pct"/>
                  <w:vMerge w:val="continue"/>
                  <w:shd w:val="clear" w:color="auto" w:fill="auto"/>
                  <w:vAlign w:val="center"/>
                </w:tcPr>
                <w:p w14:paraId="295F2A1E">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p>
              </w:tc>
              <w:tc>
                <w:tcPr>
                  <w:tcW w:w="2303" w:type="pct"/>
                  <w:shd w:val="clear" w:color="auto" w:fill="auto"/>
                  <w:vAlign w:val="center"/>
                </w:tcPr>
                <w:p w14:paraId="476A9F9A">
                  <w:pPr>
                    <w:pStyle w:val="31"/>
                    <w:keepNext w:val="0"/>
                    <w:keepLines w:val="0"/>
                    <w:pageBreakBefore w:val="0"/>
                    <w:widowControl w:val="0"/>
                    <w:kinsoku/>
                    <w:wordWrap/>
                    <w:overflowPunct/>
                    <w:topLinePunct w:val="0"/>
                    <w:autoSpaceDE/>
                    <w:autoSpaceDN/>
                    <w:bidi w:val="0"/>
                    <w:adjustRightInd w:val="0"/>
                    <w:snapToGrid w:val="0"/>
                    <w:jc w:val="both"/>
                    <w:textAlignment w:val="auto"/>
                    <w:rPr>
                      <w:rFonts w:hint="eastAsia"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（三）采矿、选矿；</w:t>
                  </w:r>
                </w:p>
              </w:tc>
              <w:tc>
                <w:tcPr>
                  <w:tcW w:w="1587" w:type="pct"/>
                  <w:shd w:val="clear" w:color="auto" w:fill="auto"/>
                  <w:vAlign w:val="center"/>
                </w:tcPr>
                <w:p w14:paraId="60AA4B38">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项目不涉及</w:t>
                  </w:r>
                </w:p>
              </w:tc>
              <w:tc>
                <w:tcPr>
                  <w:tcW w:w="626" w:type="pct"/>
                  <w:shd w:val="clear" w:color="auto" w:fill="auto"/>
                  <w:vAlign w:val="center"/>
                </w:tcPr>
                <w:p w14:paraId="5B21A28A">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符合</w:t>
                  </w:r>
                </w:p>
              </w:tc>
            </w:tr>
            <w:tr w14:paraId="23115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482" w:type="pct"/>
                  <w:vMerge w:val="continue"/>
                  <w:shd w:val="clear" w:color="auto" w:fill="auto"/>
                  <w:vAlign w:val="center"/>
                </w:tcPr>
                <w:p w14:paraId="57C33EC2">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p>
              </w:tc>
              <w:tc>
                <w:tcPr>
                  <w:tcW w:w="2303" w:type="pct"/>
                  <w:shd w:val="clear" w:color="auto" w:fill="auto"/>
                  <w:vAlign w:val="center"/>
                </w:tcPr>
                <w:p w14:paraId="4BF088C6">
                  <w:pPr>
                    <w:pStyle w:val="31"/>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（四）侵占河堤、护岸，损毁或者擅自移动防汛、水文、水利、科研、气象、测量、环境监测、杞麓湖保护相关标牌、环卫等设施；</w:t>
                  </w:r>
                </w:p>
              </w:tc>
              <w:tc>
                <w:tcPr>
                  <w:tcW w:w="1587" w:type="pct"/>
                  <w:shd w:val="clear" w:color="auto" w:fill="auto"/>
                  <w:vAlign w:val="center"/>
                </w:tcPr>
                <w:p w14:paraId="4118687B">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项目不涉及</w:t>
                  </w:r>
                </w:p>
              </w:tc>
              <w:tc>
                <w:tcPr>
                  <w:tcW w:w="626" w:type="pct"/>
                  <w:shd w:val="clear" w:color="auto" w:fill="auto"/>
                  <w:vAlign w:val="center"/>
                </w:tcPr>
                <w:p w14:paraId="0EB619E0">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符合</w:t>
                  </w:r>
                </w:p>
              </w:tc>
            </w:tr>
            <w:tr w14:paraId="7B90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482" w:type="pct"/>
                  <w:vMerge w:val="continue"/>
                  <w:shd w:val="clear" w:color="auto" w:fill="auto"/>
                  <w:vAlign w:val="center"/>
                </w:tcPr>
                <w:p w14:paraId="75917AD3">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p>
              </w:tc>
              <w:tc>
                <w:tcPr>
                  <w:tcW w:w="2303" w:type="pct"/>
                  <w:shd w:val="clear" w:color="auto" w:fill="auto"/>
                  <w:vAlign w:val="center"/>
                </w:tcPr>
                <w:p w14:paraId="4E79A7DB">
                  <w:pPr>
                    <w:pStyle w:val="31"/>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（五）向入湖河道、沟渠、城镇排水管网排放超过国家、地方水污染排放标准或者超过重点水污染物排放总量控制指标的水污染物；</w:t>
                  </w:r>
                </w:p>
              </w:tc>
              <w:tc>
                <w:tcPr>
                  <w:tcW w:w="1587" w:type="pct"/>
                  <w:shd w:val="clear" w:color="auto" w:fill="auto"/>
                  <w:vAlign w:val="center"/>
                </w:tcPr>
                <w:p w14:paraId="33A49C97">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项目生产废水沉淀回用，生活污水经化粪池处理后进入自建一体化</w:t>
                  </w:r>
                  <w:r>
                    <w:rPr>
                      <w:rFonts w:hint="eastAsia"/>
                      <w:color w:val="auto"/>
                      <w:lang w:val="en-US" w:eastAsia="zh-CN"/>
                    </w:rPr>
                    <w:t>污水</w:t>
                  </w:r>
                  <w:r>
                    <w:rPr>
                      <w:rFonts w:hint="eastAsia" w:ascii="Times New Roman" w:hAnsi="Times New Roman" w:eastAsia="宋体"/>
                      <w:color w:val="auto"/>
                      <w:sz w:val="21"/>
                      <w:lang w:val="en-US" w:eastAsia="zh-CN"/>
                    </w:rPr>
                    <w:t>处理设施处理达标后回用于厂区绿化及道路空地浇洒，不外排</w:t>
                  </w:r>
                </w:p>
              </w:tc>
              <w:tc>
                <w:tcPr>
                  <w:tcW w:w="626" w:type="pct"/>
                  <w:shd w:val="clear" w:color="auto" w:fill="auto"/>
                  <w:vAlign w:val="center"/>
                </w:tcPr>
                <w:p w14:paraId="52C9E6C8">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符合</w:t>
                  </w:r>
                </w:p>
              </w:tc>
            </w:tr>
            <w:tr w14:paraId="7C410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482" w:type="pct"/>
                  <w:vMerge w:val="continue"/>
                  <w:shd w:val="clear" w:color="auto" w:fill="auto"/>
                  <w:vAlign w:val="center"/>
                </w:tcPr>
                <w:p w14:paraId="709E4BD9">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p>
              </w:tc>
              <w:tc>
                <w:tcPr>
                  <w:tcW w:w="2303" w:type="pct"/>
                  <w:shd w:val="clear" w:color="auto" w:fill="auto"/>
                  <w:vAlign w:val="center"/>
                </w:tcPr>
                <w:p w14:paraId="1027BACA">
                  <w:pPr>
                    <w:pStyle w:val="31"/>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（六）向入湖河道、沟渠及河道岸坡排放、倾倒、填埋油类、酸液、碱液、剧毒废液（渣）等；</w:t>
                  </w:r>
                </w:p>
              </w:tc>
              <w:tc>
                <w:tcPr>
                  <w:tcW w:w="1587" w:type="pct"/>
                  <w:shd w:val="clear" w:color="auto" w:fill="auto"/>
                  <w:vAlign w:val="center"/>
                </w:tcPr>
                <w:p w14:paraId="108C3614">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项目不涉及</w:t>
                  </w:r>
                </w:p>
              </w:tc>
              <w:tc>
                <w:tcPr>
                  <w:tcW w:w="626" w:type="pct"/>
                  <w:shd w:val="clear" w:color="auto" w:fill="auto"/>
                  <w:vAlign w:val="center"/>
                </w:tcPr>
                <w:p w14:paraId="66753034">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符合</w:t>
                  </w:r>
                </w:p>
              </w:tc>
            </w:tr>
            <w:tr w14:paraId="25FE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482" w:type="pct"/>
                  <w:vMerge w:val="continue"/>
                  <w:shd w:val="clear" w:color="auto" w:fill="auto"/>
                  <w:vAlign w:val="center"/>
                </w:tcPr>
                <w:p w14:paraId="270842C7">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p>
              </w:tc>
              <w:tc>
                <w:tcPr>
                  <w:tcW w:w="2303" w:type="pct"/>
                  <w:shd w:val="clear" w:color="auto" w:fill="auto"/>
                  <w:vAlign w:val="center"/>
                </w:tcPr>
                <w:p w14:paraId="361C3C7D">
                  <w:pPr>
                    <w:pStyle w:val="31"/>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（七）在入湖河道、沟渠、水库最高水位线以下的滩地、岸坡堆放、存贮固体废弃物或者其他污染物；</w:t>
                  </w:r>
                </w:p>
              </w:tc>
              <w:tc>
                <w:tcPr>
                  <w:tcW w:w="1587" w:type="pct"/>
                  <w:shd w:val="clear" w:color="auto" w:fill="auto"/>
                  <w:vAlign w:val="center"/>
                </w:tcPr>
                <w:p w14:paraId="39BC85DA">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项目不涉及</w:t>
                  </w:r>
                </w:p>
              </w:tc>
              <w:tc>
                <w:tcPr>
                  <w:tcW w:w="626" w:type="pct"/>
                  <w:shd w:val="clear" w:color="auto" w:fill="auto"/>
                  <w:vAlign w:val="center"/>
                </w:tcPr>
                <w:p w14:paraId="2E0A166B">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符合</w:t>
                  </w:r>
                </w:p>
              </w:tc>
            </w:tr>
            <w:tr w14:paraId="4C80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482" w:type="pct"/>
                  <w:vMerge w:val="continue"/>
                  <w:shd w:val="clear" w:color="auto" w:fill="auto"/>
                  <w:vAlign w:val="center"/>
                </w:tcPr>
                <w:p w14:paraId="68180F6A">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p>
              </w:tc>
              <w:tc>
                <w:tcPr>
                  <w:tcW w:w="2303" w:type="pct"/>
                  <w:shd w:val="clear" w:color="auto" w:fill="auto"/>
                  <w:vAlign w:val="center"/>
                </w:tcPr>
                <w:p w14:paraId="1C9B5635">
                  <w:pPr>
                    <w:pStyle w:val="31"/>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（八）向入湖河道、沟渠、水库倾倒粪便、污水；</w:t>
                  </w:r>
                </w:p>
              </w:tc>
              <w:tc>
                <w:tcPr>
                  <w:tcW w:w="1587" w:type="pct"/>
                  <w:shd w:val="clear" w:color="auto" w:fill="auto"/>
                  <w:vAlign w:val="center"/>
                </w:tcPr>
                <w:p w14:paraId="59D92A48">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color w:val="auto"/>
                      <w:sz w:val="21"/>
                      <w:lang w:val="en-US" w:eastAsia="zh-CN"/>
                    </w:rPr>
                    <w:t>项目生活污水经化粪池处理后进入自建一体化</w:t>
                  </w:r>
                  <w:r>
                    <w:rPr>
                      <w:rFonts w:hint="eastAsia"/>
                      <w:color w:val="auto"/>
                      <w:lang w:val="en-US" w:eastAsia="zh-CN"/>
                    </w:rPr>
                    <w:t>污水</w:t>
                  </w:r>
                  <w:r>
                    <w:rPr>
                      <w:rFonts w:hint="eastAsia" w:ascii="Times New Roman" w:hAnsi="Times New Roman"/>
                      <w:color w:val="auto"/>
                      <w:sz w:val="21"/>
                      <w:lang w:val="en-US" w:eastAsia="zh-CN"/>
                    </w:rPr>
                    <w:t>处理设施处理达标后回用于厂区绿化及道路空地浇洒，不外排</w:t>
                  </w:r>
                </w:p>
              </w:tc>
              <w:tc>
                <w:tcPr>
                  <w:tcW w:w="626" w:type="pct"/>
                  <w:shd w:val="clear" w:color="auto" w:fill="auto"/>
                  <w:vAlign w:val="center"/>
                </w:tcPr>
                <w:p w14:paraId="68288418">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符合</w:t>
                  </w:r>
                </w:p>
              </w:tc>
            </w:tr>
            <w:tr w14:paraId="247E5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482" w:type="pct"/>
                  <w:vMerge w:val="continue"/>
                  <w:shd w:val="clear" w:color="auto" w:fill="auto"/>
                  <w:vAlign w:val="center"/>
                </w:tcPr>
                <w:p w14:paraId="137E183D">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p>
              </w:tc>
              <w:tc>
                <w:tcPr>
                  <w:tcW w:w="2303" w:type="pct"/>
                  <w:shd w:val="clear" w:color="auto" w:fill="auto"/>
                  <w:vAlign w:val="center"/>
                </w:tcPr>
                <w:p w14:paraId="56D91E1A">
                  <w:pPr>
                    <w:pStyle w:val="31"/>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（九）在入湖河道、沟渠、水库内丢弃农药、农药包装物或者清洗施药器械；</w:t>
                  </w:r>
                </w:p>
              </w:tc>
              <w:tc>
                <w:tcPr>
                  <w:tcW w:w="1587" w:type="pct"/>
                  <w:shd w:val="clear" w:color="auto" w:fill="auto"/>
                  <w:vAlign w:val="center"/>
                </w:tcPr>
                <w:p w14:paraId="1CEC3C1B">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项目不涉及</w:t>
                  </w:r>
                </w:p>
              </w:tc>
              <w:tc>
                <w:tcPr>
                  <w:tcW w:w="626" w:type="pct"/>
                  <w:shd w:val="clear" w:color="auto" w:fill="auto"/>
                  <w:vAlign w:val="center"/>
                </w:tcPr>
                <w:p w14:paraId="64FDA309">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符合</w:t>
                  </w:r>
                </w:p>
              </w:tc>
            </w:tr>
            <w:tr w14:paraId="5404A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2" w:type="pct"/>
                  <w:vMerge w:val="continue"/>
                  <w:shd w:val="clear" w:color="auto" w:fill="auto"/>
                  <w:vAlign w:val="center"/>
                </w:tcPr>
                <w:p w14:paraId="40DA5E6C">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p>
              </w:tc>
              <w:tc>
                <w:tcPr>
                  <w:tcW w:w="2303" w:type="pct"/>
                  <w:shd w:val="clear" w:color="auto" w:fill="auto"/>
                  <w:vAlign w:val="center"/>
                </w:tcPr>
                <w:p w14:paraId="0F27C0E2">
                  <w:pPr>
                    <w:pStyle w:val="31"/>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（十）随意倾倒垃圾、抛撒或者堆放泡沫、塑料餐饮具、塑料袋等；</w:t>
                  </w:r>
                </w:p>
              </w:tc>
              <w:tc>
                <w:tcPr>
                  <w:tcW w:w="1587" w:type="pct"/>
                  <w:shd w:val="clear" w:color="auto" w:fill="auto"/>
                  <w:vAlign w:val="center"/>
                </w:tcPr>
                <w:p w14:paraId="3C67B3FC">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default" w:ascii="Times New Roman" w:hAnsi="Times New Roman" w:eastAsia="宋体"/>
                      <w:color w:val="auto"/>
                      <w:sz w:val="21"/>
                      <w:lang w:val="en-US" w:eastAsia="zh-CN"/>
                    </w:rPr>
                    <w:t>项目产生的一般固废为焊渣、边角废料及切割碎屑、除尘灰，统一收集后外售给废旧物资回收单位</w:t>
                  </w:r>
                  <w:r>
                    <w:rPr>
                      <w:rFonts w:hint="eastAsia"/>
                      <w:color w:val="auto"/>
                      <w:sz w:val="21"/>
                      <w:lang w:val="en-US" w:eastAsia="zh-CN"/>
                    </w:rPr>
                    <w:t>；循环水池沉渣经属性鉴定后根据要求处置</w:t>
                  </w:r>
                  <w:r>
                    <w:rPr>
                      <w:rFonts w:hint="eastAsia" w:ascii="Times New Roman" w:hAnsi="Times New Roman" w:eastAsia="宋体"/>
                      <w:color w:val="auto"/>
                      <w:sz w:val="21"/>
                      <w:lang w:val="en-US" w:eastAsia="zh-CN"/>
                    </w:rPr>
                    <w:t>；生活垃圾采用垃圾收集桶集中收集后，定期由当地环卫部门清运处理。</w:t>
                  </w:r>
                </w:p>
              </w:tc>
              <w:tc>
                <w:tcPr>
                  <w:tcW w:w="626" w:type="pct"/>
                  <w:shd w:val="clear" w:color="auto" w:fill="auto"/>
                  <w:vAlign w:val="center"/>
                </w:tcPr>
                <w:p w14:paraId="19D025FF">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符合</w:t>
                  </w:r>
                </w:p>
              </w:tc>
            </w:tr>
            <w:tr w14:paraId="25C3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2" w:type="pct"/>
                  <w:vMerge w:val="continue"/>
                  <w:shd w:val="clear" w:color="auto" w:fill="auto"/>
                  <w:vAlign w:val="center"/>
                </w:tcPr>
                <w:p w14:paraId="7C35A2A9">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p>
              </w:tc>
              <w:tc>
                <w:tcPr>
                  <w:tcW w:w="2303" w:type="pct"/>
                  <w:shd w:val="clear" w:color="auto" w:fill="auto"/>
                  <w:vAlign w:val="center"/>
                </w:tcPr>
                <w:p w14:paraId="12869076">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rPr>
                  </w:pPr>
                  <w:r>
                    <w:rPr>
                      <w:rFonts w:hint="default" w:ascii="Times New Roman" w:hAnsi="Times New Roman" w:eastAsia="宋体"/>
                      <w:color w:val="auto"/>
                      <w:sz w:val="21"/>
                    </w:rPr>
                    <w:t>（十一）随意倾倒、堆放、填埋废弃菜叶等农业废弃物；</w:t>
                  </w:r>
                </w:p>
              </w:tc>
              <w:tc>
                <w:tcPr>
                  <w:tcW w:w="1587" w:type="pct"/>
                  <w:shd w:val="clear" w:color="auto" w:fill="auto"/>
                  <w:vAlign w:val="center"/>
                </w:tcPr>
                <w:p w14:paraId="6CEFBFAA">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项目不涉及</w:t>
                  </w:r>
                </w:p>
              </w:tc>
              <w:tc>
                <w:tcPr>
                  <w:tcW w:w="626" w:type="pct"/>
                  <w:shd w:val="clear" w:color="auto" w:fill="auto"/>
                  <w:vAlign w:val="center"/>
                </w:tcPr>
                <w:p w14:paraId="19BA9581">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符合</w:t>
                  </w:r>
                </w:p>
              </w:tc>
            </w:tr>
            <w:tr w14:paraId="55249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482" w:type="pct"/>
                  <w:vMerge w:val="continue"/>
                  <w:shd w:val="clear" w:color="auto" w:fill="auto"/>
                  <w:vAlign w:val="center"/>
                </w:tcPr>
                <w:p w14:paraId="69D8BEDD">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p>
              </w:tc>
              <w:tc>
                <w:tcPr>
                  <w:tcW w:w="2303" w:type="pct"/>
                  <w:shd w:val="clear" w:color="auto" w:fill="auto"/>
                  <w:vAlign w:val="center"/>
                </w:tcPr>
                <w:p w14:paraId="377A0D3C">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rPr>
                  </w:pPr>
                  <w:r>
                    <w:rPr>
                      <w:rFonts w:hint="default" w:ascii="Times New Roman" w:hAnsi="Times New Roman" w:eastAsia="宋体"/>
                      <w:color w:val="auto"/>
                      <w:sz w:val="21"/>
                    </w:rPr>
                    <w:t>（十二）生产、销售、使用杀鼠剂以外的限制使用类农药和含磷洗涤用品；</w:t>
                  </w:r>
                </w:p>
              </w:tc>
              <w:tc>
                <w:tcPr>
                  <w:tcW w:w="1587" w:type="pct"/>
                  <w:shd w:val="clear" w:color="auto" w:fill="auto"/>
                  <w:vAlign w:val="center"/>
                </w:tcPr>
                <w:p w14:paraId="70533199">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项目不涉及</w:t>
                  </w:r>
                </w:p>
              </w:tc>
              <w:tc>
                <w:tcPr>
                  <w:tcW w:w="626" w:type="pct"/>
                  <w:shd w:val="clear" w:color="auto" w:fill="auto"/>
                  <w:vAlign w:val="center"/>
                </w:tcPr>
                <w:p w14:paraId="6601AD85">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符合</w:t>
                  </w:r>
                </w:p>
              </w:tc>
            </w:tr>
            <w:tr w14:paraId="100D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482" w:type="pct"/>
                  <w:vMerge w:val="continue"/>
                  <w:shd w:val="clear" w:color="auto" w:fill="auto"/>
                  <w:vAlign w:val="center"/>
                </w:tcPr>
                <w:p w14:paraId="294749F3">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p>
              </w:tc>
              <w:tc>
                <w:tcPr>
                  <w:tcW w:w="2303" w:type="pct"/>
                  <w:shd w:val="clear" w:color="auto" w:fill="auto"/>
                  <w:vAlign w:val="center"/>
                </w:tcPr>
                <w:p w14:paraId="367E36BA">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rPr>
                  </w:pPr>
                  <w:r>
                    <w:rPr>
                      <w:rFonts w:hint="default" w:ascii="Times New Roman" w:hAnsi="Times New Roman" w:eastAsia="宋体"/>
                      <w:color w:val="auto"/>
                      <w:sz w:val="21"/>
                    </w:rPr>
                    <w:t>（十三）擅自取水或者违反取水许可规定取水；</w:t>
                  </w:r>
                </w:p>
              </w:tc>
              <w:tc>
                <w:tcPr>
                  <w:tcW w:w="1587" w:type="pct"/>
                  <w:shd w:val="clear" w:color="auto" w:fill="auto"/>
                  <w:vAlign w:val="center"/>
                </w:tcPr>
                <w:p w14:paraId="73F9B400">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项目用水由村镇集中供水管网供给</w:t>
                  </w:r>
                </w:p>
              </w:tc>
              <w:tc>
                <w:tcPr>
                  <w:tcW w:w="626" w:type="pct"/>
                  <w:shd w:val="clear" w:color="auto" w:fill="auto"/>
                  <w:vAlign w:val="center"/>
                </w:tcPr>
                <w:p w14:paraId="4AC1C8CB">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符合</w:t>
                  </w:r>
                </w:p>
              </w:tc>
            </w:tr>
            <w:tr w14:paraId="31631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482" w:type="pct"/>
                  <w:vMerge w:val="continue"/>
                  <w:shd w:val="clear" w:color="auto" w:fill="auto"/>
                  <w:vAlign w:val="center"/>
                </w:tcPr>
                <w:p w14:paraId="57D574B1">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p>
              </w:tc>
              <w:tc>
                <w:tcPr>
                  <w:tcW w:w="2303" w:type="pct"/>
                  <w:shd w:val="clear" w:color="auto" w:fill="auto"/>
                  <w:vAlign w:val="center"/>
                </w:tcPr>
                <w:p w14:paraId="7D654301">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rPr>
                  </w:pPr>
                  <w:r>
                    <w:rPr>
                      <w:rFonts w:hint="default" w:ascii="Times New Roman" w:hAnsi="Times New Roman" w:eastAsia="宋体"/>
                      <w:color w:val="auto"/>
                      <w:sz w:val="21"/>
                    </w:rPr>
                    <w:t>（十四）擅自释放或者丢弃外来物种；</w:t>
                  </w:r>
                </w:p>
              </w:tc>
              <w:tc>
                <w:tcPr>
                  <w:tcW w:w="1587" w:type="pct"/>
                  <w:shd w:val="clear" w:color="auto" w:fill="auto"/>
                  <w:vAlign w:val="center"/>
                </w:tcPr>
                <w:p w14:paraId="4AFE333F">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项目不涉及</w:t>
                  </w:r>
                </w:p>
              </w:tc>
              <w:tc>
                <w:tcPr>
                  <w:tcW w:w="626" w:type="pct"/>
                  <w:shd w:val="clear" w:color="auto" w:fill="auto"/>
                  <w:vAlign w:val="center"/>
                </w:tcPr>
                <w:p w14:paraId="3FBAA8D9">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符合</w:t>
                  </w:r>
                </w:p>
              </w:tc>
            </w:tr>
            <w:tr w14:paraId="320B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482" w:type="pct"/>
                  <w:vMerge w:val="continue"/>
                  <w:shd w:val="clear" w:color="auto" w:fill="auto"/>
                  <w:vAlign w:val="center"/>
                </w:tcPr>
                <w:p w14:paraId="5B2D5A33">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p>
              </w:tc>
              <w:tc>
                <w:tcPr>
                  <w:tcW w:w="2303" w:type="pct"/>
                  <w:shd w:val="clear" w:color="auto" w:fill="auto"/>
                  <w:vAlign w:val="center"/>
                </w:tcPr>
                <w:p w14:paraId="407F766A">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rPr>
                  </w:pPr>
                  <w:r>
                    <w:rPr>
                      <w:rFonts w:hint="default" w:ascii="Times New Roman" w:hAnsi="Times New Roman" w:eastAsia="宋体"/>
                      <w:color w:val="auto"/>
                      <w:sz w:val="21"/>
                    </w:rPr>
                    <w:t>（十五）违法猎捕、杀害、买卖野生动物；</w:t>
                  </w:r>
                </w:p>
              </w:tc>
              <w:tc>
                <w:tcPr>
                  <w:tcW w:w="1587" w:type="pct"/>
                  <w:shd w:val="clear" w:color="auto" w:fill="auto"/>
                  <w:vAlign w:val="center"/>
                </w:tcPr>
                <w:p w14:paraId="759DDCB7">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项目不涉及</w:t>
                  </w:r>
                </w:p>
              </w:tc>
              <w:tc>
                <w:tcPr>
                  <w:tcW w:w="626" w:type="pct"/>
                  <w:shd w:val="clear" w:color="auto" w:fill="auto"/>
                  <w:vAlign w:val="center"/>
                </w:tcPr>
                <w:p w14:paraId="07451616">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符合</w:t>
                  </w:r>
                </w:p>
              </w:tc>
            </w:tr>
            <w:tr w14:paraId="68D9F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482" w:type="pct"/>
                  <w:vMerge w:val="continue"/>
                  <w:shd w:val="clear" w:color="auto" w:fill="auto"/>
                  <w:vAlign w:val="center"/>
                </w:tcPr>
                <w:p w14:paraId="5F56972E">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p>
              </w:tc>
              <w:tc>
                <w:tcPr>
                  <w:tcW w:w="2303" w:type="pct"/>
                  <w:shd w:val="clear" w:color="auto" w:fill="auto"/>
                  <w:vAlign w:val="center"/>
                </w:tcPr>
                <w:p w14:paraId="7C3C65D0">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rPr>
                  </w:pPr>
                  <w:r>
                    <w:rPr>
                      <w:rFonts w:hint="default" w:ascii="Times New Roman" w:hAnsi="Times New Roman" w:eastAsia="宋体"/>
                      <w:color w:val="auto"/>
                      <w:sz w:val="21"/>
                    </w:rPr>
                    <w:t>（十六）损毁或者擅自移动界桩、标识；</w:t>
                  </w:r>
                </w:p>
              </w:tc>
              <w:tc>
                <w:tcPr>
                  <w:tcW w:w="1587" w:type="pct"/>
                  <w:shd w:val="clear" w:color="auto" w:fill="auto"/>
                  <w:vAlign w:val="center"/>
                </w:tcPr>
                <w:p w14:paraId="156986B0">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项目不涉及</w:t>
                  </w:r>
                </w:p>
              </w:tc>
              <w:tc>
                <w:tcPr>
                  <w:tcW w:w="626" w:type="pct"/>
                  <w:shd w:val="clear" w:color="auto" w:fill="auto"/>
                  <w:vAlign w:val="center"/>
                </w:tcPr>
                <w:p w14:paraId="142A84B1">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符合</w:t>
                  </w:r>
                </w:p>
              </w:tc>
            </w:tr>
            <w:tr w14:paraId="3B4C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482" w:type="pct"/>
                  <w:vMerge w:val="continue"/>
                  <w:shd w:val="clear" w:color="auto" w:fill="auto"/>
                  <w:vAlign w:val="center"/>
                </w:tcPr>
                <w:p w14:paraId="5ECCCC55">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p>
              </w:tc>
              <w:tc>
                <w:tcPr>
                  <w:tcW w:w="2303" w:type="pct"/>
                  <w:shd w:val="clear" w:color="auto" w:fill="auto"/>
                  <w:vAlign w:val="center"/>
                </w:tcPr>
                <w:p w14:paraId="3709F0CD">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rPr>
                  </w:pPr>
                  <w:r>
                    <w:rPr>
                      <w:rFonts w:hint="default" w:ascii="Times New Roman" w:hAnsi="Times New Roman" w:eastAsia="宋体"/>
                      <w:color w:val="auto"/>
                      <w:sz w:val="21"/>
                    </w:rPr>
                    <w:t>（十七）法律、法规禁止的其他行为。</w:t>
                  </w:r>
                </w:p>
              </w:tc>
              <w:tc>
                <w:tcPr>
                  <w:tcW w:w="1587" w:type="pct"/>
                  <w:shd w:val="clear" w:color="auto" w:fill="auto"/>
                  <w:vAlign w:val="center"/>
                </w:tcPr>
                <w:p w14:paraId="679DDF98">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项目生产过程严格遵循相关法律法规</w:t>
                  </w:r>
                </w:p>
              </w:tc>
              <w:tc>
                <w:tcPr>
                  <w:tcW w:w="626" w:type="pct"/>
                  <w:shd w:val="clear" w:color="auto" w:fill="auto"/>
                  <w:vAlign w:val="center"/>
                </w:tcPr>
                <w:p w14:paraId="7AD2F90E">
                  <w:pPr>
                    <w:pStyle w:val="31"/>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符合</w:t>
                  </w:r>
                </w:p>
              </w:tc>
            </w:tr>
          </w:tbl>
          <w:p w14:paraId="6AAEFBB4">
            <w:pPr>
              <w:ind w:firstLine="482"/>
              <w:rPr>
                <w:rFonts w:hint="eastAsia"/>
                <w:b w:val="0"/>
                <w:bCs w:val="0"/>
                <w:color w:val="auto"/>
                <w:lang w:val="en-US" w:eastAsia="zh-CN"/>
              </w:rPr>
            </w:pPr>
            <w:r>
              <w:rPr>
                <w:rFonts w:hint="eastAsia"/>
                <w:b w:val="0"/>
                <w:bCs w:val="0"/>
                <w:color w:val="auto"/>
                <w:lang w:val="en-US" w:eastAsia="zh-CN"/>
              </w:rPr>
              <w:t>根据上表可知，项目不违反《云南省杞麓湖保护条例》中绿色发展区规定的禁止行为，项目取得了《通海县杞麓湖管理局关于云南省通海胜宝工贸有限公司年产10万吨焊管产能提升技术改造项目的选址意见》（详见附件6），根据该意见：“项目位于杞麓湖流域范围内，但不位于杞麓湖湖滨生态红线、湖泊生态黄线范围内，同意项目选址。用地的建设需符合杞麓湖“两线”“三区管控要求，同时不违反《云南省杞麓湖保护条例》中绿色发展区的规定”。项目位于通海县纳古镇，项目用地为工矿用地，符合杞麓湖“两线”“三区管控要求，且不违反《云南省杞麓湖保护条例》中绿色发展区的规定，因此本项目的建设符合《云南省杞麓湖保护条例》规定的要求。</w:t>
            </w:r>
          </w:p>
          <w:p w14:paraId="0D16C5DE">
            <w:pPr>
              <w:rPr>
                <w:rFonts w:hint="default"/>
                <w:b/>
                <w:bCs/>
                <w:color w:val="auto"/>
                <w:lang w:val="en-US" w:eastAsia="zh-CN"/>
              </w:rPr>
            </w:pPr>
            <w:r>
              <w:rPr>
                <w:rFonts w:hint="eastAsia"/>
                <w:b/>
                <w:bCs/>
                <w:color w:val="auto"/>
                <w:lang w:val="en-US" w:eastAsia="zh-CN"/>
              </w:rPr>
              <w:t>6、项目与《云南省“十四五”生态建设与环境保护规划》相符性分析</w:t>
            </w:r>
          </w:p>
          <w:p w14:paraId="66720CA3">
            <w:pPr>
              <w:rPr>
                <w:rFonts w:hint="eastAsia"/>
                <w:color w:val="auto"/>
                <w:lang w:val="en-US" w:eastAsia="zh-CN"/>
              </w:rPr>
            </w:pPr>
            <w:r>
              <w:rPr>
                <w:rFonts w:hint="eastAsia"/>
                <w:color w:val="auto"/>
                <w:lang w:val="en-US" w:eastAsia="zh-CN"/>
              </w:rPr>
              <w:t>2022年4月8日，云南省生态环境厅印发了《云南省“十四五”生态建设与环境保护规划》（云环发〔2022〕13号），项目与其符合性分析详见下表。</w:t>
            </w:r>
          </w:p>
          <w:p w14:paraId="3C2571A7">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表1-</w:t>
            </w:r>
            <w:r>
              <w:rPr>
                <w:rFonts w:hint="eastAsia" w:cs="Times New Roman"/>
                <w:color w:val="auto"/>
                <w:sz w:val="24"/>
                <w:szCs w:val="24"/>
                <w:lang w:val="en-US" w:eastAsia="zh-CN"/>
              </w:rPr>
              <w:t>6</w:t>
            </w:r>
            <w:r>
              <w:rPr>
                <w:rFonts w:hint="eastAsia" w:ascii="Times New Roman" w:hAnsi="Times New Roman" w:eastAsia="宋体" w:cs="Times New Roman"/>
                <w:color w:val="auto"/>
                <w:sz w:val="24"/>
                <w:szCs w:val="24"/>
                <w:lang w:val="en-US" w:eastAsia="zh-CN"/>
              </w:rPr>
              <w:t xml:space="preserve">  项目与《云南省“十四五”生态建设与环境保护规划》相符性对照表</w:t>
            </w:r>
          </w:p>
          <w:tbl>
            <w:tblPr>
              <w:tblStyle w:val="22"/>
              <w:tblW w:w="49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03"/>
              <w:gridCol w:w="2888"/>
              <w:gridCol w:w="2895"/>
              <w:gridCol w:w="658"/>
            </w:tblGrid>
            <w:tr w14:paraId="6C59E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42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57D5F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章节</w:t>
                  </w:r>
                </w:p>
              </w:tc>
              <w:tc>
                <w:tcPr>
                  <w:tcW w:w="2050" w:type="pct"/>
                  <w:tcBorders>
                    <w:top w:val="single" w:color="auto" w:sz="4" w:space="0"/>
                    <w:left w:val="nil"/>
                    <w:bottom w:val="single" w:color="auto" w:sz="4" w:space="0"/>
                    <w:right w:val="single" w:color="auto" w:sz="4" w:space="0"/>
                  </w:tcBorders>
                  <w:shd w:val="clear" w:color="auto" w:fill="auto"/>
                  <w:noWrap w:val="0"/>
                  <w:vAlign w:val="center"/>
                </w:tcPr>
                <w:p w14:paraId="03A56C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要求</w:t>
                  </w:r>
                </w:p>
              </w:tc>
              <w:tc>
                <w:tcPr>
                  <w:tcW w:w="2055" w:type="pct"/>
                  <w:tcBorders>
                    <w:top w:val="single" w:color="auto" w:sz="4" w:space="0"/>
                    <w:left w:val="nil"/>
                    <w:bottom w:val="single" w:color="auto" w:sz="4" w:space="0"/>
                    <w:right w:val="single" w:color="auto" w:sz="4" w:space="0"/>
                  </w:tcBorders>
                  <w:shd w:val="clear" w:color="auto" w:fill="auto"/>
                  <w:noWrap w:val="0"/>
                  <w:vAlign w:val="center"/>
                </w:tcPr>
                <w:p w14:paraId="064F09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w:t>
                  </w:r>
                  <w:r>
                    <w:rPr>
                      <w:rFonts w:hint="default" w:ascii="Times New Roman" w:hAnsi="Times New Roman" w:eastAsia="宋体" w:cs="Times New Roman"/>
                      <w:color w:val="auto"/>
                      <w:sz w:val="21"/>
                      <w:szCs w:val="21"/>
                      <w:lang w:val="en-US" w:eastAsia="zh-CN"/>
                    </w:rPr>
                    <w:t>建设</w:t>
                  </w:r>
                  <w:r>
                    <w:rPr>
                      <w:rFonts w:hint="default" w:ascii="Times New Roman" w:hAnsi="Times New Roman" w:eastAsia="宋体" w:cs="Times New Roman"/>
                      <w:color w:val="auto"/>
                      <w:sz w:val="21"/>
                      <w:szCs w:val="21"/>
                    </w:rPr>
                    <w:t>情况</w:t>
                  </w:r>
                </w:p>
              </w:tc>
              <w:tc>
                <w:tcPr>
                  <w:tcW w:w="466" w:type="pct"/>
                  <w:tcBorders>
                    <w:top w:val="single" w:color="auto" w:sz="4" w:space="0"/>
                    <w:left w:val="nil"/>
                    <w:bottom w:val="single" w:color="auto" w:sz="4" w:space="0"/>
                    <w:right w:val="single" w:color="auto" w:sz="4" w:space="0"/>
                  </w:tcBorders>
                  <w:shd w:val="clear" w:color="auto" w:fill="auto"/>
                  <w:noWrap w:val="0"/>
                  <w:vAlign w:val="center"/>
                </w:tcPr>
                <w:p w14:paraId="4E3587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符合性</w:t>
                  </w:r>
                </w:p>
              </w:tc>
            </w:tr>
            <w:tr w14:paraId="6470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F70FD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优化生态环境空间管控</w:t>
                  </w:r>
                </w:p>
              </w:tc>
              <w:tc>
                <w:tcPr>
                  <w:tcW w:w="2050" w:type="pct"/>
                  <w:tcBorders>
                    <w:top w:val="single" w:color="auto" w:sz="4" w:space="0"/>
                    <w:left w:val="nil"/>
                    <w:bottom w:val="single" w:color="auto" w:sz="4" w:space="0"/>
                    <w:right w:val="single" w:color="auto" w:sz="4" w:space="0"/>
                  </w:tcBorders>
                  <w:shd w:val="clear" w:color="auto" w:fill="auto"/>
                  <w:noWrap w:val="0"/>
                  <w:vAlign w:val="center"/>
                </w:tcPr>
                <w:p w14:paraId="4D1751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以国土空间规划为基础，</w:t>
                  </w:r>
                  <w:r>
                    <w:rPr>
                      <w:rFonts w:hint="default" w:ascii="Times New Roman" w:hAnsi="Times New Roman" w:eastAsia="宋体" w:cs="Times New Roman"/>
                      <w:color w:val="auto"/>
                      <w:sz w:val="21"/>
                      <w:szCs w:val="21"/>
                      <w:lang w:val="zh-CN"/>
                    </w:rPr>
                    <w:t>严格落实生态保护红线、永久基本农田保护红线和城镇开发边界，减少对自然生态空间的占用。加快推进“三线一单”落实落地</w:t>
                  </w:r>
                  <w:r>
                    <w:rPr>
                      <w:rFonts w:hint="default" w:ascii="Times New Roman" w:hAnsi="Times New Roman" w:eastAsia="宋体" w:cs="Times New Roman"/>
                      <w:color w:val="auto"/>
                      <w:sz w:val="21"/>
                      <w:szCs w:val="21"/>
                    </w:rPr>
                    <w:t>，把</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三线一单</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作为区域资源开发、产业布局和结构调整、城镇建设、重大项目选址的重要依据，确保发展不超载、底线不突破。</w:t>
                  </w:r>
                </w:p>
              </w:tc>
              <w:tc>
                <w:tcPr>
                  <w:tcW w:w="2055" w:type="pct"/>
                  <w:tcBorders>
                    <w:top w:val="single" w:color="auto" w:sz="4" w:space="0"/>
                    <w:left w:val="nil"/>
                    <w:bottom w:val="single" w:color="auto" w:sz="4" w:space="0"/>
                    <w:right w:val="single" w:color="auto" w:sz="4" w:space="0"/>
                  </w:tcBorders>
                  <w:shd w:val="clear" w:color="auto" w:fill="auto"/>
                  <w:noWrap w:val="0"/>
                  <w:vAlign w:val="center"/>
                </w:tcPr>
                <w:p w14:paraId="35DBE9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bCs/>
                      <w:color w:val="auto"/>
                      <w:sz w:val="21"/>
                      <w:szCs w:val="21"/>
                      <w:highlight w:val="none"/>
                    </w:rPr>
                    <w:t>本项目位于玉溪市通海县</w:t>
                  </w:r>
                  <w:r>
                    <w:rPr>
                      <w:rFonts w:hint="eastAsia" w:cs="Times New Roman"/>
                      <w:b w:val="0"/>
                      <w:bCs/>
                      <w:color w:val="auto"/>
                      <w:sz w:val="21"/>
                      <w:szCs w:val="21"/>
                      <w:highlight w:val="none"/>
                      <w:lang w:val="en-US" w:eastAsia="zh-CN"/>
                    </w:rPr>
                    <w:t>纳古镇</w:t>
                  </w:r>
                  <w:r>
                    <w:rPr>
                      <w:rFonts w:hint="default" w:ascii="Times New Roman" w:hAnsi="Times New Roman" w:eastAsia="宋体" w:cs="Times New Roman"/>
                      <w:b w:val="0"/>
                      <w:bCs/>
                      <w:color w:val="auto"/>
                      <w:sz w:val="21"/>
                      <w:szCs w:val="21"/>
                      <w:highlight w:val="none"/>
                    </w:rPr>
                    <w:t>，不新增用地</w:t>
                  </w:r>
                  <w:r>
                    <w:rPr>
                      <w:rFonts w:hint="default" w:ascii="Times New Roman" w:hAnsi="Times New Roman" w:eastAsia="宋体" w:cs="Times New Roman"/>
                      <w:color w:val="auto"/>
                      <w:sz w:val="21"/>
                      <w:szCs w:val="21"/>
                      <w:lang w:val="zh-CN"/>
                    </w:rPr>
                    <w:t>，不涉及占用通海县生态红线，符合</w:t>
                  </w:r>
                  <w:r>
                    <w:rPr>
                      <w:rFonts w:hint="default" w:ascii="Times New Roman" w:hAnsi="Times New Roman" w:eastAsia="宋体" w:cs="Times New Roman"/>
                      <w:color w:val="auto"/>
                      <w:sz w:val="21"/>
                      <w:szCs w:val="21"/>
                      <w:lang w:val="en-US" w:eastAsia="zh-CN"/>
                    </w:rPr>
                    <w:t>云南省和玉溪市</w:t>
                  </w:r>
                  <w:r>
                    <w:rPr>
                      <w:rFonts w:hint="default" w:ascii="Times New Roman" w:hAnsi="Times New Roman" w:eastAsia="宋体" w:cs="Times New Roman"/>
                      <w:color w:val="auto"/>
                      <w:sz w:val="21"/>
                      <w:szCs w:val="21"/>
                      <w:lang w:val="zh-CN"/>
                    </w:rPr>
                    <w:t>“三线一单”要求。</w:t>
                  </w:r>
                </w:p>
              </w:tc>
              <w:tc>
                <w:tcPr>
                  <w:tcW w:w="466" w:type="pct"/>
                  <w:tcBorders>
                    <w:top w:val="single" w:color="auto" w:sz="4" w:space="0"/>
                    <w:left w:val="nil"/>
                    <w:bottom w:val="single" w:color="auto" w:sz="4" w:space="0"/>
                    <w:right w:val="single" w:color="auto" w:sz="4" w:space="0"/>
                  </w:tcBorders>
                  <w:shd w:val="clear" w:color="auto" w:fill="auto"/>
                  <w:noWrap w:val="0"/>
                  <w:vAlign w:val="center"/>
                </w:tcPr>
                <w:p w14:paraId="7199A5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6E59E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8" w:type="pct"/>
                  <w:vMerge w:val="restart"/>
                  <w:tcBorders>
                    <w:top w:val="single" w:color="auto" w:sz="4" w:space="0"/>
                    <w:left w:val="single" w:color="auto" w:sz="4" w:space="0"/>
                    <w:right w:val="single" w:color="auto" w:sz="4" w:space="0"/>
                  </w:tcBorders>
                  <w:shd w:val="clear" w:color="auto" w:fill="auto"/>
                  <w:noWrap w:val="0"/>
                  <w:vAlign w:val="center"/>
                </w:tcPr>
                <w:p w14:paraId="29082F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优化产业结构</w:t>
                  </w:r>
                </w:p>
              </w:tc>
              <w:tc>
                <w:tcPr>
                  <w:tcW w:w="2050" w:type="pct"/>
                  <w:tcBorders>
                    <w:top w:val="single" w:color="auto" w:sz="4" w:space="0"/>
                    <w:left w:val="nil"/>
                    <w:bottom w:val="single" w:color="auto" w:sz="4" w:space="0"/>
                    <w:right w:val="single" w:color="auto" w:sz="4" w:space="0"/>
                  </w:tcBorders>
                  <w:shd w:val="clear" w:color="auto" w:fill="auto"/>
                  <w:noWrap w:val="0"/>
                  <w:vAlign w:val="center"/>
                </w:tcPr>
                <w:p w14:paraId="670323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推动重点行业加快实施限制类产能装备的升级改造，有序开展超低排放改造。促进各类开发区整合提升，依法依规推动工业企业入园入区发展，提高各类开发区聚集水平，深入推进各类开发区循环化改造。</w:t>
                  </w:r>
                </w:p>
              </w:tc>
              <w:tc>
                <w:tcPr>
                  <w:tcW w:w="2055" w:type="pct"/>
                  <w:tcBorders>
                    <w:top w:val="single" w:color="auto" w:sz="4" w:space="0"/>
                    <w:left w:val="nil"/>
                    <w:bottom w:val="single" w:color="auto" w:sz="4" w:space="0"/>
                    <w:right w:val="single" w:color="auto" w:sz="4" w:space="0"/>
                  </w:tcBorders>
                  <w:shd w:val="clear" w:color="auto" w:fill="auto"/>
                  <w:noWrap w:val="0"/>
                  <w:vAlign w:val="center"/>
                </w:tcPr>
                <w:p w14:paraId="7026C9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zh-CN"/>
                    </w:rPr>
                    <w:t>本项目不生产《产业结构调整指导目录（20</w:t>
                  </w:r>
                  <w:r>
                    <w:rPr>
                      <w:rFonts w:hint="default" w:ascii="Times New Roman" w:hAnsi="Times New Roman" w:eastAsia="宋体" w:cs="Times New Roman"/>
                      <w:color w:val="auto"/>
                      <w:sz w:val="21"/>
                      <w:szCs w:val="21"/>
                      <w:lang w:val="en-US" w:eastAsia="zh-CN"/>
                    </w:rPr>
                    <w:t>24</w:t>
                  </w:r>
                  <w:r>
                    <w:rPr>
                      <w:rFonts w:hint="default" w:ascii="Times New Roman" w:hAnsi="Times New Roman" w:eastAsia="宋体" w:cs="Times New Roman"/>
                      <w:color w:val="auto"/>
                      <w:sz w:val="21"/>
                      <w:szCs w:val="21"/>
                      <w:lang w:val="zh-CN"/>
                    </w:rPr>
                    <w:t>年本）》的落后产品，不使用淘汰类生产设备</w:t>
                  </w:r>
                  <w:r>
                    <w:rPr>
                      <w:rFonts w:hint="default" w:ascii="Times New Roman" w:hAnsi="Times New Roman" w:eastAsia="宋体" w:cs="Times New Roman"/>
                      <w:color w:val="auto"/>
                      <w:sz w:val="21"/>
                      <w:szCs w:val="21"/>
                      <w:lang w:val="zh-CN" w:eastAsia="zh-CN"/>
                    </w:rPr>
                    <w:t>，</w:t>
                  </w:r>
                  <w:r>
                    <w:rPr>
                      <w:rFonts w:hint="default" w:ascii="Times New Roman" w:hAnsi="Times New Roman" w:eastAsia="宋体" w:cs="Times New Roman"/>
                      <w:color w:val="auto"/>
                      <w:sz w:val="21"/>
                      <w:szCs w:val="21"/>
                      <w:lang w:val="zh-CN"/>
                    </w:rPr>
                    <w:t>根据《产业发展与转移指导目录（2018年本）》</w:t>
                  </w:r>
                  <w:r>
                    <w:rPr>
                      <w:rFonts w:hint="default" w:ascii="Times New Roman" w:hAnsi="Times New Roman" w:eastAsia="宋体" w:cs="Times New Roman"/>
                      <w:color w:val="auto"/>
                      <w:sz w:val="21"/>
                      <w:szCs w:val="21"/>
                      <w:lang w:val="zh-CN" w:eastAsia="zh-CN"/>
                    </w:rPr>
                    <w:t>，</w:t>
                  </w:r>
                  <w:r>
                    <w:rPr>
                      <w:rFonts w:hint="default" w:ascii="Times New Roman" w:hAnsi="Times New Roman" w:eastAsia="宋体" w:cs="Times New Roman"/>
                      <w:color w:val="auto"/>
                      <w:sz w:val="21"/>
                      <w:szCs w:val="21"/>
                      <w:lang w:val="zh-CN"/>
                    </w:rPr>
                    <w:t>本项目不属于云南引导不再承接的产业。本项目位于玉溪市通海县</w:t>
                  </w:r>
                  <w:r>
                    <w:rPr>
                      <w:rFonts w:hint="eastAsia" w:cs="Times New Roman"/>
                      <w:color w:val="auto"/>
                      <w:sz w:val="21"/>
                      <w:szCs w:val="21"/>
                      <w:lang w:val="zh-CN"/>
                    </w:rPr>
                    <w:t>纳古镇</w:t>
                  </w:r>
                  <w:r>
                    <w:rPr>
                      <w:rFonts w:hint="default" w:ascii="Times New Roman" w:hAnsi="Times New Roman" w:eastAsia="宋体" w:cs="Times New Roman"/>
                      <w:color w:val="auto"/>
                      <w:sz w:val="21"/>
                      <w:szCs w:val="21"/>
                      <w:lang w:val="zh-CN"/>
                    </w:rPr>
                    <w:t>，</w:t>
                  </w:r>
                  <w:r>
                    <w:rPr>
                      <w:rFonts w:hint="default" w:ascii="Times New Roman" w:hAnsi="Times New Roman" w:eastAsia="宋体" w:cs="Times New Roman"/>
                      <w:b w:val="0"/>
                      <w:bCs/>
                      <w:color w:val="auto"/>
                      <w:sz w:val="21"/>
                      <w:szCs w:val="21"/>
                      <w:highlight w:val="none"/>
                    </w:rPr>
                    <w:t>不新增用地</w:t>
                  </w:r>
                  <w:r>
                    <w:rPr>
                      <w:rFonts w:hint="default" w:ascii="Times New Roman" w:hAnsi="Times New Roman" w:eastAsia="宋体" w:cs="Times New Roman"/>
                      <w:color w:val="auto"/>
                      <w:sz w:val="21"/>
                      <w:szCs w:val="21"/>
                      <w:lang w:val="zh-CN"/>
                    </w:rPr>
                    <w:t>。</w:t>
                  </w:r>
                </w:p>
              </w:tc>
              <w:tc>
                <w:tcPr>
                  <w:tcW w:w="466" w:type="pct"/>
                  <w:tcBorders>
                    <w:top w:val="single" w:color="auto" w:sz="4" w:space="0"/>
                    <w:left w:val="nil"/>
                    <w:bottom w:val="single" w:color="auto" w:sz="4" w:space="0"/>
                    <w:right w:val="single" w:color="auto" w:sz="4" w:space="0"/>
                  </w:tcBorders>
                  <w:shd w:val="clear" w:color="auto" w:fill="auto"/>
                  <w:noWrap w:val="0"/>
                  <w:vAlign w:val="center"/>
                </w:tcPr>
                <w:p w14:paraId="2F787F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25CC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8" w:type="pct"/>
                  <w:vMerge w:val="continue"/>
                  <w:tcBorders>
                    <w:left w:val="single" w:color="auto" w:sz="4" w:space="0"/>
                    <w:right w:val="single" w:color="auto" w:sz="4" w:space="0"/>
                  </w:tcBorders>
                  <w:shd w:val="clear" w:color="auto" w:fill="auto"/>
                  <w:noWrap w:val="0"/>
                  <w:vAlign w:val="center"/>
                </w:tcPr>
                <w:p w14:paraId="02DBEA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2050" w:type="pct"/>
                  <w:tcBorders>
                    <w:top w:val="single" w:color="auto" w:sz="4" w:space="0"/>
                    <w:left w:val="nil"/>
                    <w:bottom w:val="single" w:color="auto" w:sz="4" w:space="0"/>
                    <w:right w:val="single" w:color="auto" w:sz="4" w:space="0"/>
                  </w:tcBorders>
                  <w:shd w:val="clear" w:color="auto" w:fill="auto"/>
                  <w:noWrap w:val="0"/>
                  <w:vAlign w:val="center"/>
                </w:tcPr>
                <w:p w14:paraId="37877B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推动落后低效和过剩产能淘汰。认真落实产业政策，严格环境影响评价，坚决遏制高耗能高排放项目盲目发展，加快淘汰落后产能，推动产业结构优化升级。严格执行质量、环保、能耗、安全等法规标准，加大钢铁、水泥熟料、烧结砖瓦、电解铝、电解锰等行业落后产能淘汰和过剩产能压减力度。</w:t>
                  </w:r>
                </w:p>
              </w:tc>
              <w:tc>
                <w:tcPr>
                  <w:tcW w:w="2055" w:type="pct"/>
                  <w:tcBorders>
                    <w:top w:val="single" w:color="auto" w:sz="4" w:space="0"/>
                    <w:left w:val="nil"/>
                    <w:bottom w:val="single" w:color="auto" w:sz="4" w:space="0"/>
                    <w:right w:val="single" w:color="auto" w:sz="4" w:space="0"/>
                  </w:tcBorders>
                  <w:shd w:val="clear" w:color="auto" w:fill="auto"/>
                  <w:noWrap w:val="0"/>
                  <w:vAlign w:val="center"/>
                </w:tcPr>
                <w:p w14:paraId="1E8C21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zh-CN"/>
                    </w:rPr>
                    <w:t>本项目符合《产业结构调整指导目录（20</w:t>
                  </w:r>
                  <w:r>
                    <w:rPr>
                      <w:rFonts w:hint="default" w:ascii="Times New Roman" w:hAnsi="Times New Roman" w:eastAsia="宋体" w:cs="Times New Roman"/>
                      <w:color w:val="auto"/>
                      <w:sz w:val="21"/>
                      <w:szCs w:val="21"/>
                      <w:lang w:val="en-US" w:eastAsia="zh-CN"/>
                    </w:rPr>
                    <w:t>24</w:t>
                  </w:r>
                  <w:r>
                    <w:rPr>
                      <w:rFonts w:hint="default" w:ascii="Times New Roman" w:hAnsi="Times New Roman" w:eastAsia="宋体" w:cs="Times New Roman"/>
                      <w:color w:val="auto"/>
                      <w:sz w:val="21"/>
                      <w:szCs w:val="21"/>
                      <w:lang w:val="zh-CN"/>
                    </w:rPr>
                    <w:t>年本）》</w:t>
                  </w:r>
                  <w:r>
                    <w:rPr>
                      <w:rFonts w:hint="default" w:ascii="Times New Roman" w:hAnsi="Times New Roman" w:eastAsia="宋体" w:cs="Times New Roman"/>
                      <w:color w:val="auto"/>
                      <w:sz w:val="21"/>
                      <w:szCs w:val="21"/>
                      <w:lang w:val="en-US" w:eastAsia="zh-CN"/>
                    </w:rPr>
                    <w:t>和</w:t>
                  </w:r>
                  <w:r>
                    <w:rPr>
                      <w:rFonts w:hint="default" w:ascii="Times New Roman" w:hAnsi="Times New Roman" w:eastAsia="宋体" w:cs="Times New Roman"/>
                      <w:color w:val="auto"/>
                      <w:sz w:val="21"/>
                      <w:szCs w:val="21"/>
                      <w:lang w:val="zh-CN"/>
                    </w:rPr>
                    <w:t>《产业发展与转移指导目录（2018年本）》</w:t>
                  </w:r>
                  <w:r>
                    <w:rPr>
                      <w:rFonts w:hint="default" w:ascii="Times New Roman" w:hAnsi="Times New Roman" w:eastAsia="宋体" w:cs="Times New Roman"/>
                      <w:color w:val="auto"/>
                      <w:sz w:val="21"/>
                      <w:szCs w:val="21"/>
                      <w:lang w:val="zh-CN" w:eastAsia="zh-CN"/>
                    </w:rPr>
                    <w:t>，</w:t>
                  </w:r>
                  <w:r>
                    <w:rPr>
                      <w:rFonts w:hint="default" w:ascii="Times New Roman" w:hAnsi="Times New Roman" w:eastAsia="宋体" w:cs="Times New Roman"/>
                      <w:color w:val="auto"/>
                      <w:sz w:val="21"/>
                      <w:szCs w:val="21"/>
                      <w:lang w:val="en-US" w:eastAsia="zh-CN"/>
                    </w:rPr>
                    <w:t>不属于</w:t>
                  </w:r>
                  <w:r>
                    <w:rPr>
                      <w:rFonts w:hint="default" w:ascii="Times New Roman" w:hAnsi="Times New Roman" w:eastAsia="宋体" w:cs="Times New Roman"/>
                      <w:color w:val="auto"/>
                      <w:sz w:val="21"/>
                      <w:szCs w:val="21"/>
                      <w:lang w:val="zh-CN"/>
                    </w:rPr>
                    <w:t>淘汰和过剩产能。</w:t>
                  </w:r>
                </w:p>
              </w:tc>
              <w:tc>
                <w:tcPr>
                  <w:tcW w:w="466" w:type="pct"/>
                  <w:tcBorders>
                    <w:top w:val="single" w:color="auto" w:sz="4" w:space="0"/>
                    <w:left w:val="nil"/>
                    <w:bottom w:val="single" w:color="auto" w:sz="4" w:space="0"/>
                    <w:right w:val="single" w:color="auto" w:sz="4" w:space="0"/>
                  </w:tcBorders>
                  <w:shd w:val="clear" w:color="auto" w:fill="auto"/>
                  <w:noWrap w:val="0"/>
                  <w:vAlign w:val="center"/>
                </w:tcPr>
                <w:p w14:paraId="5188F5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6F83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8" w:type="pct"/>
                  <w:vMerge w:val="continue"/>
                  <w:tcBorders>
                    <w:left w:val="single" w:color="auto" w:sz="4" w:space="0"/>
                    <w:right w:val="single" w:color="auto" w:sz="4" w:space="0"/>
                  </w:tcBorders>
                  <w:shd w:val="clear" w:color="auto" w:fill="auto"/>
                  <w:noWrap w:val="0"/>
                  <w:vAlign w:val="center"/>
                </w:tcPr>
                <w:p w14:paraId="640E18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2050" w:type="pct"/>
                  <w:tcBorders>
                    <w:top w:val="single" w:color="auto" w:sz="4" w:space="0"/>
                    <w:left w:val="nil"/>
                    <w:bottom w:val="single" w:color="auto" w:sz="4" w:space="0"/>
                    <w:right w:val="single" w:color="auto" w:sz="4" w:space="0"/>
                  </w:tcBorders>
                  <w:shd w:val="clear" w:color="auto" w:fill="auto"/>
                  <w:noWrap w:val="0"/>
                  <w:vAlign w:val="center"/>
                </w:tcPr>
                <w:p w14:paraId="1F3D6E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提升行业资源能源利用效率，严格执行产品能效、水效、能耗限额、碳排放、污染物排放等标准。</w:t>
                  </w:r>
                </w:p>
              </w:tc>
              <w:tc>
                <w:tcPr>
                  <w:tcW w:w="2055" w:type="pct"/>
                  <w:tcBorders>
                    <w:top w:val="single" w:color="auto" w:sz="4" w:space="0"/>
                    <w:left w:val="nil"/>
                    <w:bottom w:val="single" w:color="auto" w:sz="4" w:space="0"/>
                    <w:right w:val="single" w:color="auto" w:sz="4" w:space="0"/>
                  </w:tcBorders>
                  <w:shd w:val="clear" w:color="auto" w:fill="auto"/>
                  <w:noWrap w:val="0"/>
                  <w:vAlign w:val="center"/>
                </w:tcPr>
                <w:p w14:paraId="47886E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项目运营期冷却</w:t>
                  </w:r>
                  <w:r>
                    <w:rPr>
                      <w:rFonts w:hint="default" w:ascii="Times New Roman" w:hAnsi="Times New Roman" w:cs="Times New Roman"/>
                      <w:color w:val="auto"/>
                      <w:sz w:val="21"/>
                      <w:szCs w:val="21"/>
                      <w:lang w:val="en-US" w:eastAsia="zh-CN"/>
                    </w:rPr>
                    <w:t>水</w:t>
                  </w:r>
                  <w:r>
                    <w:rPr>
                      <w:rFonts w:hint="default" w:ascii="Times New Roman" w:hAnsi="Times New Roman" w:eastAsia="宋体" w:cs="Times New Roman"/>
                      <w:color w:val="auto"/>
                      <w:sz w:val="21"/>
                      <w:szCs w:val="21"/>
                      <w:lang w:val="en-US" w:eastAsia="zh-CN"/>
                    </w:rPr>
                    <w:t>循环使用，不外排；</w:t>
                  </w:r>
                  <w:r>
                    <w:rPr>
                      <w:rFonts w:hint="default" w:ascii="Times New Roman" w:hAnsi="Times New Roman" w:eastAsia="宋体" w:cs="Times New Roman"/>
                      <w:color w:val="auto"/>
                      <w:sz w:val="21"/>
                      <w:szCs w:val="21"/>
                      <w:lang w:val="zh-CN"/>
                    </w:rPr>
                    <w:t>项目能源消费对</w:t>
                  </w:r>
                  <w:r>
                    <w:rPr>
                      <w:rFonts w:hint="default" w:ascii="Times New Roman" w:hAnsi="Times New Roman" w:eastAsia="宋体" w:cs="Times New Roman"/>
                      <w:color w:val="auto"/>
                      <w:sz w:val="21"/>
                      <w:szCs w:val="21"/>
                      <w:lang w:val="zh-CN" w:eastAsia="zh-CN"/>
                    </w:rPr>
                    <w:t>玉溪市“</w:t>
                  </w:r>
                  <w:r>
                    <w:rPr>
                      <w:rFonts w:hint="default" w:ascii="Times New Roman" w:hAnsi="Times New Roman" w:eastAsia="宋体" w:cs="Times New Roman"/>
                      <w:color w:val="auto"/>
                      <w:sz w:val="21"/>
                      <w:szCs w:val="21"/>
                      <w:lang w:val="zh-CN"/>
                    </w:rPr>
                    <w:t>十四五</w:t>
                  </w:r>
                  <w:r>
                    <w:rPr>
                      <w:rFonts w:hint="default" w:ascii="Times New Roman" w:hAnsi="Times New Roman" w:eastAsia="宋体" w:cs="Times New Roman"/>
                      <w:color w:val="auto"/>
                      <w:sz w:val="21"/>
                      <w:szCs w:val="21"/>
                      <w:lang w:val="zh-CN" w:eastAsia="zh-CN"/>
                    </w:rPr>
                    <w:t>”</w:t>
                  </w:r>
                  <w:r>
                    <w:rPr>
                      <w:rFonts w:hint="default" w:ascii="Times New Roman" w:hAnsi="Times New Roman" w:eastAsia="宋体" w:cs="Times New Roman"/>
                      <w:color w:val="auto"/>
                      <w:sz w:val="21"/>
                      <w:szCs w:val="21"/>
                      <w:lang w:val="zh-CN"/>
                    </w:rPr>
                    <w:t>能源消费增量影响</w:t>
                  </w:r>
                  <w:r>
                    <w:rPr>
                      <w:rFonts w:hint="default" w:ascii="Times New Roman" w:hAnsi="Times New Roman" w:eastAsia="宋体" w:cs="Times New Roman"/>
                      <w:color w:val="auto"/>
                      <w:sz w:val="21"/>
                      <w:szCs w:val="21"/>
                      <w:lang w:val="en-US" w:eastAsia="zh-CN"/>
                    </w:rPr>
                    <w:t>较小。</w:t>
                  </w:r>
                </w:p>
              </w:tc>
              <w:tc>
                <w:tcPr>
                  <w:tcW w:w="466" w:type="pct"/>
                  <w:tcBorders>
                    <w:top w:val="single" w:color="auto" w:sz="4" w:space="0"/>
                    <w:left w:val="nil"/>
                    <w:bottom w:val="single" w:color="auto" w:sz="4" w:space="0"/>
                    <w:right w:val="single" w:color="auto" w:sz="4" w:space="0"/>
                  </w:tcBorders>
                  <w:shd w:val="clear" w:color="auto" w:fill="auto"/>
                  <w:noWrap w:val="0"/>
                  <w:vAlign w:val="center"/>
                </w:tcPr>
                <w:p w14:paraId="6868A8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55D3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8" w:type="pct"/>
                  <w:tcBorders>
                    <w:left w:val="single" w:color="auto" w:sz="4" w:space="0"/>
                    <w:right w:val="single" w:color="auto" w:sz="4" w:space="0"/>
                  </w:tcBorders>
                  <w:shd w:val="clear" w:color="auto" w:fill="auto"/>
                  <w:noWrap w:val="0"/>
                  <w:vAlign w:val="center"/>
                </w:tcPr>
                <w:p w14:paraId="54DB85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控制温室气体排放</w:t>
                  </w:r>
                </w:p>
              </w:tc>
              <w:tc>
                <w:tcPr>
                  <w:tcW w:w="2050" w:type="pct"/>
                  <w:tcBorders>
                    <w:top w:val="single" w:color="auto" w:sz="4" w:space="0"/>
                    <w:left w:val="nil"/>
                    <w:bottom w:val="single" w:color="auto" w:sz="4" w:space="0"/>
                    <w:right w:val="single" w:color="auto" w:sz="4" w:space="0"/>
                  </w:tcBorders>
                  <w:shd w:val="clear" w:color="auto" w:fill="auto"/>
                  <w:noWrap w:val="0"/>
                  <w:vAlign w:val="center"/>
                </w:tcPr>
                <w:p w14:paraId="4DD220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控制工业行业二氧化碳排放。推动钢铁、水泥、石化、化工、有色等高耗能行业节能降耗，严格产能置换监管，提升系统电气化水平，强化先进低碳技术研发及应用，推进能效对标活动，提升能源利用效率。</w:t>
                  </w:r>
                </w:p>
              </w:tc>
              <w:tc>
                <w:tcPr>
                  <w:tcW w:w="2055" w:type="pct"/>
                  <w:tcBorders>
                    <w:top w:val="single" w:color="auto" w:sz="4" w:space="0"/>
                    <w:left w:val="nil"/>
                    <w:bottom w:val="single" w:color="auto" w:sz="4" w:space="0"/>
                    <w:right w:val="single" w:color="auto" w:sz="4" w:space="0"/>
                  </w:tcBorders>
                  <w:shd w:val="clear" w:color="auto" w:fill="auto"/>
                  <w:noWrap w:val="0"/>
                  <w:vAlign w:val="center"/>
                </w:tcPr>
                <w:p w14:paraId="237786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本项目外购带钢生产</w:t>
                  </w:r>
                  <w:r>
                    <w:rPr>
                      <w:rFonts w:hint="default" w:ascii="Times New Roman" w:hAnsi="Times New Roman" w:eastAsia="宋体" w:cs="Times New Roman"/>
                      <w:color w:val="auto"/>
                      <w:sz w:val="21"/>
                      <w:szCs w:val="21"/>
                      <w:lang w:eastAsia="zh-CN"/>
                    </w:rPr>
                    <w:t>高频直缝焊管</w:t>
                  </w:r>
                  <w:r>
                    <w:rPr>
                      <w:rFonts w:hint="default" w:ascii="Times New Roman" w:hAnsi="Times New Roman" w:eastAsia="宋体" w:cs="Times New Roman"/>
                      <w:color w:val="auto"/>
                      <w:sz w:val="21"/>
                      <w:szCs w:val="21"/>
                      <w:lang w:val="zh-CN"/>
                    </w:rPr>
                    <w:t>，</w:t>
                  </w:r>
                  <w:r>
                    <w:rPr>
                      <w:rFonts w:hint="default" w:ascii="Times New Roman" w:hAnsi="Times New Roman" w:eastAsia="宋体" w:cs="Times New Roman"/>
                      <w:color w:val="auto"/>
                      <w:sz w:val="21"/>
                      <w:szCs w:val="21"/>
                      <w:lang w:val="en-US" w:eastAsia="zh-CN"/>
                    </w:rPr>
                    <w:t>不属于</w:t>
                  </w:r>
                  <w:r>
                    <w:rPr>
                      <w:rFonts w:hint="default" w:ascii="Times New Roman" w:hAnsi="Times New Roman" w:eastAsia="宋体" w:cs="Times New Roman"/>
                      <w:color w:val="auto"/>
                      <w:sz w:val="21"/>
                      <w:szCs w:val="21"/>
                      <w:lang w:val="zh-CN"/>
                    </w:rPr>
                    <w:t>高耗能</w:t>
                  </w:r>
                  <w:r>
                    <w:rPr>
                      <w:rFonts w:hint="default" w:ascii="Times New Roman" w:hAnsi="Times New Roman" w:eastAsia="宋体" w:cs="Times New Roman"/>
                      <w:color w:val="auto"/>
                      <w:sz w:val="21"/>
                      <w:szCs w:val="21"/>
                      <w:lang w:val="en-US" w:eastAsia="zh-CN"/>
                    </w:rPr>
                    <w:t>项目，</w:t>
                  </w:r>
                  <w:r>
                    <w:rPr>
                      <w:rFonts w:hint="default" w:ascii="Times New Roman" w:hAnsi="Times New Roman" w:eastAsia="宋体" w:cs="Times New Roman"/>
                      <w:color w:val="auto"/>
                      <w:sz w:val="21"/>
                      <w:szCs w:val="21"/>
                      <w:lang w:val="zh-CN"/>
                    </w:rPr>
                    <w:t>项目使用</w:t>
                  </w:r>
                  <w:r>
                    <w:rPr>
                      <w:rFonts w:hint="eastAsia" w:cs="Times New Roman"/>
                      <w:color w:val="auto"/>
                      <w:sz w:val="21"/>
                      <w:szCs w:val="21"/>
                      <w:lang w:val="en-US" w:eastAsia="zh-CN"/>
                    </w:rPr>
                    <w:t>电能</w:t>
                  </w:r>
                  <w:r>
                    <w:rPr>
                      <w:rFonts w:hint="default" w:ascii="Times New Roman" w:hAnsi="Times New Roman" w:eastAsia="宋体" w:cs="Times New Roman"/>
                      <w:color w:val="auto"/>
                      <w:sz w:val="21"/>
                      <w:szCs w:val="21"/>
                      <w:lang w:val="zh-CN"/>
                    </w:rPr>
                    <w:t>，属于清洁能源</w:t>
                  </w:r>
                  <w:r>
                    <w:rPr>
                      <w:rFonts w:hint="default" w:ascii="Times New Roman" w:hAnsi="Times New Roman" w:eastAsia="宋体" w:cs="Times New Roman"/>
                      <w:color w:val="auto"/>
                      <w:sz w:val="21"/>
                      <w:szCs w:val="21"/>
                      <w:lang w:val="en-US" w:eastAsia="zh-CN"/>
                    </w:rPr>
                    <w:t>。</w:t>
                  </w:r>
                </w:p>
              </w:tc>
              <w:tc>
                <w:tcPr>
                  <w:tcW w:w="466" w:type="pct"/>
                  <w:tcBorders>
                    <w:top w:val="single" w:color="auto" w:sz="4" w:space="0"/>
                    <w:left w:val="nil"/>
                    <w:bottom w:val="single" w:color="auto" w:sz="4" w:space="0"/>
                    <w:right w:val="single" w:color="auto" w:sz="4" w:space="0"/>
                  </w:tcBorders>
                  <w:shd w:val="clear" w:color="auto" w:fill="auto"/>
                  <w:noWrap w:val="0"/>
                  <w:vAlign w:val="center"/>
                </w:tcPr>
                <w:p w14:paraId="483DA9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7D7C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8" w:type="pct"/>
                  <w:tcBorders>
                    <w:left w:val="single" w:color="auto" w:sz="4" w:space="0"/>
                    <w:right w:val="single" w:color="auto" w:sz="4" w:space="0"/>
                  </w:tcBorders>
                  <w:shd w:val="clear" w:color="auto" w:fill="auto"/>
                  <w:noWrap w:val="0"/>
                  <w:vAlign w:val="center"/>
                </w:tcPr>
                <w:p w14:paraId="1386CE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持续推进污染源治理</w:t>
                  </w:r>
                </w:p>
              </w:tc>
              <w:tc>
                <w:tcPr>
                  <w:tcW w:w="2050" w:type="pct"/>
                  <w:tcBorders>
                    <w:top w:val="single" w:color="auto" w:sz="4" w:space="0"/>
                    <w:left w:val="nil"/>
                    <w:bottom w:val="single" w:color="auto" w:sz="4" w:space="0"/>
                    <w:right w:val="single" w:color="auto" w:sz="4" w:space="0"/>
                  </w:tcBorders>
                  <w:shd w:val="clear" w:color="auto" w:fill="auto"/>
                  <w:noWrap w:val="0"/>
                  <w:vAlign w:val="center"/>
                </w:tcPr>
                <w:p w14:paraId="05E6F7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实施重点行业NOx等污染物深度治理。全面完成钢铁和燃煤发电企业超低排放改造。严格控制物料储存、输送及生产工艺过程无组织排放，全面提升无组织排放管控水平。</w:t>
                  </w:r>
                </w:p>
              </w:tc>
              <w:tc>
                <w:tcPr>
                  <w:tcW w:w="2055" w:type="pct"/>
                  <w:tcBorders>
                    <w:top w:val="single" w:color="auto" w:sz="4" w:space="0"/>
                    <w:left w:val="nil"/>
                    <w:bottom w:val="single" w:color="auto" w:sz="4" w:space="0"/>
                    <w:right w:val="single" w:color="auto" w:sz="4" w:space="0"/>
                  </w:tcBorders>
                  <w:shd w:val="clear" w:color="auto" w:fill="auto"/>
                  <w:noWrap w:val="0"/>
                  <w:vAlign w:val="center"/>
                </w:tcPr>
                <w:p w14:paraId="2176DC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项目生产线全部设置在封闭的车间内，生产过程中产生焊接烟尘通过集气罩+袋式除尘器处理后达标排放，无组织粉尘经厂房阻隔后，排放的无组织废气满足</w:t>
                  </w:r>
                  <w:r>
                    <w:rPr>
                      <w:rFonts w:hint="default" w:ascii="Times New Roman" w:hAnsi="Times New Roman" w:eastAsia="宋体" w:cs="Times New Roman"/>
                      <w:bCs/>
                      <w:color w:val="auto"/>
                      <w:sz w:val="21"/>
                      <w:szCs w:val="21"/>
                    </w:rPr>
                    <w:t>《大气污染物综合排放标准》（GB16297-1996）</w:t>
                  </w:r>
                  <w:r>
                    <w:rPr>
                      <w:rFonts w:hint="default" w:ascii="Times New Roman" w:hAnsi="Times New Roman" w:eastAsia="宋体" w:cs="Times New Roman"/>
                      <w:color w:val="auto"/>
                      <w:sz w:val="21"/>
                      <w:szCs w:val="21"/>
                      <w:lang w:val="en-US" w:eastAsia="zh-CN"/>
                    </w:rPr>
                    <w:t>限值要求。</w:t>
                  </w:r>
                </w:p>
              </w:tc>
              <w:tc>
                <w:tcPr>
                  <w:tcW w:w="466" w:type="pct"/>
                  <w:tcBorders>
                    <w:top w:val="single" w:color="auto" w:sz="4" w:space="0"/>
                    <w:left w:val="nil"/>
                    <w:bottom w:val="single" w:color="auto" w:sz="4" w:space="0"/>
                    <w:right w:val="single" w:color="auto" w:sz="4" w:space="0"/>
                  </w:tcBorders>
                  <w:shd w:val="clear" w:color="auto" w:fill="auto"/>
                  <w:noWrap w:val="0"/>
                  <w:vAlign w:val="center"/>
                </w:tcPr>
                <w:p w14:paraId="31006C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bl>
          <w:p w14:paraId="569E9A5B">
            <w:pPr>
              <w:rPr>
                <w:rFonts w:hint="eastAsia"/>
                <w:color w:val="auto"/>
                <w:lang w:val="en-US" w:eastAsia="zh-CN"/>
              </w:rPr>
            </w:pPr>
            <w:r>
              <w:rPr>
                <w:rFonts w:hint="eastAsia"/>
                <w:color w:val="auto"/>
                <w:lang w:val="en-US" w:eastAsia="zh-CN"/>
              </w:rPr>
              <w:t>由上表可知，项目建设符合《云南省“十四五”生态建设与环境保护规划》（云环发〔2022〕13号）要求。</w:t>
            </w:r>
          </w:p>
          <w:p w14:paraId="0B0ED873">
            <w:pPr>
              <w:rPr>
                <w:rFonts w:hint="default"/>
                <w:b/>
                <w:bCs/>
                <w:color w:val="auto"/>
                <w:lang w:val="en-US" w:eastAsia="zh-CN"/>
              </w:rPr>
            </w:pPr>
            <w:r>
              <w:rPr>
                <w:rFonts w:hint="eastAsia"/>
                <w:b/>
                <w:bCs/>
                <w:color w:val="auto"/>
                <w:lang w:val="en-US" w:eastAsia="zh-CN"/>
              </w:rPr>
              <w:t>7、项目与《云南省空气质量持续改善行动实施方案》符合性分析</w:t>
            </w:r>
          </w:p>
          <w:p w14:paraId="04C6728C">
            <w:pPr>
              <w:rPr>
                <w:rFonts w:hint="eastAsia"/>
                <w:color w:val="auto"/>
                <w:lang w:val="en-US" w:eastAsia="zh-CN"/>
              </w:rPr>
            </w:pPr>
            <w:r>
              <w:rPr>
                <w:rFonts w:hint="eastAsia"/>
                <w:color w:val="auto"/>
                <w:lang w:val="en-US" w:eastAsia="zh-CN"/>
              </w:rPr>
              <w:t>为全面贯彻落实《国务院关于印发〈空气质量持续改善行动计划〉的通知》（国发〔2023〕24号）精神，持续深入打好蓝天保卫战，结合我省实际，2024年4月23日云南省人民政府发布了《关于印发《云南省空气质量持续改善行动实施方案》的通知》（云政发〔2024〕14号），项目与其符合性分析详见下表。</w:t>
            </w:r>
          </w:p>
          <w:p w14:paraId="4634463A">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表1-</w:t>
            </w:r>
            <w:r>
              <w:rPr>
                <w:rFonts w:hint="eastAsia" w:cs="Times New Roman"/>
                <w:color w:val="auto"/>
                <w:sz w:val="24"/>
                <w:szCs w:val="24"/>
                <w:lang w:val="en-US" w:eastAsia="zh-CN"/>
              </w:rPr>
              <w:t>7</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宋体"/>
                <w:b/>
                <w:bCs/>
                <w:color w:val="auto"/>
                <w:kern w:val="0"/>
                <w:sz w:val="24"/>
                <w:lang w:val="en-US" w:eastAsia="zh-CN"/>
              </w:rPr>
              <w:t>项目与</w:t>
            </w:r>
            <w:r>
              <w:rPr>
                <w:rFonts w:hint="eastAsia" w:ascii="Times New Roman" w:hAnsi="Times New Roman" w:eastAsia="宋体" w:cs="宋体"/>
                <w:b/>
                <w:bCs/>
                <w:color w:val="auto"/>
                <w:kern w:val="0"/>
                <w:sz w:val="24"/>
                <w:lang w:val="en-US" w:eastAsia="zh-CN"/>
              </w:rPr>
              <w:t>《云南省空气质量持续改善行动实施方案》</w:t>
            </w:r>
            <w:r>
              <w:rPr>
                <w:rFonts w:hint="default" w:ascii="Times New Roman" w:hAnsi="Times New Roman" w:eastAsia="宋体" w:cs="宋体"/>
                <w:b/>
                <w:bCs/>
                <w:color w:val="auto"/>
                <w:kern w:val="0"/>
                <w:sz w:val="24"/>
                <w:lang w:val="en-US" w:eastAsia="zh-CN"/>
              </w:rPr>
              <w:t>相符性对照表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78"/>
              <w:gridCol w:w="3533"/>
              <w:gridCol w:w="2020"/>
              <w:gridCol w:w="955"/>
            </w:tblGrid>
            <w:tr w14:paraId="64646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408" w:type="pct"/>
                  <w:shd w:val="clear" w:color="auto" w:fill="auto"/>
                  <w:noWrap w:val="0"/>
                  <w:vAlign w:val="center"/>
                </w:tcPr>
                <w:p w14:paraId="71302D95">
                  <w:pPr>
                    <w:pStyle w:val="64"/>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章节</w:t>
                  </w:r>
                </w:p>
              </w:tc>
              <w:tc>
                <w:tcPr>
                  <w:tcW w:w="2492" w:type="pct"/>
                  <w:shd w:val="clear" w:color="auto" w:fill="auto"/>
                  <w:noWrap w:val="0"/>
                  <w:vAlign w:val="center"/>
                </w:tcPr>
                <w:p w14:paraId="59536ABA">
                  <w:pPr>
                    <w:keepNext w:val="0"/>
                    <w:keepLines w:val="0"/>
                    <w:pageBreakBefore w:val="0"/>
                    <w:widowControl w:val="0"/>
                    <w:kinsoku/>
                    <w:wordWrap/>
                    <w:overflow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要求</w:t>
                  </w:r>
                </w:p>
              </w:tc>
              <w:tc>
                <w:tcPr>
                  <w:tcW w:w="1425" w:type="pct"/>
                  <w:shd w:val="clear" w:color="auto" w:fill="auto"/>
                  <w:noWrap w:val="0"/>
                  <w:vAlign w:val="center"/>
                </w:tcPr>
                <w:p w14:paraId="3213FC17">
                  <w:pPr>
                    <w:keepNext w:val="0"/>
                    <w:keepLines w:val="0"/>
                    <w:pageBreakBefore w:val="0"/>
                    <w:widowControl w:val="0"/>
                    <w:kinsoku/>
                    <w:wordWrap/>
                    <w:overflow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项目</w:t>
                  </w:r>
                  <w:r>
                    <w:rPr>
                      <w:rFonts w:hint="default" w:ascii="Times New Roman" w:hAnsi="Times New Roman" w:eastAsia="宋体" w:cs="Times New Roman"/>
                      <w:color w:val="auto"/>
                      <w:sz w:val="21"/>
                      <w:szCs w:val="21"/>
                      <w:lang w:val="en-US" w:eastAsia="zh-CN"/>
                    </w:rPr>
                    <w:t>建设</w:t>
                  </w:r>
                  <w:r>
                    <w:rPr>
                      <w:rFonts w:hint="default" w:ascii="Times New Roman" w:hAnsi="Times New Roman" w:eastAsia="宋体" w:cs="Times New Roman"/>
                      <w:color w:val="auto"/>
                      <w:sz w:val="21"/>
                      <w:szCs w:val="21"/>
                    </w:rPr>
                    <w:t>情况</w:t>
                  </w:r>
                </w:p>
              </w:tc>
              <w:tc>
                <w:tcPr>
                  <w:tcW w:w="673" w:type="pct"/>
                  <w:shd w:val="clear" w:color="auto" w:fill="auto"/>
                  <w:noWrap w:val="0"/>
                  <w:vAlign w:val="center"/>
                </w:tcPr>
                <w:p w14:paraId="05A9A010">
                  <w:pPr>
                    <w:keepNext w:val="0"/>
                    <w:keepLines w:val="0"/>
                    <w:pageBreakBefore w:val="0"/>
                    <w:widowControl w:val="0"/>
                    <w:kinsoku/>
                    <w:wordWrap/>
                    <w:overflow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符合性</w:t>
                  </w:r>
                </w:p>
              </w:tc>
            </w:tr>
            <w:tr w14:paraId="28700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408" w:type="pct"/>
                  <w:shd w:val="clear" w:color="auto" w:fill="auto"/>
                  <w:noWrap w:val="0"/>
                  <w:vAlign w:val="center"/>
                </w:tcPr>
                <w:p w14:paraId="43276DEE">
                  <w:pPr>
                    <w:pStyle w:val="64"/>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zh-CN" w:eastAsia="zh-CN" w:bidi="ar-SA"/>
                    </w:rPr>
                    <w:t>优化产业结构</w:t>
                  </w:r>
                </w:p>
              </w:tc>
              <w:tc>
                <w:tcPr>
                  <w:tcW w:w="2492" w:type="pct"/>
                  <w:shd w:val="clear" w:color="auto" w:fill="auto"/>
                  <w:noWrap w:val="0"/>
                  <w:vAlign w:val="center"/>
                </w:tcPr>
                <w:p w14:paraId="508482CD">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kern w:val="2"/>
                      <w:sz w:val="21"/>
                      <w:szCs w:val="21"/>
                      <w:lang w:val="en-US" w:eastAsia="zh-CN" w:bidi="ar-SA"/>
                    </w:rPr>
                    <w:t>1、</w:t>
                  </w:r>
                  <w:r>
                    <w:rPr>
                      <w:rFonts w:hint="default" w:ascii="Times New Roman" w:hAnsi="Times New Roman" w:eastAsia="宋体" w:cs="Times New Roman"/>
                      <w:color w:val="auto"/>
                      <w:kern w:val="2"/>
                      <w:sz w:val="21"/>
                      <w:szCs w:val="21"/>
                      <w:lang w:val="zh-CN" w:eastAsia="zh-CN" w:bidi="ar-SA"/>
                    </w:rPr>
                    <w:t>坚决遏制“两高一低”项目盲目上马。新改扩建项目严格落实国家和省产业规划、产业政策、生态环境分区管控方案、规划环评、项目环评、节能审查、产能置换、重点污染物总量控制、污染物排放区域削减、碳排放达峰目标等相关要求，原则上采用清洁运输方式。加快推进钢铁产业转型升级，鼓励钢铁、焦化、烧结一体化布局，减少独立焦化、烧结、球团和热轧企业及工序。到2025年，短流程炼钢产量占比达15%。</w:t>
                  </w:r>
                </w:p>
                <w:p w14:paraId="3070EB3D">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kern w:val="2"/>
                      <w:sz w:val="21"/>
                      <w:szCs w:val="21"/>
                      <w:lang w:val="en-US" w:eastAsia="zh-CN" w:bidi="ar-SA"/>
                    </w:rPr>
                    <w:t>2、</w:t>
                  </w:r>
                  <w:r>
                    <w:rPr>
                      <w:rFonts w:hint="default" w:ascii="Times New Roman" w:hAnsi="Times New Roman" w:eastAsia="宋体" w:cs="Times New Roman"/>
                      <w:color w:val="auto"/>
                      <w:kern w:val="2"/>
                      <w:sz w:val="21"/>
                      <w:szCs w:val="21"/>
                      <w:lang w:val="zh-CN" w:eastAsia="zh-CN" w:bidi="ar-SA"/>
                    </w:rPr>
                    <w:t>推动落后产能退出。推动能耗、环保、质量、安全、技术达不到标准和生产不合格产品或淘汰类产能依法依规关停退出。不予审批限制类新建项目，按照国家要求对属于限制类的现有生产能力进行升级改造。</w:t>
                  </w:r>
                </w:p>
                <w:p w14:paraId="279CB90A">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kern w:val="2"/>
                      <w:sz w:val="21"/>
                      <w:szCs w:val="21"/>
                      <w:lang w:val="en-US" w:eastAsia="zh-CN" w:bidi="ar-SA"/>
                    </w:rPr>
                    <w:t>3、</w:t>
                  </w:r>
                  <w:r>
                    <w:rPr>
                      <w:rFonts w:hint="default" w:ascii="Times New Roman" w:hAnsi="Times New Roman" w:eastAsia="宋体" w:cs="Times New Roman"/>
                      <w:color w:val="auto"/>
                      <w:kern w:val="2"/>
                      <w:sz w:val="21"/>
                      <w:szCs w:val="21"/>
                      <w:lang w:val="zh-CN" w:eastAsia="zh-CN" w:bidi="ar-SA"/>
                    </w:rPr>
                    <w:t>优化含VOCs原辅材料和产品结构。严格控制生产和使用高VOCs含量涂料、油墨、胶粘剂、清洗剂等建设项目，加大工业涂装、包装印刷和电子行业低（无）VOCs含量原辅材料替代力度。严格执行VOCs含量限值标准，室外构筑物防护和城市道路交通标志推广使用低（无）VOCs含量涂料。</w:t>
                  </w:r>
                </w:p>
                <w:p w14:paraId="1C2FAEB6">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w:t>
                  </w:r>
                  <w:r>
                    <w:rPr>
                      <w:rFonts w:hint="default" w:ascii="Times New Roman" w:hAnsi="Times New Roman" w:eastAsia="宋体" w:cs="Times New Roman"/>
                      <w:color w:val="auto"/>
                      <w:kern w:val="2"/>
                      <w:sz w:val="21"/>
                      <w:szCs w:val="21"/>
                      <w:lang w:val="zh-CN" w:eastAsia="zh-CN" w:bidi="ar-SA"/>
                    </w:rPr>
                    <w:t>推动绿色环保产业健康发展。支持培育一批低（无）VOCs含量原辅材料生产和使用、VOCs污染治理、超低排放、环境和大气成分监测等领域龙头企业。多措并举治理环保领域低价低质中标乱象，营造公平竞争环境，推动产业健康有序发展。</w:t>
                  </w:r>
                </w:p>
              </w:tc>
              <w:tc>
                <w:tcPr>
                  <w:tcW w:w="1425" w:type="pct"/>
                  <w:shd w:val="clear" w:color="auto" w:fill="auto"/>
                  <w:noWrap w:val="0"/>
                  <w:vAlign w:val="top"/>
                </w:tcPr>
                <w:p w14:paraId="030579B5">
                  <w:pPr>
                    <w:pStyle w:val="64"/>
                    <w:keepNext w:val="0"/>
                    <w:keepLines w:val="0"/>
                    <w:pageBreakBefore w:val="0"/>
                    <w:widowControl w:val="0"/>
                    <w:kinsoku/>
                    <w:wordWrap/>
                    <w:overflowPunct/>
                    <w:topLine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kern w:val="2"/>
                      <w:sz w:val="21"/>
                      <w:szCs w:val="21"/>
                      <w:lang w:val="en-US" w:eastAsia="zh-CN" w:bidi="ar-SA"/>
                    </w:rPr>
                    <w:t>1、本项目</w:t>
                  </w:r>
                  <w:r>
                    <w:rPr>
                      <w:rFonts w:hint="default" w:ascii="Times New Roman" w:hAnsi="Times New Roman" w:eastAsia="宋体" w:cs="Times New Roman"/>
                      <w:color w:val="auto"/>
                      <w:sz w:val="21"/>
                      <w:szCs w:val="21"/>
                      <w:lang w:val="en-US" w:eastAsia="zh-CN"/>
                    </w:rPr>
                    <w:t>外购带钢生产高频直缝焊管，</w:t>
                  </w:r>
                  <w:r>
                    <w:rPr>
                      <w:rFonts w:hint="default" w:ascii="Times New Roman" w:hAnsi="Times New Roman" w:eastAsia="宋体" w:cs="Times New Roman"/>
                      <w:color w:val="auto"/>
                      <w:kern w:val="2"/>
                      <w:sz w:val="21"/>
                      <w:szCs w:val="21"/>
                      <w:lang w:val="en-US" w:eastAsia="zh-CN" w:bidi="ar-SA"/>
                    </w:rPr>
                    <w:t>不属于两高项目。项目建设符合</w:t>
                  </w:r>
                  <w:r>
                    <w:rPr>
                      <w:rFonts w:hint="default" w:ascii="Times New Roman" w:hAnsi="Times New Roman" w:eastAsia="宋体" w:cs="Times New Roman"/>
                      <w:color w:val="auto"/>
                      <w:kern w:val="2"/>
                      <w:sz w:val="21"/>
                      <w:szCs w:val="21"/>
                      <w:lang w:val="zh-CN" w:eastAsia="zh-CN" w:bidi="ar-SA"/>
                    </w:rPr>
                    <w:t>产业规划、产业政策、生态环境分区管控方案</w:t>
                  </w:r>
                  <w:r>
                    <w:rPr>
                      <w:rFonts w:hint="default" w:ascii="Times New Roman" w:hAnsi="Times New Roman" w:eastAsia="宋体" w:cs="Times New Roman"/>
                      <w:color w:val="auto"/>
                      <w:kern w:val="2"/>
                      <w:sz w:val="21"/>
                      <w:szCs w:val="21"/>
                      <w:lang w:val="en-US" w:eastAsia="zh-CN" w:bidi="ar-SA"/>
                    </w:rPr>
                    <w:t>等相关要求。项目不涉及</w:t>
                  </w:r>
                  <w:r>
                    <w:rPr>
                      <w:rFonts w:hint="default" w:ascii="Times New Roman" w:hAnsi="Times New Roman" w:eastAsia="宋体" w:cs="Times New Roman"/>
                      <w:color w:val="auto"/>
                      <w:kern w:val="2"/>
                      <w:sz w:val="21"/>
                      <w:szCs w:val="21"/>
                      <w:lang w:val="zh-CN" w:eastAsia="zh-CN" w:bidi="ar-SA"/>
                    </w:rPr>
                    <w:t>钢铁产业转型升级、独立焦化、烧结、球团和热轧企业及工序。</w:t>
                  </w:r>
                </w:p>
                <w:p w14:paraId="02FEA314">
                  <w:pPr>
                    <w:pStyle w:val="64"/>
                    <w:keepNext w:val="0"/>
                    <w:keepLines w:val="0"/>
                    <w:pageBreakBefore w:val="0"/>
                    <w:widowControl w:val="0"/>
                    <w:kinsoku/>
                    <w:wordWrap/>
                    <w:overflowPunct/>
                    <w:topLine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kern w:val="2"/>
                      <w:sz w:val="21"/>
                      <w:szCs w:val="21"/>
                      <w:lang w:val="en-US" w:eastAsia="zh-CN" w:bidi="ar-SA"/>
                    </w:rPr>
                    <w:t>2、</w:t>
                  </w:r>
                  <w:r>
                    <w:rPr>
                      <w:rFonts w:hint="default" w:ascii="Times New Roman" w:hAnsi="Times New Roman" w:eastAsia="宋体" w:cs="Times New Roman"/>
                      <w:color w:val="auto"/>
                      <w:kern w:val="2"/>
                      <w:sz w:val="21"/>
                      <w:szCs w:val="21"/>
                      <w:lang w:val="zh-CN" w:eastAsia="zh-CN" w:bidi="ar-SA"/>
                    </w:rPr>
                    <w:t>本项目</w:t>
                  </w:r>
                  <w:r>
                    <w:rPr>
                      <w:rFonts w:hint="default" w:ascii="Times New Roman" w:hAnsi="Times New Roman" w:eastAsia="宋体" w:cs="Times New Roman"/>
                      <w:color w:val="auto"/>
                      <w:kern w:val="2"/>
                      <w:sz w:val="21"/>
                      <w:szCs w:val="21"/>
                      <w:lang w:val="en-US" w:eastAsia="zh-CN" w:bidi="ar-SA"/>
                    </w:rPr>
                    <w:t>外购带钢生产</w:t>
                  </w:r>
                  <w:r>
                    <w:rPr>
                      <w:rFonts w:hint="default" w:ascii="Times New Roman" w:hAnsi="Times New Roman" w:eastAsia="宋体" w:cs="Times New Roman"/>
                      <w:color w:val="auto"/>
                      <w:sz w:val="21"/>
                      <w:szCs w:val="21"/>
                      <w:lang w:val="en-US" w:eastAsia="zh-CN"/>
                    </w:rPr>
                    <w:t>高频直缝焊管</w:t>
                  </w:r>
                  <w:r>
                    <w:rPr>
                      <w:rFonts w:hint="default"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zh-CN" w:eastAsia="zh-CN" w:bidi="ar-SA"/>
                    </w:rPr>
                    <w:t>属于</w:t>
                  </w:r>
                  <w:r>
                    <w:rPr>
                      <w:rFonts w:hint="default" w:ascii="Times New Roman" w:hAnsi="Times New Roman" w:eastAsia="宋体" w:cs="Times New Roman"/>
                      <w:color w:val="auto"/>
                      <w:kern w:val="2"/>
                      <w:sz w:val="21"/>
                      <w:szCs w:val="21"/>
                      <w:lang w:val="en-US" w:eastAsia="zh-CN" w:bidi="ar-SA"/>
                    </w:rPr>
                    <w:t>C3130钢压延加工</w:t>
                  </w:r>
                  <w:r>
                    <w:rPr>
                      <w:rFonts w:hint="default" w:ascii="Times New Roman" w:hAnsi="Times New Roman" w:eastAsia="宋体" w:cs="Times New Roman"/>
                      <w:color w:val="auto"/>
                      <w:kern w:val="2"/>
                      <w:sz w:val="21"/>
                      <w:szCs w:val="21"/>
                      <w:lang w:val="zh-CN" w:eastAsia="zh-CN" w:bidi="ar-SA"/>
                    </w:rPr>
                    <w:t>，本项目不生产落后产品，不使用淘汰类生产设备。经对照《产业结构调整指导目录（2024年本）》分析，本项目不属于鼓励类、限制类，不使用落后生产工艺装备，不生产落后产品，“鼓励类、限制类和淘汰类之外的，且符合国家有关法律、法规和政策规定的属于允许类”。根据《产业发展与转移指导目录（2018年本）》，本项目不属于云南引导不再承接的产业。</w:t>
                  </w:r>
                </w:p>
                <w:p w14:paraId="2D50C98D">
                  <w:pPr>
                    <w:pStyle w:val="64"/>
                    <w:keepNext w:val="0"/>
                    <w:keepLines w:val="0"/>
                    <w:pageBreakBefore w:val="0"/>
                    <w:widowControl w:val="0"/>
                    <w:kinsoku/>
                    <w:wordWrap/>
                    <w:overflowPunct/>
                    <w:topLine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kern w:val="2"/>
                      <w:sz w:val="21"/>
                      <w:szCs w:val="21"/>
                      <w:lang w:val="en-US" w:eastAsia="zh-CN" w:bidi="ar-SA"/>
                    </w:rPr>
                    <w:t>3、项目不涉及</w:t>
                  </w:r>
                  <w:r>
                    <w:rPr>
                      <w:rFonts w:hint="default" w:ascii="Times New Roman" w:hAnsi="Times New Roman" w:eastAsia="宋体" w:cs="Times New Roman"/>
                      <w:color w:val="auto"/>
                      <w:kern w:val="2"/>
                      <w:sz w:val="21"/>
                      <w:szCs w:val="21"/>
                      <w:lang w:val="zh-CN" w:eastAsia="zh-CN" w:bidi="ar-SA"/>
                    </w:rPr>
                    <w:t>含VOCs原辅材料和产品；</w:t>
                  </w:r>
                  <w:r>
                    <w:rPr>
                      <w:rFonts w:hint="default" w:ascii="Times New Roman" w:hAnsi="Times New Roman" w:eastAsia="宋体" w:cs="Times New Roman"/>
                      <w:color w:val="auto"/>
                      <w:kern w:val="2"/>
                      <w:sz w:val="21"/>
                      <w:szCs w:val="21"/>
                      <w:lang w:val="en-US" w:eastAsia="zh-CN" w:bidi="ar-SA"/>
                    </w:rPr>
                    <w:t>不</w:t>
                  </w:r>
                  <w:r>
                    <w:rPr>
                      <w:rFonts w:hint="default" w:ascii="Times New Roman" w:hAnsi="Times New Roman" w:eastAsia="宋体" w:cs="Times New Roman"/>
                      <w:color w:val="auto"/>
                      <w:kern w:val="2"/>
                      <w:sz w:val="21"/>
                      <w:szCs w:val="21"/>
                      <w:lang w:val="zh-CN" w:eastAsia="zh-CN" w:bidi="ar-SA"/>
                    </w:rPr>
                    <w:t>生产和使用高VOCs含量涂料、油墨、胶粘剂、清洗剂等；</w:t>
                  </w:r>
                </w:p>
                <w:p w14:paraId="2838579D">
                  <w:pPr>
                    <w:pStyle w:val="64"/>
                    <w:keepNext w:val="0"/>
                    <w:keepLines w:val="0"/>
                    <w:pageBreakBefore w:val="0"/>
                    <w:widowControl w:val="0"/>
                    <w:kinsoku/>
                    <w:wordWrap/>
                    <w:overflowPunct/>
                    <w:topLine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4、项目不涉及。</w:t>
                  </w:r>
                </w:p>
              </w:tc>
              <w:tc>
                <w:tcPr>
                  <w:tcW w:w="673" w:type="pct"/>
                  <w:shd w:val="clear" w:color="auto" w:fill="auto"/>
                  <w:noWrap w:val="0"/>
                  <w:vAlign w:val="center"/>
                </w:tcPr>
                <w:p w14:paraId="30B428B6">
                  <w:pPr>
                    <w:pStyle w:val="64"/>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符合</w:t>
                  </w:r>
                </w:p>
              </w:tc>
            </w:tr>
            <w:tr w14:paraId="0D6B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408" w:type="pct"/>
                  <w:shd w:val="clear" w:color="auto" w:fill="auto"/>
                  <w:noWrap w:val="0"/>
                  <w:vAlign w:val="center"/>
                </w:tcPr>
                <w:p w14:paraId="0B21E59C">
                  <w:pPr>
                    <w:pStyle w:val="64"/>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优化能源结构</w:t>
                  </w:r>
                </w:p>
              </w:tc>
              <w:tc>
                <w:tcPr>
                  <w:tcW w:w="2492" w:type="pct"/>
                  <w:shd w:val="clear" w:color="auto" w:fill="auto"/>
                  <w:noWrap w:val="0"/>
                  <w:vAlign w:val="top"/>
                </w:tcPr>
                <w:p w14:paraId="28E09F22">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kern w:val="2"/>
                      <w:sz w:val="21"/>
                      <w:szCs w:val="21"/>
                      <w:lang w:val="en-US" w:eastAsia="zh-CN" w:bidi="ar-SA"/>
                    </w:rPr>
                    <w:t>1、</w:t>
                  </w:r>
                  <w:r>
                    <w:rPr>
                      <w:rFonts w:hint="default" w:ascii="Times New Roman" w:hAnsi="Times New Roman" w:eastAsia="宋体" w:cs="Times New Roman"/>
                      <w:color w:val="auto"/>
                      <w:kern w:val="2"/>
                      <w:sz w:val="21"/>
                      <w:szCs w:val="21"/>
                      <w:lang w:val="zh-CN" w:eastAsia="zh-CN" w:bidi="ar-SA"/>
                    </w:rPr>
                    <w:t>严格合理控制煤炭消费增长。有序推进煤炭消费减量替代。支持烟叶烘烤等农特产品加工燃煤设施实施清洁能源改造。对支撑电力稳定供应、电网安全运行、清洁能源大规模并网消纳的煤电项目及其用煤量应予以合理保障。</w:t>
                  </w:r>
                </w:p>
                <w:p w14:paraId="0CE75A64">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kern w:val="2"/>
                      <w:sz w:val="21"/>
                      <w:szCs w:val="21"/>
                      <w:lang w:val="en-US" w:eastAsia="zh-CN" w:bidi="ar-SA"/>
                    </w:rPr>
                    <w:t>2、</w:t>
                  </w:r>
                  <w:r>
                    <w:rPr>
                      <w:rFonts w:hint="default" w:ascii="Times New Roman" w:hAnsi="Times New Roman" w:eastAsia="宋体" w:cs="Times New Roman"/>
                      <w:color w:val="auto"/>
                      <w:kern w:val="2"/>
                      <w:sz w:val="21"/>
                      <w:szCs w:val="21"/>
                      <w:lang w:val="zh-CN" w:eastAsia="zh-CN" w:bidi="ar-SA"/>
                    </w:rPr>
                    <w:t>开展燃煤锅炉关停整合。县级及以上城市建成区原则上不再新建35蒸吨/小时及以下燃煤锅炉。依托电厂、大型工业企业开展远距离供热示范，淘汰管网覆盖范围内的燃煤锅炉和散煤。到2025年，PM2.5未达标城市基本淘汰10蒸吨/小时及以下燃煤锅炉。</w:t>
                  </w:r>
                </w:p>
                <w:p w14:paraId="4AAD9B48">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w:t>
                  </w:r>
                  <w:r>
                    <w:rPr>
                      <w:rFonts w:hint="default" w:ascii="Times New Roman" w:hAnsi="Times New Roman" w:eastAsia="宋体" w:cs="Times New Roman"/>
                      <w:color w:val="auto"/>
                      <w:kern w:val="2"/>
                      <w:sz w:val="21"/>
                      <w:szCs w:val="21"/>
                      <w:lang w:val="zh-CN" w:eastAsia="zh-CN" w:bidi="ar-SA"/>
                    </w:rPr>
                    <w:t>推动工业炉窑清洁能源替代。有序推进以电代煤，积极稳妥推进以气代煤。对以煤、石油焦、渣油、重油等为燃料的工业炉窑，加快使用工业余热、电能、天然气等清洁能源进行替代。</w:t>
                  </w:r>
                </w:p>
              </w:tc>
              <w:tc>
                <w:tcPr>
                  <w:tcW w:w="1425" w:type="pct"/>
                  <w:shd w:val="clear" w:color="auto" w:fill="auto"/>
                  <w:noWrap w:val="0"/>
                  <w:vAlign w:val="top"/>
                </w:tcPr>
                <w:p w14:paraId="0374512D">
                  <w:pPr>
                    <w:pStyle w:val="64"/>
                    <w:keepNext w:val="0"/>
                    <w:keepLines w:val="0"/>
                    <w:pageBreakBefore w:val="0"/>
                    <w:widowControl w:val="0"/>
                    <w:kinsoku/>
                    <w:wordWrap/>
                    <w:overflowPunct/>
                    <w:topLine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1、项目运营期使用清洁能源电能，不使用煤炭；</w:t>
                  </w:r>
                </w:p>
                <w:p w14:paraId="30C7660C">
                  <w:pPr>
                    <w:pStyle w:val="64"/>
                    <w:keepNext w:val="0"/>
                    <w:keepLines w:val="0"/>
                    <w:pageBreakBefore w:val="0"/>
                    <w:widowControl w:val="0"/>
                    <w:kinsoku/>
                    <w:wordWrap/>
                    <w:overflowPunct/>
                    <w:topLine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kern w:val="2"/>
                      <w:sz w:val="21"/>
                      <w:szCs w:val="21"/>
                      <w:lang w:val="en-US" w:eastAsia="zh-CN" w:bidi="ar-SA"/>
                    </w:rPr>
                    <w:t>2、项目不涉及</w:t>
                  </w:r>
                  <w:r>
                    <w:rPr>
                      <w:rFonts w:hint="default" w:ascii="Times New Roman" w:hAnsi="Times New Roman" w:eastAsia="宋体" w:cs="Times New Roman"/>
                      <w:color w:val="auto"/>
                      <w:kern w:val="2"/>
                      <w:sz w:val="21"/>
                      <w:szCs w:val="21"/>
                      <w:lang w:val="zh-CN" w:eastAsia="zh-CN" w:bidi="ar-SA"/>
                    </w:rPr>
                    <w:t>燃煤锅炉；</w:t>
                  </w:r>
                </w:p>
                <w:p w14:paraId="20F89EBF">
                  <w:pPr>
                    <w:pStyle w:val="64"/>
                    <w:keepNext w:val="0"/>
                    <w:keepLines w:val="0"/>
                    <w:pageBreakBefore w:val="0"/>
                    <w:widowControl w:val="0"/>
                    <w:kinsoku/>
                    <w:wordWrap/>
                    <w:overflowPunct/>
                    <w:topLine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3、项目不涉及</w:t>
                  </w:r>
                  <w:r>
                    <w:rPr>
                      <w:rFonts w:hint="default" w:ascii="Times New Roman" w:hAnsi="Times New Roman" w:eastAsia="宋体" w:cs="Times New Roman"/>
                      <w:color w:val="auto"/>
                      <w:kern w:val="2"/>
                      <w:sz w:val="21"/>
                      <w:szCs w:val="21"/>
                      <w:lang w:val="zh-CN" w:eastAsia="zh-CN" w:bidi="ar-SA"/>
                    </w:rPr>
                    <w:t>煤、石油焦、渣油、重油等为燃料的工业炉窑。</w:t>
                  </w:r>
                </w:p>
              </w:tc>
              <w:tc>
                <w:tcPr>
                  <w:tcW w:w="673" w:type="pct"/>
                  <w:shd w:val="clear" w:color="auto" w:fill="auto"/>
                  <w:noWrap w:val="0"/>
                  <w:vAlign w:val="center"/>
                </w:tcPr>
                <w:p w14:paraId="2DBAFDD2">
                  <w:pPr>
                    <w:pStyle w:val="64"/>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符合</w:t>
                  </w:r>
                </w:p>
              </w:tc>
            </w:tr>
            <w:tr w14:paraId="3A0E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8" w:type="pct"/>
                  <w:shd w:val="clear" w:color="auto" w:fill="auto"/>
                  <w:noWrap w:val="0"/>
                  <w:vAlign w:val="center"/>
                </w:tcPr>
                <w:p w14:paraId="20291F39">
                  <w:pPr>
                    <w:pStyle w:val="64"/>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强化多污染物减排</w:t>
                  </w:r>
                </w:p>
              </w:tc>
              <w:tc>
                <w:tcPr>
                  <w:tcW w:w="2492" w:type="pct"/>
                  <w:shd w:val="clear" w:color="auto" w:fill="auto"/>
                  <w:noWrap w:val="0"/>
                  <w:vAlign w:val="top"/>
                </w:tcPr>
                <w:p w14:paraId="112DEFD7">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kern w:val="2"/>
                      <w:sz w:val="21"/>
                      <w:szCs w:val="21"/>
                      <w:lang w:val="en-US" w:eastAsia="zh-CN" w:bidi="ar-SA"/>
                    </w:rPr>
                    <w:t>1、</w:t>
                  </w:r>
                  <w:r>
                    <w:rPr>
                      <w:rFonts w:hint="default" w:ascii="Times New Roman" w:hAnsi="Times New Roman" w:eastAsia="宋体" w:cs="Times New Roman"/>
                      <w:color w:val="auto"/>
                      <w:kern w:val="2"/>
                      <w:sz w:val="21"/>
                      <w:szCs w:val="21"/>
                      <w:lang w:val="zh-CN" w:eastAsia="zh-CN" w:bidi="ar-SA"/>
                    </w:rPr>
                    <w:t>加强VOCs全过程综合治理。污水处理场所高浓度有机废气要单独收集处理；含VOCs有机废水储罐、装置区集水井（池）有机废气要密闭收集处理。研究建立全省统一的泄漏检测与修复信息管理平台。及时收集处理企业开停工、检维修期间退料、清洗、吹扫等作业产生的VOCs废气。</w:t>
                  </w:r>
                </w:p>
                <w:p w14:paraId="251D6BD5">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kern w:val="2"/>
                      <w:sz w:val="21"/>
                      <w:szCs w:val="21"/>
                      <w:lang w:val="en-US" w:eastAsia="zh-CN" w:bidi="ar-SA"/>
                    </w:rPr>
                    <w:t>2、</w:t>
                  </w:r>
                  <w:r>
                    <w:rPr>
                      <w:rFonts w:hint="default" w:ascii="Times New Roman" w:hAnsi="Times New Roman" w:eastAsia="宋体" w:cs="Times New Roman"/>
                      <w:color w:val="auto"/>
                      <w:kern w:val="2"/>
                      <w:sz w:val="21"/>
                      <w:szCs w:val="21"/>
                      <w:lang w:val="zh-CN" w:eastAsia="zh-CN" w:bidi="ar-SA"/>
                    </w:rPr>
                    <w:t>推进重点行业污染深度治理。高质量推进钢铁、水泥、焦化等重点行业及燃煤锅炉超低排放改造。到2025年，全省80%以上的钢铁产能完成超低排放改造，力争50%以上的水泥熟料产能、合规焦化产能完成超低排放改造。推进玻璃、石灰、矿棉、有色等行业深度治理。强化治污设施运行维护，减少非正常工况排放。重点涉气企业逐步取消烟气和含VOCs废气旁路。</w:t>
                  </w:r>
                </w:p>
                <w:p w14:paraId="47EEFE9A">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kern w:val="2"/>
                      <w:sz w:val="21"/>
                      <w:szCs w:val="21"/>
                      <w:lang w:val="en-US" w:eastAsia="zh-CN" w:bidi="ar-SA"/>
                    </w:rPr>
                    <w:t>3、</w:t>
                  </w:r>
                  <w:r>
                    <w:rPr>
                      <w:rFonts w:hint="default" w:ascii="Times New Roman" w:hAnsi="Times New Roman" w:eastAsia="宋体" w:cs="Times New Roman"/>
                      <w:color w:val="auto"/>
                      <w:kern w:val="2"/>
                      <w:sz w:val="21"/>
                      <w:szCs w:val="21"/>
                      <w:lang w:val="zh-CN" w:eastAsia="zh-CN" w:bidi="ar-SA"/>
                    </w:rPr>
                    <w:t>深入治理餐饮油烟和恶臭异味。严格居民楼附近餐饮服务单位布局管理。拟开设餐饮服务单位的建筑应设计建设专用烟道。加强对恶臭异味扰民问题的排查整治，投诉集中的工业园区、重点企业要安装运行在线监测系统。因地制宜解决人民群众反映集中的露天烧烤、油烟及恶臭异味扰民问题。</w:t>
                  </w:r>
                </w:p>
                <w:p w14:paraId="1AC448E3">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w:t>
                  </w:r>
                  <w:r>
                    <w:rPr>
                      <w:rFonts w:hint="default" w:ascii="Times New Roman" w:hAnsi="Times New Roman" w:eastAsia="宋体" w:cs="Times New Roman"/>
                      <w:color w:val="auto"/>
                      <w:kern w:val="2"/>
                      <w:sz w:val="21"/>
                      <w:szCs w:val="21"/>
                      <w:lang w:val="zh-CN" w:eastAsia="zh-CN" w:bidi="ar-SA"/>
                    </w:rPr>
                    <w:t>推进大气氨污染防控。推广低蛋白日粮技术，在适宜地区推广氮肥机械深施。开展畜禽养殖标准化示范创建，鼓励生猪、鸡等圈舍及粪污输送、存储、处理设施封闭管理。加强氮肥、纯碱等行业大气氨排放治理，强化工业源烟气氨逃逸防控。</w:t>
                  </w:r>
                </w:p>
              </w:tc>
              <w:tc>
                <w:tcPr>
                  <w:tcW w:w="1425" w:type="pct"/>
                  <w:shd w:val="clear" w:color="auto" w:fill="auto"/>
                  <w:noWrap w:val="0"/>
                  <w:vAlign w:val="top"/>
                </w:tcPr>
                <w:p w14:paraId="67D1E8F7">
                  <w:pPr>
                    <w:pStyle w:val="64"/>
                    <w:keepNext w:val="0"/>
                    <w:keepLines w:val="0"/>
                    <w:pageBreakBefore w:val="0"/>
                    <w:widowControl w:val="0"/>
                    <w:kinsoku/>
                    <w:wordWrap/>
                    <w:overflowPunct/>
                    <w:topLine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kern w:val="2"/>
                      <w:sz w:val="21"/>
                      <w:szCs w:val="21"/>
                      <w:lang w:val="en-US" w:eastAsia="zh-CN" w:bidi="ar-SA"/>
                    </w:rPr>
                    <w:t>1、项目运营期废气污染为颗粒物，不涉及</w:t>
                  </w:r>
                  <w:r>
                    <w:rPr>
                      <w:rFonts w:hint="default" w:ascii="Times New Roman" w:hAnsi="Times New Roman" w:eastAsia="宋体" w:cs="Times New Roman"/>
                      <w:color w:val="auto"/>
                      <w:kern w:val="2"/>
                      <w:sz w:val="21"/>
                      <w:szCs w:val="21"/>
                      <w:lang w:val="zh-CN" w:eastAsia="zh-CN" w:bidi="ar-SA"/>
                    </w:rPr>
                    <w:t>含VOCs有机</w:t>
                  </w:r>
                  <w:r>
                    <w:rPr>
                      <w:rFonts w:hint="default" w:ascii="Times New Roman" w:hAnsi="Times New Roman" w:eastAsia="宋体" w:cs="Times New Roman"/>
                      <w:color w:val="auto"/>
                      <w:kern w:val="2"/>
                      <w:sz w:val="21"/>
                      <w:szCs w:val="21"/>
                      <w:lang w:val="en-US" w:eastAsia="zh-CN" w:bidi="ar-SA"/>
                    </w:rPr>
                    <w:t>废气、</w:t>
                  </w:r>
                  <w:r>
                    <w:rPr>
                      <w:rFonts w:hint="default" w:ascii="Times New Roman" w:hAnsi="Times New Roman" w:eastAsia="宋体" w:cs="Times New Roman"/>
                      <w:color w:val="auto"/>
                      <w:kern w:val="2"/>
                      <w:sz w:val="21"/>
                      <w:szCs w:val="21"/>
                      <w:lang w:val="zh-CN" w:eastAsia="zh-CN" w:bidi="ar-SA"/>
                    </w:rPr>
                    <w:t>废水。</w:t>
                  </w:r>
                </w:p>
                <w:p w14:paraId="53B12517">
                  <w:pPr>
                    <w:pStyle w:val="64"/>
                    <w:keepNext w:val="0"/>
                    <w:keepLines w:val="0"/>
                    <w:pageBreakBefore w:val="0"/>
                    <w:widowControl w:val="0"/>
                    <w:kinsoku/>
                    <w:wordWrap/>
                    <w:overflowPunct/>
                    <w:topLine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kern w:val="2"/>
                      <w:sz w:val="21"/>
                      <w:szCs w:val="21"/>
                      <w:lang w:val="en-US" w:eastAsia="zh-CN" w:bidi="ar-SA"/>
                    </w:rPr>
                    <w:t>2、项目不涉及</w:t>
                  </w:r>
                  <w:r>
                    <w:rPr>
                      <w:rFonts w:hint="default" w:ascii="Times New Roman" w:hAnsi="Times New Roman" w:eastAsia="宋体" w:cs="Times New Roman"/>
                      <w:color w:val="auto"/>
                      <w:kern w:val="2"/>
                      <w:sz w:val="21"/>
                      <w:szCs w:val="21"/>
                      <w:lang w:val="zh-CN" w:eastAsia="zh-CN" w:bidi="ar-SA"/>
                    </w:rPr>
                    <w:t>燃煤锅炉；</w:t>
                  </w:r>
                  <w:r>
                    <w:rPr>
                      <w:rFonts w:hint="default" w:ascii="Times New Roman" w:hAnsi="Times New Roman" w:eastAsia="宋体" w:cs="Times New Roman"/>
                      <w:color w:val="auto"/>
                      <w:kern w:val="2"/>
                      <w:sz w:val="21"/>
                      <w:szCs w:val="21"/>
                      <w:lang w:val="en-US" w:eastAsia="zh-CN" w:bidi="ar-SA"/>
                    </w:rPr>
                    <w:t>不涉及</w:t>
                  </w:r>
                  <w:r>
                    <w:rPr>
                      <w:rFonts w:hint="default" w:ascii="Times New Roman" w:hAnsi="Times New Roman" w:eastAsia="宋体" w:cs="Times New Roman"/>
                      <w:color w:val="auto"/>
                      <w:kern w:val="2"/>
                      <w:sz w:val="21"/>
                      <w:szCs w:val="21"/>
                      <w:lang w:val="zh-CN" w:eastAsia="zh-CN" w:bidi="ar-SA"/>
                    </w:rPr>
                    <w:t>超低排放改造。</w:t>
                  </w:r>
                  <w:r>
                    <w:rPr>
                      <w:rFonts w:hint="default" w:ascii="Times New Roman" w:hAnsi="Times New Roman" w:eastAsia="宋体" w:cs="Times New Roman"/>
                      <w:color w:val="auto"/>
                      <w:sz w:val="21"/>
                      <w:szCs w:val="21"/>
                      <w:lang w:val="en-US" w:eastAsia="zh-CN"/>
                    </w:rPr>
                    <w:t>项目生产线全部设置在封闭的车间内，</w:t>
                  </w:r>
                  <w:r>
                    <w:rPr>
                      <w:rFonts w:hint="default" w:ascii="Times New Roman" w:hAnsi="Times New Roman" w:eastAsia="宋体" w:cs="Times New Roman"/>
                      <w:color w:val="auto"/>
                      <w:sz w:val="21"/>
                      <w:szCs w:val="21"/>
                    </w:rPr>
                    <w:t>生产过程中产生</w:t>
                  </w:r>
                  <w:r>
                    <w:rPr>
                      <w:rFonts w:hint="eastAsia" w:cs="Times New Roman"/>
                      <w:color w:val="auto"/>
                      <w:sz w:val="21"/>
                      <w:szCs w:val="21"/>
                      <w:lang w:val="en-US" w:eastAsia="zh-CN"/>
                    </w:rPr>
                    <w:t>焊接烟尘</w:t>
                  </w:r>
                  <w:r>
                    <w:rPr>
                      <w:rFonts w:hint="default" w:ascii="Times New Roman" w:hAnsi="Times New Roman" w:eastAsia="宋体" w:cs="Times New Roman"/>
                      <w:color w:val="auto"/>
                      <w:sz w:val="21"/>
                      <w:szCs w:val="21"/>
                    </w:rPr>
                    <w:t>通过集气罩+</w:t>
                  </w:r>
                  <w:r>
                    <w:rPr>
                      <w:rFonts w:hint="default" w:ascii="Times New Roman" w:hAnsi="Times New Roman" w:cs="Times New Roman"/>
                      <w:color w:val="auto"/>
                      <w:sz w:val="21"/>
                      <w:szCs w:val="21"/>
                      <w:lang w:val="en-US" w:eastAsia="zh-CN"/>
                    </w:rPr>
                    <w:t>袋式</w:t>
                  </w:r>
                  <w:r>
                    <w:rPr>
                      <w:rFonts w:hint="default" w:ascii="Times New Roman" w:hAnsi="Times New Roman" w:eastAsia="宋体" w:cs="Times New Roman"/>
                      <w:color w:val="auto"/>
                      <w:sz w:val="21"/>
                      <w:szCs w:val="21"/>
                      <w:lang w:val="en-US" w:eastAsia="zh-CN"/>
                    </w:rPr>
                    <w:t>除尘器</w:t>
                  </w:r>
                  <w:r>
                    <w:rPr>
                      <w:rFonts w:hint="default" w:ascii="Times New Roman" w:hAnsi="Times New Roman" w:eastAsia="宋体" w:cs="Times New Roman"/>
                      <w:color w:val="auto"/>
                      <w:sz w:val="21"/>
                      <w:szCs w:val="21"/>
                    </w:rPr>
                    <w:t>处理后</w:t>
                  </w:r>
                  <w:r>
                    <w:rPr>
                      <w:rFonts w:hint="default" w:ascii="Times New Roman" w:hAnsi="Times New Roman" w:eastAsia="宋体" w:cs="Times New Roman"/>
                      <w:color w:val="auto"/>
                      <w:sz w:val="21"/>
                      <w:szCs w:val="21"/>
                      <w:lang w:val="en-US" w:eastAsia="zh-CN"/>
                    </w:rPr>
                    <w:t>达标排放</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无组织粉尘</w:t>
                  </w:r>
                  <w:r>
                    <w:rPr>
                      <w:rFonts w:hint="eastAsia" w:cs="Times New Roman"/>
                      <w:color w:val="auto"/>
                      <w:sz w:val="21"/>
                      <w:szCs w:val="21"/>
                      <w:lang w:val="en-US" w:eastAsia="zh-CN"/>
                    </w:rPr>
                    <w:t>经厂房阻隔后排放</w:t>
                  </w:r>
                  <w:r>
                    <w:rPr>
                      <w:rFonts w:hint="default" w:ascii="Times New Roman" w:hAnsi="Times New Roman" w:eastAsia="宋体" w:cs="Times New Roman"/>
                      <w:color w:val="auto"/>
                      <w:sz w:val="21"/>
                      <w:szCs w:val="21"/>
                      <w:lang w:val="en-US" w:eastAsia="zh-CN"/>
                    </w:rPr>
                    <w:t>，无</w:t>
                  </w:r>
                  <w:r>
                    <w:rPr>
                      <w:rFonts w:hint="default" w:ascii="Times New Roman" w:hAnsi="Times New Roman" w:eastAsia="宋体" w:cs="Times New Roman"/>
                      <w:color w:val="auto"/>
                      <w:kern w:val="2"/>
                      <w:sz w:val="21"/>
                      <w:szCs w:val="21"/>
                      <w:lang w:val="zh-CN" w:eastAsia="zh-CN" w:bidi="ar-SA"/>
                    </w:rPr>
                    <w:t>烟气和含VOCs废气旁路。</w:t>
                  </w:r>
                </w:p>
                <w:p w14:paraId="5B03E8F0">
                  <w:pPr>
                    <w:pStyle w:val="64"/>
                    <w:keepNext w:val="0"/>
                    <w:keepLines w:val="0"/>
                    <w:pageBreakBefore w:val="0"/>
                    <w:widowControl w:val="0"/>
                    <w:kinsoku/>
                    <w:wordWrap/>
                    <w:overflowPunct/>
                    <w:topLine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3、本项目不设食堂，运营期不涉及</w:t>
                  </w:r>
                  <w:r>
                    <w:rPr>
                      <w:rFonts w:hint="default" w:ascii="Times New Roman" w:hAnsi="Times New Roman" w:eastAsia="宋体" w:cs="Times New Roman"/>
                      <w:color w:val="auto"/>
                      <w:kern w:val="2"/>
                      <w:sz w:val="21"/>
                      <w:szCs w:val="21"/>
                      <w:lang w:val="zh-CN" w:eastAsia="zh-CN" w:bidi="ar-SA"/>
                    </w:rPr>
                    <w:t>餐饮油烟和恶臭异味</w:t>
                  </w:r>
                  <w:r>
                    <w:rPr>
                      <w:rFonts w:hint="default" w:ascii="Times New Roman" w:hAnsi="Times New Roman" w:eastAsia="宋体" w:cs="Times New Roman"/>
                      <w:color w:val="auto"/>
                      <w:kern w:val="2"/>
                      <w:sz w:val="21"/>
                      <w:szCs w:val="21"/>
                      <w:lang w:val="en-US" w:eastAsia="zh-CN" w:bidi="ar-SA"/>
                    </w:rPr>
                    <w:t>排放；</w:t>
                  </w:r>
                </w:p>
                <w:p w14:paraId="6B8DE848">
                  <w:pPr>
                    <w:pStyle w:val="64"/>
                    <w:keepNext w:val="0"/>
                    <w:keepLines w:val="0"/>
                    <w:pageBreakBefore w:val="0"/>
                    <w:widowControl w:val="0"/>
                    <w:kinsoku/>
                    <w:wordWrap/>
                    <w:overflowPunct/>
                    <w:topLine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4、本项目运营期不涉及氨排放，不涉及</w:t>
                  </w:r>
                  <w:r>
                    <w:rPr>
                      <w:rFonts w:hint="default" w:ascii="Times New Roman" w:hAnsi="Times New Roman" w:eastAsia="宋体" w:cs="Times New Roman"/>
                      <w:color w:val="auto"/>
                      <w:kern w:val="2"/>
                      <w:sz w:val="21"/>
                      <w:szCs w:val="21"/>
                      <w:lang w:val="zh-CN" w:eastAsia="zh-CN" w:bidi="ar-SA"/>
                    </w:rPr>
                    <w:t>畜禽养殖、氮肥、纯碱等行业。</w:t>
                  </w:r>
                </w:p>
              </w:tc>
              <w:tc>
                <w:tcPr>
                  <w:tcW w:w="673" w:type="pct"/>
                  <w:shd w:val="clear" w:color="auto" w:fill="auto"/>
                  <w:noWrap w:val="0"/>
                  <w:vAlign w:val="center"/>
                </w:tcPr>
                <w:p w14:paraId="042E0994">
                  <w:pPr>
                    <w:pStyle w:val="64"/>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符合</w:t>
                  </w:r>
                </w:p>
              </w:tc>
            </w:tr>
          </w:tbl>
          <w:p w14:paraId="5C9BB343">
            <w:pPr>
              <w:rPr>
                <w:rFonts w:hint="eastAsia"/>
                <w:color w:val="auto"/>
                <w:lang w:val="en-US" w:eastAsia="zh-CN"/>
              </w:rPr>
            </w:pPr>
            <w:r>
              <w:rPr>
                <w:rFonts w:hint="eastAsia"/>
                <w:color w:val="auto"/>
                <w:lang w:val="en-US" w:eastAsia="zh-CN"/>
              </w:rPr>
              <w:t>由上表可知，项目建设符合《云南省空气质量持续改善行动实施方案》相关要求。</w:t>
            </w:r>
          </w:p>
          <w:p w14:paraId="7121ADAC">
            <w:pPr>
              <w:rPr>
                <w:rFonts w:hint="default"/>
                <w:color w:val="auto"/>
                <w:lang w:val="en-US" w:eastAsia="zh-CN"/>
              </w:rPr>
            </w:pPr>
            <w:r>
              <w:rPr>
                <w:rFonts w:hint="eastAsia"/>
                <w:b/>
                <w:bCs/>
                <w:color w:val="auto"/>
                <w:lang w:val="en-US" w:eastAsia="zh-CN"/>
              </w:rPr>
              <w:t>8、项目与《云南省生态环境保护条例》符合性分析</w:t>
            </w:r>
          </w:p>
          <w:p w14:paraId="7078C78A">
            <w:pPr>
              <w:rPr>
                <w:rFonts w:hint="eastAsia"/>
                <w:color w:val="auto"/>
                <w:lang w:val="en-US" w:eastAsia="zh-CN"/>
              </w:rPr>
            </w:pPr>
            <w:r>
              <w:rPr>
                <w:rFonts w:hint="eastAsia"/>
                <w:color w:val="auto"/>
                <w:lang w:val="en-US" w:eastAsia="zh-CN"/>
              </w:rPr>
              <w:t>2024年9月26日云南省第十四届人民代表大会常务委员会第十二次会议通过了《云南省大气污染防治条例》，自2024年11月1日起执行。摘选部分与本项目相关内容，与其符合性分析见下表所示。</w:t>
            </w:r>
          </w:p>
          <w:p w14:paraId="1C9DDA62">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表1-</w:t>
            </w:r>
            <w:r>
              <w:rPr>
                <w:rFonts w:hint="eastAsia" w:cs="Times New Roman"/>
                <w:color w:val="auto"/>
                <w:sz w:val="24"/>
                <w:szCs w:val="24"/>
                <w:lang w:val="en-US" w:eastAsia="zh-CN"/>
              </w:rPr>
              <w:t>8</w:t>
            </w:r>
            <w:r>
              <w:rPr>
                <w:rFonts w:hint="eastAsia" w:ascii="Times New Roman" w:hAnsi="Times New Roman" w:eastAsia="宋体" w:cs="Times New Roman"/>
                <w:color w:val="auto"/>
                <w:sz w:val="24"/>
                <w:szCs w:val="24"/>
                <w:lang w:val="en-US" w:eastAsia="zh-CN"/>
              </w:rPr>
              <w:t xml:space="preserve">  本项目与《云南省生态环境保护条例》符合性分析（摘抄）</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41"/>
              <w:gridCol w:w="3504"/>
              <w:gridCol w:w="2398"/>
              <w:gridCol w:w="743"/>
            </w:tblGrid>
            <w:tr w14:paraId="4EB4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7" w:hRule="atLeast"/>
                <w:jc w:val="center"/>
              </w:trPr>
              <w:tc>
                <w:tcPr>
                  <w:tcW w:w="311" w:type="pct"/>
                  <w:shd w:val="clear" w:color="auto" w:fill="auto"/>
                  <w:noWrap w:val="0"/>
                  <w:vAlign w:val="center"/>
                </w:tcPr>
                <w:p w14:paraId="5F0543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序号</w:t>
                  </w:r>
                </w:p>
              </w:tc>
              <w:tc>
                <w:tcPr>
                  <w:tcW w:w="2471" w:type="pct"/>
                  <w:shd w:val="clear" w:color="auto" w:fill="auto"/>
                  <w:noWrap w:val="0"/>
                  <w:vAlign w:val="center"/>
                </w:tcPr>
                <w:p w14:paraId="40F341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条例规定</w:t>
                  </w:r>
                </w:p>
              </w:tc>
              <w:tc>
                <w:tcPr>
                  <w:tcW w:w="1691" w:type="pct"/>
                  <w:shd w:val="clear" w:color="auto" w:fill="auto"/>
                  <w:noWrap w:val="0"/>
                  <w:vAlign w:val="center"/>
                </w:tcPr>
                <w:p w14:paraId="5839D7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本项目情况</w:t>
                  </w:r>
                </w:p>
              </w:tc>
              <w:tc>
                <w:tcPr>
                  <w:tcW w:w="524" w:type="pct"/>
                  <w:shd w:val="clear" w:color="auto" w:fill="auto"/>
                  <w:noWrap w:val="0"/>
                  <w:vAlign w:val="center"/>
                </w:tcPr>
                <w:p w14:paraId="1E4DCA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符合性</w:t>
                  </w:r>
                </w:p>
              </w:tc>
            </w:tr>
            <w:tr w14:paraId="4C6C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311" w:type="pct"/>
                  <w:shd w:val="clear" w:color="auto" w:fill="auto"/>
                  <w:noWrap w:val="0"/>
                  <w:vAlign w:val="center"/>
                </w:tcPr>
                <w:p w14:paraId="13FF5D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i w:val="0"/>
                      <w:iCs w:val="0"/>
                      <w:caps w:val="0"/>
                      <w:color w:val="auto"/>
                      <w:spacing w:val="0"/>
                      <w:kern w:val="2"/>
                      <w:sz w:val="21"/>
                      <w:szCs w:val="21"/>
                      <w:shd w:val="clear" w:color="auto" w:fill="FFFFFF"/>
                      <w:lang w:val="en-US" w:eastAsia="zh-CN" w:bidi="ar-SA"/>
                    </w:rPr>
                  </w:pPr>
                  <w:r>
                    <w:rPr>
                      <w:rFonts w:hint="eastAsia" w:ascii="Times New Roman" w:hAnsi="Times New Roman" w:eastAsia="宋体" w:cs="Times New Roman"/>
                      <w:b w:val="0"/>
                      <w:bCs/>
                      <w:i w:val="0"/>
                      <w:iCs w:val="0"/>
                      <w:caps w:val="0"/>
                      <w:color w:val="auto"/>
                      <w:spacing w:val="0"/>
                      <w:kern w:val="2"/>
                      <w:sz w:val="21"/>
                      <w:szCs w:val="21"/>
                      <w:shd w:val="clear" w:color="auto" w:fill="FFFFFF"/>
                      <w:lang w:val="en-US" w:eastAsia="zh-CN" w:bidi="ar-SA"/>
                    </w:rPr>
                    <w:t>1</w:t>
                  </w:r>
                </w:p>
              </w:tc>
              <w:tc>
                <w:tcPr>
                  <w:tcW w:w="2471" w:type="pct"/>
                  <w:shd w:val="clear" w:color="auto" w:fill="auto"/>
                  <w:noWrap w:val="0"/>
                  <w:vAlign w:val="center"/>
                </w:tcPr>
                <w:p w14:paraId="64C81D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i w:val="0"/>
                      <w:iCs w:val="0"/>
                      <w:caps w:val="0"/>
                      <w:color w:val="auto"/>
                      <w:spacing w:val="0"/>
                      <w:kern w:val="2"/>
                      <w:sz w:val="21"/>
                      <w:szCs w:val="21"/>
                      <w:shd w:val="clear" w:color="auto" w:fill="FFFFFF"/>
                      <w:lang w:val="en-US" w:eastAsia="zh-CN" w:bidi="ar-SA"/>
                    </w:rPr>
                  </w:pPr>
                  <w:r>
                    <w:rPr>
                      <w:rFonts w:hint="eastAsia" w:ascii="Times New Roman" w:hAnsi="Times New Roman" w:eastAsia="宋体" w:cs="Times New Roman"/>
                      <w:i w:val="0"/>
                      <w:iCs w:val="0"/>
                      <w:caps w:val="0"/>
                      <w:color w:val="auto"/>
                      <w:spacing w:val="0"/>
                      <w:kern w:val="2"/>
                      <w:sz w:val="21"/>
                      <w:szCs w:val="21"/>
                      <w:shd w:val="clear" w:color="auto" w:fill="FFFFFF"/>
                      <w:lang w:val="en-US" w:eastAsia="zh-CN" w:bidi="ar-SA"/>
                    </w:rPr>
                    <w:t>第三十六条 排放污染物的企业事业单位和其他生产经营者，应当采取措施，防治在生产建设或者其他活动中产生的废气、废水、废渣、医疗废物、粉尘、恶臭气体、放射性物质以及噪声、振动、光辐射、电磁辐射等对生态环境的污染和危害。</w:t>
                  </w:r>
                </w:p>
              </w:tc>
              <w:tc>
                <w:tcPr>
                  <w:tcW w:w="1691" w:type="pct"/>
                  <w:shd w:val="clear" w:color="auto" w:fill="auto"/>
                  <w:noWrap w:val="0"/>
                  <w:vAlign w:val="center"/>
                </w:tcPr>
                <w:p w14:paraId="39FBF5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i w:val="0"/>
                      <w:iCs w:val="0"/>
                      <w:caps w:val="0"/>
                      <w:color w:val="auto"/>
                      <w:spacing w:val="0"/>
                      <w:kern w:val="2"/>
                      <w:sz w:val="21"/>
                      <w:szCs w:val="21"/>
                      <w:shd w:val="clear" w:color="auto" w:fill="FFFFFF"/>
                      <w:lang w:val="en-US" w:eastAsia="zh-CN" w:bidi="ar-SA"/>
                    </w:rPr>
                  </w:pPr>
                  <w:r>
                    <w:rPr>
                      <w:rFonts w:hint="eastAsia"/>
                      <w:color w:val="auto"/>
                      <w:sz w:val="21"/>
                      <w:szCs w:val="21"/>
                      <w:lang w:val="en-US" w:eastAsia="zh-CN"/>
                    </w:rPr>
                    <w:t>项目</w:t>
                  </w:r>
                  <w:r>
                    <w:rPr>
                      <w:rFonts w:hint="eastAsia" w:ascii="Times New Roman" w:hAnsi="Times New Roman" w:eastAsia="宋体"/>
                      <w:color w:val="auto"/>
                      <w:sz w:val="21"/>
                      <w:szCs w:val="21"/>
                    </w:rPr>
                    <w:t>生产过程中产生的粉尘通过</w:t>
                  </w:r>
                  <w:r>
                    <w:rPr>
                      <w:rFonts w:hint="eastAsia" w:ascii="Times New Roman" w:hAnsi="Times New Roman" w:eastAsia="宋体" w:cs="宋体"/>
                      <w:color w:val="auto"/>
                      <w:sz w:val="21"/>
                      <w:szCs w:val="21"/>
                    </w:rPr>
                    <w:t>集气罩+</w:t>
                  </w:r>
                  <w:r>
                    <w:rPr>
                      <w:rFonts w:hint="eastAsia" w:cs="宋体"/>
                      <w:color w:val="auto"/>
                      <w:sz w:val="21"/>
                      <w:szCs w:val="21"/>
                      <w:lang w:val="en-US" w:eastAsia="zh-CN"/>
                    </w:rPr>
                    <w:t>袋式</w:t>
                  </w:r>
                  <w:r>
                    <w:rPr>
                      <w:rFonts w:hint="eastAsia" w:ascii="Times New Roman" w:hAnsi="Times New Roman" w:eastAsia="宋体" w:cs="宋体"/>
                      <w:color w:val="auto"/>
                      <w:sz w:val="21"/>
                      <w:szCs w:val="21"/>
                      <w:lang w:val="en-US" w:eastAsia="zh-CN"/>
                    </w:rPr>
                    <w:t>除尘器</w:t>
                  </w:r>
                  <w:r>
                    <w:rPr>
                      <w:rFonts w:hint="eastAsia" w:ascii="Times New Roman" w:hAnsi="Times New Roman" w:eastAsia="宋体" w:cs="宋体"/>
                      <w:color w:val="auto"/>
                      <w:sz w:val="21"/>
                      <w:szCs w:val="21"/>
                    </w:rPr>
                    <w:t>处理后</w:t>
                  </w:r>
                  <w:r>
                    <w:rPr>
                      <w:rFonts w:hint="eastAsia" w:ascii="Times New Roman" w:hAnsi="Times New Roman" w:eastAsia="宋体" w:cs="宋体"/>
                      <w:color w:val="auto"/>
                      <w:sz w:val="21"/>
                      <w:szCs w:val="21"/>
                      <w:lang w:val="en-US" w:eastAsia="zh-CN"/>
                    </w:rPr>
                    <w:t>达标排放</w:t>
                  </w:r>
                  <w:r>
                    <w:rPr>
                      <w:rFonts w:hint="eastAsia" w:ascii="Times New Roman" w:hAnsi="Times New Roman" w:eastAsia="宋体" w:cs="Times New Roman"/>
                      <w:i w:val="0"/>
                      <w:iCs w:val="0"/>
                      <w:caps w:val="0"/>
                      <w:color w:val="auto"/>
                      <w:spacing w:val="0"/>
                      <w:kern w:val="2"/>
                      <w:sz w:val="21"/>
                      <w:szCs w:val="21"/>
                      <w:shd w:val="clear" w:color="auto" w:fill="FFFFFF"/>
                      <w:lang w:val="en-US" w:eastAsia="zh-CN" w:bidi="ar-SA"/>
                    </w:rPr>
                    <w:t>。</w:t>
                  </w:r>
                  <w:r>
                    <w:rPr>
                      <w:rFonts w:hint="eastAsia" w:ascii="Times New Roman" w:hAnsi="Times New Roman" w:eastAsia="宋体" w:cs="宋体"/>
                      <w:color w:val="auto"/>
                      <w:kern w:val="0"/>
                      <w:sz w:val="21"/>
                      <w:szCs w:val="21"/>
                      <w:vertAlign w:val="baseline"/>
                      <w:lang w:val="en-US" w:eastAsia="zh-CN"/>
                    </w:rPr>
                    <w:t>项目</w:t>
                  </w:r>
                  <w:r>
                    <w:rPr>
                      <w:rFonts w:hint="eastAsia" w:ascii="Times New Roman" w:hAnsi="Times New Roman" w:eastAsia="宋体" w:cs="宋体"/>
                      <w:color w:val="auto"/>
                      <w:kern w:val="0"/>
                      <w:sz w:val="21"/>
                      <w:szCs w:val="21"/>
                      <w:vertAlign w:val="baseline"/>
                      <w:lang w:eastAsia="zh-CN"/>
                    </w:rPr>
                    <w:t>生产废水处理后循环使用，不外排；项目生活污水经化粪池处理后进入自建一体化</w:t>
                  </w:r>
                  <w:r>
                    <w:rPr>
                      <w:rFonts w:hint="eastAsia"/>
                      <w:color w:val="auto"/>
                      <w:sz w:val="21"/>
                      <w:szCs w:val="21"/>
                      <w:lang w:val="en-US" w:eastAsia="zh-CN"/>
                    </w:rPr>
                    <w:t>污水</w:t>
                  </w:r>
                  <w:r>
                    <w:rPr>
                      <w:rFonts w:hint="eastAsia" w:ascii="Times New Roman" w:hAnsi="Times New Roman" w:eastAsia="宋体" w:cs="宋体"/>
                      <w:color w:val="auto"/>
                      <w:kern w:val="0"/>
                      <w:sz w:val="21"/>
                      <w:szCs w:val="21"/>
                      <w:vertAlign w:val="baseline"/>
                      <w:lang w:eastAsia="zh-CN"/>
                    </w:rPr>
                    <w:t>处理设施处理达标后回用于厂区绿化及道路空地浇洒，不外排</w:t>
                  </w:r>
                  <w:r>
                    <w:rPr>
                      <w:rFonts w:hint="eastAsia" w:ascii="Times New Roman" w:hAnsi="Times New Roman" w:eastAsia="宋体" w:cs="Times New Roman"/>
                      <w:color w:val="auto"/>
                      <w:sz w:val="21"/>
                      <w:szCs w:val="21"/>
                      <w:lang w:val="en-US" w:eastAsia="zh-CN"/>
                    </w:rPr>
                    <w:t>。</w:t>
                  </w:r>
                </w:p>
              </w:tc>
              <w:tc>
                <w:tcPr>
                  <w:tcW w:w="524" w:type="pct"/>
                  <w:shd w:val="clear" w:color="auto" w:fill="auto"/>
                  <w:noWrap w:val="0"/>
                  <w:vAlign w:val="center"/>
                </w:tcPr>
                <w:p w14:paraId="2E534D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符合</w:t>
                  </w:r>
                </w:p>
              </w:tc>
            </w:tr>
            <w:tr w14:paraId="41929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1" w:hRule="atLeast"/>
                <w:jc w:val="center"/>
              </w:trPr>
              <w:tc>
                <w:tcPr>
                  <w:tcW w:w="311" w:type="pct"/>
                  <w:shd w:val="clear" w:color="auto" w:fill="auto"/>
                  <w:noWrap w:val="0"/>
                  <w:vAlign w:val="center"/>
                </w:tcPr>
                <w:p w14:paraId="4F62A1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i w:val="0"/>
                      <w:iCs w:val="0"/>
                      <w:caps w:val="0"/>
                      <w:color w:val="auto"/>
                      <w:spacing w:val="0"/>
                      <w:kern w:val="2"/>
                      <w:sz w:val="21"/>
                      <w:szCs w:val="21"/>
                      <w:shd w:val="clear" w:color="auto" w:fill="FFFFFF"/>
                      <w:lang w:val="en-US" w:eastAsia="zh-CN" w:bidi="ar-SA"/>
                    </w:rPr>
                  </w:pPr>
                  <w:r>
                    <w:rPr>
                      <w:rFonts w:hint="eastAsia" w:ascii="Times New Roman" w:hAnsi="Times New Roman" w:eastAsia="宋体" w:cs="Times New Roman"/>
                      <w:b w:val="0"/>
                      <w:bCs/>
                      <w:i w:val="0"/>
                      <w:iCs w:val="0"/>
                      <w:caps w:val="0"/>
                      <w:color w:val="auto"/>
                      <w:spacing w:val="0"/>
                      <w:kern w:val="2"/>
                      <w:sz w:val="21"/>
                      <w:szCs w:val="21"/>
                      <w:shd w:val="clear" w:color="auto" w:fill="FFFFFF"/>
                      <w:lang w:val="en-US" w:eastAsia="zh-CN" w:bidi="ar-SA"/>
                    </w:rPr>
                    <w:t>2</w:t>
                  </w:r>
                </w:p>
              </w:tc>
              <w:tc>
                <w:tcPr>
                  <w:tcW w:w="2471" w:type="pct"/>
                  <w:shd w:val="clear" w:color="auto" w:fill="auto"/>
                  <w:noWrap w:val="0"/>
                  <w:vAlign w:val="center"/>
                </w:tcPr>
                <w:p w14:paraId="394552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i w:val="0"/>
                      <w:iCs w:val="0"/>
                      <w:caps w:val="0"/>
                      <w:color w:val="auto"/>
                      <w:spacing w:val="0"/>
                      <w:kern w:val="2"/>
                      <w:sz w:val="21"/>
                      <w:szCs w:val="21"/>
                      <w:shd w:val="clear" w:color="auto" w:fill="FFFFFF"/>
                      <w:lang w:val="en-US" w:eastAsia="zh-CN" w:bidi="ar-SA"/>
                    </w:rPr>
                  </w:pPr>
                  <w:r>
                    <w:rPr>
                      <w:rFonts w:hint="eastAsia" w:ascii="Times New Roman" w:hAnsi="Times New Roman" w:eastAsia="宋体" w:cs="Times New Roman"/>
                      <w:i w:val="0"/>
                      <w:iCs w:val="0"/>
                      <w:caps w:val="0"/>
                      <w:color w:val="auto"/>
                      <w:spacing w:val="0"/>
                      <w:kern w:val="2"/>
                      <w:sz w:val="21"/>
                      <w:szCs w:val="21"/>
                      <w:shd w:val="clear" w:color="auto" w:fill="FFFFFF"/>
                      <w:lang w:val="en-US" w:eastAsia="zh-CN" w:bidi="ar-SA"/>
                    </w:rPr>
                    <w:t>第四十五条 产生危险废物的单位，应当按照国家有关规定和环境保护标准要求贮存、利用、处置危险废物，不得擅自倾倒、堆放。从事收集、贮存、利用、处置危险废物经营活动的单位，应当依法申请取得许可证，并执行许可证管理制度的相关规定。</w:t>
                  </w:r>
                </w:p>
              </w:tc>
              <w:tc>
                <w:tcPr>
                  <w:tcW w:w="1691" w:type="pct"/>
                  <w:shd w:val="clear" w:color="auto" w:fill="auto"/>
                  <w:noWrap w:val="0"/>
                  <w:vAlign w:val="center"/>
                </w:tcPr>
                <w:p w14:paraId="529D21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i w:val="0"/>
                      <w:iCs w:val="0"/>
                      <w:caps w:val="0"/>
                      <w:color w:val="auto"/>
                      <w:spacing w:val="0"/>
                      <w:kern w:val="2"/>
                      <w:sz w:val="21"/>
                      <w:szCs w:val="21"/>
                      <w:shd w:val="clear" w:color="auto" w:fill="FFFFFF"/>
                      <w:lang w:val="en-US" w:eastAsia="zh-CN" w:bidi="ar-SA"/>
                    </w:rPr>
                  </w:pPr>
                  <w:r>
                    <w:rPr>
                      <w:rFonts w:hint="eastAsia" w:ascii="Times New Roman" w:hAnsi="Times New Roman" w:eastAsia="宋体" w:cs="Times New Roman"/>
                      <w:i w:val="0"/>
                      <w:iCs w:val="0"/>
                      <w:caps w:val="0"/>
                      <w:color w:val="auto"/>
                      <w:spacing w:val="0"/>
                      <w:kern w:val="2"/>
                      <w:sz w:val="21"/>
                      <w:szCs w:val="21"/>
                      <w:shd w:val="clear" w:color="auto" w:fill="FFFFFF"/>
                      <w:lang w:val="en-US" w:eastAsia="zh-CN" w:bidi="ar-SA"/>
                    </w:rPr>
                    <w:t>本项目产生的危险废物暂存于危废暂存间，定期委托有资质的单位清运处置。</w:t>
                  </w:r>
                </w:p>
              </w:tc>
              <w:tc>
                <w:tcPr>
                  <w:tcW w:w="524" w:type="pct"/>
                  <w:shd w:val="clear" w:color="auto" w:fill="auto"/>
                  <w:noWrap w:val="0"/>
                  <w:vAlign w:val="center"/>
                </w:tcPr>
                <w:p w14:paraId="0FB610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符合</w:t>
                  </w:r>
                </w:p>
              </w:tc>
            </w:tr>
            <w:tr w14:paraId="7B9F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311" w:type="pct"/>
                  <w:shd w:val="clear" w:color="auto" w:fill="auto"/>
                  <w:noWrap w:val="0"/>
                  <w:vAlign w:val="center"/>
                </w:tcPr>
                <w:p w14:paraId="3A5289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i w:val="0"/>
                      <w:iCs w:val="0"/>
                      <w:caps w:val="0"/>
                      <w:color w:val="auto"/>
                      <w:spacing w:val="0"/>
                      <w:kern w:val="2"/>
                      <w:sz w:val="21"/>
                      <w:szCs w:val="21"/>
                      <w:shd w:val="clear" w:color="auto" w:fill="FFFFFF"/>
                      <w:lang w:val="en-US" w:eastAsia="zh-CN" w:bidi="ar-SA"/>
                    </w:rPr>
                  </w:pPr>
                  <w:r>
                    <w:rPr>
                      <w:rFonts w:hint="eastAsia" w:ascii="Times New Roman" w:hAnsi="Times New Roman" w:eastAsia="宋体" w:cs="Times New Roman"/>
                      <w:b w:val="0"/>
                      <w:bCs/>
                      <w:i w:val="0"/>
                      <w:iCs w:val="0"/>
                      <w:caps w:val="0"/>
                      <w:color w:val="auto"/>
                      <w:spacing w:val="0"/>
                      <w:kern w:val="2"/>
                      <w:sz w:val="21"/>
                      <w:szCs w:val="21"/>
                      <w:shd w:val="clear" w:color="auto" w:fill="FFFFFF"/>
                      <w:lang w:val="en-US" w:eastAsia="zh-CN" w:bidi="ar-SA"/>
                    </w:rPr>
                    <w:t>3</w:t>
                  </w:r>
                </w:p>
              </w:tc>
              <w:tc>
                <w:tcPr>
                  <w:tcW w:w="2471" w:type="pct"/>
                  <w:shd w:val="clear" w:color="auto" w:fill="auto"/>
                  <w:noWrap w:val="0"/>
                  <w:vAlign w:val="center"/>
                </w:tcPr>
                <w:p w14:paraId="05A2FA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i w:val="0"/>
                      <w:iCs w:val="0"/>
                      <w:caps w:val="0"/>
                      <w:color w:val="auto"/>
                      <w:spacing w:val="0"/>
                      <w:kern w:val="2"/>
                      <w:sz w:val="21"/>
                      <w:szCs w:val="21"/>
                      <w:shd w:val="clear" w:color="auto" w:fill="FFFFFF"/>
                      <w:lang w:val="en-US" w:eastAsia="zh-CN" w:bidi="ar-SA"/>
                    </w:rPr>
                  </w:pPr>
                  <w:r>
                    <w:rPr>
                      <w:rFonts w:hint="eastAsia" w:ascii="Times New Roman" w:hAnsi="Times New Roman" w:eastAsia="宋体" w:cs="Times New Roman"/>
                      <w:i w:val="0"/>
                      <w:iCs w:val="0"/>
                      <w:caps w:val="0"/>
                      <w:color w:val="auto"/>
                      <w:spacing w:val="0"/>
                      <w:kern w:val="2"/>
                      <w:sz w:val="21"/>
                      <w:szCs w:val="21"/>
                      <w:shd w:val="clear" w:color="auto" w:fill="FFFFFF"/>
                      <w:lang w:val="en-US" w:eastAsia="zh-CN" w:bidi="ar-SA"/>
                    </w:rPr>
                    <w:t>第四十七条 排放噪声的单位和个人应当采取有效措施，使其排放的噪声符合国家规定的排放标准。</w:t>
                  </w:r>
                </w:p>
                <w:p w14:paraId="0578F6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i w:val="0"/>
                      <w:iCs w:val="0"/>
                      <w:caps w:val="0"/>
                      <w:color w:val="auto"/>
                      <w:spacing w:val="0"/>
                      <w:kern w:val="2"/>
                      <w:sz w:val="21"/>
                      <w:szCs w:val="21"/>
                      <w:shd w:val="clear" w:color="auto" w:fill="FFFFFF"/>
                      <w:lang w:val="en-US" w:eastAsia="zh-CN" w:bidi="ar-SA"/>
                    </w:rPr>
                  </w:pPr>
                  <w:r>
                    <w:rPr>
                      <w:rFonts w:hint="eastAsia" w:ascii="Times New Roman" w:hAnsi="Times New Roman" w:eastAsia="宋体" w:cs="Times New Roman"/>
                      <w:i w:val="0"/>
                      <w:iCs w:val="0"/>
                      <w:caps w:val="0"/>
                      <w:color w:val="auto"/>
                      <w:spacing w:val="0"/>
                      <w:kern w:val="2"/>
                      <w:sz w:val="21"/>
                      <w:szCs w:val="21"/>
                      <w:shd w:val="clear" w:color="auto" w:fill="FFFFFF"/>
                      <w:lang w:val="en-US" w:eastAsia="zh-CN" w:bidi="ar-SA"/>
                    </w:rPr>
                    <w:t>在噪声敏感建筑物集中区域，禁止夜间进行产生噪声的建筑施工作业，但抢修、抢险施工作业，因生产工艺要求或者其他特殊需要必须连续施工作业的除外。</w:t>
                  </w:r>
                </w:p>
              </w:tc>
              <w:tc>
                <w:tcPr>
                  <w:tcW w:w="1691" w:type="pct"/>
                  <w:shd w:val="clear" w:color="auto" w:fill="auto"/>
                  <w:noWrap w:val="0"/>
                  <w:vAlign w:val="center"/>
                </w:tcPr>
                <w:p w14:paraId="3F3CCE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i w:val="0"/>
                      <w:iCs w:val="0"/>
                      <w:caps w:val="0"/>
                      <w:color w:val="auto"/>
                      <w:spacing w:val="0"/>
                      <w:kern w:val="2"/>
                      <w:sz w:val="21"/>
                      <w:szCs w:val="21"/>
                      <w:shd w:val="clear" w:color="auto" w:fill="FFFFFF"/>
                      <w:lang w:val="en-US" w:eastAsia="zh-CN" w:bidi="ar-SA"/>
                    </w:rPr>
                  </w:pPr>
                  <w:r>
                    <w:rPr>
                      <w:rFonts w:hint="eastAsia" w:ascii="Times New Roman" w:hAnsi="Times New Roman" w:eastAsia="宋体" w:cs="Times New Roman"/>
                      <w:i w:val="0"/>
                      <w:iCs w:val="0"/>
                      <w:caps w:val="0"/>
                      <w:color w:val="auto"/>
                      <w:spacing w:val="0"/>
                      <w:kern w:val="2"/>
                      <w:sz w:val="21"/>
                      <w:szCs w:val="21"/>
                      <w:shd w:val="clear" w:color="auto" w:fill="FFFFFF"/>
                      <w:lang w:val="en-US" w:eastAsia="zh-CN" w:bidi="ar-SA"/>
                    </w:rPr>
                    <w:t>本项目选用低噪声设备，并采取减振、隔声措施后，厂界噪声可达GB12348-2008《工业企业厂界环境噪声排放标准》2类标准，噪声对区域声环境影响不大。项目50m范围内无声环境保护目标，夜间不进行施工。</w:t>
                  </w:r>
                </w:p>
              </w:tc>
              <w:tc>
                <w:tcPr>
                  <w:tcW w:w="524" w:type="pct"/>
                  <w:shd w:val="clear" w:color="auto" w:fill="auto"/>
                  <w:noWrap w:val="0"/>
                  <w:vAlign w:val="center"/>
                </w:tcPr>
                <w:p w14:paraId="5598D6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符合</w:t>
                  </w:r>
                </w:p>
              </w:tc>
            </w:tr>
          </w:tbl>
          <w:p w14:paraId="30598638">
            <w:pPr>
              <w:ind w:firstLine="482"/>
              <w:rPr>
                <w:rFonts w:hint="eastAsia"/>
                <w:b w:val="0"/>
                <w:bCs w:val="0"/>
                <w:color w:val="auto"/>
                <w:lang w:val="en-US" w:eastAsia="zh-CN"/>
              </w:rPr>
            </w:pPr>
            <w:r>
              <w:rPr>
                <w:rFonts w:hint="eastAsia"/>
                <w:b w:val="0"/>
                <w:bCs w:val="0"/>
                <w:color w:val="auto"/>
                <w:lang w:val="en-US" w:eastAsia="zh-CN"/>
              </w:rPr>
              <w:t>由上表可知，项目建设符合《云南省生态环境保护条例》相关要求。</w:t>
            </w:r>
          </w:p>
          <w:p w14:paraId="17396A70">
            <w:pPr>
              <w:ind w:firstLine="482"/>
              <w:rPr>
                <w:rFonts w:hint="default"/>
                <w:b/>
                <w:bCs/>
                <w:color w:val="auto"/>
                <w:lang w:val="en-US" w:eastAsia="zh-CN"/>
              </w:rPr>
            </w:pPr>
            <w:r>
              <w:rPr>
                <w:rFonts w:hint="eastAsia"/>
                <w:b/>
                <w:bCs/>
                <w:color w:val="auto"/>
                <w:lang w:val="en-US" w:eastAsia="zh-CN"/>
              </w:rPr>
              <w:t>9、项目与《云南省人民政府关于九大高原湖泊“三区”管控的指导意见》（云政发〔2022〕25号）相符性分析</w:t>
            </w:r>
          </w:p>
          <w:p w14:paraId="1AEA853F">
            <w:pPr>
              <w:ind w:firstLine="482"/>
              <w:rPr>
                <w:rFonts w:hint="eastAsia"/>
                <w:b w:val="0"/>
                <w:bCs w:val="0"/>
                <w:color w:val="auto"/>
                <w:lang w:val="en-US" w:eastAsia="zh-CN"/>
              </w:rPr>
            </w:pPr>
            <w:r>
              <w:rPr>
                <w:rFonts w:hint="eastAsia"/>
                <w:b w:val="0"/>
                <w:bCs w:val="0"/>
                <w:color w:val="auto"/>
                <w:lang w:val="en-US" w:eastAsia="zh-CN"/>
              </w:rPr>
              <w:t>2022年4月28日，云南省人民政府办公厅公开了《云南省人民政府关于 九大高原湖泊“三区”管控的指导意见》（云政发〔2022〕25号），项目与其符合性分析详见下表。</w:t>
            </w:r>
          </w:p>
          <w:p w14:paraId="5245C0B0">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表1-</w:t>
            </w:r>
            <w:r>
              <w:rPr>
                <w:rFonts w:hint="eastAsia" w:cs="Times New Roman"/>
                <w:color w:val="auto"/>
                <w:sz w:val="24"/>
                <w:szCs w:val="24"/>
                <w:lang w:val="en-US" w:eastAsia="zh-CN"/>
              </w:rPr>
              <w:t>9</w:t>
            </w:r>
            <w:r>
              <w:rPr>
                <w:rFonts w:hint="eastAsia" w:ascii="Times New Roman" w:hAnsi="Times New Roman" w:eastAsia="宋体" w:cs="Times New Roman"/>
                <w:color w:val="auto"/>
                <w:sz w:val="24"/>
                <w:szCs w:val="24"/>
                <w:lang w:val="en-US" w:eastAsia="zh-CN"/>
              </w:rPr>
              <w:t xml:space="preserve">  项目与《云南省人民政府关于九大高原湖泊“三区”管控的指导意见》相符性对照表</w:t>
            </w:r>
          </w:p>
          <w:tbl>
            <w:tblPr>
              <w:tblStyle w:val="22"/>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54"/>
              <w:gridCol w:w="3818"/>
              <w:gridCol w:w="1874"/>
              <w:gridCol w:w="640"/>
            </w:tblGrid>
            <w:tr w14:paraId="7C4E2B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32" w:type="pct"/>
                  <w:tcBorders>
                    <w:top w:val="single" w:color="auto" w:sz="4" w:space="0"/>
                    <w:left w:val="single" w:color="auto" w:sz="4" w:space="0"/>
                    <w:bottom w:val="single" w:color="auto" w:sz="4" w:space="0"/>
                    <w:right w:val="single" w:color="auto" w:sz="4" w:space="0"/>
                  </w:tcBorders>
                  <w:noWrap w:val="0"/>
                  <w:vAlign w:val="center"/>
                </w:tcPr>
                <w:p w14:paraId="1154D0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章节</w:t>
                  </w:r>
                </w:p>
              </w:tc>
              <w:tc>
                <w:tcPr>
                  <w:tcW w:w="2694" w:type="pct"/>
                  <w:tcBorders>
                    <w:top w:val="single" w:color="auto" w:sz="4" w:space="0"/>
                    <w:bottom w:val="single" w:color="auto" w:sz="4" w:space="0"/>
                    <w:right w:val="single" w:color="auto" w:sz="4" w:space="0"/>
                  </w:tcBorders>
                  <w:noWrap w:val="0"/>
                  <w:vAlign w:val="center"/>
                </w:tcPr>
                <w:p w14:paraId="671089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要求</w:t>
                  </w:r>
                </w:p>
              </w:tc>
              <w:tc>
                <w:tcPr>
                  <w:tcW w:w="1322" w:type="pct"/>
                  <w:tcBorders>
                    <w:top w:val="single" w:color="auto" w:sz="4" w:space="0"/>
                    <w:bottom w:val="single" w:color="auto" w:sz="4" w:space="0"/>
                    <w:right w:val="single" w:color="auto" w:sz="4" w:space="0"/>
                  </w:tcBorders>
                  <w:noWrap w:val="0"/>
                  <w:vAlign w:val="center"/>
                </w:tcPr>
                <w:p w14:paraId="07B4A3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项目建设情况</w:t>
                  </w:r>
                </w:p>
              </w:tc>
              <w:tc>
                <w:tcPr>
                  <w:tcW w:w="451" w:type="pct"/>
                  <w:tcBorders>
                    <w:top w:val="single" w:color="auto" w:sz="4" w:space="0"/>
                    <w:bottom w:val="single" w:color="auto" w:sz="4" w:space="0"/>
                    <w:right w:val="single" w:color="auto" w:sz="4" w:space="0"/>
                  </w:tcBorders>
                  <w:noWrap w:val="0"/>
                  <w:vAlign w:val="center"/>
                </w:tcPr>
                <w:p w14:paraId="36FB12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符合性</w:t>
                  </w:r>
                </w:p>
              </w:tc>
            </w:tr>
            <w:tr w14:paraId="2AA0A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32" w:type="pct"/>
                  <w:tcBorders>
                    <w:top w:val="single" w:color="auto" w:sz="4" w:space="0"/>
                    <w:left w:val="single" w:color="auto" w:sz="4" w:space="0"/>
                    <w:bottom w:val="single" w:color="auto" w:sz="4" w:space="0"/>
                    <w:right w:val="single" w:color="auto" w:sz="4" w:space="0"/>
                  </w:tcBorders>
                  <w:noWrap w:val="0"/>
                  <w:vAlign w:val="center"/>
                </w:tcPr>
                <w:p w14:paraId="645E32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绿色发展区管控</w:t>
                  </w:r>
                </w:p>
              </w:tc>
              <w:tc>
                <w:tcPr>
                  <w:tcW w:w="2694" w:type="pct"/>
                  <w:tcBorders>
                    <w:top w:val="single" w:color="auto" w:sz="4" w:space="0"/>
                    <w:bottom w:val="single" w:color="auto" w:sz="4" w:space="0"/>
                    <w:right w:val="single" w:color="auto" w:sz="4" w:space="0"/>
                  </w:tcBorders>
                  <w:noWrap w:val="0"/>
                  <w:vAlign w:val="center"/>
                </w:tcPr>
                <w:p w14:paraId="540EA15E">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科学确定人口和城镇建设规模。远湖布局、离湖发展，科学划定城镇开发边界，优先安排从生态保护核心区和生态保护缓冲区迁出的建设需求。按照湖泊保护需要，根据集约适度、绿色发展的原则，加快国土空间规划编制及管控。湖泊面山区域严禁连片房地产开发。</w:t>
                  </w:r>
                </w:p>
                <w:p w14:paraId="2DF51EE4">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严格管控建设用地总规模。建设用地以挖掘存量用地潜力、高效利用为主，新增建设用地主要用于保障基础设施、公共服务设施等民生项目用地需求。对资源条件优越，旅游、休闲、康养等发展潜力较大的绿色产业，新增建设用地须严格论证。</w:t>
                  </w:r>
                </w:p>
                <w:p w14:paraId="1839194D">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 xml:space="preserve">统筹加快“两污”治理。加快推进城镇污水处理厂扩容提标、雨污分流设施改造，加强农村生活污水治理与农村厕所革命有机衔接，积极推动农村生活污水、粪污无害化处理和资源化利用。加强垃圾收集、转运、处置等各类环境基础设施建设、运营和维护。2025年底前，完成流域内城镇雨污分流改造，城镇污水收集率达95%以上，农村生活污水收集处理率达75%以上，畜禽粪污综合利用率达90%以上，城市生活垃圾处理率达97%以上，实现农村生活垃圾分类投放、统一运输、集中处理。 </w:t>
                  </w:r>
                </w:p>
                <w:p w14:paraId="25C1224B">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全面提高用水效率。开展农业高效节水示范区建设，提高农田灌溉水有效利用系数。严格执行节水型企业标准、用水定额标准等，实施节水技术改造。加强再生水利用，鼓励将再生水优先用于工业生产、生态景观、建筑施工、城市杂用等。2025年底前，流域内万元GDP用水量和万元工业增加值用水量较2020年降幅均达16%以上。</w:t>
                  </w:r>
                </w:p>
                <w:p w14:paraId="3AC01D19">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 xml:space="preserve">加快开展面源污染治理。全面推进控肥增效、控药减害、控膜减量、控水降耗“四控行动”。在滇池、洱海、抚仙湖等湖泊开展初期雨水治理试点，探索初期雨水分质处理方式。 </w:t>
                  </w:r>
                </w:p>
                <w:p w14:paraId="730AB4BD">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持续推进高标准农田建设。深入落实“藏粮于地、藏粮于技”战略，大力实施高标准农田建设工程，加快补齐农田基础设施短板，逐步实现土地平整、集中连片、机力畅通、灌排配套的现代农业格局。利用调蓄库塘、生态沟渠等措施，收集农田灌溉退水，加强循环利用。</w:t>
                  </w:r>
                </w:p>
                <w:p w14:paraId="39BF8B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 xml:space="preserve">27.深入推进水权水价改革。建立水权交易机制，制定具体工作计划，明晰区域水资源管理权限，确定取用水总量控制指标，开展用水水权分配和有偿使用。推广农业用水计量收费，完善城镇居民阶梯水价和非居民用水超定额累进加价制度，充分发挥水价在水资源配置、水需求调节和水污染防治等方面的杠杆作用。 </w:t>
                  </w:r>
                </w:p>
                <w:p w14:paraId="38C7D8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28.全力发展绿色低碳循环经济。优化种植业结构，推广绿色生态种植，鼓励耕地轮作。加快产业结构调整，淘汰落后产能，制定迁出计划，将现有“高污染、高耗水、高耗能”企业全部迁出流域外。鼓励文化创意、会议会展、运动休闲、康体养生、乡村度假、科研设计、总部经济等绿色高附加值服务业的发展。深入实施乡村振兴战略，大力发展生态农业、生态旅游业等生态友好型产业，推进文旅农融合发展。</w:t>
                  </w:r>
                </w:p>
                <w:p w14:paraId="367D11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 xml:space="preserve"> 29.大力推进流域生态修复。2025年底前，洱海、泸沽湖、阳宗海主要入湖河道水质均在Ⅲ类及以上，其余湖泊主要入湖河道全面消除Ⅴ类、劣Ⅴ类水体。全面排查流域内矿山，按照自然保护地、生态保护红线管理要求分类处置，并按照宜林则林、宜耕则耕、宜草则草、宜景则景的原则进行生态修复，推进历史遗留矿山生态修复。积极推进国土绿化行动，加强湖泊面山绿化和生态修复，提高森林覆盖率，减少水土流失，涵养水源，提升森林、草原系统生态功能。加强入湖河道综合治理，常态化开展“乱占、乱采、乱堆、乱建”清理行动，促进河道生态修复。加强入湖河道管理，严格主要入湖河道管理范围内建设项目和活动的审批及监管。 </w:t>
                  </w:r>
                </w:p>
                <w:p w14:paraId="304D10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30.积极探索生态保护补偿机制。依托流域内现有产业布局和自然资源分布，制定工作计划，开展生态系统生产总值（GEP）核算。建立湖泊生态质量监测评价机制。科学制定补偿标准，探索实施森林、湿地、河道、种植结构调整等生态效益补偿机制。探索完善用能权、排污权、碳排放权交易制度。健全生态环境质量考核奖惩机制</w:t>
                  </w:r>
                </w:p>
              </w:tc>
              <w:tc>
                <w:tcPr>
                  <w:tcW w:w="1322" w:type="pct"/>
                  <w:tcBorders>
                    <w:top w:val="single" w:color="auto" w:sz="4" w:space="0"/>
                    <w:bottom w:val="single" w:color="auto" w:sz="4" w:space="0"/>
                    <w:right w:val="single" w:color="auto" w:sz="4" w:space="0"/>
                  </w:tcBorders>
                  <w:noWrap w:val="0"/>
                  <w:vAlign w:val="center"/>
                </w:tcPr>
                <w:p w14:paraId="08D0EB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21.</w:t>
                  </w:r>
                  <w:r>
                    <w:rPr>
                      <w:rFonts w:hint="default" w:ascii="Times New Roman" w:hAnsi="Times New Roman" w:eastAsia="宋体" w:cs="Times New Roman"/>
                      <w:b w:val="0"/>
                      <w:bCs w:val="0"/>
                      <w:color w:val="auto"/>
                      <w:sz w:val="21"/>
                      <w:szCs w:val="21"/>
                      <w:lang w:val="zh-CN"/>
                    </w:rPr>
                    <w:t>本项目位于玉溪市通海县</w:t>
                  </w:r>
                  <w:r>
                    <w:rPr>
                      <w:rFonts w:hint="eastAsia" w:cs="Times New Roman"/>
                      <w:b w:val="0"/>
                      <w:bCs w:val="0"/>
                      <w:color w:val="auto"/>
                      <w:sz w:val="21"/>
                      <w:szCs w:val="21"/>
                      <w:lang w:val="en-US" w:eastAsia="zh-CN"/>
                    </w:rPr>
                    <w:t>纳古镇</w:t>
                  </w:r>
                  <w:r>
                    <w:rPr>
                      <w:rFonts w:hint="default" w:ascii="Times New Roman" w:hAnsi="Times New Roman" w:eastAsia="宋体" w:cs="Times New Roman"/>
                      <w:b w:val="0"/>
                      <w:bCs w:val="0"/>
                      <w:color w:val="auto"/>
                      <w:sz w:val="21"/>
                      <w:szCs w:val="21"/>
                      <w:lang w:val="zh-CN"/>
                    </w:rPr>
                    <w:t>，</w:t>
                  </w:r>
                  <w:r>
                    <w:rPr>
                      <w:rFonts w:hint="default" w:ascii="Times New Roman" w:hAnsi="Times New Roman" w:eastAsia="宋体" w:cs="Times New Roman"/>
                      <w:b w:val="0"/>
                      <w:bCs w:val="0"/>
                      <w:color w:val="auto"/>
                      <w:sz w:val="21"/>
                      <w:szCs w:val="21"/>
                    </w:rPr>
                    <w:t>位于</w:t>
                  </w:r>
                  <w:r>
                    <w:rPr>
                      <w:rFonts w:hint="default" w:ascii="Times New Roman" w:hAnsi="Times New Roman" w:eastAsia="宋体" w:cs="Times New Roman"/>
                      <w:b w:val="0"/>
                      <w:bCs w:val="0"/>
                      <w:color w:val="auto"/>
                      <w:sz w:val="21"/>
                      <w:szCs w:val="21"/>
                      <w:lang w:val="zh-CN"/>
                    </w:rPr>
                    <w:t>杞麓湖</w:t>
                  </w:r>
                  <w:r>
                    <w:rPr>
                      <w:rFonts w:hint="default" w:ascii="Times New Roman" w:hAnsi="Times New Roman" w:eastAsia="宋体" w:cs="Times New Roman"/>
                      <w:b w:val="0"/>
                      <w:bCs w:val="0"/>
                      <w:color w:val="auto"/>
                      <w:sz w:val="21"/>
                      <w:szCs w:val="21"/>
                    </w:rPr>
                    <w:t>绿色发展区，不涉及核心区和生态保护缓冲区。</w:t>
                  </w:r>
                </w:p>
                <w:p w14:paraId="0C3456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lang w:val="zh-CN"/>
                    </w:rPr>
                  </w:pPr>
                  <w:r>
                    <w:rPr>
                      <w:rFonts w:hint="default" w:ascii="Times New Roman" w:hAnsi="Times New Roman" w:eastAsia="宋体" w:cs="Times New Roman"/>
                      <w:b w:val="0"/>
                      <w:bCs w:val="0"/>
                      <w:color w:val="auto"/>
                      <w:sz w:val="21"/>
                      <w:szCs w:val="21"/>
                    </w:rPr>
                    <w:t>22.本项目</w:t>
                  </w:r>
                  <w:r>
                    <w:rPr>
                      <w:rFonts w:hint="default" w:ascii="Times New Roman" w:hAnsi="Times New Roman" w:eastAsia="宋体" w:cs="Times New Roman"/>
                      <w:b w:val="0"/>
                      <w:bCs w:val="0"/>
                      <w:color w:val="auto"/>
                      <w:sz w:val="21"/>
                      <w:szCs w:val="21"/>
                      <w:lang w:val="zh-CN"/>
                    </w:rPr>
                    <w:t>利用已建厂房建设，不新增用地。</w:t>
                  </w:r>
                </w:p>
                <w:p w14:paraId="6A532D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rPr>
                    <w:t>23.24.项目实行雨污分流</w:t>
                  </w:r>
                  <w:r>
                    <w:rPr>
                      <w:rFonts w:hint="eastAsia" w:cs="Times New Roman"/>
                      <w:b w:val="0"/>
                      <w:bCs w:val="0"/>
                      <w:color w:val="auto"/>
                      <w:sz w:val="21"/>
                      <w:szCs w:val="21"/>
                      <w:lang w:val="en-US" w:eastAsia="zh-CN"/>
                    </w:rPr>
                    <w:t>制，初期雨水经雨水沟收集后进入初期雨水收集池收集沉淀后回用于厂区洒水降尘，不外排，后期雨水排入周边沟渠</w:t>
                  </w:r>
                  <w:r>
                    <w:rPr>
                      <w:rFonts w:hint="default" w:ascii="Times New Roman" w:hAnsi="Times New Roman" w:eastAsia="宋体" w:cs="Times New Roman"/>
                      <w:b w:val="0"/>
                      <w:bCs w:val="0"/>
                      <w:color w:val="auto"/>
                      <w:sz w:val="21"/>
                      <w:szCs w:val="21"/>
                    </w:rPr>
                    <w:t>。生产废水</w:t>
                  </w:r>
                  <w:r>
                    <w:rPr>
                      <w:rFonts w:hint="eastAsia" w:cs="Times New Roman"/>
                      <w:b w:val="0"/>
                      <w:bCs w:val="0"/>
                      <w:color w:val="auto"/>
                      <w:sz w:val="21"/>
                      <w:szCs w:val="21"/>
                      <w:lang w:val="en-US" w:eastAsia="zh-CN"/>
                    </w:rPr>
                    <w:t>收集沉淀后</w:t>
                  </w:r>
                  <w:r>
                    <w:rPr>
                      <w:rFonts w:hint="default" w:ascii="Times New Roman" w:hAnsi="Times New Roman" w:eastAsia="宋体" w:cs="Times New Roman"/>
                      <w:b w:val="0"/>
                      <w:bCs w:val="0"/>
                      <w:color w:val="auto"/>
                      <w:sz w:val="21"/>
                      <w:szCs w:val="21"/>
                      <w:lang w:val="en-US" w:eastAsia="zh-CN"/>
                    </w:rPr>
                    <w:t>回用，</w:t>
                  </w:r>
                  <w:r>
                    <w:rPr>
                      <w:rFonts w:hint="eastAsia" w:ascii="Times New Roman" w:hAnsi="Times New Roman" w:eastAsia="宋体" w:cs="宋体"/>
                      <w:color w:val="auto"/>
                      <w:kern w:val="0"/>
                      <w:sz w:val="21"/>
                      <w:szCs w:val="21"/>
                      <w:vertAlign w:val="baseline"/>
                      <w:lang w:eastAsia="zh-CN"/>
                    </w:rPr>
                    <w:t>生活污水经化粪池处理后进入自建一体化污水处理设施处理达标后回用于厂区绿化及道路空地浇洒，不外排</w:t>
                  </w:r>
                  <w:r>
                    <w:rPr>
                      <w:rFonts w:hint="eastAsia" w:ascii="Times New Roman" w:hAnsi="Times New Roman" w:eastAsia="宋体" w:cs="Times New Roman"/>
                      <w:color w:val="auto"/>
                      <w:sz w:val="21"/>
                      <w:szCs w:val="21"/>
                      <w:lang w:val="en-US" w:eastAsia="zh-CN"/>
                    </w:rPr>
                    <w:t>。</w:t>
                  </w:r>
                </w:p>
                <w:p w14:paraId="628BE2FF">
                  <w:pPr>
                    <w:pStyle w:val="21"/>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25.本项目不涉及。</w:t>
                  </w:r>
                </w:p>
                <w:p w14:paraId="5288E0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26.27本项目不涉及。</w:t>
                  </w:r>
                </w:p>
                <w:p w14:paraId="47EE1C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28.本项目为高频直缝焊管加工项目，不属于高污染、高耗水、高耗能企业。</w:t>
                  </w:r>
                </w:p>
                <w:p w14:paraId="240DFB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29.30.本项目不涉及。</w:t>
                  </w:r>
                </w:p>
              </w:tc>
              <w:tc>
                <w:tcPr>
                  <w:tcW w:w="451" w:type="pct"/>
                  <w:tcBorders>
                    <w:top w:val="single" w:color="auto" w:sz="4" w:space="0"/>
                    <w:bottom w:val="single" w:color="auto" w:sz="4" w:space="0"/>
                    <w:right w:val="single" w:color="auto" w:sz="4" w:space="0"/>
                  </w:tcBorders>
                  <w:noWrap w:val="0"/>
                  <w:vAlign w:val="center"/>
                </w:tcPr>
                <w:p w14:paraId="6F02F4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bl>
          <w:p w14:paraId="36582733">
            <w:pPr>
              <w:ind w:firstLine="482"/>
              <w:rPr>
                <w:rFonts w:hint="eastAsia"/>
                <w:b w:val="0"/>
                <w:bCs w:val="0"/>
                <w:color w:val="auto"/>
                <w:lang w:val="en-US" w:eastAsia="zh-CN"/>
              </w:rPr>
            </w:pPr>
            <w:r>
              <w:rPr>
                <w:rFonts w:hint="eastAsia"/>
                <w:b w:val="0"/>
                <w:bCs w:val="0"/>
                <w:color w:val="auto"/>
                <w:lang w:val="en-US" w:eastAsia="zh-CN"/>
              </w:rPr>
              <w:t>由上表可知，项目建设符合《云南省人民政府关于九大高原湖泊“三区”管控的指导意见》。</w:t>
            </w:r>
          </w:p>
          <w:p w14:paraId="5DA076BF">
            <w:pPr>
              <w:ind w:firstLine="482"/>
              <w:rPr>
                <w:rFonts w:hint="default"/>
                <w:b/>
                <w:bCs/>
                <w:color w:val="auto"/>
                <w:lang w:val="en-US" w:eastAsia="zh-CN"/>
              </w:rPr>
            </w:pPr>
            <w:r>
              <w:rPr>
                <w:rFonts w:hint="eastAsia"/>
                <w:b/>
                <w:bCs/>
                <w:color w:val="auto"/>
                <w:lang w:val="en-US" w:eastAsia="zh-CN"/>
              </w:rPr>
              <w:t>10、项目与《固体废物综合治理行动计划》的符合性分析</w:t>
            </w:r>
          </w:p>
          <w:p w14:paraId="2CC41631">
            <w:pPr>
              <w:ind w:firstLine="482"/>
              <w:rPr>
                <w:rFonts w:hint="default"/>
                <w:b w:val="0"/>
                <w:bCs w:val="0"/>
                <w:color w:val="auto"/>
                <w:lang w:val="en-US" w:eastAsia="zh-CN"/>
              </w:rPr>
            </w:pPr>
            <w:r>
              <w:rPr>
                <w:rFonts w:hint="eastAsia"/>
                <w:b w:val="0"/>
                <w:bCs w:val="0"/>
                <w:color w:val="auto"/>
                <w:lang w:val="en-US" w:eastAsia="zh-CN"/>
              </w:rPr>
              <w:t>2026年1月5日，国务院印发了《固体废物综合治理行动计划》（国发〔2025〕14号）的通知，项目与其符合性分析详见下表。</w:t>
            </w:r>
          </w:p>
          <w:p w14:paraId="2DB6B8F1">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表1-10  项目与《固体废物综合治理行动计划》的符合性分析</w:t>
            </w:r>
          </w:p>
          <w:tbl>
            <w:tblPr>
              <w:tblStyle w:val="22"/>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326"/>
              <w:gridCol w:w="2058"/>
              <w:gridCol w:w="702"/>
            </w:tblGrid>
            <w:tr w14:paraId="470D5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052" w:type="pct"/>
                  <w:tcBorders>
                    <w:top w:val="single" w:color="auto" w:sz="4" w:space="0"/>
                    <w:bottom w:val="single" w:color="auto" w:sz="4" w:space="0"/>
                    <w:right w:val="single" w:color="auto" w:sz="4" w:space="0"/>
                  </w:tcBorders>
                  <w:noWrap w:val="0"/>
                  <w:vAlign w:val="center"/>
                </w:tcPr>
                <w:p w14:paraId="292C80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《行动计划》要求</w:t>
                  </w:r>
                </w:p>
              </w:tc>
              <w:tc>
                <w:tcPr>
                  <w:tcW w:w="1452" w:type="pct"/>
                  <w:tcBorders>
                    <w:top w:val="single" w:color="auto" w:sz="4" w:space="0"/>
                    <w:bottom w:val="single" w:color="auto" w:sz="4" w:space="0"/>
                    <w:right w:val="single" w:color="auto" w:sz="4" w:space="0"/>
                  </w:tcBorders>
                  <w:noWrap w:val="0"/>
                  <w:vAlign w:val="center"/>
                </w:tcPr>
                <w:p w14:paraId="296364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项目建设情况</w:t>
                  </w:r>
                </w:p>
              </w:tc>
              <w:tc>
                <w:tcPr>
                  <w:tcW w:w="495" w:type="pct"/>
                  <w:tcBorders>
                    <w:top w:val="single" w:color="auto" w:sz="4" w:space="0"/>
                    <w:bottom w:val="single" w:color="auto" w:sz="4" w:space="0"/>
                    <w:right w:val="single" w:color="auto" w:sz="4" w:space="0"/>
                  </w:tcBorders>
                  <w:noWrap w:val="0"/>
                  <w:vAlign w:val="center"/>
                </w:tcPr>
                <w:p w14:paraId="5E22DD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符合性</w:t>
                  </w:r>
                </w:p>
              </w:tc>
            </w:tr>
            <w:tr w14:paraId="061C5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052" w:type="pct"/>
                  <w:tcBorders>
                    <w:top w:val="single" w:color="auto" w:sz="4" w:space="0"/>
                    <w:bottom w:val="single" w:color="auto" w:sz="4" w:space="0"/>
                    <w:right w:val="single" w:color="auto" w:sz="4" w:space="0"/>
                  </w:tcBorders>
                  <w:noWrap w:val="0"/>
                  <w:vAlign w:val="center"/>
                </w:tcPr>
                <w:p w14:paraId="6BB4FA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lang w:val="en-US" w:eastAsia="zh-CN"/>
                    </w:rPr>
                    <w:t>一、</w:t>
                  </w:r>
                  <w:r>
                    <w:rPr>
                      <w:rFonts w:hint="default" w:ascii="Times New Roman" w:hAnsi="Times New Roman" w:eastAsia="宋体" w:cs="Times New Roman"/>
                      <w:b w:val="0"/>
                      <w:bCs w:val="0"/>
                      <w:color w:val="auto"/>
                      <w:sz w:val="21"/>
                      <w:szCs w:val="21"/>
                    </w:rPr>
                    <w:t>推动源头管控和减量。加强工业固体废物源头减量。严格落实产业、环保、节能等政策，依法依规淘汰落后产能。强化工业园区固体废物源头管控。大力推行绿色设计，支持企业改进生产工艺和装备，强化工业生产精细化管控，降低固体废物产生强度。推动重有色金属矿采选一体化建设，促进尾矿就近充填回填，原则上不再批准建设无自建矿山、无配套尾矿利用处置设施的选矿项目。推动重点行业固体废物产生量与综合消纳量逐步实现动态平衡。</w:t>
                  </w:r>
                </w:p>
              </w:tc>
              <w:tc>
                <w:tcPr>
                  <w:tcW w:w="1452" w:type="pct"/>
                  <w:tcBorders>
                    <w:top w:val="single" w:color="auto" w:sz="4" w:space="0"/>
                    <w:bottom w:val="single" w:color="auto" w:sz="4" w:space="0"/>
                    <w:right w:val="single" w:color="auto" w:sz="4" w:space="0"/>
                  </w:tcBorders>
                  <w:noWrap w:val="0"/>
                  <w:vAlign w:val="center"/>
                </w:tcPr>
                <w:p w14:paraId="25F7D2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项目运营后建立健全管理制度，从源头上减少固体废物的产生量，运营期产生的固体均能妥善处置，不排放。</w:t>
                  </w:r>
                </w:p>
              </w:tc>
              <w:tc>
                <w:tcPr>
                  <w:tcW w:w="495" w:type="pct"/>
                  <w:tcBorders>
                    <w:top w:val="single" w:color="auto" w:sz="4" w:space="0"/>
                    <w:bottom w:val="single" w:color="auto" w:sz="4" w:space="0"/>
                    <w:right w:val="single" w:color="auto" w:sz="4" w:space="0"/>
                  </w:tcBorders>
                  <w:noWrap w:val="0"/>
                  <w:vAlign w:val="center"/>
                </w:tcPr>
                <w:p w14:paraId="62E3AA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4A118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052" w:type="pct"/>
                  <w:tcBorders>
                    <w:top w:val="single" w:color="auto" w:sz="4" w:space="0"/>
                    <w:bottom w:val="single" w:color="auto" w:sz="4" w:space="0"/>
                    <w:right w:val="single" w:color="auto" w:sz="4" w:space="0"/>
                  </w:tcBorders>
                  <w:noWrap w:val="0"/>
                  <w:vAlign w:val="center"/>
                </w:tcPr>
                <w:p w14:paraId="508AC1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lang w:val="en-US" w:eastAsia="zh-CN"/>
                    </w:rPr>
                    <w:t>二、</w:t>
                  </w:r>
                  <w:r>
                    <w:rPr>
                      <w:rFonts w:hint="default" w:ascii="Times New Roman" w:hAnsi="Times New Roman" w:eastAsia="宋体" w:cs="Times New Roman"/>
                      <w:b w:val="0"/>
                      <w:bCs w:val="0"/>
                      <w:color w:val="auto"/>
                      <w:sz w:val="21"/>
                      <w:szCs w:val="21"/>
                    </w:rPr>
                    <w:t>规范收集转运和贮存</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加强工业固体废物规范化管理。完善工业固体废物管理台账制度，强化全链条跟踪管控。推行工业固体废物分类收集贮存，防范混堆混排。禁止向生活垃圾收集设施中投放工业固体废物。严格执行工业固体废物、危险废物跨省转移审批制度。规范各类企业危险废物收集管理。</w:t>
                  </w:r>
                </w:p>
              </w:tc>
              <w:tc>
                <w:tcPr>
                  <w:tcW w:w="1452" w:type="pct"/>
                  <w:tcBorders>
                    <w:top w:val="single" w:color="auto" w:sz="4" w:space="0"/>
                    <w:bottom w:val="single" w:color="auto" w:sz="4" w:space="0"/>
                    <w:right w:val="single" w:color="auto" w:sz="4" w:space="0"/>
                  </w:tcBorders>
                  <w:noWrap w:val="0"/>
                  <w:vAlign w:val="center"/>
                </w:tcPr>
                <w:p w14:paraId="752FC4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项目运营后按要求建立固体废物管理台账制度，做好固体废物收集、转运、产生、贮存、综合利用等环节的台账记录。项目收集和产生的固体废物均分类分区堆存，不混堆。</w:t>
                  </w:r>
                </w:p>
              </w:tc>
              <w:tc>
                <w:tcPr>
                  <w:tcW w:w="495" w:type="pct"/>
                  <w:tcBorders>
                    <w:top w:val="single" w:color="auto" w:sz="4" w:space="0"/>
                    <w:bottom w:val="single" w:color="auto" w:sz="4" w:space="0"/>
                    <w:right w:val="single" w:color="auto" w:sz="4" w:space="0"/>
                  </w:tcBorders>
                  <w:noWrap w:val="0"/>
                  <w:vAlign w:val="center"/>
                </w:tcPr>
                <w:p w14:paraId="15E931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符合</w:t>
                  </w:r>
                </w:p>
              </w:tc>
            </w:tr>
            <w:tr w14:paraId="77041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052" w:type="pct"/>
                  <w:tcBorders>
                    <w:top w:val="single" w:color="auto" w:sz="4" w:space="0"/>
                    <w:bottom w:val="single" w:color="auto" w:sz="4" w:space="0"/>
                    <w:right w:val="single" w:color="auto" w:sz="4" w:space="0"/>
                  </w:tcBorders>
                  <w:noWrap w:val="0"/>
                  <w:vAlign w:val="center"/>
                </w:tcPr>
                <w:p w14:paraId="266266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四、提升资源化利用水平加强大宗固体废弃物综合利用。提升冶炼渣、尾矿、共伴生矿、赤泥、建筑垃圾综合利用能力，加强有价组分高效提取及整体利用，因地制宜推动煤矸石多元化利用。拓宽秸秆综合利用途径，提高秸秆还田科学化、规范化水平。推进畜禽养殖废弃物资源化利用。</w:t>
                  </w:r>
                </w:p>
              </w:tc>
              <w:tc>
                <w:tcPr>
                  <w:tcW w:w="1452" w:type="pct"/>
                  <w:tcBorders>
                    <w:top w:val="single" w:color="auto" w:sz="4" w:space="0"/>
                    <w:bottom w:val="single" w:color="auto" w:sz="4" w:space="0"/>
                    <w:right w:val="single" w:color="auto" w:sz="4" w:space="0"/>
                  </w:tcBorders>
                  <w:noWrap w:val="0"/>
                  <w:vAlign w:val="center"/>
                </w:tcPr>
                <w:p w14:paraId="3363EC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项目固废遵循减量化、资源化、无害化的原则，处置率100%，不涉及冶炼渣、尾矿、共伴生矿、赤泥、建筑垃圾等综合利用的范围。</w:t>
                  </w:r>
                </w:p>
              </w:tc>
              <w:tc>
                <w:tcPr>
                  <w:tcW w:w="495" w:type="pct"/>
                  <w:tcBorders>
                    <w:top w:val="single" w:color="auto" w:sz="4" w:space="0"/>
                    <w:bottom w:val="single" w:color="auto" w:sz="4" w:space="0"/>
                    <w:right w:val="single" w:color="auto" w:sz="4" w:space="0"/>
                  </w:tcBorders>
                  <w:noWrap w:val="0"/>
                  <w:vAlign w:val="center"/>
                </w:tcPr>
                <w:p w14:paraId="4BB5EE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符合</w:t>
                  </w:r>
                </w:p>
              </w:tc>
            </w:tr>
          </w:tbl>
          <w:p w14:paraId="53436C78">
            <w:pPr>
              <w:ind w:firstLine="482"/>
              <w:rPr>
                <w:rFonts w:hint="eastAsia"/>
                <w:b w:val="0"/>
                <w:bCs w:val="0"/>
                <w:color w:val="auto"/>
                <w:lang w:val="en-US" w:eastAsia="zh-CN"/>
              </w:rPr>
            </w:pPr>
            <w:r>
              <w:rPr>
                <w:rFonts w:hint="eastAsia"/>
                <w:b w:val="0"/>
                <w:bCs w:val="0"/>
                <w:color w:val="auto"/>
                <w:lang w:val="en-US" w:eastAsia="zh-CN"/>
              </w:rPr>
              <w:t>综上分析，项目符合《国务院关于印发&lt;固体废物综合治理行动计划&gt;的通知》（国发〔2025〕14 号）中的相关内容。</w:t>
            </w:r>
          </w:p>
          <w:p w14:paraId="7B9ED62D">
            <w:pPr>
              <w:ind w:firstLine="482"/>
              <w:rPr>
                <w:rFonts w:hint="default"/>
                <w:b/>
                <w:bCs/>
                <w:color w:val="auto"/>
                <w:lang w:val="en-US" w:eastAsia="zh-CN"/>
              </w:rPr>
            </w:pPr>
            <w:r>
              <w:rPr>
                <w:rFonts w:hint="eastAsia"/>
                <w:b/>
                <w:bCs/>
                <w:color w:val="auto"/>
                <w:lang w:val="en-US" w:eastAsia="zh-CN"/>
              </w:rPr>
              <w:t>11、项目与《云南省固体废物污染环境防治条例》符合性分析</w:t>
            </w:r>
          </w:p>
          <w:p w14:paraId="4EC144C8">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表1-11  项目与《云南省固体废物污染环境防治条例》符合性分析一览表</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3538"/>
              <w:gridCol w:w="2074"/>
              <w:gridCol w:w="737"/>
            </w:tblGrid>
            <w:tr w14:paraId="0A01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3016" w:type="pct"/>
                  <w:gridSpan w:val="2"/>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57" w:type="dxa"/>
                    <w:bottom w:w="0" w:type="dxa"/>
                    <w:right w:w="57" w:type="dxa"/>
                  </w:tcMar>
                  <w:vAlign w:val="center"/>
                </w:tcPr>
                <w:p w14:paraId="4514D3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省固废污染环境防治条例相关要求</w:t>
                  </w:r>
                </w:p>
              </w:tc>
              <w:tc>
                <w:tcPr>
                  <w:tcW w:w="1463" w:type="pct"/>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57" w:type="dxa"/>
                    <w:bottom w:w="0" w:type="dxa"/>
                    <w:right w:w="57" w:type="dxa"/>
                  </w:tcMar>
                  <w:vAlign w:val="center"/>
                </w:tcPr>
                <w:p w14:paraId="15B5D2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项目情况</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57" w:type="dxa"/>
                    <w:bottom w:w="0" w:type="dxa"/>
                    <w:right w:w="57" w:type="dxa"/>
                  </w:tcMar>
                  <w:vAlign w:val="center"/>
                </w:tcPr>
                <w:p w14:paraId="232B0E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符合性</w:t>
                  </w:r>
                </w:p>
              </w:tc>
            </w:tr>
            <w:tr w14:paraId="62A0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5E473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第十二条</w:t>
                  </w:r>
                </w:p>
              </w:tc>
              <w:tc>
                <w:tcPr>
                  <w:tcW w:w="2496"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5AB8D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收集、贮存、运输、利用、处置固体废物的单位和其他生产经营者，应当加强对相关设施、设备和场所的管理和维护，保证其正常运行和使用；依法及时向社会公开固体废物的种类、产生量、流向、贮存、利用、处置等固体废物污染环境防治信息，主动接受社会监督。</w:t>
                  </w:r>
                </w:p>
              </w:tc>
              <w:tc>
                <w:tcPr>
                  <w:tcW w:w="1463"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290B786">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项目在运营期间加强对相关设施、设备和场所的管理和维护，保证其正常运行和使用；依法及时向社会公开固体废物的种类、产生量、流向、贮存、利用、处置等固体废物污染环境防治信息，主动接受社会监督。</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3E6984D">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6983E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6139C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第十三条</w:t>
                  </w:r>
                </w:p>
              </w:tc>
              <w:tc>
                <w:tcPr>
                  <w:tcW w:w="2496"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DD705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建设产生、贮存、利用、处置固体废物的项目，应当依法进行环境影响评价，并遵守国家有关建设项目环境保护管理的规定。</w:t>
                  </w:r>
                </w:p>
              </w:tc>
              <w:tc>
                <w:tcPr>
                  <w:tcW w:w="1463"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D9C1D6D">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本项目将产生固废，按要求开展环境影响评价。</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8B41801">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rPr>
                    <w:t>符合</w:t>
                  </w:r>
                </w:p>
              </w:tc>
            </w:tr>
            <w:tr w14:paraId="59BDD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436032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第十四条</w:t>
                  </w:r>
                </w:p>
              </w:tc>
              <w:tc>
                <w:tcPr>
                  <w:tcW w:w="2496"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873BA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产生、收集、贮存、运输、利用、处置固体废物的单位和其他生产经营者，应当采取防扬散、防流失、防渗漏或者其他防止污染环境的措施，不得擅自倾倒、堆放、丢弃、遗撒固体废物。</w:t>
                  </w:r>
                </w:p>
                <w:p w14:paraId="586830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禁止任何单位或者个人向江河、湖泊、运河、渠道、水库及其最高水位线以下的滩地和岸坡以及法律法规规定的其他地点倾倒、堆放、贮存固体废物。</w:t>
                  </w:r>
                </w:p>
                <w:p w14:paraId="6AE45A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在生态保护红线区域、永久基本农田集中区域和其他需要特别保护的区域内，禁止建设工业固体废物、危险废物集中贮存、利用、处置的设施、场所和生活垃圾填埋场。</w:t>
                  </w:r>
                </w:p>
              </w:tc>
              <w:tc>
                <w:tcPr>
                  <w:tcW w:w="1463"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6F3938E">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固体废物收集、贮存、处置均采取防扬散、防流失、防渗漏或者其他防止污染环境的措施，无擅自倾倒、堆放、丢弃、遗撒固体废物行为。项目固体废物均能得到合理处置，本项目固体废物贮存不在生态保护红线区域、永久基本农田集中区域和其他需要特别保护的区域内。</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DA74C44">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25614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43AC1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第十六条</w:t>
                  </w:r>
                </w:p>
              </w:tc>
              <w:tc>
                <w:tcPr>
                  <w:tcW w:w="2496"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E8211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禁止中华人民共和国境外的固体废物进入本省倾倒、堆放、处置。</w:t>
                  </w:r>
                </w:p>
              </w:tc>
              <w:tc>
                <w:tcPr>
                  <w:tcW w:w="1463"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C503BBF">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不涉及</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1BB4AEF">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3EBE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80C58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第二十四条</w:t>
                  </w:r>
                </w:p>
              </w:tc>
              <w:tc>
                <w:tcPr>
                  <w:tcW w:w="2496"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74D62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工业固体废物的单位应当建立健全工业固体废物产生、收集、贮存、运输、利用、处置全过程的污染环境防治责任制度，按照国家有关规定建立工业固体废物管理台账，如实记录产生工业固体废物的种类、时间、数量、流向、贮存、利用、处置等信息，并采取防治工业固体废物污染环境的措施。工业固体废物管理台账应当保存5年以上。鼓励产生工业固体废物的单位在固体废物产生场所、贮存场所及计量设备等关键点位设置视频监控，提高台账记录信息的准确性。</w:t>
                  </w:r>
                </w:p>
                <w:p w14:paraId="234ACF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禁止向生活垃圾收集设施中投放工业固体废物。</w:t>
                  </w:r>
                </w:p>
              </w:tc>
              <w:tc>
                <w:tcPr>
                  <w:tcW w:w="1463"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0456701">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评提出项目建立健全工业固体废物产生、收集、贮存、运输、利用、处置全过程的污染环境防治责任制度，按照国家有关规定建立工业固体废物管理台账，如实记录产生工业固体废物的种类、时间、数量、流向、贮存、利用、处置等信息，并采取防治工业固体废物污染环境的措施。且规定工业固体废物管理台账保存5年以上。禁止向生活垃圾收集设施中投放工业固体废物。</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EA5D5A5">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37C4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48E0A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第二十六条</w:t>
                  </w:r>
                </w:p>
              </w:tc>
              <w:tc>
                <w:tcPr>
                  <w:tcW w:w="2496"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EE8AE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产生工业固体废物的单位应当根据经济、技术条件对工业固体废物加以利用；对暂时不利用或者不能利用的，应当按照国家规定建设贮存设施、场所，安全分类存放，或者采取无害化处置措施。</w:t>
                  </w:r>
                </w:p>
                <w:p w14:paraId="4C0C43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贮存工业固体废物应当采取符合国家环境保护标准的防护措施。建设工业固体废物贮存、处置的设施、场所，应当符合国家环境保护标准。</w:t>
                  </w:r>
                </w:p>
              </w:tc>
              <w:tc>
                <w:tcPr>
                  <w:tcW w:w="1463"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D0AAC3C">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本项目按照国家规定建设贮存设施、场所，安全分类存放。本项目贮存工业固体废物场所采取符合国家环境保护标准的防护措施，符合国家环境保护标准。</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C1B4800">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2F6DC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C518F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第二十七条</w:t>
                  </w:r>
                </w:p>
              </w:tc>
              <w:tc>
                <w:tcPr>
                  <w:tcW w:w="2496"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CABDC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工业固体废物的单位应当依法取得排污许可证，向所在地生态环境主管部门提供工业固体废物的种类、数量、流向、贮存、利用、处置等有关资料，以及减少工业固体废物产生、促进综合利用的具体措施，并执行排污许可管理制度的相关规定。</w:t>
                  </w:r>
                </w:p>
              </w:tc>
              <w:tc>
                <w:tcPr>
                  <w:tcW w:w="1463"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13F893A">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项目排污前，按要求填报、申请排污许可证。同时按照排污许可管理制度相关规定执行。</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412F22E0">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22C39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2E9C6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第三十八条</w:t>
                  </w:r>
                </w:p>
              </w:tc>
              <w:tc>
                <w:tcPr>
                  <w:tcW w:w="2496"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FFCDF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产生生活垃圾的单位、家庭和个人应当依法履行生活垃圾源头减量和分类投放义务，承担生活垃圾产生者责任。</w:t>
                  </w:r>
                </w:p>
                <w:p w14:paraId="3C25D4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任何单位和个人都应当依法在指定的地点分类投放生活垃圾。</w:t>
                  </w:r>
                </w:p>
                <w:p w14:paraId="348C5F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禁止随意倾倒、抛撒、堆放或者焚烧生活垃圾。</w:t>
                  </w:r>
                </w:p>
              </w:tc>
              <w:tc>
                <w:tcPr>
                  <w:tcW w:w="1463"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4EF79A60">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本项目设置分类生活垃圾箱，项目产生的生活垃圾经统一收集后委托当地环卫部门进行清运处置。在运营过程中禁止随意倾倒、抛撒、堆放或者焚烧生活垃圾。</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5F6C735">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3F2DA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85C5E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第四十三条</w:t>
                  </w:r>
                </w:p>
              </w:tc>
              <w:tc>
                <w:tcPr>
                  <w:tcW w:w="2496"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93B58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工程施工单位应当编制建筑垃圾处理方案，采取污染防治措施，并报所在地县级人民政府环境卫生主管部门备案。建筑垃圾处理方案应当包括单位基本情况、工程概况、建筑垃圾产生量与种类，分类收集、回收利用的措施和目标，需要外运的建筑垃圾种类、数量和时间，污染防治措施以及责任人等内容。</w:t>
                  </w:r>
                </w:p>
                <w:p w14:paraId="1DD09F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工程施工单位应当及时清运工程施工过程中产生的建筑垃圾等固体废物，并按照环境卫生主管部门的规定进行利用或者处置，不得擅自倾倒、抛撒或者堆放工程施工过程中产生的建筑垃圾。</w:t>
                  </w:r>
                </w:p>
                <w:p w14:paraId="12D7D6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禁止将建筑垃圾混入生活垃圾。</w:t>
                  </w:r>
                </w:p>
              </w:tc>
              <w:tc>
                <w:tcPr>
                  <w:tcW w:w="1463"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49BA9FD4">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项目在施工过程中对产生的建筑垃圾等进行分类收集，可回收利用部分进行回收利用，不可回收利用部分运至当地城建部门指定的地方进行妥善处置。同时在施工过程中禁止将建筑垃圾混入生活垃圾进行处理。</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CF73693">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71A4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43A4F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第五十条</w:t>
                  </w:r>
                </w:p>
              </w:tc>
              <w:tc>
                <w:tcPr>
                  <w:tcW w:w="2496"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0D216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固体废物的单位应当落实危险废物鉴别主体责任，依照法律、行政法规以及国家有关规定主动开展危险废物鉴别。危险废物鉴别单位对鉴别报告和鉴别结论负责并承担相应责任。历史遗存无法查明责任主体的固体废物，由所在地县级人民政府组织鉴别并依法处置。</w:t>
                  </w:r>
                </w:p>
              </w:tc>
              <w:tc>
                <w:tcPr>
                  <w:tcW w:w="1463"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6833EAD">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本项目产生的危险废物根据《危险废物名录》确定，如需进行危险废物鉴别的固体废物则委托有资质的单位进行，并出具相关鉴别报告。</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EC60551">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25B6B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6688E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第五十二条</w:t>
                  </w:r>
                </w:p>
              </w:tc>
              <w:tc>
                <w:tcPr>
                  <w:tcW w:w="2496"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87675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危险废物的单位，应当按照国家有关规定制定危险废物管理计划；建立危险废物管理台账，如实记录有关信息，并通过省固体废物信息管理平台向所在地生态环境主管部门申报危险废物的种类、产生量、流向、贮存、处置等有关资料。</w:t>
                  </w:r>
                </w:p>
                <w:p w14:paraId="256F29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产生危险废物的单位，应当按照国家有关规定和环境保护标准要求贮存、利用、处置危险废物，不得擅自倾倒、堆放。</w:t>
                  </w:r>
                </w:p>
              </w:tc>
              <w:tc>
                <w:tcPr>
                  <w:tcW w:w="1463"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DC870C1">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本项目在运营过程中建立废物管理台账，如实记录有关信息，在固废平台申报危险废物的种类、产生量、流向、贮存、处置等有关资料。环评提出项目产生的危险废物委托有资质的单位进行清运处置。</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59670B0">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7D29B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4B68B5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五十四条</w:t>
                  </w:r>
                </w:p>
              </w:tc>
              <w:tc>
                <w:tcPr>
                  <w:tcW w:w="2496"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3E90E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收集、贮存危险废物，应当按照危险废物特性分类进行。禁止混合收集、贮存、运输、处置性质不相容而未经安全性处置的危险废物。</w:t>
                  </w:r>
                </w:p>
                <w:p w14:paraId="497766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贮存危险废物应当采取符合国家环境保护标准的防护措施。禁止将危险废物混入非危险废物中贮存。</w:t>
                  </w:r>
                </w:p>
                <w:p w14:paraId="337B86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从事收集、贮存、利用、处置危险废物经营活动的单位，贮存危险废物不得超过一年；确需延长期限的，应当报经颁发许可证的生态环境主管部门批准；法律、行政法规另有规定的除外。</w:t>
                  </w:r>
                </w:p>
              </w:tc>
              <w:tc>
                <w:tcPr>
                  <w:tcW w:w="1463"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0358602">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项目设置危废暂存间，分区各性质不相容危险废物。</w:t>
                  </w:r>
                </w:p>
                <w:p w14:paraId="3CF470B5">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本环评提出，在运营过程中禁止将危险废物混入非危险废物中贮存，同时暂存时间禁止超过一年。</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B2659C8">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2210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FE276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第五十五条</w:t>
                  </w:r>
                </w:p>
              </w:tc>
              <w:tc>
                <w:tcPr>
                  <w:tcW w:w="2496"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3DD2C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转移危险废物的，应当执行国家危险废物转移联单制度，按照国家有关规定如实填写、运行危险废物电子或者纸质转移联单。</w:t>
                  </w:r>
                </w:p>
                <w:p w14:paraId="3F94C1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生态环境主管部门依法对危险废物转移污染环境防治以及危险废物转移联单运行实施监督管理。</w:t>
                  </w:r>
                </w:p>
              </w:tc>
              <w:tc>
                <w:tcPr>
                  <w:tcW w:w="1463"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00CDE9A">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项目严格按照《危险废物转移管理办法》要求落实国家危险废物转移联单制度。</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950F93D">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21E12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C5F46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第五十六条</w:t>
                  </w:r>
                </w:p>
              </w:tc>
              <w:tc>
                <w:tcPr>
                  <w:tcW w:w="2496"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7481D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运输危险废物，应当采取防止污染环境的措施，并遵守国家有关危险货物运输管理的规定。</w:t>
                  </w:r>
                </w:p>
                <w:p w14:paraId="34AD0C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禁止将危险废物与旅客在同一运输工具上载运。</w:t>
                  </w:r>
                </w:p>
              </w:tc>
              <w:tc>
                <w:tcPr>
                  <w:tcW w:w="1463"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654BD42">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本项目危险废物运输均委托有资质单位进行，由专车进行运输。</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68ABD4F">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5C639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8EAA3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第五十七条</w:t>
                  </w:r>
                </w:p>
              </w:tc>
              <w:tc>
                <w:tcPr>
                  <w:tcW w:w="2496"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CF553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县级以上人民政府应当将危险废物突发环境事件应急处置纳入政府应急响应体系，加强危险废物环境应急响应能力建设。</w:t>
                  </w:r>
                </w:p>
                <w:p w14:paraId="11D617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收集、贮存、运输、利用、处置危险废物的单位，应当依法制定意外事故的防范措施和应急预案。并向所在地生态环境主管部门和其他负有固体废物污染环境防治监督管理职责的部门备案；生态环境主管部门和其他负有固体废物污染环境防治监督管理职责的部门应当进行检查。</w:t>
                  </w:r>
                </w:p>
              </w:tc>
              <w:tc>
                <w:tcPr>
                  <w:tcW w:w="1463"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09AA320">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本项目按要求制定突发环境事件应急预案并进行备案。</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5E6F1CB">
                  <w:pPr>
                    <w:pStyle w:val="5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bl>
          <w:p w14:paraId="4238FE12">
            <w:pPr>
              <w:ind w:firstLine="482"/>
              <w:rPr>
                <w:rFonts w:hint="eastAsia"/>
                <w:b w:val="0"/>
                <w:bCs w:val="0"/>
                <w:color w:val="auto"/>
                <w:lang w:val="en-US" w:eastAsia="zh-CN"/>
              </w:rPr>
            </w:pPr>
            <w:r>
              <w:rPr>
                <w:rFonts w:hint="eastAsia"/>
                <w:b w:val="0"/>
                <w:bCs w:val="0"/>
                <w:color w:val="auto"/>
                <w:lang w:val="en-US" w:eastAsia="zh-CN"/>
              </w:rPr>
              <w:t>根据上表分析，本项目符合《云南省固体废物污染环境防治条例》的相关要求。</w:t>
            </w:r>
          </w:p>
          <w:p w14:paraId="439E8CB0">
            <w:pPr>
              <w:ind w:firstLine="482"/>
              <w:rPr>
                <w:rFonts w:hint="default"/>
                <w:b/>
                <w:bCs/>
                <w:color w:val="auto"/>
                <w:lang w:val="en-US" w:eastAsia="zh-CN"/>
              </w:rPr>
            </w:pPr>
            <w:r>
              <w:rPr>
                <w:rFonts w:hint="eastAsia"/>
                <w:b/>
                <w:bCs/>
                <w:color w:val="auto"/>
                <w:lang w:val="en-US" w:eastAsia="zh-CN"/>
              </w:rPr>
              <w:t>12、项目与《危险废物转移管理办法》（部令第23号）符合性分析</w:t>
            </w:r>
          </w:p>
          <w:p w14:paraId="4C3DADD9">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表1-12  项目与《危险废物转移管理办法》符合性分析一览表</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3822"/>
              <w:gridCol w:w="2264"/>
              <w:gridCol w:w="1003"/>
            </w:tblGrid>
            <w:tr w14:paraId="4FC42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7" w:hRule="atLeast"/>
              </w:trPr>
              <w:tc>
                <w:tcPr>
                  <w:tcW w:w="4346" w:type="dxa"/>
                  <w:shd w:val="clear" w:color="auto" w:fill="FFFFFF"/>
                  <w:noWrap w:val="0"/>
                  <w:vAlign w:val="center"/>
                </w:tcPr>
                <w:p w14:paraId="573ABF1F">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aps/>
                      <w:color w:val="auto"/>
                      <w:sz w:val="21"/>
                      <w:szCs w:val="21"/>
                    </w:rPr>
                  </w:pPr>
                  <w:r>
                    <w:rPr>
                      <w:rFonts w:hint="default" w:ascii="Times New Roman" w:hAnsi="Times New Roman" w:cs="Times New Roman"/>
                      <w:b/>
                      <w:bCs/>
                      <w:color w:val="auto"/>
                      <w:sz w:val="21"/>
                      <w:szCs w:val="21"/>
                    </w:rPr>
                    <w:t>规范要求</w:t>
                  </w:r>
                </w:p>
              </w:tc>
              <w:tc>
                <w:tcPr>
                  <w:tcW w:w="2550" w:type="dxa"/>
                  <w:shd w:val="clear" w:color="auto" w:fill="FFFFFF"/>
                  <w:noWrap w:val="0"/>
                  <w:vAlign w:val="center"/>
                </w:tcPr>
                <w:p w14:paraId="79AB241F">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aps/>
                      <w:color w:val="auto"/>
                      <w:sz w:val="21"/>
                      <w:szCs w:val="21"/>
                    </w:rPr>
                  </w:pPr>
                  <w:r>
                    <w:rPr>
                      <w:rFonts w:hint="default" w:ascii="Times New Roman" w:hAnsi="Times New Roman" w:cs="Times New Roman"/>
                      <w:b/>
                      <w:bCs/>
                      <w:color w:val="auto"/>
                      <w:sz w:val="21"/>
                      <w:szCs w:val="21"/>
                    </w:rPr>
                    <w:t>项目建设情况</w:t>
                  </w:r>
                </w:p>
              </w:tc>
              <w:tc>
                <w:tcPr>
                  <w:tcW w:w="1104" w:type="dxa"/>
                  <w:shd w:val="clear" w:color="auto" w:fill="FFFFFF"/>
                  <w:noWrap w:val="0"/>
                  <w:vAlign w:val="center"/>
                </w:tcPr>
                <w:p w14:paraId="59377098">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aps/>
                      <w:color w:val="auto"/>
                      <w:sz w:val="21"/>
                      <w:szCs w:val="21"/>
                    </w:rPr>
                  </w:pPr>
                  <w:r>
                    <w:rPr>
                      <w:rFonts w:hint="default" w:ascii="Times New Roman" w:hAnsi="Times New Roman" w:cs="Times New Roman"/>
                      <w:b/>
                      <w:bCs/>
                      <w:color w:val="auto"/>
                      <w:sz w:val="21"/>
                      <w:szCs w:val="21"/>
                    </w:rPr>
                    <w:t>符合性</w:t>
                  </w:r>
                </w:p>
              </w:tc>
            </w:tr>
            <w:tr w14:paraId="3905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7" w:hRule="atLeast"/>
              </w:trPr>
              <w:tc>
                <w:tcPr>
                  <w:tcW w:w="8000" w:type="dxa"/>
                  <w:gridSpan w:val="3"/>
                  <w:shd w:val="clear" w:color="auto" w:fill="FFFFFF"/>
                  <w:noWrap w:val="0"/>
                  <w:vAlign w:val="center"/>
                </w:tcPr>
                <w:p w14:paraId="00ACB884">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aps/>
                      <w:color w:val="auto"/>
                      <w:sz w:val="21"/>
                      <w:szCs w:val="21"/>
                    </w:rPr>
                  </w:pPr>
                  <w:r>
                    <w:rPr>
                      <w:rFonts w:hint="default" w:ascii="Times New Roman" w:hAnsi="Times New Roman" w:cs="Times New Roman"/>
                      <w:b/>
                      <w:bCs/>
                      <w:color w:val="auto"/>
                      <w:sz w:val="21"/>
                      <w:szCs w:val="21"/>
                    </w:rPr>
                    <w:t>总则</w:t>
                  </w:r>
                </w:p>
              </w:tc>
            </w:tr>
            <w:tr w14:paraId="46287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7" w:hRule="atLeast"/>
              </w:trPr>
              <w:tc>
                <w:tcPr>
                  <w:tcW w:w="4346" w:type="dxa"/>
                  <w:shd w:val="clear" w:color="auto" w:fill="FFFFFF"/>
                  <w:noWrap w:val="0"/>
                  <w:vAlign w:val="center"/>
                </w:tcPr>
                <w:p w14:paraId="72E3BBB1">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olor w:val="auto"/>
                      <w:sz w:val="21"/>
                      <w:szCs w:val="21"/>
                      <w:lang w:val="en"/>
                    </w:rPr>
                    <w:t>危险废物转移应当遵循就近原则。跨省、自治区、直辖市转移（以下简称跨省转移）处置危险废物的，应当以转移至相邻或者开展区域合作的省、自治区、直辖市的危险废物处置设施，以及全国统筹布局的危险废物处置设施为主。</w:t>
                  </w:r>
                </w:p>
              </w:tc>
              <w:tc>
                <w:tcPr>
                  <w:tcW w:w="2550" w:type="dxa"/>
                  <w:shd w:val="clear" w:color="auto" w:fill="FFFFFF"/>
                  <w:noWrap w:val="0"/>
                  <w:vAlign w:val="center"/>
                </w:tcPr>
                <w:p w14:paraId="6B6BF4B8">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olor w:val="auto"/>
                      <w:sz w:val="21"/>
                      <w:szCs w:val="21"/>
                    </w:rPr>
                    <w:t>项目危险废物贮存达到规定数量后，采用专用运输车辆按规定路线把危险废物转移到危废处置公司进行处置</w:t>
                  </w:r>
                  <w:r>
                    <w:rPr>
                      <w:rFonts w:hint="default" w:ascii="Times New Roman" w:hAnsi="Times New Roman" w:cs="Times New Roman"/>
                      <w:bCs/>
                      <w:color w:val="auto"/>
                      <w:sz w:val="21"/>
                      <w:szCs w:val="21"/>
                      <w:lang w:val="en"/>
                    </w:rPr>
                    <w:t>。</w:t>
                  </w:r>
                </w:p>
              </w:tc>
              <w:tc>
                <w:tcPr>
                  <w:tcW w:w="1104" w:type="dxa"/>
                  <w:shd w:val="clear" w:color="auto" w:fill="FFFFFF"/>
                  <w:noWrap w:val="0"/>
                  <w:vAlign w:val="center"/>
                </w:tcPr>
                <w:p w14:paraId="7A15B374">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olor w:val="auto"/>
                      <w:sz w:val="21"/>
                      <w:szCs w:val="21"/>
                    </w:rPr>
                    <w:t>符合</w:t>
                  </w:r>
                </w:p>
              </w:tc>
            </w:tr>
            <w:tr w14:paraId="400A0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7" w:hRule="atLeast"/>
              </w:trPr>
              <w:tc>
                <w:tcPr>
                  <w:tcW w:w="4346" w:type="dxa"/>
                  <w:shd w:val="clear" w:color="auto" w:fill="FFFFFF"/>
                  <w:noWrap w:val="0"/>
                  <w:vAlign w:val="center"/>
                </w:tcPr>
                <w:p w14:paraId="29F0041F">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olor w:val="auto"/>
                      <w:sz w:val="21"/>
                      <w:szCs w:val="21"/>
                      <w:lang w:val="en"/>
                    </w:rPr>
                    <w:t>转移危险废物的，应当执行危险废物转移联单制度，法律法规另有规定的除外。</w:t>
                  </w:r>
                </w:p>
              </w:tc>
              <w:tc>
                <w:tcPr>
                  <w:tcW w:w="2550" w:type="dxa"/>
                  <w:shd w:val="clear" w:color="auto" w:fill="FFFFFF"/>
                  <w:noWrap w:val="0"/>
                  <w:vAlign w:val="center"/>
                </w:tcPr>
                <w:p w14:paraId="1EF3E368">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olor w:val="auto"/>
                      <w:sz w:val="21"/>
                      <w:szCs w:val="21"/>
                    </w:rPr>
                    <w:t>项目发生转移严格执行转移联单制度。</w:t>
                  </w:r>
                </w:p>
              </w:tc>
              <w:tc>
                <w:tcPr>
                  <w:tcW w:w="1104" w:type="dxa"/>
                  <w:shd w:val="clear" w:color="auto" w:fill="FFFFFF"/>
                  <w:noWrap w:val="0"/>
                  <w:vAlign w:val="center"/>
                </w:tcPr>
                <w:p w14:paraId="78A2630E">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aps/>
                      <w:color w:val="auto"/>
                      <w:sz w:val="21"/>
                      <w:szCs w:val="21"/>
                    </w:rPr>
                  </w:pPr>
                  <w:r>
                    <w:rPr>
                      <w:rFonts w:hint="default" w:ascii="Times New Roman" w:hAnsi="Times New Roman" w:cs="Times New Roman"/>
                      <w:bCs/>
                      <w:color w:val="auto"/>
                      <w:sz w:val="21"/>
                      <w:szCs w:val="21"/>
                    </w:rPr>
                    <w:t>符合</w:t>
                  </w:r>
                </w:p>
              </w:tc>
            </w:tr>
            <w:tr w14:paraId="2339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7" w:hRule="atLeast"/>
              </w:trPr>
              <w:tc>
                <w:tcPr>
                  <w:tcW w:w="4346" w:type="dxa"/>
                  <w:shd w:val="clear" w:color="auto" w:fill="FFFFFF"/>
                  <w:noWrap w:val="0"/>
                  <w:vAlign w:val="center"/>
                </w:tcPr>
                <w:p w14:paraId="514D7BAA">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olor w:val="auto"/>
                      <w:sz w:val="21"/>
                      <w:szCs w:val="21"/>
                      <w:lang w:val="en"/>
                    </w:rPr>
                    <w:t>转移危险废物的，应当通过国家危险废物信息管理系统（以下简称信息系统）填写、运行危险废物电子转移联单，并依照国家有关规定公开危险废物转移相关污染环境防治信息。</w:t>
                  </w:r>
                </w:p>
              </w:tc>
              <w:tc>
                <w:tcPr>
                  <w:tcW w:w="2550" w:type="dxa"/>
                  <w:shd w:val="clear" w:color="auto" w:fill="FFFFFF"/>
                  <w:noWrap w:val="0"/>
                  <w:vAlign w:val="center"/>
                </w:tcPr>
                <w:p w14:paraId="7BA9AD33">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olor w:val="auto"/>
                      <w:sz w:val="21"/>
                      <w:szCs w:val="21"/>
                    </w:rPr>
                    <w:t>项目严格按照要求填写国家危险废物信息管理系统和危险废物电子转移联单，依法公开</w:t>
                  </w:r>
                  <w:r>
                    <w:rPr>
                      <w:rFonts w:hint="default" w:ascii="Times New Roman" w:hAnsi="Times New Roman" w:cs="Times New Roman"/>
                      <w:bCs/>
                      <w:color w:val="auto"/>
                      <w:sz w:val="21"/>
                      <w:szCs w:val="21"/>
                      <w:lang w:val="en"/>
                    </w:rPr>
                    <w:t>危废转移污染防治信息。</w:t>
                  </w:r>
                </w:p>
              </w:tc>
              <w:tc>
                <w:tcPr>
                  <w:tcW w:w="1104" w:type="dxa"/>
                  <w:shd w:val="clear" w:color="auto" w:fill="FFFFFF"/>
                  <w:noWrap w:val="0"/>
                  <w:vAlign w:val="center"/>
                </w:tcPr>
                <w:p w14:paraId="0ADE6E21">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aps/>
                      <w:color w:val="auto"/>
                      <w:sz w:val="21"/>
                      <w:szCs w:val="21"/>
                    </w:rPr>
                  </w:pPr>
                  <w:r>
                    <w:rPr>
                      <w:rFonts w:hint="default" w:ascii="Times New Roman" w:hAnsi="Times New Roman" w:cs="Times New Roman"/>
                      <w:bCs/>
                      <w:color w:val="auto"/>
                      <w:sz w:val="21"/>
                      <w:szCs w:val="21"/>
                    </w:rPr>
                    <w:t>符合</w:t>
                  </w:r>
                </w:p>
              </w:tc>
            </w:tr>
            <w:tr w14:paraId="013E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7" w:hRule="atLeast"/>
              </w:trPr>
              <w:tc>
                <w:tcPr>
                  <w:tcW w:w="8000" w:type="dxa"/>
                  <w:gridSpan w:val="3"/>
                  <w:shd w:val="clear" w:color="auto" w:fill="FFFFFF"/>
                  <w:noWrap w:val="0"/>
                  <w:vAlign w:val="center"/>
                </w:tcPr>
                <w:p w14:paraId="125DCFAC">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aps/>
                      <w:color w:val="auto"/>
                      <w:sz w:val="21"/>
                      <w:szCs w:val="21"/>
                    </w:rPr>
                  </w:pPr>
                  <w:r>
                    <w:rPr>
                      <w:rFonts w:hint="default" w:ascii="Times New Roman" w:hAnsi="Times New Roman" w:cs="Times New Roman"/>
                      <w:b/>
                      <w:bCs/>
                      <w:color w:val="auto"/>
                      <w:sz w:val="21"/>
                      <w:szCs w:val="21"/>
                    </w:rPr>
                    <w:t>法律责任</w:t>
                  </w:r>
                </w:p>
              </w:tc>
            </w:tr>
            <w:tr w14:paraId="73AAB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7" w:hRule="atLeast"/>
              </w:trPr>
              <w:tc>
                <w:tcPr>
                  <w:tcW w:w="4346" w:type="dxa"/>
                  <w:shd w:val="clear" w:color="auto" w:fill="FFFFFF"/>
                  <w:noWrap w:val="0"/>
                  <w:vAlign w:val="center"/>
                </w:tcPr>
                <w:p w14:paraId="745078D4">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olor w:val="auto"/>
                      <w:sz w:val="21"/>
                      <w:szCs w:val="21"/>
                      <w:lang w:val="en"/>
                    </w:rPr>
                    <w:t>危险废物移出人、危险废物承运人、危险废物接受人（以下分别简称移出人、承运人和接受人）在危险废物转移过程中应当采取防扬散、防流失、防渗漏或者其他防止污染环境的措施，不得擅自倾倒、堆放、丢弃、遗撒危险废物，并对所造成的环境污染及生态破坏依法承担责任。</w:t>
                  </w:r>
                </w:p>
              </w:tc>
              <w:tc>
                <w:tcPr>
                  <w:tcW w:w="2550" w:type="dxa"/>
                  <w:shd w:val="clear" w:color="auto" w:fill="FFFFFF"/>
                  <w:noWrap w:val="0"/>
                  <w:vAlign w:val="center"/>
                </w:tcPr>
                <w:p w14:paraId="4549C6EA">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olor w:val="auto"/>
                      <w:sz w:val="21"/>
                      <w:szCs w:val="21"/>
                    </w:rPr>
                    <w:t>项目属于危险废物移出人，仅对移出过程进行控制，</w:t>
                  </w:r>
                  <w:r>
                    <w:rPr>
                      <w:rFonts w:hint="default" w:ascii="Times New Roman" w:hAnsi="Times New Roman" w:cs="Times New Roman"/>
                      <w:bCs/>
                      <w:color w:val="auto"/>
                      <w:sz w:val="21"/>
                      <w:szCs w:val="21"/>
                      <w:lang w:val="en"/>
                    </w:rPr>
                    <w:t>采取防扬散、防流失、防渗漏措施。</w:t>
                  </w:r>
                </w:p>
              </w:tc>
              <w:tc>
                <w:tcPr>
                  <w:tcW w:w="1104" w:type="dxa"/>
                  <w:shd w:val="clear" w:color="auto" w:fill="FFFFFF"/>
                  <w:noWrap w:val="0"/>
                  <w:vAlign w:val="center"/>
                </w:tcPr>
                <w:p w14:paraId="5007B468">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aps/>
                      <w:color w:val="auto"/>
                      <w:sz w:val="21"/>
                      <w:szCs w:val="21"/>
                    </w:rPr>
                  </w:pPr>
                  <w:r>
                    <w:rPr>
                      <w:rFonts w:hint="default" w:ascii="Times New Roman" w:hAnsi="Times New Roman" w:cs="Times New Roman"/>
                      <w:bCs/>
                      <w:color w:val="auto"/>
                      <w:sz w:val="21"/>
                      <w:szCs w:val="21"/>
                    </w:rPr>
                    <w:t>符合</w:t>
                  </w:r>
                </w:p>
              </w:tc>
            </w:tr>
            <w:tr w14:paraId="21B9A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7" w:hRule="atLeast"/>
              </w:trPr>
              <w:tc>
                <w:tcPr>
                  <w:tcW w:w="4346" w:type="dxa"/>
                  <w:shd w:val="clear" w:color="auto" w:fill="FFFFFF"/>
                  <w:noWrap w:val="0"/>
                  <w:vAlign w:val="center"/>
                </w:tcPr>
                <w:p w14:paraId="21D302F0">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olor w:val="auto"/>
                      <w:sz w:val="21"/>
                      <w:szCs w:val="21"/>
                      <w:lang w:val="en"/>
                    </w:rPr>
                    <w:t>移出人、承运人、接受人应当依法制定突发环境事件的防范措施和应急预案，并报有关部门备案；发生危险废物突发环境事件时，应当立即采取有效措施消除或者减轻对环境的污染危害，并按相关规定向事故发生地有关部门报告，接受调查处理。</w:t>
                  </w:r>
                </w:p>
              </w:tc>
              <w:tc>
                <w:tcPr>
                  <w:tcW w:w="2550" w:type="dxa"/>
                  <w:shd w:val="clear" w:color="auto" w:fill="FFFFFF"/>
                  <w:noWrap w:val="0"/>
                  <w:vAlign w:val="center"/>
                </w:tcPr>
                <w:p w14:paraId="1391710B">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olor w:val="auto"/>
                      <w:sz w:val="21"/>
                      <w:szCs w:val="21"/>
                    </w:rPr>
                    <w:t>项目为危废贮存单位，建成后编制</w:t>
                  </w:r>
                  <w:r>
                    <w:rPr>
                      <w:rFonts w:hint="default" w:ascii="Times New Roman" w:hAnsi="Times New Roman" w:cs="Times New Roman"/>
                      <w:bCs/>
                      <w:color w:val="auto"/>
                      <w:sz w:val="21"/>
                      <w:szCs w:val="21"/>
                      <w:lang w:val="en"/>
                    </w:rPr>
                    <w:t>突发环境事件防范措施和应急预案，并备案。</w:t>
                  </w:r>
                </w:p>
              </w:tc>
              <w:tc>
                <w:tcPr>
                  <w:tcW w:w="1104" w:type="dxa"/>
                  <w:shd w:val="clear" w:color="auto" w:fill="FFFFFF"/>
                  <w:noWrap w:val="0"/>
                  <w:vAlign w:val="center"/>
                </w:tcPr>
                <w:p w14:paraId="78DEFCE6">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olor w:val="auto"/>
                      <w:sz w:val="21"/>
                      <w:szCs w:val="21"/>
                    </w:rPr>
                    <w:t>符合</w:t>
                  </w:r>
                </w:p>
              </w:tc>
            </w:tr>
            <w:tr w14:paraId="4B540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7" w:hRule="atLeast"/>
              </w:trPr>
              <w:tc>
                <w:tcPr>
                  <w:tcW w:w="8000" w:type="dxa"/>
                  <w:gridSpan w:val="3"/>
                  <w:shd w:val="clear" w:color="auto" w:fill="FFFFFF"/>
                  <w:noWrap w:val="0"/>
                  <w:vAlign w:val="center"/>
                </w:tcPr>
                <w:p w14:paraId="14031F89">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aps/>
                      <w:color w:val="auto"/>
                      <w:sz w:val="21"/>
                      <w:szCs w:val="21"/>
                    </w:rPr>
                  </w:pPr>
                  <w:r>
                    <w:rPr>
                      <w:rFonts w:hint="default" w:ascii="Times New Roman" w:hAnsi="Times New Roman" w:cs="Times New Roman"/>
                      <w:b/>
                      <w:bCs/>
                      <w:color w:val="auto"/>
                      <w:sz w:val="21"/>
                      <w:szCs w:val="21"/>
                    </w:rPr>
                    <w:t>危险废物转移联单的运行和管理</w:t>
                  </w:r>
                </w:p>
              </w:tc>
            </w:tr>
            <w:tr w14:paraId="7ED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7" w:hRule="atLeast"/>
              </w:trPr>
              <w:tc>
                <w:tcPr>
                  <w:tcW w:w="4346" w:type="dxa"/>
                  <w:shd w:val="clear" w:color="auto" w:fill="FFFFFF"/>
                  <w:noWrap w:val="0"/>
                  <w:vAlign w:val="center"/>
                </w:tcPr>
                <w:p w14:paraId="77C939D4">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olor w:val="auto"/>
                      <w:sz w:val="21"/>
                      <w:szCs w:val="21"/>
                      <w:lang w:val="en"/>
                    </w:rPr>
                    <w:t>危险废物转移联单应当根据危险废物管理计划中填报的危险废物转移等备案信息填写、运行。</w:t>
                  </w:r>
                </w:p>
              </w:tc>
              <w:tc>
                <w:tcPr>
                  <w:tcW w:w="2550" w:type="dxa"/>
                  <w:shd w:val="clear" w:color="auto" w:fill="FFFFFF"/>
                  <w:noWrap w:val="0"/>
                  <w:vAlign w:val="center"/>
                </w:tcPr>
                <w:p w14:paraId="0ADBBD1B">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aps/>
                      <w:color w:val="auto"/>
                      <w:sz w:val="21"/>
                      <w:szCs w:val="21"/>
                    </w:rPr>
                    <w:t>项目运营期</w:t>
                  </w:r>
                  <w:r>
                    <w:rPr>
                      <w:rFonts w:hint="default" w:ascii="Times New Roman" w:hAnsi="Times New Roman" w:cs="Times New Roman"/>
                      <w:bCs/>
                      <w:color w:val="auto"/>
                      <w:sz w:val="21"/>
                      <w:szCs w:val="21"/>
                      <w:lang w:val="en"/>
                    </w:rPr>
                    <w:t>危险废物转移联单根据危险废物管理计划中填报的危险废物转移等备案信息填写、运行。</w:t>
                  </w:r>
                </w:p>
              </w:tc>
              <w:tc>
                <w:tcPr>
                  <w:tcW w:w="1104" w:type="dxa"/>
                  <w:shd w:val="clear" w:color="auto" w:fill="FFFFFF"/>
                  <w:noWrap w:val="0"/>
                  <w:vAlign w:val="center"/>
                </w:tcPr>
                <w:p w14:paraId="186B6A60">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olor w:val="auto"/>
                      <w:sz w:val="21"/>
                      <w:szCs w:val="21"/>
                    </w:rPr>
                    <w:t>符合</w:t>
                  </w:r>
                </w:p>
              </w:tc>
            </w:tr>
            <w:tr w14:paraId="1CD6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7" w:hRule="atLeast"/>
              </w:trPr>
              <w:tc>
                <w:tcPr>
                  <w:tcW w:w="4346" w:type="dxa"/>
                  <w:shd w:val="clear" w:color="auto" w:fill="FFFFFF"/>
                  <w:noWrap w:val="0"/>
                  <w:vAlign w:val="center"/>
                </w:tcPr>
                <w:p w14:paraId="36E14FF3">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olor w:val="auto"/>
                      <w:sz w:val="21"/>
                      <w:szCs w:val="21"/>
                      <w:lang w:val="en"/>
                    </w:rPr>
                    <w:t>危险废物转移联单实行全国统一编号，编号由十四位阿拉伯数字组成。第一至四位数字为年份代码；第五、六位数字为移出地省级行政区划代码；第七、八位数字为移出地设区的市级行政区划代码；其余六位数字以移出地设区的市级行政区域为单位进行流水编号。</w:t>
                  </w:r>
                </w:p>
              </w:tc>
              <w:tc>
                <w:tcPr>
                  <w:tcW w:w="2550" w:type="dxa"/>
                  <w:shd w:val="clear" w:color="auto" w:fill="FFFFFF"/>
                  <w:noWrap w:val="0"/>
                  <w:vAlign w:val="center"/>
                </w:tcPr>
                <w:p w14:paraId="3713C4B6">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aps/>
                      <w:color w:val="auto"/>
                      <w:sz w:val="21"/>
                      <w:szCs w:val="21"/>
                    </w:rPr>
                    <w:t>项目运营期危险废物转移联单采用全国统一的编号。</w:t>
                  </w:r>
                </w:p>
              </w:tc>
              <w:tc>
                <w:tcPr>
                  <w:tcW w:w="1104" w:type="dxa"/>
                  <w:shd w:val="clear" w:color="auto" w:fill="FFFFFF"/>
                  <w:noWrap w:val="0"/>
                  <w:vAlign w:val="center"/>
                </w:tcPr>
                <w:p w14:paraId="626479E8">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olor w:val="auto"/>
                      <w:sz w:val="21"/>
                      <w:szCs w:val="21"/>
                    </w:rPr>
                    <w:t>符合</w:t>
                  </w:r>
                </w:p>
              </w:tc>
            </w:tr>
            <w:tr w14:paraId="79D3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7" w:hRule="atLeast"/>
              </w:trPr>
              <w:tc>
                <w:tcPr>
                  <w:tcW w:w="4346" w:type="dxa"/>
                  <w:shd w:val="clear" w:color="auto" w:fill="FFFFFF"/>
                  <w:noWrap w:val="0"/>
                  <w:vAlign w:val="center"/>
                </w:tcPr>
                <w:p w14:paraId="2A83DE1F">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lang w:val="en"/>
                    </w:rPr>
                  </w:pPr>
                  <w:r>
                    <w:rPr>
                      <w:rFonts w:hint="default" w:ascii="Times New Roman" w:hAnsi="Times New Roman" w:cs="Times New Roman"/>
                      <w:bCs/>
                      <w:color w:val="auto"/>
                      <w:sz w:val="21"/>
                      <w:szCs w:val="21"/>
                      <w:lang w:val="en"/>
                    </w:rPr>
                    <w:t>移出人每转移一车（船或者其他运输工具）次同类危险废物，应当填写、运行一份危险废物转移联单；每车（船或者其他运输工具）次转移多类危险废物的，可以填写、运行一份危险废物转移联单，也可以每一类危险废物填写、运行一份危险废物转移联单。使用同一车（船或者其他运输工具）一次为多个移出人转移危险废物的，每个移出人应当分别填写、运行危险废物转移联单。</w:t>
                  </w:r>
                </w:p>
              </w:tc>
              <w:tc>
                <w:tcPr>
                  <w:tcW w:w="2550" w:type="dxa"/>
                  <w:shd w:val="clear" w:color="auto" w:fill="FFFFFF"/>
                  <w:noWrap w:val="0"/>
                  <w:vAlign w:val="center"/>
                </w:tcPr>
                <w:p w14:paraId="094E444B">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aps/>
                      <w:color w:val="auto"/>
                      <w:sz w:val="21"/>
                      <w:szCs w:val="21"/>
                    </w:rPr>
                    <w:t>项目运营期每次转移时填写相应的转移联单。</w:t>
                  </w:r>
                </w:p>
              </w:tc>
              <w:tc>
                <w:tcPr>
                  <w:tcW w:w="1104" w:type="dxa"/>
                  <w:shd w:val="clear" w:color="auto" w:fill="FFFFFF"/>
                  <w:noWrap w:val="0"/>
                  <w:vAlign w:val="center"/>
                </w:tcPr>
                <w:p w14:paraId="6655E9A7">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olor w:val="auto"/>
                      <w:sz w:val="21"/>
                      <w:szCs w:val="21"/>
                    </w:rPr>
                    <w:t>符合</w:t>
                  </w:r>
                </w:p>
              </w:tc>
            </w:tr>
            <w:tr w14:paraId="64E2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7" w:hRule="atLeast"/>
              </w:trPr>
              <w:tc>
                <w:tcPr>
                  <w:tcW w:w="4346" w:type="dxa"/>
                  <w:shd w:val="clear" w:color="auto" w:fill="FFFFFF"/>
                  <w:noWrap w:val="0"/>
                  <w:vAlign w:val="center"/>
                </w:tcPr>
                <w:p w14:paraId="51553125">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olor w:val="auto"/>
                      <w:sz w:val="21"/>
                      <w:szCs w:val="21"/>
                      <w:lang w:val="en"/>
                    </w:rPr>
                    <w:t>采用联运方式转移危险废物的，前一承运人和后一承运人应当明确运输交接的时间和地点。后一承运人应当核实危险废物转移联单确定的移出人信息、前一承运人信息及危险废物相关信息。</w:t>
                  </w:r>
                </w:p>
              </w:tc>
              <w:tc>
                <w:tcPr>
                  <w:tcW w:w="2550" w:type="dxa"/>
                  <w:shd w:val="clear" w:color="auto" w:fill="FFFFFF"/>
                  <w:noWrap w:val="0"/>
                  <w:vAlign w:val="center"/>
                </w:tcPr>
                <w:p w14:paraId="2719A2AE">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aps/>
                      <w:color w:val="auto"/>
                      <w:sz w:val="21"/>
                      <w:szCs w:val="21"/>
                    </w:rPr>
                    <w:t>项目危险废物采取专车专送，不采用联运方式。</w:t>
                  </w:r>
                </w:p>
              </w:tc>
              <w:tc>
                <w:tcPr>
                  <w:tcW w:w="1104" w:type="dxa"/>
                  <w:shd w:val="clear" w:color="auto" w:fill="FFFFFF"/>
                  <w:noWrap w:val="0"/>
                  <w:vAlign w:val="center"/>
                </w:tcPr>
                <w:p w14:paraId="498B6460">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olor w:val="auto"/>
                      <w:sz w:val="21"/>
                      <w:szCs w:val="21"/>
                    </w:rPr>
                    <w:t>符合</w:t>
                  </w:r>
                </w:p>
              </w:tc>
            </w:tr>
            <w:tr w14:paraId="0E3B0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7" w:hRule="atLeast"/>
              </w:trPr>
              <w:tc>
                <w:tcPr>
                  <w:tcW w:w="4346" w:type="dxa"/>
                  <w:shd w:val="clear" w:color="auto" w:fill="FFFFFF"/>
                  <w:noWrap w:val="0"/>
                  <w:vAlign w:val="center"/>
                </w:tcPr>
                <w:p w14:paraId="54E418DF">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olor w:val="auto"/>
                      <w:sz w:val="21"/>
                      <w:szCs w:val="21"/>
                      <w:lang w:val="en"/>
                    </w:rPr>
                    <w:t>对不通过车（船或者其他运输工具），且无法按次对危险废物计量的其他方式转移危险废物的，移出人和接受人应当分别配备计量记录设备，将每天危险废物转移的种类、重量（数量）、形态和危险特性等信息纳入相关台账记录，并根据所在地设区的市级以上地方生态环境主管部门的要求填写、运行危险废物转移联单。</w:t>
                  </w:r>
                </w:p>
              </w:tc>
              <w:tc>
                <w:tcPr>
                  <w:tcW w:w="2550" w:type="dxa"/>
                  <w:shd w:val="clear" w:color="auto" w:fill="FFFFFF"/>
                  <w:noWrap w:val="0"/>
                  <w:vAlign w:val="center"/>
                </w:tcPr>
                <w:p w14:paraId="0B773F0F">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aps/>
                      <w:color w:val="auto"/>
                      <w:sz w:val="21"/>
                      <w:szCs w:val="21"/>
                    </w:rPr>
                    <w:t>项目采用运输车辆进行转运，每次进厂、出厂进行危险废物称重。</w:t>
                  </w:r>
                </w:p>
              </w:tc>
              <w:tc>
                <w:tcPr>
                  <w:tcW w:w="1104" w:type="dxa"/>
                  <w:shd w:val="clear" w:color="auto" w:fill="FFFFFF"/>
                  <w:noWrap w:val="0"/>
                  <w:vAlign w:val="center"/>
                </w:tcPr>
                <w:p w14:paraId="6635FA4F">
                  <w:pPr>
                    <w:pStyle w:val="30"/>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aps/>
                      <w:color w:val="auto"/>
                      <w:sz w:val="21"/>
                      <w:szCs w:val="21"/>
                    </w:rPr>
                  </w:pPr>
                  <w:r>
                    <w:rPr>
                      <w:rFonts w:hint="default" w:ascii="Times New Roman" w:hAnsi="Times New Roman" w:cs="Times New Roman"/>
                      <w:bCs/>
                      <w:color w:val="auto"/>
                      <w:sz w:val="21"/>
                      <w:szCs w:val="21"/>
                    </w:rPr>
                    <w:t>符合</w:t>
                  </w:r>
                </w:p>
              </w:tc>
            </w:tr>
          </w:tbl>
          <w:p w14:paraId="7F38C9BB">
            <w:pPr>
              <w:ind w:firstLine="482"/>
              <w:rPr>
                <w:rFonts w:hint="default"/>
                <w:b w:val="0"/>
                <w:bCs w:val="0"/>
                <w:color w:val="auto"/>
                <w:lang w:val="en-US" w:eastAsia="zh-CN"/>
              </w:rPr>
            </w:pPr>
            <w:r>
              <w:rPr>
                <w:rFonts w:hint="default"/>
                <w:b w:val="0"/>
                <w:bCs w:val="0"/>
                <w:color w:val="auto"/>
                <w:lang w:val="en-US" w:eastAsia="zh-CN"/>
              </w:rPr>
              <w:t>由上表可知，项目建设与《危险废物转移管理办法》（部令第23号）相符。</w:t>
            </w:r>
          </w:p>
          <w:p w14:paraId="74E3BAA2">
            <w:pPr>
              <w:ind w:firstLine="482"/>
              <w:rPr>
                <w:rFonts w:hint="default"/>
                <w:b/>
                <w:bCs/>
                <w:color w:val="auto"/>
                <w:lang w:val="en-US" w:eastAsia="zh-CN"/>
              </w:rPr>
            </w:pPr>
            <w:r>
              <w:rPr>
                <w:rFonts w:hint="eastAsia"/>
                <w:b/>
                <w:bCs/>
                <w:color w:val="auto"/>
                <w:lang w:val="en-US" w:eastAsia="zh-CN"/>
              </w:rPr>
              <w:t>13、项目与《云南省空气质量持续改善行动实施方案》符合性分析</w:t>
            </w:r>
          </w:p>
          <w:p w14:paraId="48A78FED">
            <w:pPr>
              <w:ind w:firstLine="482"/>
              <w:rPr>
                <w:rFonts w:hint="default"/>
                <w:b w:val="0"/>
                <w:bCs w:val="0"/>
                <w:color w:val="auto"/>
                <w:lang w:val="en-US" w:eastAsia="zh-CN"/>
              </w:rPr>
            </w:pPr>
            <w:r>
              <w:rPr>
                <w:rFonts w:hint="default"/>
                <w:b w:val="0"/>
                <w:bCs w:val="0"/>
                <w:color w:val="auto"/>
                <w:lang w:val="en-US" w:eastAsia="zh-CN"/>
              </w:rPr>
              <w:t>为全面贯彻落实《国务院关于印发〈空气质量持续改善行动计划〉的通知》（国发〔2023〕24号）精神，持续深入打好蓝天保卫战，结合我省实际，2024年4月23日云南省人民政府发布了《关于印发（云南省空气质量持续改善行动实施方案）的通知》（云政发〔2024〕14号），项目与其符合性分析详见下表。</w:t>
            </w:r>
          </w:p>
          <w:p w14:paraId="17C883D7">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表1-13  项目与《云南省空气质量持续改善行动实施方案》符合性分析一览表</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0"/>
              <w:gridCol w:w="3731"/>
              <w:gridCol w:w="2094"/>
              <w:gridCol w:w="671"/>
            </w:tblGrid>
            <w:tr w14:paraId="2BDD2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416" w:type="pct"/>
                  <w:noWrap w:val="0"/>
                  <w:vAlign w:val="center"/>
                </w:tcPr>
                <w:p w14:paraId="5A71CFAA">
                  <w:pPr>
                    <w:pStyle w:val="64"/>
                    <w:keepNext w:val="0"/>
                    <w:keepLines w:val="0"/>
                    <w:pageBreakBefore w:val="0"/>
                    <w:widowControl w:val="0"/>
                    <w:kinsoku/>
                    <w:wordWrap/>
                    <w:overflow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章节</w:t>
                  </w:r>
                </w:p>
              </w:tc>
              <w:tc>
                <w:tcPr>
                  <w:tcW w:w="2631" w:type="pct"/>
                  <w:noWrap w:val="0"/>
                  <w:vAlign w:val="center"/>
                </w:tcPr>
                <w:p w14:paraId="229A592E">
                  <w:pPr>
                    <w:keepNext w:val="0"/>
                    <w:keepLines w:val="0"/>
                    <w:pageBreakBefore w:val="0"/>
                    <w:widowControl w:val="0"/>
                    <w:kinsoku/>
                    <w:wordWrap/>
                    <w:overflow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要求</w:t>
                  </w:r>
                </w:p>
              </w:tc>
              <w:tc>
                <w:tcPr>
                  <w:tcW w:w="1477" w:type="pct"/>
                  <w:noWrap w:val="0"/>
                  <w:vAlign w:val="center"/>
                </w:tcPr>
                <w:p w14:paraId="1B570170">
                  <w:pPr>
                    <w:keepNext w:val="0"/>
                    <w:keepLines w:val="0"/>
                    <w:pageBreakBefore w:val="0"/>
                    <w:widowControl w:val="0"/>
                    <w:kinsoku/>
                    <w:wordWrap/>
                    <w:overflow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项目建设情况</w:t>
                  </w:r>
                </w:p>
              </w:tc>
              <w:tc>
                <w:tcPr>
                  <w:tcW w:w="473" w:type="pct"/>
                  <w:noWrap w:val="0"/>
                  <w:vAlign w:val="center"/>
                </w:tcPr>
                <w:p w14:paraId="79F394A7">
                  <w:pPr>
                    <w:keepNext w:val="0"/>
                    <w:keepLines w:val="0"/>
                    <w:pageBreakBefore w:val="0"/>
                    <w:widowControl w:val="0"/>
                    <w:kinsoku/>
                    <w:wordWrap/>
                    <w:overflow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符合性</w:t>
                  </w:r>
                </w:p>
              </w:tc>
            </w:tr>
            <w:tr w14:paraId="17AFE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6" w:type="pct"/>
                  <w:noWrap w:val="0"/>
                  <w:vAlign w:val="center"/>
                </w:tcPr>
                <w:p w14:paraId="3A83C5A6">
                  <w:pPr>
                    <w:pStyle w:val="64"/>
                    <w:keepNext w:val="0"/>
                    <w:keepLines w:val="0"/>
                    <w:pageBreakBefore w:val="0"/>
                    <w:widowControl w:val="0"/>
                    <w:kinsoku/>
                    <w:wordWrap/>
                    <w:overflow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zh-CN"/>
                    </w:rPr>
                    <w:t>优化产业结构</w:t>
                  </w:r>
                </w:p>
              </w:tc>
              <w:tc>
                <w:tcPr>
                  <w:tcW w:w="2631" w:type="pct"/>
                  <w:noWrap w:val="0"/>
                  <w:vAlign w:val="center"/>
                </w:tcPr>
                <w:p w14:paraId="2F2A5DF6">
                  <w:pPr>
                    <w:pStyle w:val="19"/>
                    <w:keepNext w:val="0"/>
                    <w:keepLines w:val="0"/>
                    <w:pageBreakBefore w:val="0"/>
                    <w:widowControl w:val="0"/>
                    <w:kinsoku/>
                    <w:wordWrap/>
                    <w:overflowPunct/>
                    <w:topLinePunct/>
                    <w:autoSpaceDE/>
                    <w:autoSpaceDN/>
                    <w:bidi w:val="0"/>
                    <w:adjustRightInd w:val="0"/>
                    <w:snapToGrid w:val="0"/>
                    <w:spacing w:before="0" w:beforeAutospacing="0" w:after="0" w:afterAutospacing="0" w:line="240" w:lineRule="auto"/>
                    <w:ind w:firstLine="0" w:firstLineChars="0"/>
                    <w:jc w:val="both"/>
                    <w:textAlignment w:val="auto"/>
                    <w:rPr>
                      <w:rFonts w:hint="default" w:ascii="Times New Roman" w:hAnsi="Times New Roman" w:eastAsia="宋体" w:cs="Times New Roman"/>
                      <w:color w:val="auto"/>
                      <w:kern w:val="2"/>
                      <w:sz w:val="21"/>
                      <w:szCs w:val="21"/>
                      <w:lang w:val="zh-CN"/>
                    </w:rPr>
                  </w:pPr>
                  <w:r>
                    <w:rPr>
                      <w:rFonts w:hint="default" w:ascii="Times New Roman" w:hAnsi="Times New Roman" w:eastAsia="宋体" w:cs="Times New Roman"/>
                      <w:color w:val="auto"/>
                      <w:kern w:val="2"/>
                      <w:sz w:val="21"/>
                      <w:szCs w:val="21"/>
                    </w:rPr>
                    <w:t>1、</w:t>
                  </w:r>
                  <w:r>
                    <w:rPr>
                      <w:rFonts w:hint="default" w:ascii="Times New Roman" w:hAnsi="Times New Roman" w:eastAsia="宋体" w:cs="Times New Roman"/>
                      <w:color w:val="auto"/>
                      <w:kern w:val="2"/>
                      <w:sz w:val="21"/>
                      <w:szCs w:val="21"/>
                      <w:lang w:val="zh-CN"/>
                    </w:rPr>
                    <w:t>坚决遏制“两高一低”项目盲目上马。新改扩建项目严格落实国家和省产业规划、产业政策、生态环境分区管控方案、规划环评、项目环评、节能审查、产能置换、重点污染物总量控制、污染物排放区域削减、碳排放达峰目标等相关要求，原则上采用清洁运输方式。加快推进钢铁产业转型升级，鼓励钢铁、焦化、烧结一体化布局，减少独立焦化、烧结、球团和热轧企业及工序。到2025年，短流程炼钢产量占比达15%。</w:t>
                  </w:r>
                </w:p>
                <w:p w14:paraId="25D278A9">
                  <w:pPr>
                    <w:pStyle w:val="19"/>
                    <w:keepNext w:val="0"/>
                    <w:keepLines w:val="0"/>
                    <w:pageBreakBefore w:val="0"/>
                    <w:widowControl w:val="0"/>
                    <w:kinsoku/>
                    <w:wordWrap/>
                    <w:overflowPunct/>
                    <w:topLinePunct/>
                    <w:autoSpaceDE/>
                    <w:autoSpaceDN/>
                    <w:bidi w:val="0"/>
                    <w:adjustRightInd w:val="0"/>
                    <w:snapToGrid w:val="0"/>
                    <w:spacing w:before="0" w:beforeAutospacing="0" w:after="0" w:afterAutospacing="0" w:line="240" w:lineRule="auto"/>
                    <w:ind w:firstLine="0" w:firstLineChars="0"/>
                    <w:jc w:val="both"/>
                    <w:textAlignment w:val="auto"/>
                    <w:rPr>
                      <w:rFonts w:hint="default" w:ascii="Times New Roman" w:hAnsi="Times New Roman" w:eastAsia="宋体" w:cs="Times New Roman"/>
                      <w:color w:val="auto"/>
                      <w:kern w:val="2"/>
                      <w:sz w:val="21"/>
                      <w:szCs w:val="21"/>
                      <w:lang w:val="zh-CN"/>
                    </w:rPr>
                  </w:pPr>
                  <w:r>
                    <w:rPr>
                      <w:rFonts w:hint="default" w:ascii="Times New Roman" w:hAnsi="Times New Roman" w:eastAsia="宋体" w:cs="Times New Roman"/>
                      <w:color w:val="auto"/>
                      <w:kern w:val="2"/>
                      <w:sz w:val="21"/>
                      <w:szCs w:val="21"/>
                    </w:rPr>
                    <w:t>2、</w:t>
                  </w:r>
                  <w:r>
                    <w:rPr>
                      <w:rFonts w:hint="default" w:ascii="Times New Roman" w:hAnsi="Times New Roman" w:eastAsia="宋体" w:cs="Times New Roman"/>
                      <w:color w:val="auto"/>
                      <w:kern w:val="2"/>
                      <w:sz w:val="21"/>
                      <w:szCs w:val="21"/>
                      <w:lang w:val="zh-CN"/>
                    </w:rPr>
                    <w:t>推动落后产能退出。推动能耗、环保、质量、安全、技术达不到标准和生产不合格产品或淘汰类产能依法依规关停退出。不予审批限制类新建项目，按照国家要求对属于限制类的现有生产能力进行升级改造。</w:t>
                  </w:r>
                </w:p>
                <w:p w14:paraId="56AB1231">
                  <w:pPr>
                    <w:pStyle w:val="19"/>
                    <w:keepNext w:val="0"/>
                    <w:keepLines w:val="0"/>
                    <w:pageBreakBefore w:val="0"/>
                    <w:widowControl w:val="0"/>
                    <w:kinsoku/>
                    <w:wordWrap/>
                    <w:overflowPunct/>
                    <w:topLinePunct/>
                    <w:autoSpaceDE/>
                    <w:autoSpaceDN/>
                    <w:bidi w:val="0"/>
                    <w:adjustRightInd w:val="0"/>
                    <w:snapToGrid w:val="0"/>
                    <w:spacing w:before="0" w:beforeAutospacing="0" w:after="0" w:afterAutospacing="0" w:line="240" w:lineRule="auto"/>
                    <w:ind w:firstLine="0" w:firstLineChars="0"/>
                    <w:jc w:val="both"/>
                    <w:textAlignment w:val="auto"/>
                    <w:rPr>
                      <w:rFonts w:hint="default" w:ascii="Times New Roman" w:hAnsi="Times New Roman" w:eastAsia="宋体" w:cs="Times New Roman"/>
                      <w:color w:val="auto"/>
                      <w:kern w:val="2"/>
                      <w:sz w:val="21"/>
                      <w:szCs w:val="21"/>
                      <w:lang w:val="zh-CN"/>
                    </w:rPr>
                  </w:pPr>
                  <w:r>
                    <w:rPr>
                      <w:rFonts w:hint="default" w:ascii="Times New Roman" w:hAnsi="Times New Roman" w:eastAsia="宋体" w:cs="Times New Roman"/>
                      <w:color w:val="auto"/>
                      <w:kern w:val="2"/>
                      <w:sz w:val="21"/>
                      <w:szCs w:val="21"/>
                    </w:rPr>
                    <w:t>3、</w:t>
                  </w:r>
                  <w:r>
                    <w:rPr>
                      <w:rFonts w:hint="default" w:ascii="Times New Roman" w:hAnsi="Times New Roman" w:eastAsia="宋体" w:cs="Times New Roman"/>
                      <w:color w:val="auto"/>
                      <w:kern w:val="2"/>
                      <w:sz w:val="21"/>
                      <w:szCs w:val="21"/>
                      <w:lang w:val="zh-CN"/>
                    </w:rPr>
                    <w:t>优化含VOCs原辅材料和产品结构。严格控制生产和使用高VOCs含量涂料、油墨、胶粘剂、清洗剂等建设项目，加大工业涂装、包装印刷和电子行业低（无）VOCs含量原辅材料替代力度。严格执行VOCs含量限值标准，室外构筑物防护和城市道路交通标志推广使用低（无）VOCs含量涂料。</w:t>
                  </w:r>
                </w:p>
                <w:p w14:paraId="4203937F">
                  <w:pPr>
                    <w:pStyle w:val="19"/>
                    <w:keepNext w:val="0"/>
                    <w:keepLines w:val="0"/>
                    <w:pageBreakBefore w:val="0"/>
                    <w:widowControl w:val="0"/>
                    <w:kinsoku/>
                    <w:wordWrap/>
                    <w:overflowPunct/>
                    <w:topLinePunct/>
                    <w:autoSpaceDE/>
                    <w:autoSpaceDN/>
                    <w:bidi w:val="0"/>
                    <w:adjustRightInd w:val="0"/>
                    <w:snapToGrid w:val="0"/>
                    <w:spacing w:before="0" w:beforeAutospacing="0" w:after="0" w:afterAutospacing="0" w:line="240" w:lineRule="auto"/>
                    <w:ind w:firstLine="0" w:firstLineChars="0"/>
                    <w:jc w:val="both"/>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4、</w:t>
                  </w:r>
                  <w:r>
                    <w:rPr>
                      <w:rFonts w:hint="default" w:ascii="Times New Roman" w:hAnsi="Times New Roman" w:eastAsia="宋体" w:cs="Times New Roman"/>
                      <w:color w:val="auto"/>
                      <w:kern w:val="2"/>
                      <w:sz w:val="21"/>
                      <w:szCs w:val="21"/>
                      <w:lang w:val="zh-CN"/>
                    </w:rPr>
                    <w:t>推动绿色环保产业健康发展。支持培育一批低（无）VOCs含量原辅材料生产和使用、VOCs污染治理、超低排放、环境和大气成分监测等领域龙头企业。多措并举治理环保领域低价低质中标乱象，营造公平竞争环境，推动产业健康有序发展。</w:t>
                  </w:r>
                </w:p>
              </w:tc>
              <w:tc>
                <w:tcPr>
                  <w:tcW w:w="1477" w:type="pct"/>
                  <w:noWrap w:val="0"/>
                  <w:vAlign w:val="center"/>
                </w:tcPr>
                <w:p w14:paraId="0C80B93D">
                  <w:pPr>
                    <w:pStyle w:val="64"/>
                    <w:keepNext w:val="0"/>
                    <w:keepLines w:val="0"/>
                    <w:pageBreakBefore w:val="0"/>
                    <w:widowControl w:val="0"/>
                    <w:kinsoku/>
                    <w:wordWrap/>
                    <w:overflow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rPr>
                    <w:t>1、本项目外购带钢生产高频焊管，不属于两高项目。项目建设符合</w:t>
                  </w:r>
                  <w:r>
                    <w:rPr>
                      <w:rFonts w:hint="default" w:ascii="Times New Roman" w:hAnsi="Times New Roman" w:eastAsia="宋体" w:cs="Times New Roman"/>
                      <w:color w:val="auto"/>
                      <w:sz w:val="21"/>
                      <w:szCs w:val="21"/>
                      <w:lang w:val="zh-CN"/>
                    </w:rPr>
                    <w:t>产业规划、产业政策、生态环境分区管控方案、规划环评</w:t>
                  </w:r>
                  <w:r>
                    <w:rPr>
                      <w:rFonts w:hint="default" w:ascii="Times New Roman" w:hAnsi="Times New Roman" w:eastAsia="宋体" w:cs="Times New Roman"/>
                      <w:color w:val="auto"/>
                      <w:sz w:val="21"/>
                      <w:szCs w:val="21"/>
                    </w:rPr>
                    <w:t>等相关要求。项目不涉及</w:t>
                  </w:r>
                  <w:r>
                    <w:rPr>
                      <w:rFonts w:hint="default" w:ascii="Times New Roman" w:hAnsi="Times New Roman" w:eastAsia="宋体" w:cs="Times New Roman"/>
                      <w:color w:val="auto"/>
                      <w:sz w:val="21"/>
                      <w:szCs w:val="21"/>
                      <w:lang w:val="zh-CN"/>
                    </w:rPr>
                    <w:t>钢铁产业转型升级、独立焦化、烧结、球团和热轧企业及工序。</w:t>
                  </w:r>
                </w:p>
                <w:p w14:paraId="4B66AA18">
                  <w:pPr>
                    <w:pStyle w:val="64"/>
                    <w:keepNext w:val="0"/>
                    <w:keepLines w:val="0"/>
                    <w:pageBreakBefore w:val="0"/>
                    <w:widowControl w:val="0"/>
                    <w:kinsoku/>
                    <w:wordWrap/>
                    <w:overflow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rPr>
                    <w:t>2、</w:t>
                  </w:r>
                  <w:r>
                    <w:rPr>
                      <w:rFonts w:hint="default" w:ascii="Times New Roman" w:hAnsi="Times New Roman" w:eastAsia="宋体" w:cs="Times New Roman"/>
                      <w:color w:val="auto"/>
                      <w:sz w:val="21"/>
                      <w:szCs w:val="21"/>
                      <w:lang w:val="zh-CN"/>
                    </w:rPr>
                    <w:t>本项目</w:t>
                  </w:r>
                  <w:r>
                    <w:rPr>
                      <w:rFonts w:hint="default" w:ascii="Times New Roman" w:hAnsi="Times New Roman" w:eastAsia="宋体" w:cs="Times New Roman"/>
                      <w:color w:val="auto"/>
                      <w:sz w:val="21"/>
                      <w:szCs w:val="21"/>
                    </w:rPr>
                    <w:t>外购带钢生产高频焊管，</w:t>
                  </w:r>
                  <w:r>
                    <w:rPr>
                      <w:rFonts w:hint="default" w:ascii="Times New Roman" w:hAnsi="Times New Roman" w:eastAsia="宋体" w:cs="Times New Roman"/>
                      <w:color w:val="auto"/>
                      <w:sz w:val="21"/>
                      <w:szCs w:val="21"/>
                      <w:lang w:val="zh-CN"/>
                    </w:rPr>
                    <w:t>属于</w:t>
                  </w:r>
                  <w:r>
                    <w:rPr>
                      <w:rFonts w:hint="default" w:ascii="Times New Roman" w:hAnsi="Times New Roman" w:eastAsia="宋体" w:cs="Times New Roman"/>
                      <w:color w:val="auto"/>
                      <w:sz w:val="21"/>
                      <w:szCs w:val="21"/>
                    </w:rPr>
                    <w:t>C3130钢压延加工</w:t>
                  </w:r>
                  <w:r>
                    <w:rPr>
                      <w:rFonts w:hint="default" w:ascii="Times New Roman" w:hAnsi="Times New Roman" w:eastAsia="宋体" w:cs="Times New Roman"/>
                      <w:color w:val="auto"/>
                      <w:sz w:val="21"/>
                      <w:szCs w:val="21"/>
                      <w:lang w:val="zh-CN"/>
                    </w:rPr>
                    <w:t>，本项目不生产落后产品，不使用淘汰类生产设备。经对照《产业结构调整指导目录（2024年本）》分析，本项目不属于鼓励类、限制类，不使用落后生产工艺装备，不生产落后产品，</w:t>
                  </w:r>
                  <w:r>
                    <w:rPr>
                      <w:rFonts w:hint="default" w:ascii="Times New Roman" w:hAnsi="Times New Roman" w:eastAsia="宋体" w:cs="Times New Roman"/>
                      <w:color w:val="auto"/>
                      <w:kern w:val="2"/>
                      <w:sz w:val="21"/>
                      <w:szCs w:val="21"/>
                      <w:lang w:val="zh-CN" w:eastAsia="zh-CN" w:bidi="ar-SA"/>
                    </w:rPr>
                    <w:t>“鼓励类、限制类和淘汰类之外的，且符合国家有关法律、法规和政策规定的属于允许类”</w:t>
                  </w:r>
                  <w:r>
                    <w:rPr>
                      <w:rFonts w:hint="default" w:ascii="Times New Roman" w:hAnsi="Times New Roman" w:eastAsia="宋体" w:cs="Times New Roman"/>
                      <w:color w:val="auto"/>
                      <w:sz w:val="21"/>
                      <w:szCs w:val="21"/>
                      <w:lang w:val="zh-CN"/>
                    </w:rPr>
                    <w:t>。根据《产业发展与转移指导目录（2018年本）》，本项目不属于云南引导不再承接的产业。</w:t>
                  </w:r>
                </w:p>
                <w:p w14:paraId="4B49497E">
                  <w:pPr>
                    <w:pStyle w:val="64"/>
                    <w:keepNext w:val="0"/>
                    <w:keepLines w:val="0"/>
                    <w:pageBreakBefore w:val="0"/>
                    <w:widowControl w:val="0"/>
                    <w:kinsoku/>
                    <w:wordWrap/>
                    <w:overflow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rPr>
                    <w:t>3、项目不涉及</w:t>
                  </w:r>
                  <w:r>
                    <w:rPr>
                      <w:rFonts w:hint="default" w:ascii="Times New Roman" w:hAnsi="Times New Roman" w:eastAsia="宋体" w:cs="Times New Roman"/>
                      <w:color w:val="auto"/>
                      <w:sz w:val="21"/>
                      <w:szCs w:val="21"/>
                      <w:lang w:val="zh-CN"/>
                    </w:rPr>
                    <w:t>含VOCs原辅材料和产品；</w:t>
                  </w:r>
                  <w:r>
                    <w:rPr>
                      <w:rFonts w:hint="default" w:ascii="Times New Roman" w:hAnsi="Times New Roman" w:eastAsia="宋体" w:cs="Times New Roman"/>
                      <w:color w:val="auto"/>
                      <w:sz w:val="21"/>
                      <w:szCs w:val="21"/>
                    </w:rPr>
                    <w:t>不</w:t>
                  </w:r>
                  <w:r>
                    <w:rPr>
                      <w:rFonts w:hint="default" w:ascii="Times New Roman" w:hAnsi="Times New Roman" w:eastAsia="宋体" w:cs="Times New Roman"/>
                      <w:color w:val="auto"/>
                      <w:sz w:val="21"/>
                      <w:szCs w:val="21"/>
                      <w:lang w:val="zh-CN"/>
                    </w:rPr>
                    <w:t>生产和使用高VOCs含量涂料、油墨、胶粘剂、清洗剂等；</w:t>
                  </w:r>
                </w:p>
                <w:p w14:paraId="4291B699">
                  <w:pPr>
                    <w:pStyle w:val="64"/>
                    <w:keepNext w:val="0"/>
                    <w:keepLines w:val="0"/>
                    <w:pageBreakBefore w:val="0"/>
                    <w:widowControl w:val="0"/>
                    <w:kinsoku/>
                    <w:wordWrap/>
                    <w:overflow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4、项目不涉及。</w:t>
                  </w:r>
                </w:p>
              </w:tc>
              <w:tc>
                <w:tcPr>
                  <w:tcW w:w="473" w:type="pct"/>
                  <w:noWrap w:val="0"/>
                  <w:vAlign w:val="center"/>
                </w:tcPr>
                <w:p w14:paraId="55F4C159">
                  <w:pPr>
                    <w:pStyle w:val="64"/>
                    <w:keepNext w:val="0"/>
                    <w:keepLines w:val="0"/>
                    <w:pageBreakBefore w:val="0"/>
                    <w:widowControl w:val="0"/>
                    <w:kinsoku/>
                    <w:wordWrap/>
                    <w:overflow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1DDEC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6" w:type="pct"/>
                  <w:noWrap w:val="0"/>
                  <w:vAlign w:val="center"/>
                </w:tcPr>
                <w:p w14:paraId="0EE3BF50">
                  <w:pPr>
                    <w:pStyle w:val="64"/>
                    <w:keepNext w:val="0"/>
                    <w:keepLines w:val="0"/>
                    <w:pageBreakBefore w:val="0"/>
                    <w:widowControl w:val="0"/>
                    <w:kinsoku/>
                    <w:wordWrap/>
                    <w:overflow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优化能源结构</w:t>
                  </w:r>
                </w:p>
              </w:tc>
              <w:tc>
                <w:tcPr>
                  <w:tcW w:w="2631" w:type="pct"/>
                  <w:noWrap w:val="0"/>
                  <w:vAlign w:val="center"/>
                </w:tcPr>
                <w:p w14:paraId="1EA55BB2">
                  <w:pPr>
                    <w:pStyle w:val="19"/>
                    <w:keepNext w:val="0"/>
                    <w:keepLines w:val="0"/>
                    <w:pageBreakBefore w:val="0"/>
                    <w:widowControl w:val="0"/>
                    <w:kinsoku/>
                    <w:wordWrap/>
                    <w:overflowPunct/>
                    <w:topLinePunct/>
                    <w:autoSpaceDE/>
                    <w:autoSpaceDN/>
                    <w:bidi w:val="0"/>
                    <w:adjustRightInd w:val="0"/>
                    <w:snapToGrid w:val="0"/>
                    <w:spacing w:before="0" w:beforeAutospacing="0" w:after="0" w:afterAutospacing="0" w:line="240" w:lineRule="auto"/>
                    <w:ind w:firstLine="0" w:firstLineChars="0"/>
                    <w:jc w:val="both"/>
                    <w:textAlignment w:val="auto"/>
                    <w:rPr>
                      <w:rFonts w:hint="default" w:ascii="Times New Roman" w:hAnsi="Times New Roman" w:eastAsia="宋体" w:cs="Times New Roman"/>
                      <w:color w:val="auto"/>
                      <w:kern w:val="2"/>
                      <w:sz w:val="21"/>
                      <w:szCs w:val="21"/>
                      <w:lang w:val="zh-CN"/>
                    </w:rPr>
                  </w:pPr>
                  <w:r>
                    <w:rPr>
                      <w:rFonts w:hint="default" w:ascii="Times New Roman" w:hAnsi="Times New Roman" w:eastAsia="宋体" w:cs="Times New Roman"/>
                      <w:color w:val="auto"/>
                      <w:kern w:val="2"/>
                      <w:sz w:val="21"/>
                      <w:szCs w:val="21"/>
                    </w:rPr>
                    <w:t>1、</w:t>
                  </w:r>
                  <w:r>
                    <w:rPr>
                      <w:rFonts w:hint="default" w:ascii="Times New Roman" w:hAnsi="Times New Roman" w:eastAsia="宋体" w:cs="Times New Roman"/>
                      <w:color w:val="auto"/>
                      <w:kern w:val="2"/>
                      <w:sz w:val="21"/>
                      <w:szCs w:val="21"/>
                      <w:lang w:val="zh-CN"/>
                    </w:rPr>
                    <w:t>严格合理控制煤炭消费增长。有序推进煤炭消费减量替代。支持烟叶烘烤等农特产品加工燃煤设施实施清洁能源改造。对支撑电力稳定供应、电网安全运行、清洁能源大规模并网消纳的煤电项目及其用煤量应予以合理保障。</w:t>
                  </w:r>
                </w:p>
                <w:p w14:paraId="1E541A6F">
                  <w:pPr>
                    <w:pStyle w:val="19"/>
                    <w:keepNext w:val="0"/>
                    <w:keepLines w:val="0"/>
                    <w:pageBreakBefore w:val="0"/>
                    <w:widowControl w:val="0"/>
                    <w:kinsoku/>
                    <w:wordWrap/>
                    <w:overflowPunct/>
                    <w:topLinePunct/>
                    <w:autoSpaceDE/>
                    <w:autoSpaceDN/>
                    <w:bidi w:val="0"/>
                    <w:adjustRightInd w:val="0"/>
                    <w:snapToGrid w:val="0"/>
                    <w:spacing w:before="0" w:beforeAutospacing="0" w:after="0" w:afterAutospacing="0" w:line="240" w:lineRule="auto"/>
                    <w:ind w:firstLine="0" w:firstLineChars="0"/>
                    <w:jc w:val="both"/>
                    <w:textAlignment w:val="auto"/>
                    <w:rPr>
                      <w:rFonts w:hint="default" w:ascii="Times New Roman" w:hAnsi="Times New Roman" w:eastAsia="宋体" w:cs="Times New Roman"/>
                      <w:color w:val="auto"/>
                      <w:kern w:val="2"/>
                      <w:sz w:val="21"/>
                      <w:szCs w:val="21"/>
                      <w:lang w:val="zh-CN"/>
                    </w:rPr>
                  </w:pPr>
                  <w:r>
                    <w:rPr>
                      <w:rFonts w:hint="default" w:ascii="Times New Roman" w:hAnsi="Times New Roman" w:eastAsia="宋体" w:cs="Times New Roman"/>
                      <w:color w:val="auto"/>
                      <w:kern w:val="2"/>
                      <w:sz w:val="21"/>
                      <w:szCs w:val="21"/>
                    </w:rPr>
                    <w:t>2、</w:t>
                  </w:r>
                  <w:r>
                    <w:rPr>
                      <w:rFonts w:hint="default" w:ascii="Times New Roman" w:hAnsi="Times New Roman" w:eastAsia="宋体" w:cs="Times New Roman"/>
                      <w:color w:val="auto"/>
                      <w:kern w:val="2"/>
                      <w:sz w:val="21"/>
                      <w:szCs w:val="21"/>
                      <w:lang w:val="zh-CN"/>
                    </w:rPr>
                    <w:t>开展燃煤锅炉关停整合。县级及以上城市建成区原则上不再新建35蒸吨/小时及以下燃煤锅炉。依托电厂、大型工业企业开展远距离供热示范，淘汰管网覆盖范围内的燃煤锅炉和散煤。到2025年，PM2.5未达标城市基本淘汰10蒸吨/小时及以下燃煤锅炉。</w:t>
                  </w:r>
                </w:p>
                <w:p w14:paraId="6B510CD4">
                  <w:pPr>
                    <w:pStyle w:val="19"/>
                    <w:keepNext w:val="0"/>
                    <w:keepLines w:val="0"/>
                    <w:pageBreakBefore w:val="0"/>
                    <w:widowControl w:val="0"/>
                    <w:kinsoku/>
                    <w:wordWrap/>
                    <w:overflowPunct/>
                    <w:topLinePunct/>
                    <w:autoSpaceDE/>
                    <w:autoSpaceDN/>
                    <w:bidi w:val="0"/>
                    <w:adjustRightInd w:val="0"/>
                    <w:snapToGrid w:val="0"/>
                    <w:spacing w:before="0" w:beforeAutospacing="0" w:after="0" w:afterAutospacing="0" w:line="240" w:lineRule="auto"/>
                    <w:ind w:firstLine="0" w:firstLineChars="0"/>
                    <w:jc w:val="both"/>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3、</w:t>
                  </w:r>
                  <w:r>
                    <w:rPr>
                      <w:rFonts w:hint="default" w:ascii="Times New Roman" w:hAnsi="Times New Roman" w:eastAsia="宋体" w:cs="Times New Roman"/>
                      <w:color w:val="auto"/>
                      <w:kern w:val="2"/>
                      <w:sz w:val="21"/>
                      <w:szCs w:val="21"/>
                      <w:lang w:val="zh-CN"/>
                    </w:rPr>
                    <w:t>推动工业炉窑清洁能源替代。有序推进以电代煤，积极稳妥推进以气代煤。对以煤、石油焦、渣油、重油等为燃料的工业炉窑，加快使用工业余热、电能、天然气等清洁能源进行替代。</w:t>
                  </w:r>
                </w:p>
              </w:tc>
              <w:tc>
                <w:tcPr>
                  <w:tcW w:w="1477" w:type="pct"/>
                  <w:noWrap w:val="0"/>
                  <w:vAlign w:val="center"/>
                </w:tcPr>
                <w:p w14:paraId="212A9376">
                  <w:pPr>
                    <w:pStyle w:val="64"/>
                    <w:keepNext w:val="0"/>
                    <w:keepLines w:val="0"/>
                    <w:pageBreakBefore w:val="0"/>
                    <w:widowControl w:val="0"/>
                    <w:kinsoku/>
                    <w:wordWrap/>
                    <w:overflow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1、项目运营期使用清洁能源电能，不使用煤炭；</w:t>
                  </w:r>
                </w:p>
                <w:p w14:paraId="3E8CD554">
                  <w:pPr>
                    <w:pStyle w:val="64"/>
                    <w:keepNext w:val="0"/>
                    <w:keepLines w:val="0"/>
                    <w:pageBreakBefore w:val="0"/>
                    <w:widowControl w:val="0"/>
                    <w:kinsoku/>
                    <w:wordWrap/>
                    <w:overflow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rPr>
                    <w:t>2、项目不涉及</w:t>
                  </w:r>
                  <w:r>
                    <w:rPr>
                      <w:rFonts w:hint="default" w:ascii="Times New Roman" w:hAnsi="Times New Roman" w:eastAsia="宋体" w:cs="Times New Roman"/>
                      <w:color w:val="auto"/>
                      <w:sz w:val="21"/>
                      <w:szCs w:val="21"/>
                      <w:lang w:val="zh-CN"/>
                    </w:rPr>
                    <w:t>燃煤锅炉；</w:t>
                  </w:r>
                </w:p>
                <w:p w14:paraId="108CC06C">
                  <w:pPr>
                    <w:pStyle w:val="64"/>
                    <w:keepNext w:val="0"/>
                    <w:keepLines w:val="0"/>
                    <w:pageBreakBefore w:val="0"/>
                    <w:widowControl w:val="0"/>
                    <w:kinsoku/>
                    <w:wordWrap/>
                    <w:overflow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3、项目不涉及</w:t>
                  </w:r>
                  <w:r>
                    <w:rPr>
                      <w:rFonts w:hint="default" w:ascii="Times New Roman" w:hAnsi="Times New Roman" w:eastAsia="宋体" w:cs="Times New Roman"/>
                      <w:color w:val="auto"/>
                      <w:sz w:val="21"/>
                      <w:szCs w:val="21"/>
                      <w:lang w:val="zh-CN"/>
                    </w:rPr>
                    <w:t>煤、石油焦、渣油、重油等为燃料的工业炉窑。</w:t>
                  </w:r>
                </w:p>
              </w:tc>
              <w:tc>
                <w:tcPr>
                  <w:tcW w:w="473" w:type="pct"/>
                  <w:noWrap w:val="0"/>
                  <w:vAlign w:val="center"/>
                </w:tcPr>
                <w:p w14:paraId="55AA72F8">
                  <w:pPr>
                    <w:pStyle w:val="64"/>
                    <w:keepNext w:val="0"/>
                    <w:keepLines w:val="0"/>
                    <w:pageBreakBefore w:val="0"/>
                    <w:widowControl w:val="0"/>
                    <w:kinsoku/>
                    <w:wordWrap/>
                    <w:overflow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1E3B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6" w:type="pct"/>
                  <w:noWrap w:val="0"/>
                  <w:vAlign w:val="center"/>
                </w:tcPr>
                <w:p w14:paraId="11962E21">
                  <w:pPr>
                    <w:pStyle w:val="64"/>
                    <w:keepNext w:val="0"/>
                    <w:keepLines w:val="0"/>
                    <w:pageBreakBefore w:val="0"/>
                    <w:widowControl w:val="0"/>
                    <w:kinsoku/>
                    <w:wordWrap/>
                    <w:overflow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强化多污染物减排</w:t>
                  </w:r>
                </w:p>
              </w:tc>
              <w:tc>
                <w:tcPr>
                  <w:tcW w:w="2631" w:type="pct"/>
                  <w:noWrap w:val="0"/>
                  <w:vAlign w:val="center"/>
                </w:tcPr>
                <w:p w14:paraId="20BB28F1">
                  <w:pPr>
                    <w:pStyle w:val="19"/>
                    <w:keepNext w:val="0"/>
                    <w:keepLines w:val="0"/>
                    <w:pageBreakBefore w:val="0"/>
                    <w:widowControl w:val="0"/>
                    <w:kinsoku/>
                    <w:wordWrap/>
                    <w:overflowPunct/>
                    <w:topLinePunct/>
                    <w:autoSpaceDE/>
                    <w:autoSpaceDN/>
                    <w:bidi w:val="0"/>
                    <w:adjustRightInd w:val="0"/>
                    <w:snapToGrid w:val="0"/>
                    <w:spacing w:before="0" w:beforeAutospacing="0" w:after="0" w:afterAutospacing="0" w:line="240" w:lineRule="auto"/>
                    <w:ind w:firstLine="0" w:firstLineChars="0"/>
                    <w:jc w:val="both"/>
                    <w:textAlignment w:val="auto"/>
                    <w:rPr>
                      <w:rFonts w:hint="default" w:ascii="Times New Roman" w:hAnsi="Times New Roman" w:eastAsia="宋体" w:cs="Times New Roman"/>
                      <w:color w:val="auto"/>
                      <w:kern w:val="2"/>
                      <w:sz w:val="21"/>
                      <w:szCs w:val="21"/>
                      <w:lang w:val="zh-CN"/>
                    </w:rPr>
                  </w:pPr>
                  <w:r>
                    <w:rPr>
                      <w:rFonts w:hint="default" w:ascii="Times New Roman" w:hAnsi="Times New Roman" w:eastAsia="宋体" w:cs="Times New Roman"/>
                      <w:color w:val="auto"/>
                      <w:kern w:val="2"/>
                      <w:sz w:val="21"/>
                      <w:szCs w:val="21"/>
                    </w:rPr>
                    <w:t>1、</w:t>
                  </w:r>
                  <w:r>
                    <w:rPr>
                      <w:rFonts w:hint="default" w:ascii="Times New Roman" w:hAnsi="Times New Roman" w:eastAsia="宋体" w:cs="Times New Roman"/>
                      <w:color w:val="auto"/>
                      <w:kern w:val="2"/>
                      <w:sz w:val="21"/>
                      <w:szCs w:val="21"/>
                      <w:lang w:val="zh-CN"/>
                    </w:rPr>
                    <w:t>加强VOCs全过程综合治理。污水处理场所高浓度有机废气要单独收集处理；含VOCs有机废水储罐、装置区集水井（池）有机废气要密闭收集处理。研究建立全省统一的泄漏检测与修复信息管理平台。及时收集处理企业开停工、检维修期间退料、清洗、吹扫等作业产生的VOCs废气。</w:t>
                  </w:r>
                </w:p>
                <w:p w14:paraId="4FE49D9C">
                  <w:pPr>
                    <w:pStyle w:val="19"/>
                    <w:keepNext w:val="0"/>
                    <w:keepLines w:val="0"/>
                    <w:pageBreakBefore w:val="0"/>
                    <w:widowControl w:val="0"/>
                    <w:kinsoku/>
                    <w:wordWrap/>
                    <w:overflowPunct/>
                    <w:topLinePunct/>
                    <w:autoSpaceDE/>
                    <w:autoSpaceDN/>
                    <w:bidi w:val="0"/>
                    <w:adjustRightInd w:val="0"/>
                    <w:snapToGrid w:val="0"/>
                    <w:spacing w:before="0" w:beforeAutospacing="0" w:after="0" w:afterAutospacing="0" w:line="240" w:lineRule="auto"/>
                    <w:ind w:firstLine="0" w:firstLineChars="0"/>
                    <w:jc w:val="both"/>
                    <w:textAlignment w:val="auto"/>
                    <w:rPr>
                      <w:rFonts w:hint="default" w:ascii="Times New Roman" w:hAnsi="Times New Roman" w:eastAsia="宋体" w:cs="Times New Roman"/>
                      <w:color w:val="auto"/>
                      <w:kern w:val="2"/>
                      <w:sz w:val="21"/>
                      <w:szCs w:val="21"/>
                      <w:lang w:val="zh-CN"/>
                    </w:rPr>
                  </w:pPr>
                  <w:r>
                    <w:rPr>
                      <w:rFonts w:hint="default" w:ascii="Times New Roman" w:hAnsi="Times New Roman" w:eastAsia="宋体" w:cs="Times New Roman"/>
                      <w:color w:val="auto"/>
                      <w:kern w:val="2"/>
                      <w:sz w:val="21"/>
                      <w:szCs w:val="21"/>
                    </w:rPr>
                    <w:t>2、</w:t>
                  </w:r>
                  <w:r>
                    <w:rPr>
                      <w:rFonts w:hint="default" w:ascii="Times New Roman" w:hAnsi="Times New Roman" w:eastAsia="宋体" w:cs="Times New Roman"/>
                      <w:color w:val="auto"/>
                      <w:kern w:val="2"/>
                      <w:sz w:val="21"/>
                      <w:szCs w:val="21"/>
                      <w:lang w:val="zh-CN"/>
                    </w:rPr>
                    <w:t>推进重点行业污染深度治理。高质量推进钢铁、水泥、焦化等重点行业及燃煤锅炉超低排放改造。到2025年，全省80%以上的钢铁产能完成超低排放改造，力争50%以上的水泥熟料产能、合规焦化产能完成超低排放改造。推进玻璃、石灰、矿棉、有色等行业深度治理。强化治污设施运行维护，减少非正常工况排放。重点涉气企业逐步取消烟气和含VOCs废气旁路。</w:t>
                  </w:r>
                </w:p>
                <w:p w14:paraId="0D6C25A1">
                  <w:pPr>
                    <w:pStyle w:val="19"/>
                    <w:keepNext w:val="0"/>
                    <w:keepLines w:val="0"/>
                    <w:pageBreakBefore w:val="0"/>
                    <w:widowControl w:val="0"/>
                    <w:kinsoku/>
                    <w:wordWrap/>
                    <w:overflowPunct/>
                    <w:topLinePunct/>
                    <w:autoSpaceDE/>
                    <w:autoSpaceDN/>
                    <w:bidi w:val="0"/>
                    <w:adjustRightInd w:val="0"/>
                    <w:snapToGrid w:val="0"/>
                    <w:spacing w:before="0" w:beforeAutospacing="0" w:after="0" w:afterAutospacing="0" w:line="240" w:lineRule="auto"/>
                    <w:ind w:firstLine="0" w:firstLineChars="0"/>
                    <w:jc w:val="both"/>
                    <w:textAlignment w:val="auto"/>
                    <w:rPr>
                      <w:rFonts w:hint="default" w:ascii="Times New Roman" w:hAnsi="Times New Roman" w:eastAsia="宋体" w:cs="Times New Roman"/>
                      <w:color w:val="auto"/>
                      <w:kern w:val="2"/>
                      <w:sz w:val="21"/>
                      <w:szCs w:val="21"/>
                      <w:lang w:val="zh-CN"/>
                    </w:rPr>
                  </w:pPr>
                  <w:r>
                    <w:rPr>
                      <w:rFonts w:hint="default" w:ascii="Times New Roman" w:hAnsi="Times New Roman" w:eastAsia="宋体" w:cs="Times New Roman"/>
                      <w:color w:val="auto"/>
                      <w:kern w:val="2"/>
                      <w:sz w:val="21"/>
                      <w:szCs w:val="21"/>
                    </w:rPr>
                    <w:t>3、</w:t>
                  </w:r>
                  <w:r>
                    <w:rPr>
                      <w:rFonts w:hint="default" w:ascii="Times New Roman" w:hAnsi="Times New Roman" w:eastAsia="宋体" w:cs="Times New Roman"/>
                      <w:color w:val="auto"/>
                      <w:kern w:val="2"/>
                      <w:sz w:val="21"/>
                      <w:szCs w:val="21"/>
                      <w:lang w:val="zh-CN"/>
                    </w:rPr>
                    <w:t>深入治理餐饮油烟和恶臭异味。严格居民楼附近餐饮服务单位布局管理。拟开设餐饮服务单位的建筑应设计建设专用烟道。加强对恶臭异味扰民问题的排查整治，投诉集中的工业园区、重点企业要安装运行在线监测系统。因地制宜解决人民群众反映集中的露天烧烤、油烟及恶臭异味扰民问题。</w:t>
                  </w:r>
                </w:p>
                <w:p w14:paraId="1FA26A4B">
                  <w:pPr>
                    <w:pStyle w:val="19"/>
                    <w:keepNext w:val="0"/>
                    <w:keepLines w:val="0"/>
                    <w:pageBreakBefore w:val="0"/>
                    <w:widowControl w:val="0"/>
                    <w:kinsoku/>
                    <w:wordWrap/>
                    <w:overflowPunct/>
                    <w:topLinePunct/>
                    <w:autoSpaceDE/>
                    <w:autoSpaceDN/>
                    <w:bidi w:val="0"/>
                    <w:adjustRightInd w:val="0"/>
                    <w:snapToGrid w:val="0"/>
                    <w:spacing w:before="0" w:beforeAutospacing="0" w:after="0" w:afterAutospacing="0" w:line="240" w:lineRule="auto"/>
                    <w:ind w:firstLine="0" w:firstLineChars="0"/>
                    <w:jc w:val="both"/>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4、</w:t>
                  </w:r>
                  <w:r>
                    <w:rPr>
                      <w:rFonts w:hint="default" w:ascii="Times New Roman" w:hAnsi="Times New Roman" w:eastAsia="宋体" w:cs="Times New Roman"/>
                      <w:color w:val="auto"/>
                      <w:kern w:val="2"/>
                      <w:sz w:val="21"/>
                      <w:szCs w:val="21"/>
                      <w:lang w:val="zh-CN"/>
                    </w:rPr>
                    <w:t>推进大气氨污染防控。推广低蛋白日粮技术，在适宜地区推广氮肥机械深施。开展畜禽养殖标准化示范创建，鼓励生猪、鸡等圈舍及粪污输送、存储、处理设施封闭管理。加强氮肥、纯碱等行业大气氨排放治理，强化工业源烟气氨逃逸防控。</w:t>
                  </w:r>
                </w:p>
              </w:tc>
              <w:tc>
                <w:tcPr>
                  <w:tcW w:w="1477" w:type="pct"/>
                  <w:noWrap w:val="0"/>
                  <w:vAlign w:val="center"/>
                </w:tcPr>
                <w:p w14:paraId="38B40EFB">
                  <w:pPr>
                    <w:pStyle w:val="64"/>
                    <w:keepNext w:val="0"/>
                    <w:keepLines w:val="0"/>
                    <w:pageBreakBefore w:val="0"/>
                    <w:widowControl w:val="0"/>
                    <w:kinsoku/>
                    <w:wordWrap/>
                    <w:overflow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rPr>
                    <w:t>1、项目运营期废气污染为颗粒物，不涉及</w:t>
                  </w:r>
                  <w:r>
                    <w:rPr>
                      <w:rFonts w:hint="default" w:ascii="Times New Roman" w:hAnsi="Times New Roman" w:eastAsia="宋体" w:cs="Times New Roman"/>
                      <w:color w:val="auto"/>
                      <w:sz w:val="21"/>
                      <w:szCs w:val="21"/>
                      <w:lang w:val="zh-CN"/>
                    </w:rPr>
                    <w:t>含VOCs有机</w:t>
                  </w:r>
                  <w:r>
                    <w:rPr>
                      <w:rFonts w:hint="default" w:ascii="Times New Roman" w:hAnsi="Times New Roman" w:eastAsia="宋体" w:cs="Times New Roman"/>
                      <w:color w:val="auto"/>
                      <w:sz w:val="21"/>
                      <w:szCs w:val="21"/>
                    </w:rPr>
                    <w:t>废气、</w:t>
                  </w:r>
                  <w:r>
                    <w:rPr>
                      <w:rFonts w:hint="default" w:ascii="Times New Roman" w:hAnsi="Times New Roman" w:eastAsia="宋体" w:cs="Times New Roman"/>
                      <w:color w:val="auto"/>
                      <w:sz w:val="21"/>
                      <w:szCs w:val="21"/>
                      <w:lang w:val="zh-CN"/>
                    </w:rPr>
                    <w:t>废水。</w:t>
                  </w:r>
                </w:p>
                <w:p w14:paraId="2200126C">
                  <w:pPr>
                    <w:pStyle w:val="64"/>
                    <w:keepNext w:val="0"/>
                    <w:keepLines w:val="0"/>
                    <w:pageBreakBefore w:val="0"/>
                    <w:widowControl w:val="0"/>
                    <w:kinsoku/>
                    <w:wordWrap/>
                    <w:overflow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rPr>
                    <w:t>2、项目不涉及</w:t>
                  </w:r>
                  <w:r>
                    <w:rPr>
                      <w:rFonts w:hint="default" w:ascii="Times New Roman" w:hAnsi="Times New Roman" w:eastAsia="宋体" w:cs="Times New Roman"/>
                      <w:color w:val="auto"/>
                      <w:sz w:val="21"/>
                      <w:szCs w:val="21"/>
                      <w:lang w:val="zh-CN"/>
                    </w:rPr>
                    <w:t>燃煤锅炉；</w:t>
                  </w:r>
                  <w:r>
                    <w:rPr>
                      <w:rFonts w:hint="default" w:ascii="Times New Roman" w:hAnsi="Times New Roman" w:eastAsia="宋体" w:cs="Times New Roman"/>
                      <w:color w:val="auto"/>
                      <w:sz w:val="21"/>
                      <w:szCs w:val="21"/>
                    </w:rPr>
                    <w:t>不涉及</w:t>
                  </w:r>
                  <w:r>
                    <w:rPr>
                      <w:rFonts w:hint="default" w:ascii="Times New Roman" w:hAnsi="Times New Roman" w:eastAsia="宋体" w:cs="Times New Roman"/>
                      <w:color w:val="auto"/>
                      <w:sz w:val="21"/>
                      <w:szCs w:val="21"/>
                      <w:lang w:val="zh-CN"/>
                    </w:rPr>
                    <w:t>超低排放改造。</w:t>
                  </w:r>
                  <w:r>
                    <w:rPr>
                      <w:rFonts w:hint="default" w:ascii="Times New Roman" w:hAnsi="Times New Roman" w:eastAsia="宋体" w:cs="Times New Roman"/>
                      <w:color w:val="auto"/>
                      <w:sz w:val="21"/>
                      <w:szCs w:val="21"/>
                    </w:rPr>
                    <w:t>生产过程中产生的粉尘通过集气罩+布袋除尘器处理后达标排放，无</w:t>
                  </w:r>
                  <w:r>
                    <w:rPr>
                      <w:rFonts w:hint="default" w:ascii="Times New Roman" w:hAnsi="Times New Roman" w:eastAsia="宋体" w:cs="Times New Roman"/>
                      <w:color w:val="auto"/>
                      <w:sz w:val="21"/>
                      <w:szCs w:val="21"/>
                      <w:lang w:val="zh-CN"/>
                    </w:rPr>
                    <w:t>烟气和含VOCs废气</w:t>
                  </w:r>
                  <w:r>
                    <w:rPr>
                      <w:rFonts w:hint="default" w:ascii="Times New Roman" w:hAnsi="Times New Roman" w:eastAsia="宋体" w:cs="Times New Roman"/>
                      <w:color w:val="auto"/>
                      <w:sz w:val="21"/>
                      <w:szCs w:val="21"/>
                    </w:rPr>
                    <w:t>排放</w:t>
                  </w:r>
                  <w:r>
                    <w:rPr>
                      <w:rFonts w:hint="default" w:ascii="Times New Roman" w:hAnsi="Times New Roman" w:eastAsia="宋体" w:cs="Times New Roman"/>
                      <w:color w:val="auto"/>
                      <w:sz w:val="21"/>
                      <w:szCs w:val="21"/>
                      <w:lang w:val="zh-CN"/>
                    </w:rPr>
                    <w:t>。</w:t>
                  </w:r>
                </w:p>
                <w:p w14:paraId="536F1FA1">
                  <w:pPr>
                    <w:pStyle w:val="64"/>
                    <w:keepNext w:val="0"/>
                    <w:keepLines w:val="0"/>
                    <w:pageBreakBefore w:val="0"/>
                    <w:widowControl w:val="0"/>
                    <w:kinsoku/>
                    <w:wordWrap/>
                    <w:overflow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3、本项目</w:t>
                  </w:r>
                  <w:r>
                    <w:rPr>
                      <w:rFonts w:hint="eastAsia" w:ascii="Times New Roman" w:hAnsi="Times New Roman" w:eastAsia="宋体" w:cs="Times New Roman"/>
                      <w:color w:val="auto"/>
                      <w:sz w:val="21"/>
                      <w:szCs w:val="21"/>
                      <w:lang w:val="en-US" w:eastAsia="zh-CN"/>
                    </w:rPr>
                    <w:t>不设置食堂，不会产生食堂油烟</w:t>
                  </w:r>
                  <w:r>
                    <w:rPr>
                      <w:rFonts w:hint="default" w:ascii="Times New Roman" w:hAnsi="Times New Roman" w:eastAsia="宋体" w:cs="Times New Roman"/>
                      <w:color w:val="auto"/>
                      <w:sz w:val="21"/>
                      <w:szCs w:val="21"/>
                    </w:rPr>
                    <w:t>；</w:t>
                  </w:r>
                </w:p>
                <w:p w14:paraId="6F96130C">
                  <w:pPr>
                    <w:pStyle w:val="64"/>
                    <w:keepNext w:val="0"/>
                    <w:keepLines w:val="0"/>
                    <w:pageBreakBefore w:val="0"/>
                    <w:widowControl w:val="0"/>
                    <w:kinsoku/>
                    <w:wordWrap/>
                    <w:overflow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4、本项目运营期不涉及氨排放，不涉及</w:t>
                  </w:r>
                  <w:r>
                    <w:rPr>
                      <w:rFonts w:hint="default" w:ascii="Times New Roman" w:hAnsi="Times New Roman" w:eastAsia="宋体" w:cs="Times New Roman"/>
                      <w:color w:val="auto"/>
                      <w:sz w:val="21"/>
                      <w:szCs w:val="21"/>
                      <w:lang w:val="zh-CN"/>
                    </w:rPr>
                    <w:t>畜禽养殖、氮肥、纯碱等行业。</w:t>
                  </w:r>
                </w:p>
              </w:tc>
              <w:tc>
                <w:tcPr>
                  <w:tcW w:w="473" w:type="pct"/>
                  <w:noWrap w:val="0"/>
                  <w:vAlign w:val="center"/>
                </w:tcPr>
                <w:p w14:paraId="51373773">
                  <w:pPr>
                    <w:pStyle w:val="64"/>
                    <w:keepNext w:val="0"/>
                    <w:keepLines w:val="0"/>
                    <w:pageBreakBefore w:val="0"/>
                    <w:widowControl w:val="0"/>
                    <w:kinsoku/>
                    <w:wordWrap/>
                    <w:overflow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bl>
          <w:p w14:paraId="346C4E1B">
            <w:pPr>
              <w:ind w:firstLine="482"/>
              <w:rPr>
                <w:rFonts w:hint="default"/>
                <w:b w:val="0"/>
                <w:bCs w:val="0"/>
                <w:color w:val="auto"/>
                <w:lang w:val="en-US" w:eastAsia="zh-CN"/>
              </w:rPr>
            </w:pPr>
            <w:r>
              <w:rPr>
                <w:rFonts w:hint="default"/>
                <w:b w:val="0"/>
                <w:bCs w:val="0"/>
                <w:color w:val="auto"/>
                <w:lang w:val="en-US" w:eastAsia="zh-CN"/>
              </w:rPr>
              <w:t>由上表可知，项目建设符合《云南省空气质量持续改善行动实施方案》相关要求。</w:t>
            </w:r>
          </w:p>
          <w:p w14:paraId="1E5157D6">
            <w:pPr>
              <w:ind w:firstLine="482"/>
              <w:rPr>
                <w:rFonts w:hint="default"/>
                <w:b/>
                <w:bCs/>
                <w:color w:val="auto"/>
                <w:lang w:val="en-US" w:eastAsia="zh-CN"/>
              </w:rPr>
            </w:pPr>
            <w:r>
              <w:rPr>
                <w:rFonts w:hint="eastAsia"/>
                <w:b/>
                <w:bCs/>
                <w:color w:val="auto"/>
                <w:lang w:val="en-US" w:eastAsia="zh-CN"/>
              </w:rPr>
              <w:t>14、项目与《云南省抚仙湖杞麓湖湖滨生态红线及湖泊生态黄线“两线”划定方案（精简版）的通知》（玉政发〔2022〕19号）的符合性分析</w:t>
            </w:r>
          </w:p>
          <w:p w14:paraId="7B559F2F">
            <w:pPr>
              <w:ind w:firstLine="482"/>
              <w:rPr>
                <w:rFonts w:hint="eastAsia"/>
                <w:b w:val="0"/>
                <w:bCs w:val="0"/>
                <w:color w:val="auto"/>
                <w:lang w:val="en-US" w:eastAsia="zh-CN"/>
              </w:rPr>
            </w:pPr>
            <w:r>
              <w:rPr>
                <w:rFonts w:hint="eastAsia"/>
                <w:b w:val="0"/>
                <w:bCs w:val="0"/>
                <w:color w:val="auto"/>
                <w:lang w:val="en-US" w:eastAsia="zh-CN"/>
              </w:rPr>
              <w:t>根据玉溪市人民政府关于印发《云南省抚仙湖星云湖杞麓湖湖滨生态红线及湖泊生态黄线“两线”划定方案（精简版）的通知》（玉政发〔2022〕19号）的相关要求，杞麓湖湖滨生态红线全面大于等于杞麓湖的一级保护区界限，湖滨生态红线距最高水位湖岸线在水平方向上平均距离109.87米，最远距离为679.39米，最近距离为100米。湖滨生态红线划定围合面积41.01平方千米（6.15万亩），比一级保护区面积40.47平方千米（6.07万亩）多0.54平方千米（0.08万亩）。湖泊生态黄线的划定以流转的耕地范围为框架，综合考虑生态缓冲、城镇开发、历史文化名城保护等因素，以老环湖路路线为主体，部分县道、省道、田间机耕路为补充，本着能大则大的原则，构建闭合的湖泊生态黄线。湖泊生态黄线围合面积61.89平方千米（9.28万亩），湖泊生态黄线至湖滨生态红线之间的区域面积20.88平方千米（3.13万亩）。2024年9月13日，玉溪市人民政府发布了《玉溪市人民政府关于抚仙湖、星云湖、杞麓湖生态保护核心区生态保护缓冲区绿色发展区划定公告》，对杞麓湖湖滨生态红线、湖泊生态黄线、杞麓湖生态保护核心区、生态保护缓冲区、绿色发展区进行了划定。</w:t>
            </w:r>
          </w:p>
          <w:p w14:paraId="41721F90">
            <w:pPr>
              <w:ind w:firstLine="482"/>
              <w:rPr>
                <w:rFonts w:hint="default"/>
                <w:b w:val="0"/>
                <w:bCs w:val="0"/>
                <w:color w:val="auto"/>
                <w:lang w:val="en-US" w:eastAsia="zh-CN"/>
              </w:rPr>
            </w:pPr>
            <w:r>
              <w:rPr>
                <w:rFonts w:hint="eastAsia"/>
                <w:b w:val="0"/>
                <w:bCs w:val="0"/>
                <w:color w:val="auto"/>
                <w:lang w:val="en-US" w:eastAsia="zh-CN"/>
              </w:rPr>
              <w:t>本项目位于通海县纳古镇，位于杞麓湖北侧约2.89km处，根据2026年2月26日，通海县杞麓湖管理局出具的杞麓湖管理局关于云南省通海县胜宝工贸有限公司《年产10万吨焊管产能提升技术改造项目》的选址意见（详见附件6）可知项目属于杞麓湖流域范围，未涉及杞麓湖湖滨生态红线及湖泊生态黄线管控区域，属于划定的绿色发展区范围，因此本项目的建设符合云南省抚仙湖星云湖杞麓湖湖滨生态红线及湖泊生态黄线“两线”划定方案（精简版）的通知》（玉政发〔2022〕19号）中相关内容。</w:t>
            </w:r>
          </w:p>
          <w:p w14:paraId="12A5C416">
            <w:pPr>
              <w:ind w:firstLine="482"/>
              <w:rPr>
                <w:rFonts w:hint="default" w:eastAsia="宋体"/>
                <w:b/>
                <w:bCs/>
                <w:color w:val="auto"/>
                <w:lang w:val="en-US" w:eastAsia="zh-CN"/>
              </w:rPr>
            </w:pPr>
            <w:r>
              <w:rPr>
                <w:rFonts w:hint="eastAsia"/>
                <w:b/>
                <w:bCs/>
                <w:color w:val="auto"/>
                <w:lang w:val="en-US" w:eastAsia="zh-CN"/>
              </w:rPr>
              <w:t>15、项目与《中华人民共和国水污染防治法》的符合性分析</w:t>
            </w:r>
          </w:p>
          <w:p w14:paraId="4AFCBDA7">
            <w:pPr>
              <w:ind w:firstLine="482"/>
              <w:rPr>
                <w:rFonts w:hint="eastAsia" w:eastAsia="宋体"/>
                <w:b w:val="0"/>
                <w:bCs w:val="0"/>
                <w:color w:val="auto"/>
                <w:lang w:val="en-US" w:eastAsia="zh-CN"/>
              </w:rPr>
            </w:pPr>
            <w:r>
              <w:rPr>
                <w:rFonts w:hint="eastAsia" w:eastAsia="宋体"/>
                <w:b w:val="0"/>
                <w:bCs w:val="0"/>
                <w:color w:val="auto"/>
                <w:lang w:val="en-US" w:eastAsia="zh-CN"/>
              </w:rPr>
              <w:t>《中华人民共和国水污染防治法》第三条规定：“水污染防治应当坚持预防为主、防治结合、综合治理的原则，优先保护饮用水水源，严格控制工业污染、城镇生活污染，防治农业面源污染，积极推进生态治理工程建设，预防、控制和减少水环境污染和生态破坏。”</w:t>
            </w:r>
          </w:p>
          <w:p w14:paraId="36A7A006">
            <w:pPr>
              <w:ind w:firstLine="482"/>
              <w:rPr>
                <w:rFonts w:hint="eastAsia" w:eastAsia="宋体"/>
                <w:b w:val="0"/>
                <w:bCs w:val="0"/>
                <w:color w:val="auto"/>
                <w:lang w:val="en-US" w:eastAsia="zh-CN"/>
              </w:rPr>
            </w:pPr>
            <w:r>
              <w:rPr>
                <w:rFonts w:hint="eastAsia" w:eastAsia="宋体"/>
                <w:b w:val="0"/>
                <w:bCs w:val="0"/>
                <w:color w:val="auto"/>
                <w:lang w:val="en-US" w:eastAsia="zh-CN"/>
              </w:rPr>
              <w:t>第四条规定：“县级以上人民政府应当将水环境保护工作纳入国民经济和社会发展规划。地方各级人民政府对本行政区域的水环境质量负责，应当及时采取措施防治水污染。”</w:t>
            </w:r>
          </w:p>
          <w:p w14:paraId="1318BB9D">
            <w:pPr>
              <w:ind w:firstLine="482"/>
              <w:rPr>
                <w:rFonts w:hint="eastAsia" w:eastAsia="宋体"/>
                <w:b w:val="0"/>
                <w:bCs w:val="0"/>
                <w:color w:val="auto"/>
                <w:lang w:val="en-US" w:eastAsia="zh-CN"/>
              </w:rPr>
            </w:pPr>
            <w:r>
              <w:rPr>
                <w:rFonts w:hint="eastAsia" w:eastAsia="宋体"/>
                <w:b w:val="0"/>
                <w:bCs w:val="0"/>
                <w:color w:val="auto"/>
                <w:lang w:val="en-US" w:eastAsia="zh-CN"/>
              </w:rPr>
              <w:t>第二十条规定：“国家对重点水污染物排放实施总量控制制度。”</w:t>
            </w:r>
          </w:p>
          <w:p w14:paraId="7E098F00">
            <w:pPr>
              <w:ind w:firstLine="482"/>
              <w:rPr>
                <w:rFonts w:hint="eastAsia" w:eastAsia="宋体"/>
                <w:b w:val="0"/>
                <w:bCs w:val="0"/>
                <w:color w:val="auto"/>
                <w:lang w:val="en-US" w:eastAsia="zh-CN"/>
              </w:rPr>
            </w:pPr>
            <w:r>
              <w:rPr>
                <w:rFonts w:hint="eastAsia" w:eastAsia="宋体"/>
                <w:b w:val="0"/>
                <w:bCs w:val="0"/>
                <w:color w:val="auto"/>
                <w:lang w:val="en-US" w:eastAsia="zh-CN"/>
              </w:rPr>
              <w:t>第四十九条规定：“城镇污水应当集中处理。县级以上地方人民政府应当通过财政预算和其他渠道筹集资金，统筹安排建设城镇污水集中处理设施及配套管网，提高本行政区域城镇污水的收集率和处理率。”</w:t>
            </w:r>
          </w:p>
          <w:p w14:paraId="66F42313">
            <w:pPr>
              <w:ind w:firstLine="482"/>
              <w:rPr>
                <w:rFonts w:hint="eastAsia" w:eastAsia="宋体"/>
                <w:b w:val="0"/>
                <w:bCs w:val="0"/>
                <w:color w:val="auto"/>
                <w:lang w:val="en-US" w:eastAsia="zh-CN"/>
              </w:rPr>
            </w:pPr>
            <w:r>
              <w:rPr>
                <w:rFonts w:hint="eastAsia" w:eastAsia="宋体"/>
                <w:b w:val="0"/>
                <w:bCs w:val="0"/>
                <w:color w:val="auto"/>
                <w:lang w:val="en-US" w:eastAsia="zh-CN"/>
              </w:rPr>
              <w:t>第五十二条规定：“国家支持农村污水、垃圾处理设施的建设，推进农村污水、垃圾集中处理。地方各级人民政府应当统筹规划建设农村污水、垃圾处理设施，并保障其正常运行。”</w:t>
            </w:r>
          </w:p>
          <w:p w14:paraId="7F696859">
            <w:pPr>
              <w:ind w:firstLine="480"/>
              <w:rPr>
                <w:rFonts w:hint="eastAsia"/>
                <w:color w:val="auto"/>
                <w:lang w:val="en-US" w:eastAsia="zh-CN"/>
              </w:rPr>
            </w:pPr>
            <w:r>
              <w:rPr>
                <w:rFonts w:hint="eastAsia"/>
                <w:color w:val="auto"/>
                <w:lang w:val="en-US" w:eastAsia="zh-CN"/>
              </w:rPr>
              <w:t>本项目废水主要是生产废水和生活污水。生产废水处理后循环使用，不外排；生活污水经化粪池处理后进入自建一体化污水处理设施处理达标后回用于厂区绿化及道路空地浇洒，不外排，对地表水环境影响较小。</w:t>
            </w:r>
          </w:p>
          <w:p w14:paraId="147EBF3D">
            <w:pPr>
              <w:ind w:firstLine="480"/>
              <w:rPr>
                <w:rFonts w:hint="eastAsia"/>
                <w:color w:val="auto"/>
                <w:lang w:val="en-US" w:eastAsia="zh-CN"/>
              </w:rPr>
            </w:pPr>
            <w:r>
              <w:rPr>
                <w:rFonts w:hint="eastAsia"/>
                <w:color w:val="auto"/>
                <w:lang w:val="en-US" w:eastAsia="zh-CN"/>
              </w:rPr>
              <w:t>因此，本项目与《中华人民共和国水污染防治法》相符。</w:t>
            </w:r>
          </w:p>
          <w:p w14:paraId="7672F5CC">
            <w:pPr>
              <w:ind w:firstLine="482"/>
              <w:rPr>
                <w:rFonts w:hint="eastAsia" w:eastAsia="宋体"/>
                <w:b/>
                <w:bCs/>
                <w:color w:val="auto"/>
                <w:lang w:val="en-US" w:eastAsia="zh-CN"/>
              </w:rPr>
            </w:pPr>
            <w:r>
              <w:rPr>
                <w:rFonts w:hint="eastAsia"/>
                <w:b/>
                <w:bCs/>
                <w:color w:val="auto"/>
                <w:lang w:val="en-US" w:eastAsia="zh-CN"/>
              </w:rPr>
              <w:t>16</w:t>
            </w:r>
            <w:r>
              <w:rPr>
                <w:rFonts w:hint="eastAsia" w:eastAsia="宋体"/>
                <w:b/>
                <w:bCs/>
                <w:color w:val="auto"/>
                <w:lang w:val="en-US" w:eastAsia="zh-CN"/>
              </w:rPr>
              <w:t>、</w:t>
            </w:r>
            <w:r>
              <w:rPr>
                <w:rFonts w:hint="eastAsia"/>
                <w:b/>
                <w:bCs/>
                <w:color w:val="auto"/>
                <w:lang w:val="en-US" w:eastAsia="zh-CN"/>
              </w:rPr>
              <w:t>项目</w:t>
            </w:r>
            <w:r>
              <w:rPr>
                <w:rFonts w:hint="eastAsia" w:eastAsia="宋体"/>
                <w:b/>
                <w:bCs/>
                <w:color w:val="auto"/>
                <w:lang w:val="en-US" w:eastAsia="zh-CN"/>
              </w:rPr>
              <w:t>与通海县人民政府专题会议纪要（2017年第20期）符合性分析</w:t>
            </w:r>
          </w:p>
          <w:p w14:paraId="388750CF">
            <w:pPr>
              <w:bidi w:val="0"/>
              <w:rPr>
                <w:rFonts w:hint="eastAsia"/>
                <w:color w:val="auto"/>
                <w:lang w:val="en-US" w:eastAsia="zh-CN"/>
              </w:rPr>
            </w:pPr>
            <w:r>
              <w:rPr>
                <w:rFonts w:hint="eastAsia"/>
                <w:color w:val="auto"/>
                <w:lang w:val="en-US" w:eastAsia="zh-CN"/>
              </w:rPr>
              <w:t>（1）会议认为在全县打击“地条钢”专项行动取得阶段性成效、所有涉及“地条钢”生产企业按要求拆除中频炉等设施后，对于利用原有厂址转型发展其他加工型企业、新建符合国家产业政策和通海产业发展布局规划的项目，有利于彻底杜绝“地条钢”死灰复燃，有利于促进当地经济恢复发展，也有利于社会稳定，应予支持。本项目在原厂区内改建，不新征土地，本项目为焊管生产项目，不属于“地条钢”，因此项目建设符合会议要求。</w:t>
            </w:r>
          </w:p>
          <w:p w14:paraId="5A2BDC74">
            <w:pPr>
              <w:bidi w:val="0"/>
              <w:rPr>
                <w:rFonts w:hint="eastAsia"/>
                <w:color w:val="auto"/>
                <w:lang w:val="en-US" w:eastAsia="zh-CN"/>
              </w:rPr>
            </w:pPr>
            <w:r>
              <w:rPr>
                <w:rFonts w:hint="eastAsia"/>
                <w:color w:val="auto"/>
                <w:lang w:val="en-US" w:eastAsia="zh-CN"/>
              </w:rPr>
              <w:t>（2）会议要求对于工业技改项目，凡不涉新建厂房的，不上政府联席会议研究，由县工信局审批备案。项目在原厂区内改建，不新建厂房，且已经发改局备案，因此项目符合回会议要求。</w:t>
            </w:r>
          </w:p>
          <w:p w14:paraId="6E0E1B78">
            <w:pPr>
              <w:ind w:firstLine="482"/>
              <w:rPr>
                <w:rFonts w:hint="eastAsia"/>
                <w:b/>
                <w:bCs/>
                <w:color w:val="auto"/>
              </w:rPr>
            </w:pPr>
            <w:r>
              <w:rPr>
                <w:rFonts w:hint="eastAsia"/>
                <w:b/>
                <w:bCs/>
                <w:color w:val="auto"/>
                <w:lang w:val="en-US" w:eastAsia="zh-CN"/>
              </w:rPr>
              <w:t>17</w:t>
            </w:r>
            <w:r>
              <w:rPr>
                <w:rFonts w:hint="eastAsia"/>
                <w:b/>
                <w:bCs/>
                <w:color w:val="auto"/>
              </w:rPr>
              <w:t>、</w:t>
            </w:r>
            <w:r>
              <w:rPr>
                <w:rFonts w:hint="eastAsia"/>
                <w:b/>
                <w:bCs/>
                <w:color w:val="auto"/>
                <w:lang w:val="en-US" w:eastAsia="zh-CN"/>
              </w:rPr>
              <w:t>项目</w:t>
            </w:r>
            <w:r>
              <w:rPr>
                <w:rFonts w:hint="eastAsia"/>
                <w:b/>
                <w:bCs/>
                <w:color w:val="auto"/>
              </w:rPr>
              <w:t>与《玉溪市生态环境局通海分局关于相关建项目历史遗留问题处理专题会议纪要》（2020年8月31日）符合性分析</w:t>
            </w:r>
          </w:p>
          <w:p w14:paraId="7D339BCA">
            <w:pPr>
              <w:bidi w:val="0"/>
              <w:rPr>
                <w:rFonts w:hint="eastAsia"/>
                <w:color w:val="auto"/>
              </w:rPr>
            </w:pPr>
            <w:r>
              <w:rPr>
                <w:rFonts w:hint="eastAsia"/>
                <w:color w:val="auto"/>
              </w:rPr>
              <w:t>2020年8月17日，由玉溪市生态环境局通海分局局长主持召开班子会，就相关建项目历史遗留问题处理进行专题研究，会议决定对未批先建项目历史遗留问题分类处理：一类高危行业，涉爆危险化学品、涉危企业生产、经营、贮存项目企业，按《环评法》等文件法律法规实施行政处罚后受理环评文件，本项目不属于高危行业；二类按行政处罚法第27条规定，对具备以下条件之一的建设项目可以免于行政处罚。①有投诉但行为轻微、及时纠正、没有造成危险后果的。②在原有基础上升级改造类。对符合产业政策、符合乡镇选址规划、满足现行环保要求的项目。项目符合二类中的第②条，项目在原厂址上进行升级改造，项目符合国家产业政策，取得了通海县纳古镇人民政府出具的选址意见，满足环保要求；三类</w:t>
            </w:r>
            <w:r>
              <w:rPr>
                <w:rFonts w:hint="eastAsia"/>
                <w:color w:val="auto"/>
                <w:lang w:val="en-US" w:eastAsia="zh-CN"/>
              </w:rPr>
              <w:t>为关闭淘汰类，</w:t>
            </w:r>
            <w:r>
              <w:rPr>
                <w:rFonts w:hint="eastAsia"/>
                <w:color w:val="auto"/>
              </w:rPr>
              <w:t>对国家明令禁止的项目及污染严重或存在严重环境风险隐患的项目，按照相关要求坚决予以取缔。项目不属于淘汰类项目。</w:t>
            </w:r>
          </w:p>
          <w:p w14:paraId="56D47DA7">
            <w:pPr>
              <w:ind w:firstLine="482"/>
              <w:rPr>
                <w:rFonts w:hint="eastAsia"/>
                <w:b/>
                <w:bCs/>
                <w:color w:val="auto"/>
              </w:rPr>
            </w:pPr>
            <w:r>
              <w:rPr>
                <w:rFonts w:hint="eastAsia"/>
                <w:b/>
                <w:bCs/>
                <w:color w:val="auto"/>
                <w:lang w:val="en-US" w:eastAsia="zh-CN"/>
              </w:rPr>
              <w:t>18、</w:t>
            </w:r>
            <w:r>
              <w:rPr>
                <w:rFonts w:hint="eastAsia"/>
                <w:b/>
                <w:bCs/>
                <w:color w:val="auto"/>
              </w:rPr>
              <w:t>选址合理性分析</w:t>
            </w:r>
          </w:p>
          <w:p w14:paraId="08940592">
            <w:pPr>
              <w:ind w:firstLine="482"/>
              <w:rPr>
                <w:rFonts w:hint="eastAsia"/>
                <w:color w:val="auto"/>
                <w:lang w:eastAsia="zh-CN"/>
              </w:rPr>
            </w:pPr>
            <w:r>
              <w:rPr>
                <w:rFonts w:hint="eastAsia"/>
                <w:color w:val="auto"/>
                <w:lang w:eastAsia="zh-CN"/>
              </w:rPr>
              <w:t>本项目在公司原有厂区基础上进行</w:t>
            </w:r>
            <w:r>
              <w:rPr>
                <w:rFonts w:hint="eastAsia"/>
                <w:color w:val="auto"/>
                <w:lang w:val="en-US" w:eastAsia="zh-CN"/>
              </w:rPr>
              <w:t>改建</w:t>
            </w:r>
            <w:r>
              <w:rPr>
                <w:rFonts w:hint="eastAsia"/>
                <w:color w:val="auto"/>
                <w:lang w:eastAsia="zh-CN"/>
              </w:rPr>
              <w:t>，不新增占地，根据通海县自然资源局202</w:t>
            </w:r>
            <w:r>
              <w:rPr>
                <w:rFonts w:hint="eastAsia"/>
                <w:color w:val="auto"/>
                <w:lang w:val="en-US" w:eastAsia="zh-CN"/>
              </w:rPr>
              <w:t>6</w:t>
            </w:r>
            <w:r>
              <w:rPr>
                <w:rFonts w:hint="eastAsia"/>
                <w:color w:val="auto"/>
                <w:lang w:eastAsia="zh-CN"/>
              </w:rPr>
              <w:t>年</w:t>
            </w:r>
            <w:r>
              <w:rPr>
                <w:rFonts w:hint="eastAsia"/>
                <w:color w:val="auto"/>
                <w:lang w:val="en-US" w:eastAsia="zh-CN"/>
              </w:rPr>
              <w:t>3</w:t>
            </w:r>
            <w:r>
              <w:rPr>
                <w:rFonts w:hint="eastAsia"/>
                <w:color w:val="auto"/>
                <w:lang w:eastAsia="zh-CN"/>
              </w:rPr>
              <w:t>月</w:t>
            </w:r>
            <w:r>
              <w:rPr>
                <w:rFonts w:hint="eastAsia"/>
                <w:color w:val="auto"/>
                <w:lang w:val="en-US" w:eastAsia="zh-CN"/>
              </w:rPr>
              <w:t>3</w:t>
            </w:r>
            <w:r>
              <w:rPr>
                <w:rFonts w:hint="eastAsia"/>
                <w:color w:val="auto"/>
                <w:lang w:eastAsia="zh-CN"/>
              </w:rPr>
              <w:t>日出具的《通海县“三区三线”数据查询结果》，项目占地范围经查询：“矢量范围内不涉及永久基本农田、生态保护红线，位于城镇开发边界内”（详见附件</w:t>
            </w:r>
            <w:r>
              <w:rPr>
                <w:rFonts w:hint="eastAsia"/>
                <w:color w:val="auto"/>
                <w:lang w:val="en-US" w:eastAsia="zh-CN"/>
              </w:rPr>
              <w:t>5</w:t>
            </w:r>
            <w:r>
              <w:rPr>
                <w:rFonts w:hint="eastAsia"/>
                <w:color w:val="auto"/>
                <w:lang w:eastAsia="zh-CN"/>
              </w:rPr>
              <w:t>）。项目符合《玉溪市通海县纳古镇集镇区国土空间详细规划（2单元）》，项目已经取得通海县纳古镇人民政府选址意见，同意项目在原厂区内进行改造（详见附件</w:t>
            </w:r>
            <w:r>
              <w:rPr>
                <w:rFonts w:hint="eastAsia"/>
                <w:color w:val="auto"/>
                <w:lang w:val="en-US" w:eastAsia="zh-CN"/>
              </w:rPr>
              <w:t>4</w:t>
            </w:r>
            <w:r>
              <w:rPr>
                <w:rFonts w:hint="eastAsia"/>
                <w:color w:val="auto"/>
                <w:lang w:eastAsia="zh-CN"/>
              </w:rPr>
              <w:t>）。</w:t>
            </w:r>
            <w:r>
              <w:rPr>
                <w:rFonts w:hint="eastAsia"/>
                <w:color w:val="auto"/>
                <w:lang w:val="en-US" w:eastAsia="zh-CN"/>
              </w:rPr>
              <w:t>项目</w:t>
            </w:r>
            <w:r>
              <w:rPr>
                <w:rFonts w:hint="eastAsia"/>
                <w:color w:val="auto"/>
                <w:lang w:eastAsia="zh-CN"/>
              </w:rPr>
              <w:t>用地用途为工矿用地（</w:t>
            </w:r>
            <w:r>
              <w:rPr>
                <w:rFonts w:hint="eastAsia"/>
                <w:color w:val="auto"/>
                <w:lang w:val="en-US" w:eastAsia="zh-CN"/>
              </w:rPr>
              <w:t>详见附图9</w:t>
            </w:r>
            <w:r>
              <w:rPr>
                <w:rFonts w:hint="eastAsia"/>
                <w:color w:val="auto"/>
                <w:lang w:eastAsia="zh-CN"/>
              </w:rPr>
              <w:t>），符合《通海县四街镇国土空间规划（2021—2035年）》管控规则。</w:t>
            </w:r>
          </w:p>
          <w:p w14:paraId="3136508F">
            <w:pPr>
              <w:ind w:firstLine="482"/>
              <w:rPr>
                <w:rFonts w:hint="eastAsia"/>
                <w:color w:val="auto"/>
                <w:lang w:eastAsia="zh-CN"/>
              </w:rPr>
            </w:pPr>
            <w:r>
              <w:rPr>
                <w:rFonts w:hint="eastAsia"/>
                <w:color w:val="auto"/>
                <w:lang w:eastAsia="zh-CN"/>
              </w:rPr>
              <w:t>项目场址位置和基础设施的建设完善，所选场地供电、供水、交通等基础条件十分便利。项目建成后在采取相应环保措施条件下，项目产生的废气达标排放，对周围环境影响不大。项目产生少量机修废物收集暂存于危废间内定期委托有资质的单位处置；本项目生产废水处理后循环使用，不外排；生活污水经化粪池处理后</w:t>
            </w:r>
            <w:r>
              <w:rPr>
                <w:rFonts w:hint="eastAsia"/>
                <w:color w:val="auto"/>
                <w:lang w:val="en-US" w:eastAsia="zh-CN"/>
              </w:rPr>
              <w:t>进入自建一体化污水处理设备处理达标后回用于厂区绿化及道路空地浇洒，不外排，</w:t>
            </w:r>
            <w:r>
              <w:rPr>
                <w:rFonts w:hint="eastAsia"/>
                <w:color w:val="auto"/>
                <w:lang w:eastAsia="zh-CN"/>
              </w:rPr>
              <w:t>对周围地表水环境影响不大，噪声厂界可达标，不会造成扰民现象，固体废物均能得到合理处置。目前项目周边环境质量良好，外环境较简单，无重大环境制约因素存在。建设用地周围无需要特殊保护的文物、名胜、古迹和文化、自然遗产，不属于自然保护区和风景名胜区的保护范围。</w:t>
            </w:r>
          </w:p>
          <w:p w14:paraId="4F06AE97">
            <w:pPr>
              <w:ind w:firstLine="482"/>
              <w:rPr>
                <w:rFonts w:hint="eastAsia"/>
                <w:color w:val="auto"/>
                <w:lang w:eastAsia="zh-CN"/>
              </w:rPr>
            </w:pPr>
            <w:r>
              <w:rPr>
                <w:rFonts w:hint="eastAsia"/>
                <w:color w:val="auto"/>
                <w:lang w:eastAsia="zh-CN"/>
              </w:rPr>
              <w:t>综上，项目建设场地条件、交通运输、环境保护和水、电、通信等条件良好，无重大的环境制约因素，项目选址合理。</w:t>
            </w:r>
          </w:p>
          <w:p w14:paraId="2A305525">
            <w:pPr>
              <w:ind w:firstLine="482"/>
              <w:rPr>
                <w:b/>
                <w:bCs/>
                <w:color w:val="auto"/>
              </w:rPr>
            </w:pPr>
            <w:r>
              <w:rPr>
                <w:rFonts w:hint="eastAsia"/>
                <w:b/>
                <w:bCs/>
                <w:color w:val="auto"/>
                <w:lang w:val="en-US" w:eastAsia="zh-CN"/>
              </w:rPr>
              <w:t>19</w:t>
            </w:r>
            <w:r>
              <w:rPr>
                <w:rFonts w:hint="eastAsia" w:eastAsia="宋体"/>
                <w:b/>
                <w:bCs/>
                <w:color w:val="auto"/>
                <w:lang w:val="en-US" w:eastAsia="zh-CN"/>
              </w:rPr>
              <w:t>、</w:t>
            </w:r>
            <w:r>
              <w:rPr>
                <w:rFonts w:hint="eastAsia"/>
                <w:b/>
                <w:bCs/>
                <w:color w:val="auto"/>
              </w:rPr>
              <w:t>平面布置合理性分析</w:t>
            </w:r>
          </w:p>
          <w:p w14:paraId="05DA5D86">
            <w:pPr>
              <w:ind w:firstLine="480"/>
              <w:rPr>
                <w:rFonts w:hint="eastAsia"/>
                <w:color w:val="auto"/>
              </w:rPr>
            </w:pPr>
            <w:r>
              <w:rPr>
                <w:rFonts w:hint="eastAsia"/>
                <w:color w:val="auto"/>
              </w:rPr>
              <w:t>本项目位于</w:t>
            </w:r>
            <w:r>
              <w:rPr>
                <w:rFonts w:hint="eastAsia"/>
                <w:color w:val="auto"/>
                <w:lang w:eastAsia="zh-CN"/>
              </w:rPr>
              <w:t>通海县纳古镇</w:t>
            </w:r>
            <w:r>
              <w:rPr>
                <w:rFonts w:hint="eastAsia"/>
                <w:color w:val="auto"/>
              </w:rPr>
              <w:t>，主要由办公生活区和生产区组成。根据厂区现有地形特点、道路交通、风向以及工艺生产特点等进行总图方案布置，厂区平面布置大体为：厂区西北侧为进出口紧邻乡道，交通便利，进厂口</w:t>
            </w:r>
            <w:r>
              <w:rPr>
                <w:rFonts w:hint="eastAsia"/>
                <w:color w:val="auto"/>
                <w:lang w:val="en-US" w:eastAsia="zh-CN"/>
              </w:rPr>
              <w:t>南侧</w:t>
            </w:r>
            <w:r>
              <w:rPr>
                <w:rFonts w:hint="eastAsia"/>
                <w:color w:val="auto"/>
              </w:rPr>
              <w:t>设置生活办公区，成品仓库布置于厂区西侧，1#焊管车间布置于厂区南侧，2#焊管车间布置于厂区</w:t>
            </w:r>
            <w:r>
              <w:rPr>
                <w:rFonts w:hint="eastAsia"/>
                <w:color w:val="auto"/>
                <w:lang w:val="en-US" w:eastAsia="zh-CN"/>
              </w:rPr>
              <w:t>中部</w:t>
            </w:r>
            <w:r>
              <w:rPr>
                <w:rFonts w:hint="eastAsia"/>
                <w:color w:val="auto"/>
              </w:rPr>
              <w:t>，3#、4#焊管车间均布置于厂区北侧，原料库布置于厂区东北侧，剪切库布置于厂区东侧，废料打包库布置于厂区东南侧，检修车间布置于厂区西南侧，紧邻1#焊管车间，危废暂存间布置于检修车间</w:t>
            </w:r>
            <w:r>
              <w:rPr>
                <w:rFonts w:hint="eastAsia"/>
                <w:color w:val="auto"/>
                <w:lang w:val="en-US" w:eastAsia="zh-CN"/>
              </w:rPr>
              <w:t>内</w:t>
            </w:r>
            <w:r>
              <w:rPr>
                <w:rFonts w:hint="eastAsia"/>
                <w:color w:val="auto"/>
              </w:rPr>
              <w:t>，紧邻2#焊管车间，整个厂区由北向南呈线性分布，</w:t>
            </w:r>
            <w:r>
              <w:rPr>
                <w:rFonts w:hint="eastAsia"/>
                <w:color w:val="auto"/>
                <w:lang w:val="en-US" w:eastAsia="zh-CN"/>
              </w:rPr>
              <w:t>生产区与办公区分区布置</w:t>
            </w:r>
            <w:r>
              <w:rPr>
                <w:rFonts w:hint="eastAsia"/>
                <w:color w:val="auto"/>
              </w:rPr>
              <w:t>。</w:t>
            </w:r>
          </w:p>
          <w:p w14:paraId="62782B4A">
            <w:pPr>
              <w:ind w:firstLine="480"/>
              <w:rPr>
                <w:rFonts w:hint="eastAsia"/>
                <w:color w:val="auto"/>
              </w:rPr>
            </w:pPr>
            <w:r>
              <w:rPr>
                <w:rFonts w:hint="eastAsia"/>
                <w:color w:val="auto"/>
              </w:rPr>
              <w:t>整个厂区功能分区明确，布置合理，物流线路短，生产作业线无交叉、无逆流，物流、人流和生产区相对分开，便于管理和安全生产。厂区出入口直接连接厂外道路，方便物流及产品的运输，厂房内部按流程合理布局，功能区分工明确，各区布局简单合理。</w:t>
            </w:r>
          </w:p>
          <w:p w14:paraId="1C969D39">
            <w:pPr>
              <w:ind w:firstLine="480"/>
              <w:rPr>
                <w:rFonts w:hint="eastAsia"/>
                <w:color w:val="auto"/>
              </w:rPr>
            </w:pPr>
            <w:r>
              <w:rPr>
                <w:rFonts w:hint="eastAsia"/>
                <w:color w:val="auto"/>
              </w:rPr>
              <w:t>本项目平面布置示意图见附图3。</w:t>
            </w:r>
          </w:p>
          <w:p w14:paraId="4158B751">
            <w:pPr>
              <w:ind w:firstLine="480"/>
              <w:rPr>
                <w:rFonts w:hint="eastAsia"/>
                <w:color w:val="auto"/>
              </w:rPr>
            </w:pPr>
          </w:p>
          <w:p w14:paraId="24C2C888">
            <w:pPr>
              <w:ind w:left="0" w:leftChars="0" w:firstLine="0" w:firstLineChars="0"/>
              <w:rPr>
                <w:rFonts w:hint="eastAsia"/>
                <w:color w:val="auto"/>
              </w:rPr>
            </w:pPr>
          </w:p>
        </w:tc>
      </w:tr>
    </w:tbl>
    <w:p w14:paraId="0D8E971C">
      <w:pPr>
        <w:ind w:firstLine="480"/>
        <w:rPr>
          <w:color w:val="auto"/>
        </w:rPr>
        <w:sectPr>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7AA3AC45">
      <w:pPr>
        <w:pStyle w:val="3"/>
        <w:numPr>
          <w:ilvl w:val="0"/>
          <w:numId w:val="2"/>
        </w:numPr>
        <w:rPr>
          <w:rFonts w:hint="eastAsia" w:ascii="Times New Roman" w:hAnsi="Times New Roman" w:eastAsia="宋体"/>
          <w:color w:val="auto"/>
        </w:rPr>
      </w:pPr>
      <w:bookmarkStart w:id="10" w:name="_Toc18103"/>
      <w:bookmarkStart w:id="11" w:name="_Toc3707"/>
      <w:r>
        <w:rPr>
          <w:rFonts w:hint="eastAsia" w:ascii="Times New Roman" w:hAnsi="Times New Roman" w:eastAsia="宋体"/>
          <w:color w:val="auto"/>
        </w:rPr>
        <w:t>建设项目工程分析</w:t>
      </w:r>
      <w:bookmarkEnd w:id="10"/>
    </w:p>
    <w:tbl>
      <w:tblPr>
        <w:tblStyle w:val="23"/>
        <w:tblW w:w="92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816"/>
      </w:tblGrid>
      <w:tr w14:paraId="3A2E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6" w:type="dxa"/>
            <w:vAlign w:val="center"/>
          </w:tcPr>
          <w:p w14:paraId="48FDC4E0">
            <w:pPr>
              <w:ind w:firstLine="0" w:firstLineChars="0"/>
              <w:jc w:val="both"/>
              <w:rPr>
                <w:color w:val="auto"/>
              </w:rPr>
            </w:pPr>
            <w:r>
              <w:rPr>
                <w:rFonts w:hint="eastAsia"/>
                <w:color w:val="auto"/>
              </w:rPr>
              <w:t>建设</w:t>
            </w:r>
          </w:p>
          <w:p w14:paraId="33832200">
            <w:pPr>
              <w:bidi w:val="0"/>
              <w:ind w:left="0" w:leftChars="0" w:firstLine="0" w:firstLineChars="0"/>
              <w:jc w:val="both"/>
              <w:rPr>
                <w:rFonts w:hint="default" w:ascii="Times New Roman" w:hAnsi="Times New Roman" w:eastAsia="宋体" w:cs="黑体"/>
                <w:color w:val="auto"/>
                <w:kern w:val="2"/>
                <w:sz w:val="24"/>
                <w:szCs w:val="24"/>
                <w:lang w:val="en-US" w:eastAsia="zh-CN" w:bidi="ar-SA"/>
              </w:rPr>
            </w:pPr>
            <w:r>
              <w:rPr>
                <w:rFonts w:hint="eastAsia"/>
                <w:color w:val="auto"/>
              </w:rPr>
              <w:t>内容</w:t>
            </w:r>
          </w:p>
        </w:tc>
        <w:tc>
          <w:tcPr>
            <w:tcW w:w="8816" w:type="dxa"/>
            <w:vAlign w:val="center"/>
          </w:tcPr>
          <w:p w14:paraId="52B3598E">
            <w:pPr>
              <w:spacing w:line="240" w:lineRule="auto"/>
              <w:ind w:firstLine="0" w:firstLineChars="0"/>
              <w:rPr>
                <w:rFonts w:hint="eastAsia"/>
                <w:b/>
                <w:bCs/>
                <w:color w:val="auto"/>
                <w:lang w:eastAsia="zh-CN"/>
              </w:rPr>
            </w:pPr>
            <w:r>
              <w:rPr>
                <w:rFonts w:hint="eastAsia"/>
                <w:b/>
                <w:bCs/>
                <w:color w:val="auto"/>
                <w:lang w:eastAsia="zh-CN"/>
              </w:rPr>
              <w:t>一、工程概况</w:t>
            </w:r>
          </w:p>
          <w:p w14:paraId="52B765DC">
            <w:pPr>
              <w:bidi w:val="0"/>
              <w:rPr>
                <w:rFonts w:hint="default"/>
                <w:b w:val="0"/>
                <w:bCs w:val="0"/>
                <w:color w:val="auto"/>
                <w:lang w:val="en-US" w:eastAsia="zh-CN"/>
              </w:rPr>
            </w:pPr>
            <w:r>
              <w:rPr>
                <w:rFonts w:hint="eastAsia"/>
                <w:b w:val="0"/>
                <w:bCs w:val="0"/>
                <w:color w:val="auto"/>
                <w:lang w:val="en-US" w:eastAsia="zh-CN"/>
              </w:rPr>
              <w:t>项目名称：年产10万吨焊管产能提升技术改造项目</w:t>
            </w:r>
          </w:p>
          <w:p w14:paraId="6D3DE080">
            <w:pPr>
              <w:bidi w:val="0"/>
              <w:rPr>
                <w:rFonts w:hint="eastAsia"/>
                <w:b w:val="0"/>
                <w:bCs w:val="0"/>
                <w:color w:val="auto"/>
                <w:lang w:val="en-US" w:eastAsia="zh-CN"/>
              </w:rPr>
            </w:pPr>
            <w:r>
              <w:rPr>
                <w:rFonts w:hint="eastAsia"/>
                <w:b w:val="0"/>
                <w:bCs w:val="0"/>
                <w:color w:val="auto"/>
                <w:lang w:val="en-US" w:eastAsia="zh-CN"/>
              </w:rPr>
              <w:t>建设单位：云南省通海胜宝工贸有限公司</w:t>
            </w:r>
          </w:p>
          <w:p w14:paraId="2CC486DA">
            <w:pPr>
              <w:bidi w:val="0"/>
              <w:rPr>
                <w:rFonts w:hint="eastAsia"/>
                <w:b w:val="0"/>
                <w:bCs w:val="0"/>
                <w:color w:val="auto"/>
                <w:lang w:val="en-US" w:eastAsia="zh-CN"/>
              </w:rPr>
            </w:pPr>
            <w:r>
              <w:rPr>
                <w:rFonts w:hint="eastAsia"/>
                <w:b w:val="0"/>
                <w:bCs w:val="0"/>
                <w:color w:val="auto"/>
                <w:lang w:val="en-US" w:eastAsia="zh-CN"/>
              </w:rPr>
              <w:t>项目性质：改扩建</w:t>
            </w:r>
          </w:p>
          <w:p w14:paraId="61CB282F">
            <w:pPr>
              <w:bidi w:val="0"/>
              <w:rPr>
                <w:rFonts w:hint="eastAsia"/>
                <w:b w:val="0"/>
                <w:bCs w:val="0"/>
                <w:color w:val="auto"/>
                <w:lang w:val="en-US" w:eastAsia="zh-CN"/>
              </w:rPr>
            </w:pPr>
            <w:r>
              <w:rPr>
                <w:rFonts w:hint="eastAsia"/>
                <w:b w:val="0"/>
                <w:bCs w:val="0"/>
                <w:color w:val="auto"/>
                <w:lang w:val="en-US" w:eastAsia="zh-CN"/>
              </w:rPr>
              <w:t>建设地点：通海县纳古镇</w:t>
            </w:r>
          </w:p>
          <w:p w14:paraId="677CBBA6">
            <w:pPr>
              <w:bidi w:val="0"/>
              <w:rPr>
                <w:rFonts w:hint="default"/>
                <w:b w:val="0"/>
                <w:bCs w:val="0"/>
                <w:color w:val="auto"/>
                <w:lang w:val="en-US" w:eastAsia="zh-CN"/>
              </w:rPr>
            </w:pPr>
            <w:r>
              <w:rPr>
                <w:rFonts w:hint="eastAsia"/>
                <w:b w:val="0"/>
                <w:bCs w:val="0"/>
                <w:color w:val="auto"/>
                <w:lang w:val="en-US" w:eastAsia="zh-CN"/>
              </w:rPr>
              <w:t>建设规模：年产10万吨焊管</w:t>
            </w:r>
          </w:p>
          <w:p w14:paraId="120D53A6">
            <w:pPr>
              <w:bidi w:val="0"/>
              <w:rPr>
                <w:rFonts w:hint="default"/>
                <w:b w:val="0"/>
                <w:bCs w:val="0"/>
                <w:color w:val="auto"/>
                <w:lang w:val="en-US" w:eastAsia="zh-CN"/>
              </w:rPr>
            </w:pPr>
            <w:r>
              <w:rPr>
                <w:rFonts w:hint="eastAsia"/>
                <w:b w:val="0"/>
                <w:bCs w:val="0"/>
                <w:color w:val="auto"/>
                <w:lang w:val="en-US" w:eastAsia="zh-CN"/>
              </w:rPr>
              <w:t>总投资：项目总投资1400万元</w:t>
            </w:r>
          </w:p>
          <w:p w14:paraId="4E8BCC9C">
            <w:pPr>
              <w:spacing w:line="240" w:lineRule="auto"/>
              <w:ind w:firstLine="0" w:firstLineChars="0"/>
              <w:rPr>
                <w:b/>
                <w:bCs/>
                <w:color w:val="auto"/>
              </w:rPr>
            </w:pPr>
            <w:r>
              <w:rPr>
                <w:rFonts w:hint="eastAsia"/>
                <w:b/>
                <w:bCs/>
                <w:color w:val="auto"/>
                <w:lang w:eastAsia="zh-CN"/>
              </w:rPr>
              <w:t>二、工程</w:t>
            </w:r>
            <w:r>
              <w:rPr>
                <w:rFonts w:hint="eastAsia"/>
                <w:b/>
                <w:bCs/>
                <w:color w:val="auto"/>
              </w:rPr>
              <w:t>内容</w:t>
            </w:r>
          </w:p>
          <w:p w14:paraId="6D8D3EEF">
            <w:pPr>
              <w:bidi w:val="0"/>
              <w:rPr>
                <w:rFonts w:hint="default"/>
                <w:color w:val="auto"/>
                <w:lang w:val="en-US" w:eastAsia="zh-CN"/>
              </w:rPr>
            </w:pPr>
            <w:r>
              <w:rPr>
                <w:rFonts w:hint="eastAsia"/>
                <w:color w:val="auto"/>
                <w:lang w:eastAsia="zh-CN"/>
              </w:rPr>
              <w:t>本项目占地面积</w:t>
            </w:r>
            <w:r>
              <w:rPr>
                <w:rFonts w:hint="eastAsia"/>
                <w:color w:val="auto"/>
                <w:lang w:val="en-US" w:eastAsia="zh-CN"/>
              </w:rPr>
              <w:t>19.08亩</w:t>
            </w:r>
            <w:r>
              <w:rPr>
                <w:rFonts w:hint="eastAsia"/>
                <w:color w:val="auto"/>
                <w:vertAlign w:val="baseline"/>
                <w:lang w:val="en-US" w:eastAsia="zh-CN"/>
              </w:rPr>
              <w:t>（详见附件8）</w:t>
            </w:r>
            <w:r>
              <w:rPr>
                <w:rFonts w:hint="eastAsia"/>
                <w:color w:val="auto"/>
                <w:lang w:val="en-US" w:eastAsia="zh-CN"/>
              </w:rPr>
              <w:t>，厂房为钢结构厂房，</w:t>
            </w:r>
            <w:r>
              <w:rPr>
                <w:rFonts w:hint="eastAsia"/>
                <w:color w:val="auto"/>
                <w:lang w:eastAsia="zh-CN"/>
              </w:rPr>
              <w:t>本项目在原有厂区内进行改造，</w:t>
            </w:r>
            <w:r>
              <w:rPr>
                <w:rFonts w:hint="eastAsia"/>
                <w:color w:val="auto"/>
                <w:lang w:val="en-US" w:eastAsia="zh-CN"/>
              </w:rPr>
              <w:t>建设8条高频焊管生产线，安装空压机、变压器、起重机、平头机、车床等生产设备共76台/套（目前均已建成）；配套建设循环冷却水、变压供配电系统、压缩空气系统、道路运输系统等设施，形成年产10万吨焊管生产规模。项目员工不在厂区内设置食堂，餐食由公司负责在附近餐馆购买。</w:t>
            </w:r>
          </w:p>
          <w:p w14:paraId="551005B1">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color w:val="auto"/>
                <w:sz w:val="24"/>
                <w:szCs w:val="24"/>
              </w:rPr>
            </w:pPr>
            <w:r>
              <w:rPr>
                <w:color w:val="auto"/>
                <w:sz w:val="24"/>
                <w:szCs w:val="24"/>
              </w:rPr>
              <w:t>表2-1  项目主要建设内容</w:t>
            </w:r>
          </w:p>
          <w:tbl>
            <w:tblPr>
              <w:tblStyle w:val="2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475"/>
              <w:gridCol w:w="1117"/>
              <w:gridCol w:w="4881"/>
              <w:gridCol w:w="1400"/>
            </w:tblGrid>
            <w:tr w14:paraId="11DC9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Align w:val="center"/>
                </w:tcPr>
                <w:p w14:paraId="07EC5FD2">
                  <w:pPr>
                    <w:pStyle w:val="31"/>
                    <w:bidi w:val="0"/>
                    <w:rPr>
                      <w:rFonts w:hint="eastAsia"/>
                      <w:color w:val="auto"/>
                      <w:lang w:eastAsia="zh-CN"/>
                    </w:rPr>
                  </w:pPr>
                  <w:r>
                    <w:rPr>
                      <w:rFonts w:hint="eastAsia"/>
                      <w:color w:val="auto"/>
                      <w:lang w:eastAsia="zh-CN"/>
                    </w:rPr>
                    <w:t>工程内容</w:t>
                  </w:r>
                </w:p>
              </w:tc>
              <w:tc>
                <w:tcPr>
                  <w:tcW w:w="927" w:type="pct"/>
                  <w:gridSpan w:val="2"/>
                  <w:vAlign w:val="center"/>
                </w:tcPr>
                <w:p w14:paraId="146B17C9">
                  <w:pPr>
                    <w:pStyle w:val="31"/>
                    <w:bidi w:val="0"/>
                    <w:rPr>
                      <w:rFonts w:hint="default" w:eastAsia="宋体"/>
                      <w:color w:val="auto"/>
                      <w:lang w:val="en-US" w:eastAsia="zh-CN"/>
                    </w:rPr>
                  </w:pPr>
                  <w:r>
                    <w:rPr>
                      <w:rFonts w:hint="eastAsia"/>
                      <w:color w:val="auto"/>
                      <w:lang w:val="en-US" w:eastAsia="zh-CN"/>
                    </w:rPr>
                    <w:t>名称</w:t>
                  </w:r>
                </w:p>
              </w:tc>
              <w:tc>
                <w:tcPr>
                  <w:tcW w:w="2842" w:type="pct"/>
                  <w:vAlign w:val="center"/>
                </w:tcPr>
                <w:p w14:paraId="7BEC6F87">
                  <w:pPr>
                    <w:pStyle w:val="31"/>
                    <w:bidi w:val="0"/>
                    <w:rPr>
                      <w:rFonts w:hint="eastAsia" w:eastAsia="宋体"/>
                      <w:color w:val="auto"/>
                      <w:lang w:eastAsia="zh-CN"/>
                    </w:rPr>
                  </w:pPr>
                  <w:r>
                    <w:rPr>
                      <w:rFonts w:hint="eastAsia"/>
                      <w:color w:val="auto"/>
                      <w:lang w:eastAsia="zh-CN"/>
                    </w:rPr>
                    <w:t>主要建设内容</w:t>
                  </w:r>
                </w:p>
              </w:tc>
              <w:tc>
                <w:tcPr>
                  <w:tcW w:w="815" w:type="pct"/>
                  <w:vAlign w:val="center"/>
                </w:tcPr>
                <w:p w14:paraId="7EC004D6">
                  <w:pPr>
                    <w:pStyle w:val="31"/>
                    <w:bidi w:val="0"/>
                    <w:rPr>
                      <w:rFonts w:hint="eastAsia" w:eastAsia="宋体"/>
                      <w:color w:val="auto"/>
                      <w:lang w:eastAsia="zh-CN"/>
                    </w:rPr>
                  </w:pPr>
                  <w:r>
                    <w:rPr>
                      <w:rFonts w:hint="eastAsia"/>
                      <w:color w:val="auto"/>
                      <w:lang w:eastAsia="zh-CN"/>
                    </w:rPr>
                    <w:t>备注</w:t>
                  </w:r>
                </w:p>
              </w:tc>
            </w:tr>
            <w:tr w14:paraId="1348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Merge w:val="restart"/>
                  <w:vAlign w:val="center"/>
                </w:tcPr>
                <w:p w14:paraId="54C7FB4E">
                  <w:pPr>
                    <w:pStyle w:val="31"/>
                    <w:bidi w:val="0"/>
                    <w:rPr>
                      <w:rFonts w:hint="eastAsia" w:eastAsia="宋体"/>
                      <w:color w:val="auto"/>
                      <w:lang w:eastAsia="zh-CN"/>
                    </w:rPr>
                  </w:pPr>
                  <w:r>
                    <w:rPr>
                      <w:rFonts w:hint="eastAsia"/>
                      <w:color w:val="auto"/>
                      <w:lang w:eastAsia="zh-CN"/>
                    </w:rPr>
                    <w:t>主体工程</w:t>
                  </w:r>
                </w:p>
              </w:tc>
              <w:tc>
                <w:tcPr>
                  <w:tcW w:w="927" w:type="pct"/>
                  <w:gridSpan w:val="2"/>
                  <w:vAlign w:val="center"/>
                </w:tcPr>
                <w:p w14:paraId="7C81395F">
                  <w:pPr>
                    <w:pStyle w:val="31"/>
                    <w:bidi w:val="0"/>
                    <w:rPr>
                      <w:rFonts w:hint="default" w:eastAsia="宋体"/>
                      <w:color w:val="auto"/>
                      <w:lang w:val="en-US" w:eastAsia="zh-CN"/>
                    </w:rPr>
                  </w:pPr>
                  <w:r>
                    <w:rPr>
                      <w:rFonts w:hint="eastAsia"/>
                      <w:color w:val="auto"/>
                      <w:lang w:val="en-US" w:eastAsia="zh-CN"/>
                    </w:rPr>
                    <w:t>1#焊管车间</w:t>
                  </w:r>
                </w:p>
              </w:tc>
              <w:tc>
                <w:tcPr>
                  <w:tcW w:w="2842" w:type="pct"/>
                  <w:vAlign w:val="center"/>
                </w:tcPr>
                <w:p w14:paraId="2AB4AD2C">
                  <w:pPr>
                    <w:pStyle w:val="31"/>
                    <w:bidi w:val="0"/>
                    <w:jc w:val="left"/>
                    <w:rPr>
                      <w:rFonts w:hint="default"/>
                      <w:color w:val="auto"/>
                      <w:lang w:val="en-US"/>
                    </w:rPr>
                  </w:pPr>
                  <w:r>
                    <w:rPr>
                      <w:rFonts w:hint="eastAsia"/>
                      <w:color w:val="auto"/>
                      <w:lang w:val="en-US" w:eastAsia="zh-CN"/>
                    </w:rPr>
                    <w:t>位于厂区南侧，</w:t>
                  </w:r>
                  <w:r>
                    <w:rPr>
                      <w:rFonts w:hint="eastAsia"/>
                      <w:color w:val="auto"/>
                    </w:rPr>
                    <w:t>采用钢结构形式，彩钢瓦覆顶，占地</w:t>
                  </w:r>
                  <w:r>
                    <w:rPr>
                      <w:rFonts w:hint="eastAsia"/>
                      <w:color w:val="auto"/>
                      <w:lang w:eastAsia="zh-CN"/>
                    </w:rPr>
                    <w:t>面积</w:t>
                  </w:r>
                  <w:r>
                    <w:rPr>
                      <w:rFonts w:hint="eastAsia"/>
                      <w:color w:val="auto"/>
                      <w:lang w:val="en-US" w:eastAsia="zh-CN"/>
                    </w:rPr>
                    <w:t>1251</w:t>
                  </w:r>
                  <w:r>
                    <w:rPr>
                      <w:rFonts w:hint="eastAsia"/>
                      <w:color w:val="auto"/>
                    </w:rPr>
                    <w:t>m</w:t>
                  </w:r>
                  <w:r>
                    <w:rPr>
                      <w:rFonts w:hint="eastAsia"/>
                      <w:color w:val="auto"/>
                      <w:vertAlign w:val="superscript"/>
                    </w:rPr>
                    <w:t>2</w:t>
                  </w:r>
                  <w:r>
                    <w:rPr>
                      <w:rFonts w:hint="eastAsia"/>
                      <w:color w:val="auto"/>
                    </w:rPr>
                    <w:t>，1层，建筑面积</w:t>
                  </w:r>
                  <w:r>
                    <w:rPr>
                      <w:rFonts w:hint="eastAsia"/>
                      <w:color w:val="auto"/>
                      <w:lang w:val="en-US" w:eastAsia="zh-CN"/>
                    </w:rPr>
                    <w:t>1251</w:t>
                  </w:r>
                  <w:r>
                    <w:rPr>
                      <w:rFonts w:hint="eastAsia"/>
                      <w:color w:val="auto"/>
                    </w:rPr>
                    <w:t>m</w:t>
                  </w:r>
                  <w:r>
                    <w:rPr>
                      <w:rFonts w:hint="eastAsia"/>
                      <w:color w:val="auto"/>
                      <w:vertAlign w:val="superscript"/>
                    </w:rPr>
                    <w:t>2</w:t>
                  </w:r>
                  <w:r>
                    <w:rPr>
                      <w:rFonts w:hint="eastAsia"/>
                      <w:color w:val="auto"/>
                    </w:rPr>
                    <w:t>，生产车间布设</w:t>
                  </w:r>
                  <w:r>
                    <w:rPr>
                      <w:rFonts w:hint="eastAsia"/>
                      <w:color w:val="auto"/>
                      <w:lang w:val="en-US" w:eastAsia="zh-CN"/>
                    </w:rPr>
                    <w:t>1</w:t>
                  </w:r>
                  <w:r>
                    <w:rPr>
                      <w:rFonts w:hint="eastAsia"/>
                      <w:color w:val="auto"/>
                    </w:rPr>
                    <w:t>条生产线</w:t>
                  </w:r>
                  <w:r>
                    <w:rPr>
                      <w:rFonts w:hint="eastAsia"/>
                      <w:color w:val="auto"/>
                      <w:lang w:eastAsia="zh-CN"/>
                    </w:rPr>
                    <w:t>（</w:t>
                  </w:r>
                  <w:r>
                    <w:rPr>
                      <w:rFonts w:hint="eastAsia"/>
                      <w:color w:val="auto"/>
                      <w:lang w:val="en-US" w:eastAsia="zh-CN"/>
                    </w:rPr>
                    <w:t>1#高频焊管生产线</w:t>
                  </w:r>
                  <w:r>
                    <w:rPr>
                      <w:rFonts w:hint="eastAsia"/>
                      <w:color w:val="auto"/>
                      <w:lang w:eastAsia="zh-CN"/>
                    </w:rPr>
                    <w:t>）。</w:t>
                  </w:r>
                  <w:r>
                    <w:rPr>
                      <w:rFonts w:hint="eastAsia"/>
                      <w:color w:val="auto"/>
                      <w:lang w:val="en-US" w:eastAsia="zh-CN"/>
                    </w:rPr>
                    <w:t>现已建设完成。</w:t>
                  </w:r>
                </w:p>
              </w:tc>
              <w:tc>
                <w:tcPr>
                  <w:tcW w:w="815" w:type="pct"/>
                  <w:vMerge w:val="restart"/>
                  <w:vAlign w:val="center"/>
                </w:tcPr>
                <w:p w14:paraId="6BF21ED1">
                  <w:pPr>
                    <w:pStyle w:val="31"/>
                    <w:bidi w:val="0"/>
                    <w:rPr>
                      <w:rFonts w:hint="default" w:eastAsia="宋体"/>
                      <w:color w:val="auto"/>
                      <w:lang w:val="en-US" w:eastAsia="zh-CN"/>
                    </w:rPr>
                  </w:pPr>
                  <w:r>
                    <w:rPr>
                      <w:rFonts w:hint="eastAsia"/>
                      <w:color w:val="auto"/>
                      <w:lang w:val="en-US" w:eastAsia="zh-CN"/>
                    </w:rPr>
                    <w:t>焊管车间已建，本次项目简单修缮后用作生产车间，车间内76台/套生产设备均已建成。</w:t>
                  </w:r>
                </w:p>
              </w:tc>
            </w:tr>
            <w:tr w14:paraId="25944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Merge w:val="continue"/>
                  <w:vAlign w:val="center"/>
                </w:tcPr>
                <w:p w14:paraId="64AB245F">
                  <w:pPr>
                    <w:pStyle w:val="31"/>
                    <w:bidi w:val="0"/>
                    <w:rPr>
                      <w:rFonts w:hint="eastAsia"/>
                      <w:color w:val="auto"/>
                      <w:lang w:eastAsia="zh-CN"/>
                    </w:rPr>
                  </w:pPr>
                </w:p>
              </w:tc>
              <w:tc>
                <w:tcPr>
                  <w:tcW w:w="927" w:type="pct"/>
                  <w:gridSpan w:val="2"/>
                  <w:vAlign w:val="center"/>
                </w:tcPr>
                <w:p w14:paraId="08A47FE9">
                  <w:pPr>
                    <w:pStyle w:val="31"/>
                    <w:bidi w:val="0"/>
                    <w:rPr>
                      <w:rFonts w:hint="eastAsia" w:eastAsia="宋体"/>
                      <w:color w:val="auto"/>
                      <w:lang w:val="en-US" w:eastAsia="zh-CN"/>
                    </w:rPr>
                  </w:pPr>
                  <w:r>
                    <w:rPr>
                      <w:rFonts w:hint="eastAsia"/>
                      <w:color w:val="auto"/>
                      <w:lang w:val="en-US" w:eastAsia="zh-CN"/>
                    </w:rPr>
                    <w:t>2#焊管车间</w:t>
                  </w:r>
                </w:p>
              </w:tc>
              <w:tc>
                <w:tcPr>
                  <w:tcW w:w="2842" w:type="pct"/>
                  <w:vAlign w:val="center"/>
                </w:tcPr>
                <w:p w14:paraId="4F1F3D11">
                  <w:pPr>
                    <w:pStyle w:val="31"/>
                    <w:bidi w:val="0"/>
                    <w:jc w:val="both"/>
                    <w:rPr>
                      <w:rFonts w:hint="default" w:eastAsia="宋体"/>
                      <w:color w:val="auto"/>
                      <w:lang w:val="en-US" w:eastAsia="zh-CN"/>
                    </w:rPr>
                  </w:pPr>
                  <w:r>
                    <w:rPr>
                      <w:rFonts w:hint="eastAsia"/>
                      <w:color w:val="auto"/>
                      <w:lang w:val="en-US" w:eastAsia="zh-CN"/>
                    </w:rPr>
                    <w:t>位于厂区东侧，</w:t>
                  </w:r>
                  <w:r>
                    <w:rPr>
                      <w:rFonts w:hint="eastAsia"/>
                      <w:color w:val="auto"/>
                    </w:rPr>
                    <w:t>采用钢结构形式，彩钢瓦覆顶，占地面积</w:t>
                  </w:r>
                  <w:r>
                    <w:rPr>
                      <w:rFonts w:hint="eastAsia"/>
                      <w:color w:val="auto"/>
                      <w:lang w:val="en-US" w:eastAsia="zh-CN"/>
                    </w:rPr>
                    <w:t>3563</w:t>
                  </w:r>
                  <w:r>
                    <w:rPr>
                      <w:rFonts w:hint="eastAsia"/>
                      <w:color w:val="auto"/>
                    </w:rPr>
                    <w:t>m</w:t>
                  </w:r>
                  <w:r>
                    <w:rPr>
                      <w:rFonts w:hint="eastAsia"/>
                      <w:color w:val="auto"/>
                      <w:vertAlign w:val="superscript"/>
                    </w:rPr>
                    <w:t>2</w:t>
                  </w:r>
                  <w:r>
                    <w:rPr>
                      <w:rFonts w:hint="eastAsia"/>
                      <w:color w:val="auto"/>
                    </w:rPr>
                    <w:t>，1层，建筑面积</w:t>
                  </w:r>
                  <w:r>
                    <w:rPr>
                      <w:rFonts w:hint="eastAsia"/>
                      <w:color w:val="auto"/>
                      <w:lang w:val="en-US" w:eastAsia="zh-CN"/>
                    </w:rPr>
                    <w:t>3563</w:t>
                  </w:r>
                  <w:r>
                    <w:rPr>
                      <w:rFonts w:hint="eastAsia"/>
                      <w:color w:val="auto"/>
                    </w:rPr>
                    <w:t>m</w:t>
                  </w:r>
                  <w:r>
                    <w:rPr>
                      <w:rFonts w:hint="eastAsia"/>
                      <w:color w:val="auto"/>
                      <w:vertAlign w:val="superscript"/>
                    </w:rPr>
                    <w:t>2</w:t>
                  </w:r>
                  <w:r>
                    <w:rPr>
                      <w:rFonts w:hint="eastAsia"/>
                      <w:color w:val="auto"/>
                    </w:rPr>
                    <w:t>，生产车间由</w:t>
                  </w:r>
                  <w:r>
                    <w:rPr>
                      <w:rFonts w:hint="eastAsia"/>
                      <w:color w:val="auto"/>
                      <w:lang w:eastAsia="zh-CN"/>
                    </w:rPr>
                    <w:t>北</w:t>
                  </w:r>
                  <w:r>
                    <w:rPr>
                      <w:rFonts w:hint="eastAsia"/>
                      <w:color w:val="auto"/>
                    </w:rPr>
                    <w:t>至</w:t>
                  </w:r>
                  <w:r>
                    <w:rPr>
                      <w:rFonts w:hint="eastAsia"/>
                      <w:color w:val="auto"/>
                      <w:lang w:eastAsia="zh-CN"/>
                    </w:rPr>
                    <w:t>南</w:t>
                  </w:r>
                  <w:r>
                    <w:rPr>
                      <w:rFonts w:hint="eastAsia"/>
                      <w:color w:val="auto"/>
                    </w:rPr>
                    <w:t>依次布设</w:t>
                  </w:r>
                  <w:r>
                    <w:rPr>
                      <w:rFonts w:hint="eastAsia"/>
                      <w:color w:val="auto"/>
                      <w:lang w:val="en-US" w:eastAsia="zh-CN"/>
                    </w:rPr>
                    <w:t>4</w:t>
                  </w:r>
                  <w:r>
                    <w:rPr>
                      <w:rFonts w:hint="eastAsia"/>
                      <w:color w:val="auto"/>
                    </w:rPr>
                    <w:t>条生产线</w:t>
                  </w:r>
                  <w:r>
                    <w:rPr>
                      <w:rFonts w:hint="eastAsia"/>
                      <w:color w:val="auto"/>
                      <w:lang w:eastAsia="zh-CN"/>
                    </w:rPr>
                    <w:t>（</w:t>
                  </w:r>
                  <w:r>
                    <w:rPr>
                      <w:rFonts w:hint="eastAsia"/>
                      <w:color w:val="auto"/>
                      <w:lang w:val="en-US" w:eastAsia="zh-CN"/>
                    </w:rPr>
                    <w:t>2#、3#、4#、5#高频焊管生产线</w:t>
                  </w:r>
                  <w:r>
                    <w:rPr>
                      <w:rFonts w:hint="eastAsia"/>
                      <w:color w:val="auto"/>
                      <w:lang w:eastAsia="zh-CN"/>
                    </w:rPr>
                    <w:t>）</w:t>
                  </w:r>
                  <w:r>
                    <w:rPr>
                      <w:rFonts w:hint="eastAsia"/>
                      <w:color w:val="auto"/>
                    </w:rPr>
                    <w:t>。</w:t>
                  </w:r>
                  <w:r>
                    <w:rPr>
                      <w:rFonts w:hint="eastAsia"/>
                      <w:color w:val="auto"/>
                      <w:lang w:val="en-US" w:eastAsia="zh-CN"/>
                    </w:rPr>
                    <w:t>现已建设完成。</w:t>
                  </w:r>
                </w:p>
              </w:tc>
              <w:tc>
                <w:tcPr>
                  <w:tcW w:w="815" w:type="pct"/>
                  <w:vMerge w:val="continue"/>
                  <w:vAlign w:val="center"/>
                </w:tcPr>
                <w:p w14:paraId="062ED620">
                  <w:pPr>
                    <w:pStyle w:val="31"/>
                    <w:bidi w:val="0"/>
                    <w:rPr>
                      <w:color w:val="auto"/>
                    </w:rPr>
                  </w:pPr>
                </w:p>
              </w:tc>
            </w:tr>
            <w:tr w14:paraId="5A0BC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Merge w:val="continue"/>
                  <w:vAlign w:val="center"/>
                </w:tcPr>
                <w:p w14:paraId="4BE1A5D6">
                  <w:pPr>
                    <w:pStyle w:val="31"/>
                    <w:bidi w:val="0"/>
                    <w:rPr>
                      <w:rFonts w:hint="eastAsia"/>
                      <w:color w:val="auto"/>
                      <w:lang w:eastAsia="zh-CN"/>
                    </w:rPr>
                  </w:pPr>
                </w:p>
              </w:tc>
              <w:tc>
                <w:tcPr>
                  <w:tcW w:w="927" w:type="pct"/>
                  <w:gridSpan w:val="2"/>
                  <w:vAlign w:val="center"/>
                </w:tcPr>
                <w:p w14:paraId="421CA3AF">
                  <w:pPr>
                    <w:pStyle w:val="31"/>
                    <w:bidi w:val="0"/>
                    <w:rPr>
                      <w:rFonts w:hint="default" w:eastAsia="宋体"/>
                      <w:color w:val="auto"/>
                      <w:lang w:val="en-US" w:eastAsia="zh-CN"/>
                    </w:rPr>
                  </w:pPr>
                  <w:r>
                    <w:rPr>
                      <w:rFonts w:hint="eastAsia"/>
                      <w:color w:val="auto"/>
                      <w:lang w:val="en-US" w:eastAsia="zh-CN"/>
                    </w:rPr>
                    <w:t>3#焊管车间</w:t>
                  </w:r>
                </w:p>
              </w:tc>
              <w:tc>
                <w:tcPr>
                  <w:tcW w:w="2842" w:type="pct"/>
                  <w:vAlign w:val="center"/>
                </w:tcPr>
                <w:p w14:paraId="4B68043E">
                  <w:pPr>
                    <w:pStyle w:val="31"/>
                    <w:bidi w:val="0"/>
                    <w:jc w:val="left"/>
                    <w:rPr>
                      <w:color w:val="auto"/>
                    </w:rPr>
                  </w:pPr>
                  <w:r>
                    <w:rPr>
                      <w:rFonts w:hint="eastAsia"/>
                      <w:color w:val="auto"/>
                      <w:lang w:val="en-US" w:eastAsia="zh-CN"/>
                    </w:rPr>
                    <w:t>位于厂区北侧，</w:t>
                  </w:r>
                  <w:r>
                    <w:rPr>
                      <w:rFonts w:hint="eastAsia"/>
                      <w:color w:val="auto"/>
                    </w:rPr>
                    <w:t>采用钢结构形式，彩钢瓦覆顶，占地</w:t>
                  </w:r>
                  <w:r>
                    <w:rPr>
                      <w:rFonts w:hint="eastAsia"/>
                      <w:color w:val="auto"/>
                      <w:lang w:eastAsia="zh-CN"/>
                    </w:rPr>
                    <w:t>面积</w:t>
                  </w:r>
                  <w:r>
                    <w:rPr>
                      <w:rFonts w:hint="eastAsia"/>
                      <w:color w:val="auto"/>
                      <w:lang w:val="en-US" w:eastAsia="zh-CN"/>
                    </w:rPr>
                    <w:t>566</w:t>
                  </w:r>
                  <w:r>
                    <w:rPr>
                      <w:rFonts w:hint="eastAsia"/>
                      <w:color w:val="auto"/>
                    </w:rPr>
                    <w:t>m</w:t>
                  </w:r>
                  <w:r>
                    <w:rPr>
                      <w:rFonts w:hint="eastAsia"/>
                      <w:color w:val="auto"/>
                      <w:vertAlign w:val="superscript"/>
                    </w:rPr>
                    <w:t>2</w:t>
                  </w:r>
                  <w:r>
                    <w:rPr>
                      <w:rFonts w:hint="eastAsia"/>
                      <w:color w:val="auto"/>
                    </w:rPr>
                    <w:t>，1层，建筑面积</w:t>
                  </w:r>
                  <w:r>
                    <w:rPr>
                      <w:rFonts w:hint="eastAsia"/>
                      <w:color w:val="auto"/>
                      <w:lang w:val="en-US" w:eastAsia="zh-CN"/>
                    </w:rPr>
                    <w:t>566</w:t>
                  </w:r>
                  <w:r>
                    <w:rPr>
                      <w:rFonts w:hint="eastAsia"/>
                      <w:color w:val="auto"/>
                    </w:rPr>
                    <w:t>m</w:t>
                  </w:r>
                  <w:r>
                    <w:rPr>
                      <w:rFonts w:hint="eastAsia"/>
                      <w:color w:val="auto"/>
                      <w:vertAlign w:val="superscript"/>
                    </w:rPr>
                    <w:t>2</w:t>
                  </w:r>
                  <w:r>
                    <w:rPr>
                      <w:rFonts w:hint="eastAsia"/>
                      <w:color w:val="auto"/>
                    </w:rPr>
                    <w:t>，生产车间</w:t>
                  </w:r>
                  <w:r>
                    <w:rPr>
                      <w:rFonts w:hint="eastAsia"/>
                      <w:color w:val="auto"/>
                      <w:lang w:val="en-US" w:eastAsia="zh-CN"/>
                    </w:rPr>
                    <w:t>内</w:t>
                  </w:r>
                  <w:r>
                    <w:rPr>
                      <w:rFonts w:hint="eastAsia"/>
                      <w:color w:val="auto"/>
                    </w:rPr>
                    <w:t>布设</w:t>
                  </w:r>
                  <w:r>
                    <w:rPr>
                      <w:rFonts w:hint="eastAsia"/>
                      <w:color w:val="auto"/>
                      <w:lang w:val="en-US" w:eastAsia="zh-CN"/>
                    </w:rPr>
                    <w:t>1</w:t>
                  </w:r>
                  <w:r>
                    <w:rPr>
                      <w:rFonts w:hint="eastAsia"/>
                      <w:color w:val="auto"/>
                    </w:rPr>
                    <w:t>条生产线</w:t>
                  </w:r>
                  <w:r>
                    <w:rPr>
                      <w:rFonts w:hint="eastAsia"/>
                      <w:color w:val="auto"/>
                      <w:lang w:eastAsia="zh-CN"/>
                    </w:rPr>
                    <w:t>（</w:t>
                  </w:r>
                  <w:r>
                    <w:rPr>
                      <w:rFonts w:hint="eastAsia"/>
                      <w:color w:val="auto"/>
                      <w:lang w:val="en-US" w:eastAsia="zh-CN"/>
                    </w:rPr>
                    <w:t>8#高频焊管生产线</w:t>
                  </w:r>
                  <w:r>
                    <w:rPr>
                      <w:rFonts w:hint="eastAsia"/>
                      <w:color w:val="auto"/>
                      <w:lang w:eastAsia="zh-CN"/>
                    </w:rPr>
                    <w:t>）</w:t>
                  </w:r>
                  <w:r>
                    <w:rPr>
                      <w:rFonts w:hint="eastAsia"/>
                      <w:color w:val="auto"/>
                    </w:rPr>
                    <w:t>。</w:t>
                  </w:r>
                  <w:r>
                    <w:rPr>
                      <w:rFonts w:hint="eastAsia"/>
                      <w:color w:val="auto"/>
                      <w:lang w:val="en-US" w:eastAsia="zh-CN"/>
                    </w:rPr>
                    <w:t>现已建设完成。</w:t>
                  </w:r>
                </w:p>
              </w:tc>
              <w:tc>
                <w:tcPr>
                  <w:tcW w:w="815" w:type="pct"/>
                  <w:vMerge w:val="continue"/>
                  <w:vAlign w:val="center"/>
                </w:tcPr>
                <w:p w14:paraId="290D3551">
                  <w:pPr>
                    <w:pStyle w:val="31"/>
                    <w:bidi w:val="0"/>
                    <w:rPr>
                      <w:color w:val="auto"/>
                    </w:rPr>
                  </w:pPr>
                </w:p>
              </w:tc>
            </w:tr>
            <w:tr w14:paraId="3970C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Merge w:val="continue"/>
                  <w:vAlign w:val="center"/>
                </w:tcPr>
                <w:p w14:paraId="3B2B39F0">
                  <w:pPr>
                    <w:pStyle w:val="31"/>
                    <w:bidi w:val="0"/>
                    <w:rPr>
                      <w:rFonts w:hint="eastAsia"/>
                      <w:color w:val="auto"/>
                      <w:lang w:eastAsia="zh-CN"/>
                    </w:rPr>
                  </w:pPr>
                </w:p>
              </w:tc>
              <w:tc>
                <w:tcPr>
                  <w:tcW w:w="927" w:type="pct"/>
                  <w:gridSpan w:val="2"/>
                  <w:vAlign w:val="center"/>
                </w:tcPr>
                <w:p w14:paraId="649E2982">
                  <w:pPr>
                    <w:pStyle w:val="31"/>
                    <w:bidi w:val="0"/>
                    <w:rPr>
                      <w:rFonts w:hint="default" w:eastAsia="宋体"/>
                      <w:color w:val="auto"/>
                      <w:lang w:val="en-US" w:eastAsia="zh-CN"/>
                    </w:rPr>
                  </w:pPr>
                  <w:r>
                    <w:rPr>
                      <w:rFonts w:hint="eastAsia"/>
                      <w:color w:val="auto"/>
                      <w:lang w:val="en-US" w:eastAsia="zh-CN"/>
                    </w:rPr>
                    <w:t>4#焊管车间</w:t>
                  </w:r>
                </w:p>
              </w:tc>
              <w:tc>
                <w:tcPr>
                  <w:tcW w:w="2842" w:type="pct"/>
                  <w:vAlign w:val="center"/>
                </w:tcPr>
                <w:p w14:paraId="37BD44D1">
                  <w:pPr>
                    <w:pStyle w:val="31"/>
                    <w:bidi w:val="0"/>
                    <w:jc w:val="left"/>
                    <w:rPr>
                      <w:color w:val="auto"/>
                    </w:rPr>
                  </w:pPr>
                  <w:r>
                    <w:rPr>
                      <w:rFonts w:hint="eastAsia"/>
                      <w:color w:val="auto"/>
                      <w:lang w:val="en-US" w:eastAsia="zh-CN"/>
                    </w:rPr>
                    <w:t>位于厂区北侧，</w:t>
                  </w:r>
                  <w:r>
                    <w:rPr>
                      <w:rFonts w:hint="eastAsia"/>
                      <w:color w:val="auto"/>
                    </w:rPr>
                    <w:t>采用钢结构形式，彩钢瓦覆顶，占地</w:t>
                  </w:r>
                  <w:r>
                    <w:rPr>
                      <w:rFonts w:hint="eastAsia"/>
                      <w:color w:val="auto"/>
                      <w:lang w:eastAsia="zh-CN"/>
                    </w:rPr>
                    <w:t>面积</w:t>
                  </w:r>
                  <w:r>
                    <w:rPr>
                      <w:rFonts w:hint="eastAsia"/>
                      <w:color w:val="auto"/>
                      <w:lang w:val="en-US" w:eastAsia="zh-CN"/>
                    </w:rPr>
                    <w:t>1420</w:t>
                  </w:r>
                  <w:r>
                    <w:rPr>
                      <w:rFonts w:hint="eastAsia"/>
                      <w:color w:val="auto"/>
                    </w:rPr>
                    <w:t>m</w:t>
                  </w:r>
                  <w:r>
                    <w:rPr>
                      <w:rFonts w:hint="eastAsia"/>
                      <w:color w:val="auto"/>
                      <w:vertAlign w:val="superscript"/>
                    </w:rPr>
                    <w:t>2</w:t>
                  </w:r>
                  <w:r>
                    <w:rPr>
                      <w:rFonts w:hint="eastAsia"/>
                      <w:color w:val="auto"/>
                    </w:rPr>
                    <w:t>，1层，建筑面积</w:t>
                  </w:r>
                  <w:r>
                    <w:rPr>
                      <w:rFonts w:hint="eastAsia"/>
                      <w:color w:val="auto"/>
                      <w:lang w:val="en-US" w:eastAsia="zh-CN"/>
                    </w:rPr>
                    <w:t>1420</w:t>
                  </w:r>
                  <w:r>
                    <w:rPr>
                      <w:rFonts w:hint="eastAsia"/>
                      <w:color w:val="auto"/>
                    </w:rPr>
                    <w:t>m</w:t>
                  </w:r>
                  <w:r>
                    <w:rPr>
                      <w:rFonts w:hint="eastAsia"/>
                      <w:color w:val="auto"/>
                      <w:vertAlign w:val="superscript"/>
                    </w:rPr>
                    <w:t>2</w:t>
                  </w:r>
                  <w:r>
                    <w:rPr>
                      <w:rFonts w:hint="eastAsia"/>
                      <w:color w:val="auto"/>
                    </w:rPr>
                    <w:t>，生产车间</w:t>
                  </w:r>
                  <w:r>
                    <w:rPr>
                      <w:rFonts w:hint="eastAsia"/>
                      <w:color w:val="auto"/>
                      <w:lang w:val="en-US" w:eastAsia="zh-CN"/>
                    </w:rPr>
                    <w:t>内</w:t>
                  </w:r>
                  <w:r>
                    <w:rPr>
                      <w:rFonts w:hint="eastAsia"/>
                      <w:color w:val="auto"/>
                    </w:rPr>
                    <w:t>布设</w:t>
                  </w:r>
                  <w:r>
                    <w:rPr>
                      <w:rFonts w:hint="eastAsia"/>
                      <w:color w:val="auto"/>
                      <w:lang w:val="en-US" w:eastAsia="zh-CN"/>
                    </w:rPr>
                    <w:t>2</w:t>
                  </w:r>
                  <w:r>
                    <w:rPr>
                      <w:rFonts w:hint="eastAsia"/>
                      <w:color w:val="auto"/>
                    </w:rPr>
                    <w:t>条生产线</w:t>
                  </w:r>
                  <w:r>
                    <w:rPr>
                      <w:rFonts w:hint="eastAsia"/>
                      <w:color w:val="auto"/>
                      <w:lang w:eastAsia="zh-CN"/>
                    </w:rPr>
                    <w:t>（</w:t>
                  </w:r>
                  <w:r>
                    <w:rPr>
                      <w:rFonts w:hint="eastAsia"/>
                      <w:color w:val="auto"/>
                      <w:lang w:val="en-US" w:eastAsia="zh-CN"/>
                    </w:rPr>
                    <w:t>6#、7#高频焊管生产线</w:t>
                  </w:r>
                  <w:r>
                    <w:rPr>
                      <w:rFonts w:hint="eastAsia"/>
                      <w:color w:val="auto"/>
                      <w:lang w:eastAsia="zh-CN"/>
                    </w:rPr>
                    <w:t>）；并设有总变配电室和应急消防水池。</w:t>
                  </w:r>
                  <w:r>
                    <w:rPr>
                      <w:rFonts w:hint="eastAsia"/>
                      <w:color w:val="auto"/>
                      <w:lang w:val="en-US" w:eastAsia="zh-CN"/>
                    </w:rPr>
                    <w:t>现已建设完成。</w:t>
                  </w:r>
                </w:p>
              </w:tc>
              <w:tc>
                <w:tcPr>
                  <w:tcW w:w="815" w:type="pct"/>
                  <w:vMerge w:val="continue"/>
                  <w:vAlign w:val="center"/>
                </w:tcPr>
                <w:p w14:paraId="45E30DA8">
                  <w:pPr>
                    <w:pStyle w:val="31"/>
                    <w:bidi w:val="0"/>
                    <w:rPr>
                      <w:color w:val="auto"/>
                    </w:rPr>
                  </w:pPr>
                </w:p>
              </w:tc>
            </w:tr>
            <w:tr w14:paraId="7F283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Merge w:val="restart"/>
                  <w:vAlign w:val="center"/>
                </w:tcPr>
                <w:p w14:paraId="77B86F28">
                  <w:pPr>
                    <w:pStyle w:val="31"/>
                    <w:bidi w:val="0"/>
                    <w:rPr>
                      <w:rFonts w:hint="eastAsia"/>
                      <w:color w:val="auto"/>
                      <w:lang w:eastAsia="zh-CN"/>
                    </w:rPr>
                  </w:pPr>
                  <w:r>
                    <w:rPr>
                      <w:rFonts w:hint="eastAsia"/>
                      <w:color w:val="auto"/>
                      <w:lang w:eastAsia="zh-CN"/>
                    </w:rPr>
                    <w:t>储运工程</w:t>
                  </w:r>
                </w:p>
              </w:tc>
              <w:tc>
                <w:tcPr>
                  <w:tcW w:w="927" w:type="pct"/>
                  <w:gridSpan w:val="2"/>
                  <w:vAlign w:val="center"/>
                </w:tcPr>
                <w:p w14:paraId="49C35203">
                  <w:pPr>
                    <w:pStyle w:val="31"/>
                    <w:bidi w:val="0"/>
                    <w:ind w:firstLine="0" w:firstLineChars="0"/>
                    <w:rPr>
                      <w:rFonts w:hint="eastAsia"/>
                      <w:color w:val="auto"/>
                      <w:lang w:val="en-US" w:eastAsia="zh-CN"/>
                    </w:rPr>
                  </w:pPr>
                  <w:r>
                    <w:rPr>
                      <w:rFonts w:hint="eastAsia"/>
                      <w:color w:val="auto"/>
                      <w:lang w:eastAsia="zh-CN"/>
                    </w:rPr>
                    <w:t>成品仓库</w:t>
                  </w:r>
                </w:p>
              </w:tc>
              <w:tc>
                <w:tcPr>
                  <w:tcW w:w="2842" w:type="pct"/>
                  <w:vAlign w:val="center"/>
                </w:tcPr>
                <w:p w14:paraId="0120C2DD">
                  <w:pPr>
                    <w:pStyle w:val="31"/>
                    <w:bidi w:val="0"/>
                    <w:ind w:firstLine="0" w:firstLineChars="0"/>
                    <w:jc w:val="left"/>
                    <w:rPr>
                      <w:rFonts w:hint="eastAsia"/>
                      <w:color w:val="auto"/>
                    </w:rPr>
                  </w:pPr>
                  <w:r>
                    <w:rPr>
                      <w:rFonts w:hint="eastAsia"/>
                      <w:color w:val="auto"/>
                      <w:lang w:val="en-US" w:eastAsia="zh-CN"/>
                    </w:rPr>
                    <w:t>位于厂区西侧，</w:t>
                  </w:r>
                  <w:r>
                    <w:rPr>
                      <w:rFonts w:hint="eastAsia"/>
                      <w:color w:val="auto"/>
                    </w:rPr>
                    <w:t>采用钢结构形式，彩钢瓦覆顶，占地</w:t>
                  </w:r>
                  <w:r>
                    <w:rPr>
                      <w:rFonts w:hint="eastAsia"/>
                      <w:color w:val="auto"/>
                      <w:lang w:eastAsia="zh-CN"/>
                    </w:rPr>
                    <w:t>面积</w:t>
                  </w:r>
                  <w:r>
                    <w:rPr>
                      <w:rFonts w:hint="eastAsia"/>
                      <w:color w:val="auto"/>
                      <w:lang w:val="en-US" w:eastAsia="zh-CN"/>
                    </w:rPr>
                    <w:t>914</w:t>
                  </w:r>
                  <w:r>
                    <w:rPr>
                      <w:rFonts w:hint="eastAsia"/>
                      <w:color w:val="auto"/>
                    </w:rPr>
                    <w:t>m</w:t>
                  </w:r>
                  <w:r>
                    <w:rPr>
                      <w:rFonts w:hint="eastAsia"/>
                      <w:color w:val="auto"/>
                      <w:vertAlign w:val="superscript"/>
                    </w:rPr>
                    <w:t>2</w:t>
                  </w:r>
                  <w:r>
                    <w:rPr>
                      <w:rFonts w:hint="eastAsia"/>
                      <w:color w:val="auto"/>
                    </w:rPr>
                    <w:t>，1层，建筑面积</w:t>
                  </w:r>
                  <w:r>
                    <w:rPr>
                      <w:rFonts w:hint="eastAsia"/>
                      <w:color w:val="auto"/>
                      <w:lang w:val="en-US" w:eastAsia="zh-CN"/>
                    </w:rPr>
                    <w:t>914</w:t>
                  </w:r>
                  <w:r>
                    <w:rPr>
                      <w:rFonts w:hint="eastAsia"/>
                      <w:color w:val="auto"/>
                    </w:rPr>
                    <w:t>m</w:t>
                  </w:r>
                  <w:r>
                    <w:rPr>
                      <w:rFonts w:hint="eastAsia"/>
                      <w:color w:val="auto"/>
                      <w:vertAlign w:val="superscript"/>
                    </w:rPr>
                    <w:t>2</w:t>
                  </w:r>
                  <w:r>
                    <w:rPr>
                      <w:rFonts w:hint="eastAsia"/>
                      <w:color w:val="auto"/>
                    </w:rPr>
                    <w:t>，</w:t>
                  </w:r>
                  <w:r>
                    <w:rPr>
                      <w:rFonts w:hint="eastAsia"/>
                      <w:color w:val="auto"/>
                      <w:lang w:eastAsia="zh-CN"/>
                    </w:rPr>
                    <w:t>用于放置成品。</w:t>
                  </w:r>
                  <w:r>
                    <w:rPr>
                      <w:rFonts w:hint="eastAsia"/>
                      <w:color w:val="auto"/>
                      <w:lang w:val="en-US" w:eastAsia="zh-CN"/>
                    </w:rPr>
                    <w:t>现已建设完成。</w:t>
                  </w:r>
                </w:p>
              </w:tc>
              <w:tc>
                <w:tcPr>
                  <w:tcW w:w="815" w:type="pct"/>
                  <w:vAlign w:val="center"/>
                </w:tcPr>
                <w:p w14:paraId="3F75580F">
                  <w:pPr>
                    <w:pStyle w:val="31"/>
                    <w:bidi w:val="0"/>
                    <w:ind w:firstLine="0" w:firstLineChars="0"/>
                    <w:rPr>
                      <w:rFonts w:hint="eastAsia"/>
                      <w:color w:val="auto"/>
                      <w:lang w:val="en-US" w:eastAsia="zh-CN"/>
                    </w:rPr>
                  </w:pPr>
                  <w:r>
                    <w:rPr>
                      <w:rFonts w:hint="eastAsia"/>
                      <w:color w:val="auto"/>
                      <w:lang w:val="en-US" w:eastAsia="zh-CN"/>
                    </w:rPr>
                    <w:t>已建成</w:t>
                  </w:r>
                </w:p>
              </w:tc>
            </w:tr>
            <w:tr w14:paraId="144D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Merge w:val="continue"/>
                  <w:vAlign w:val="center"/>
                </w:tcPr>
                <w:p w14:paraId="229E3418">
                  <w:pPr>
                    <w:pStyle w:val="31"/>
                    <w:bidi w:val="0"/>
                    <w:rPr>
                      <w:rFonts w:hint="eastAsia"/>
                      <w:color w:val="auto"/>
                      <w:lang w:eastAsia="zh-CN"/>
                    </w:rPr>
                  </w:pPr>
                </w:p>
              </w:tc>
              <w:tc>
                <w:tcPr>
                  <w:tcW w:w="927" w:type="pct"/>
                  <w:gridSpan w:val="2"/>
                  <w:vAlign w:val="center"/>
                </w:tcPr>
                <w:p w14:paraId="1C608305">
                  <w:pPr>
                    <w:pStyle w:val="31"/>
                    <w:bidi w:val="0"/>
                    <w:ind w:firstLine="0" w:firstLineChars="0"/>
                    <w:rPr>
                      <w:rFonts w:hint="eastAsia"/>
                      <w:color w:val="auto"/>
                      <w:lang w:val="en-US" w:eastAsia="zh-CN"/>
                    </w:rPr>
                  </w:pPr>
                  <w:r>
                    <w:rPr>
                      <w:rFonts w:hint="eastAsia"/>
                      <w:color w:val="auto"/>
                      <w:lang w:eastAsia="zh-CN"/>
                    </w:rPr>
                    <w:t>原料库</w:t>
                  </w:r>
                </w:p>
              </w:tc>
              <w:tc>
                <w:tcPr>
                  <w:tcW w:w="2842" w:type="pct"/>
                  <w:vAlign w:val="center"/>
                </w:tcPr>
                <w:p w14:paraId="2DABBDA7">
                  <w:pPr>
                    <w:pStyle w:val="31"/>
                    <w:bidi w:val="0"/>
                    <w:ind w:firstLine="0" w:firstLineChars="0"/>
                    <w:jc w:val="left"/>
                    <w:rPr>
                      <w:rFonts w:hint="eastAsia"/>
                      <w:color w:val="auto"/>
                    </w:rPr>
                  </w:pPr>
                  <w:r>
                    <w:rPr>
                      <w:rFonts w:hint="eastAsia"/>
                      <w:color w:val="auto"/>
                      <w:lang w:val="en-US" w:eastAsia="zh-CN"/>
                    </w:rPr>
                    <w:t>位于厂区东北侧，</w:t>
                  </w:r>
                  <w:r>
                    <w:rPr>
                      <w:rFonts w:hint="eastAsia"/>
                      <w:color w:val="auto"/>
                    </w:rPr>
                    <w:t>采用钢结构形式，彩钢瓦覆顶，占地</w:t>
                  </w:r>
                  <w:r>
                    <w:rPr>
                      <w:rFonts w:hint="eastAsia"/>
                      <w:color w:val="auto"/>
                      <w:lang w:eastAsia="zh-CN"/>
                    </w:rPr>
                    <w:t>面积</w:t>
                  </w:r>
                  <w:r>
                    <w:rPr>
                      <w:rFonts w:hint="eastAsia"/>
                      <w:color w:val="auto"/>
                      <w:lang w:val="en-US" w:eastAsia="zh-CN"/>
                    </w:rPr>
                    <w:t>1347</w:t>
                  </w:r>
                  <w:r>
                    <w:rPr>
                      <w:rFonts w:hint="eastAsia"/>
                      <w:color w:val="auto"/>
                    </w:rPr>
                    <w:t>m</w:t>
                  </w:r>
                  <w:r>
                    <w:rPr>
                      <w:rFonts w:hint="eastAsia"/>
                      <w:color w:val="auto"/>
                      <w:vertAlign w:val="superscript"/>
                    </w:rPr>
                    <w:t>2</w:t>
                  </w:r>
                  <w:r>
                    <w:rPr>
                      <w:rFonts w:hint="eastAsia"/>
                      <w:color w:val="auto"/>
                    </w:rPr>
                    <w:t>，1层，建筑面积</w:t>
                  </w:r>
                  <w:r>
                    <w:rPr>
                      <w:rFonts w:hint="eastAsia"/>
                      <w:color w:val="auto"/>
                      <w:lang w:val="en-US" w:eastAsia="zh-CN"/>
                    </w:rPr>
                    <w:t>1347</w:t>
                  </w:r>
                  <w:r>
                    <w:rPr>
                      <w:rFonts w:hint="eastAsia"/>
                      <w:color w:val="auto"/>
                    </w:rPr>
                    <w:t>m</w:t>
                  </w:r>
                  <w:r>
                    <w:rPr>
                      <w:rFonts w:hint="eastAsia"/>
                      <w:color w:val="auto"/>
                      <w:vertAlign w:val="superscript"/>
                    </w:rPr>
                    <w:t>2</w:t>
                  </w:r>
                  <w:r>
                    <w:rPr>
                      <w:rFonts w:hint="eastAsia"/>
                      <w:color w:val="auto"/>
                    </w:rPr>
                    <w:t>，</w:t>
                  </w:r>
                  <w:r>
                    <w:rPr>
                      <w:rFonts w:hint="eastAsia"/>
                      <w:color w:val="auto"/>
                      <w:lang w:eastAsia="zh-CN"/>
                    </w:rPr>
                    <w:t>用于生产原料。</w:t>
                  </w:r>
                  <w:r>
                    <w:rPr>
                      <w:rFonts w:hint="eastAsia"/>
                      <w:color w:val="auto"/>
                      <w:lang w:val="en-US" w:eastAsia="zh-CN"/>
                    </w:rPr>
                    <w:t>现已建设完成。</w:t>
                  </w:r>
                </w:p>
              </w:tc>
              <w:tc>
                <w:tcPr>
                  <w:tcW w:w="815" w:type="pct"/>
                  <w:vAlign w:val="center"/>
                </w:tcPr>
                <w:p w14:paraId="66615BD6">
                  <w:pPr>
                    <w:pStyle w:val="31"/>
                    <w:bidi w:val="0"/>
                    <w:ind w:firstLine="0" w:firstLineChars="0"/>
                    <w:rPr>
                      <w:rFonts w:hint="eastAsia"/>
                      <w:color w:val="auto"/>
                      <w:lang w:val="en-US" w:eastAsia="zh-CN"/>
                    </w:rPr>
                  </w:pPr>
                  <w:r>
                    <w:rPr>
                      <w:rFonts w:hint="eastAsia"/>
                      <w:color w:val="auto"/>
                      <w:lang w:val="en-US" w:eastAsia="zh-CN"/>
                    </w:rPr>
                    <w:t>已建成</w:t>
                  </w:r>
                </w:p>
              </w:tc>
            </w:tr>
            <w:tr w14:paraId="2ECF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Merge w:val="continue"/>
                  <w:vAlign w:val="center"/>
                </w:tcPr>
                <w:p w14:paraId="3ABC304C">
                  <w:pPr>
                    <w:pStyle w:val="31"/>
                    <w:bidi w:val="0"/>
                    <w:rPr>
                      <w:rFonts w:hint="eastAsia"/>
                      <w:color w:val="auto"/>
                      <w:lang w:eastAsia="zh-CN"/>
                    </w:rPr>
                  </w:pPr>
                </w:p>
              </w:tc>
              <w:tc>
                <w:tcPr>
                  <w:tcW w:w="927" w:type="pct"/>
                  <w:gridSpan w:val="2"/>
                  <w:vAlign w:val="center"/>
                </w:tcPr>
                <w:p w14:paraId="468C75E5">
                  <w:pPr>
                    <w:pStyle w:val="31"/>
                    <w:bidi w:val="0"/>
                    <w:ind w:firstLine="0" w:firstLineChars="0"/>
                    <w:rPr>
                      <w:rFonts w:hint="eastAsia"/>
                      <w:color w:val="auto"/>
                      <w:lang w:val="en-US" w:eastAsia="zh-CN"/>
                    </w:rPr>
                  </w:pPr>
                  <w:r>
                    <w:rPr>
                      <w:rFonts w:hint="eastAsia"/>
                      <w:color w:val="auto"/>
                      <w:lang w:eastAsia="zh-CN"/>
                    </w:rPr>
                    <w:t>裁切库</w:t>
                  </w:r>
                </w:p>
              </w:tc>
              <w:tc>
                <w:tcPr>
                  <w:tcW w:w="2842" w:type="pct"/>
                  <w:vAlign w:val="center"/>
                </w:tcPr>
                <w:p w14:paraId="3FA091E7">
                  <w:pPr>
                    <w:pStyle w:val="31"/>
                    <w:bidi w:val="0"/>
                    <w:ind w:firstLine="0" w:firstLineChars="0"/>
                    <w:jc w:val="left"/>
                    <w:rPr>
                      <w:rFonts w:hint="eastAsia"/>
                      <w:color w:val="auto"/>
                    </w:rPr>
                  </w:pPr>
                  <w:r>
                    <w:rPr>
                      <w:rFonts w:hint="eastAsia"/>
                      <w:color w:val="auto"/>
                      <w:lang w:val="en-US" w:eastAsia="zh-CN"/>
                    </w:rPr>
                    <w:t>位于厂区东侧，</w:t>
                  </w:r>
                  <w:r>
                    <w:rPr>
                      <w:rFonts w:hint="eastAsia"/>
                      <w:color w:val="auto"/>
                    </w:rPr>
                    <w:t>采用钢结构形式，彩钢瓦覆顶，占地</w:t>
                  </w:r>
                  <w:r>
                    <w:rPr>
                      <w:rFonts w:hint="eastAsia"/>
                      <w:color w:val="auto"/>
                      <w:lang w:eastAsia="zh-CN"/>
                    </w:rPr>
                    <w:t>面积</w:t>
                  </w:r>
                  <w:r>
                    <w:rPr>
                      <w:rFonts w:hint="eastAsia"/>
                      <w:color w:val="auto"/>
                      <w:lang w:val="en-US" w:eastAsia="zh-CN"/>
                    </w:rPr>
                    <w:t>1041</w:t>
                  </w:r>
                  <w:r>
                    <w:rPr>
                      <w:rFonts w:hint="eastAsia"/>
                      <w:color w:val="auto"/>
                    </w:rPr>
                    <w:t>m</w:t>
                  </w:r>
                  <w:r>
                    <w:rPr>
                      <w:rFonts w:hint="eastAsia"/>
                      <w:color w:val="auto"/>
                      <w:vertAlign w:val="superscript"/>
                    </w:rPr>
                    <w:t>2</w:t>
                  </w:r>
                  <w:r>
                    <w:rPr>
                      <w:rFonts w:hint="eastAsia"/>
                      <w:color w:val="auto"/>
                    </w:rPr>
                    <w:t>，1层，建筑面积</w:t>
                  </w:r>
                  <w:r>
                    <w:rPr>
                      <w:rFonts w:hint="eastAsia"/>
                      <w:color w:val="auto"/>
                      <w:lang w:val="en-US" w:eastAsia="zh-CN"/>
                    </w:rPr>
                    <w:t>1041</w:t>
                  </w:r>
                  <w:r>
                    <w:rPr>
                      <w:rFonts w:hint="eastAsia"/>
                      <w:color w:val="auto"/>
                    </w:rPr>
                    <w:t>m</w:t>
                  </w:r>
                  <w:r>
                    <w:rPr>
                      <w:rFonts w:hint="eastAsia"/>
                      <w:color w:val="auto"/>
                      <w:vertAlign w:val="superscript"/>
                    </w:rPr>
                    <w:t>2</w:t>
                  </w:r>
                  <w:r>
                    <w:rPr>
                      <w:rFonts w:hint="eastAsia"/>
                      <w:color w:val="auto"/>
                    </w:rPr>
                    <w:t>，</w:t>
                  </w:r>
                  <w:r>
                    <w:rPr>
                      <w:rFonts w:hint="eastAsia"/>
                      <w:color w:val="auto"/>
                      <w:lang w:eastAsia="zh-CN"/>
                    </w:rPr>
                    <w:t>用于进行原料裁切。</w:t>
                  </w:r>
                  <w:r>
                    <w:rPr>
                      <w:rFonts w:hint="eastAsia"/>
                      <w:color w:val="auto"/>
                      <w:lang w:val="en-US" w:eastAsia="zh-CN"/>
                    </w:rPr>
                    <w:t>现已建设完成。</w:t>
                  </w:r>
                </w:p>
              </w:tc>
              <w:tc>
                <w:tcPr>
                  <w:tcW w:w="815" w:type="pct"/>
                  <w:vAlign w:val="center"/>
                </w:tcPr>
                <w:p w14:paraId="2E8BEB6D">
                  <w:pPr>
                    <w:pStyle w:val="31"/>
                    <w:bidi w:val="0"/>
                    <w:ind w:firstLine="0" w:firstLineChars="0"/>
                    <w:rPr>
                      <w:rFonts w:hint="eastAsia"/>
                      <w:color w:val="auto"/>
                      <w:lang w:val="en-US" w:eastAsia="zh-CN"/>
                    </w:rPr>
                  </w:pPr>
                  <w:r>
                    <w:rPr>
                      <w:rFonts w:hint="eastAsia"/>
                      <w:color w:val="auto"/>
                      <w:lang w:val="en-US" w:eastAsia="zh-CN"/>
                    </w:rPr>
                    <w:t>已建成</w:t>
                  </w:r>
                </w:p>
              </w:tc>
            </w:tr>
            <w:tr w14:paraId="47AE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Merge w:val="continue"/>
                  <w:vAlign w:val="center"/>
                </w:tcPr>
                <w:p w14:paraId="58025E45">
                  <w:pPr>
                    <w:pStyle w:val="31"/>
                    <w:bidi w:val="0"/>
                    <w:rPr>
                      <w:rFonts w:hint="eastAsia"/>
                      <w:color w:val="auto"/>
                      <w:lang w:eastAsia="zh-CN"/>
                    </w:rPr>
                  </w:pPr>
                </w:p>
              </w:tc>
              <w:tc>
                <w:tcPr>
                  <w:tcW w:w="927" w:type="pct"/>
                  <w:gridSpan w:val="2"/>
                  <w:vAlign w:val="center"/>
                </w:tcPr>
                <w:p w14:paraId="5EE3B709">
                  <w:pPr>
                    <w:pStyle w:val="31"/>
                    <w:bidi w:val="0"/>
                    <w:ind w:firstLine="0" w:firstLineChars="0"/>
                    <w:rPr>
                      <w:rFonts w:hint="eastAsia"/>
                      <w:color w:val="auto"/>
                      <w:lang w:val="en-US" w:eastAsia="zh-CN"/>
                    </w:rPr>
                  </w:pPr>
                  <w:r>
                    <w:rPr>
                      <w:rFonts w:hint="eastAsia"/>
                      <w:color w:val="auto"/>
                      <w:lang w:eastAsia="zh-CN"/>
                    </w:rPr>
                    <w:t>废料打包库</w:t>
                  </w:r>
                </w:p>
              </w:tc>
              <w:tc>
                <w:tcPr>
                  <w:tcW w:w="2842" w:type="pct"/>
                  <w:vAlign w:val="center"/>
                </w:tcPr>
                <w:p w14:paraId="20C4D402">
                  <w:pPr>
                    <w:pStyle w:val="31"/>
                    <w:bidi w:val="0"/>
                    <w:ind w:firstLine="0" w:firstLineChars="0"/>
                    <w:jc w:val="left"/>
                    <w:rPr>
                      <w:rFonts w:hint="eastAsia"/>
                      <w:color w:val="auto"/>
                    </w:rPr>
                  </w:pPr>
                  <w:r>
                    <w:rPr>
                      <w:rFonts w:hint="eastAsia"/>
                      <w:color w:val="auto"/>
                      <w:lang w:val="en-US" w:eastAsia="zh-CN"/>
                    </w:rPr>
                    <w:t>位于厂区东南侧，</w:t>
                  </w:r>
                  <w:r>
                    <w:rPr>
                      <w:rFonts w:hint="eastAsia"/>
                      <w:color w:val="auto"/>
                    </w:rPr>
                    <w:t>采用钢结构形式，彩钢瓦覆顶，占地</w:t>
                  </w:r>
                  <w:r>
                    <w:rPr>
                      <w:rFonts w:hint="eastAsia"/>
                      <w:color w:val="auto"/>
                      <w:lang w:eastAsia="zh-CN"/>
                    </w:rPr>
                    <w:t>面积</w:t>
                  </w:r>
                  <w:r>
                    <w:rPr>
                      <w:rFonts w:hint="eastAsia"/>
                      <w:color w:val="auto"/>
                      <w:lang w:val="en-US" w:eastAsia="zh-CN"/>
                    </w:rPr>
                    <w:t>1158</w:t>
                  </w:r>
                  <w:r>
                    <w:rPr>
                      <w:rFonts w:hint="eastAsia"/>
                      <w:color w:val="auto"/>
                    </w:rPr>
                    <w:t>m</w:t>
                  </w:r>
                  <w:r>
                    <w:rPr>
                      <w:rFonts w:hint="eastAsia"/>
                      <w:color w:val="auto"/>
                      <w:vertAlign w:val="superscript"/>
                    </w:rPr>
                    <w:t>2</w:t>
                  </w:r>
                  <w:r>
                    <w:rPr>
                      <w:rFonts w:hint="eastAsia"/>
                      <w:color w:val="auto"/>
                    </w:rPr>
                    <w:t>，1层，建筑面积</w:t>
                  </w:r>
                  <w:r>
                    <w:rPr>
                      <w:rFonts w:hint="eastAsia"/>
                      <w:color w:val="auto"/>
                      <w:lang w:val="en-US" w:eastAsia="zh-CN"/>
                    </w:rPr>
                    <w:t>1158</w:t>
                  </w:r>
                  <w:r>
                    <w:rPr>
                      <w:rFonts w:hint="eastAsia"/>
                      <w:color w:val="auto"/>
                    </w:rPr>
                    <w:t>m</w:t>
                  </w:r>
                  <w:r>
                    <w:rPr>
                      <w:rFonts w:hint="eastAsia"/>
                      <w:color w:val="auto"/>
                      <w:vertAlign w:val="superscript"/>
                    </w:rPr>
                    <w:t>2</w:t>
                  </w:r>
                  <w:r>
                    <w:rPr>
                      <w:rFonts w:hint="eastAsia"/>
                      <w:color w:val="auto"/>
                    </w:rPr>
                    <w:t>，</w:t>
                  </w:r>
                  <w:r>
                    <w:rPr>
                      <w:rFonts w:hint="eastAsia"/>
                      <w:color w:val="auto"/>
                      <w:lang w:eastAsia="zh-CN"/>
                    </w:rPr>
                    <w:t>用于放置边角料并进行打包。</w:t>
                  </w:r>
                  <w:r>
                    <w:rPr>
                      <w:rFonts w:hint="eastAsia"/>
                      <w:color w:val="auto"/>
                      <w:lang w:val="en-US" w:eastAsia="zh-CN"/>
                    </w:rPr>
                    <w:t>现已建设完成。</w:t>
                  </w:r>
                </w:p>
              </w:tc>
              <w:tc>
                <w:tcPr>
                  <w:tcW w:w="815" w:type="pct"/>
                  <w:vAlign w:val="center"/>
                </w:tcPr>
                <w:p w14:paraId="7F2A7749">
                  <w:pPr>
                    <w:pStyle w:val="31"/>
                    <w:bidi w:val="0"/>
                    <w:ind w:firstLine="0" w:firstLineChars="0"/>
                    <w:rPr>
                      <w:rFonts w:hint="eastAsia"/>
                      <w:color w:val="auto"/>
                      <w:lang w:val="en-US" w:eastAsia="zh-CN"/>
                    </w:rPr>
                  </w:pPr>
                  <w:r>
                    <w:rPr>
                      <w:rFonts w:hint="eastAsia"/>
                      <w:color w:val="auto"/>
                      <w:lang w:val="en-US" w:eastAsia="zh-CN"/>
                    </w:rPr>
                    <w:t>已建成</w:t>
                  </w:r>
                </w:p>
              </w:tc>
            </w:tr>
            <w:tr w14:paraId="6816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Merge w:val="restart"/>
                  <w:vAlign w:val="center"/>
                </w:tcPr>
                <w:p w14:paraId="4186FE50">
                  <w:pPr>
                    <w:pStyle w:val="31"/>
                    <w:bidi w:val="0"/>
                    <w:rPr>
                      <w:rFonts w:hint="eastAsia" w:eastAsia="宋体"/>
                      <w:color w:val="auto"/>
                      <w:lang w:eastAsia="zh-CN"/>
                    </w:rPr>
                  </w:pPr>
                  <w:r>
                    <w:rPr>
                      <w:rFonts w:hint="eastAsia"/>
                      <w:color w:val="auto"/>
                      <w:lang w:eastAsia="zh-CN"/>
                    </w:rPr>
                    <w:t>辅助工程</w:t>
                  </w:r>
                </w:p>
              </w:tc>
              <w:tc>
                <w:tcPr>
                  <w:tcW w:w="927" w:type="pct"/>
                  <w:gridSpan w:val="2"/>
                  <w:vAlign w:val="center"/>
                </w:tcPr>
                <w:p w14:paraId="2997673B">
                  <w:pPr>
                    <w:pStyle w:val="31"/>
                    <w:bidi w:val="0"/>
                    <w:ind w:firstLine="0" w:firstLineChars="0"/>
                    <w:rPr>
                      <w:rFonts w:hint="eastAsia" w:ascii="Times New Roman" w:hAnsi="Times New Roman" w:eastAsia="宋体" w:cs="黑体"/>
                      <w:color w:val="auto"/>
                      <w:kern w:val="2"/>
                      <w:sz w:val="21"/>
                      <w:szCs w:val="24"/>
                      <w:lang w:val="en-US" w:eastAsia="zh-CN" w:bidi="ar-SA"/>
                    </w:rPr>
                  </w:pPr>
                  <w:r>
                    <w:rPr>
                      <w:rFonts w:hint="eastAsia" w:eastAsia="宋体" w:cs="黑体"/>
                      <w:color w:val="auto"/>
                      <w:kern w:val="2"/>
                      <w:sz w:val="21"/>
                      <w:szCs w:val="24"/>
                      <w:lang w:val="en-US" w:eastAsia="zh-CN" w:bidi="ar-SA"/>
                    </w:rPr>
                    <w:t>办公楼</w:t>
                  </w:r>
                </w:p>
              </w:tc>
              <w:tc>
                <w:tcPr>
                  <w:tcW w:w="2842" w:type="pct"/>
                  <w:vAlign w:val="center"/>
                </w:tcPr>
                <w:p w14:paraId="16EC1996">
                  <w:pPr>
                    <w:pStyle w:val="31"/>
                    <w:bidi w:val="0"/>
                    <w:jc w:val="left"/>
                    <w:rPr>
                      <w:color w:val="auto"/>
                    </w:rPr>
                  </w:pPr>
                  <w:r>
                    <w:rPr>
                      <w:rFonts w:hint="eastAsia"/>
                      <w:color w:val="auto"/>
                      <w:lang w:val="en-US" w:eastAsia="zh-CN"/>
                    </w:rPr>
                    <w:t>位于厂区入口处，</w:t>
                  </w:r>
                  <w:r>
                    <w:rPr>
                      <w:rFonts w:hint="eastAsia"/>
                      <w:color w:val="auto"/>
                    </w:rPr>
                    <w:t>砖混结构，</w:t>
                  </w:r>
                  <w:r>
                    <w:rPr>
                      <w:rFonts w:hint="eastAsia"/>
                      <w:color w:val="auto"/>
                      <w:lang w:val="en-US" w:eastAsia="zh-CN"/>
                    </w:rPr>
                    <w:t>2</w:t>
                  </w:r>
                  <w:r>
                    <w:rPr>
                      <w:rFonts w:hint="eastAsia"/>
                      <w:color w:val="auto"/>
                    </w:rPr>
                    <w:t>层，占地面积</w:t>
                  </w:r>
                  <w:r>
                    <w:rPr>
                      <w:rFonts w:hint="eastAsia"/>
                      <w:color w:val="auto"/>
                      <w:lang w:val="en-US" w:eastAsia="zh-CN"/>
                    </w:rPr>
                    <w:t>99.2</w:t>
                  </w:r>
                  <w:r>
                    <w:rPr>
                      <w:rFonts w:hint="eastAsia"/>
                      <w:color w:val="auto"/>
                    </w:rPr>
                    <w:t>m</w:t>
                  </w:r>
                  <w:r>
                    <w:rPr>
                      <w:rFonts w:hint="eastAsia"/>
                      <w:color w:val="auto"/>
                      <w:vertAlign w:val="superscript"/>
                    </w:rPr>
                    <w:t>2</w:t>
                  </w:r>
                  <w:r>
                    <w:rPr>
                      <w:rFonts w:hint="eastAsia"/>
                      <w:color w:val="auto"/>
                    </w:rPr>
                    <w:t>，建筑面积</w:t>
                  </w:r>
                  <w:r>
                    <w:rPr>
                      <w:rFonts w:hint="eastAsia"/>
                      <w:color w:val="auto"/>
                      <w:lang w:val="en-US" w:eastAsia="zh-CN"/>
                    </w:rPr>
                    <w:t>99.2</w:t>
                  </w:r>
                  <w:r>
                    <w:rPr>
                      <w:rFonts w:hint="eastAsia"/>
                      <w:color w:val="auto"/>
                    </w:rPr>
                    <w:t>m</w:t>
                  </w:r>
                  <w:r>
                    <w:rPr>
                      <w:rFonts w:hint="eastAsia"/>
                      <w:color w:val="auto"/>
                      <w:vertAlign w:val="superscript"/>
                    </w:rPr>
                    <w:t>2</w:t>
                  </w:r>
                  <w:r>
                    <w:rPr>
                      <w:rFonts w:hint="eastAsia"/>
                      <w:color w:val="auto"/>
                    </w:rPr>
                    <w:t>，设置有接待室、统计室、办公室、业务接待室、值班室等。</w:t>
                  </w:r>
                  <w:r>
                    <w:rPr>
                      <w:rFonts w:hint="eastAsia"/>
                      <w:color w:val="auto"/>
                      <w:lang w:val="en-US" w:eastAsia="zh-CN"/>
                    </w:rPr>
                    <w:t>现已建设完成。</w:t>
                  </w:r>
                </w:p>
              </w:tc>
              <w:tc>
                <w:tcPr>
                  <w:tcW w:w="815" w:type="pct"/>
                  <w:vAlign w:val="center"/>
                </w:tcPr>
                <w:p w14:paraId="7B6712B7">
                  <w:pPr>
                    <w:pStyle w:val="31"/>
                    <w:bidi w:val="0"/>
                    <w:rPr>
                      <w:color w:val="auto"/>
                    </w:rPr>
                  </w:pPr>
                  <w:r>
                    <w:rPr>
                      <w:rFonts w:hint="eastAsia"/>
                      <w:color w:val="auto"/>
                      <w:lang w:val="en-US" w:eastAsia="zh-CN"/>
                    </w:rPr>
                    <w:t>已建成</w:t>
                  </w:r>
                </w:p>
              </w:tc>
            </w:tr>
            <w:tr w14:paraId="12F4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Merge w:val="continue"/>
                  <w:vAlign w:val="center"/>
                </w:tcPr>
                <w:p w14:paraId="78392655">
                  <w:pPr>
                    <w:pStyle w:val="31"/>
                    <w:bidi w:val="0"/>
                    <w:rPr>
                      <w:rFonts w:hint="eastAsia"/>
                      <w:color w:val="auto"/>
                      <w:lang w:eastAsia="zh-CN"/>
                    </w:rPr>
                  </w:pPr>
                </w:p>
              </w:tc>
              <w:tc>
                <w:tcPr>
                  <w:tcW w:w="927" w:type="pct"/>
                  <w:gridSpan w:val="2"/>
                  <w:vAlign w:val="center"/>
                </w:tcPr>
                <w:p w14:paraId="62645C72">
                  <w:pPr>
                    <w:pStyle w:val="31"/>
                    <w:bidi w:val="0"/>
                    <w:ind w:firstLine="0" w:firstLineChars="0"/>
                    <w:rPr>
                      <w:rFonts w:hint="eastAsia" w:ascii="Times New Roman" w:hAnsi="Times New Roman" w:eastAsia="宋体" w:cs="黑体"/>
                      <w:color w:val="auto"/>
                      <w:kern w:val="2"/>
                      <w:sz w:val="21"/>
                      <w:szCs w:val="24"/>
                      <w:lang w:val="en-US" w:eastAsia="zh-CN" w:bidi="ar-SA"/>
                    </w:rPr>
                  </w:pPr>
                  <w:r>
                    <w:rPr>
                      <w:rFonts w:hint="eastAsia" w:cs="黑体"/>
                      <w:color w:val="auto"/>
                      <w:kern w:val="2"/>
                      <w:sz w:val="21"/>
                      <w:szCs w:val="24"/>
                      <w:lang w:val="en-US" w:eastAsia="zh-CN" w:bidi="ar-SA"/>
                    </w:rPr>
                    <w:t>检修车间</w:t>
                  </w:r>
                </w:p>
              </w:tc>
              <w:tc>
                <w:tcPr>
                  <w:tcW w:w="2842" w:type="pct"/>
                  <w:vAlign w:val="center"/>
                </w:tcPr>
                <w:p w14:paraId="334DB298">
                  <w:pPr>
                    <w:pStyle w:val="31"/>
                    <w:bidi w:val="0"/>
                    <w:jc w:val="left"/>
                    <w:rPr>
                      <w:rFonts w:hint="eastAsia" w:eastAsia="宋体"/>
                      <w:color w:val="auto"/>
                      <w:lang w:eastAsia="zh-CN"/>
                    </w:rPr>
                  </w:pPr>
                  <w:r>
                    <w:rPr>
                      <w:rFonts w:hint="eastAsia"/>
                      <w:color w:val="auto"/>
                      <w:lang w:val="en-US" w:eastAsia="zh-CN"/>
                    </w:rPr>
                    <w:t>位于厂区西南侧，1#焊管车间旁，</w:t>
                  </w:r>
                  <w:r>
                    <w:rPr>
                      <w:rFonts w:hint="eastAsia"/>
                      <w:color w:val="auto"/>
                    </w:rPr>
                    <w:t>采用钢结构形式，彩钢瓦覆顶，占地</w:t>
                  </w:r>
                  <w:r>
                    <w:rPr>
                      <w:rFonts w:hint="eastAsia"/>
                      <w:color w:val="auto"/>
                      <w:lang w:eastAsia="zh-CN"/>
                    </w:rPr>
                    <w:t>面积</w:t>
                  </w:r>
                  <w:r>
                    <w:rPr>
                      <w:rFonts w:hint="eastAsia"/>
                      <w:color w:val="auto"/>
                      <w:lang w:val="en-US" w:eastAsia="zh-CN"/>
                    </w:rPr>
                    <w:t>201</w:t>
                  </w:r>
                  <w:r>
                    <w:rPr>
                      <w:rFonts w:hint="eastAsia"/>
                      <w:color w:val="auto"/>
                    </w:rPr>
                    <w:t>m</w:t>
                  </w:r>
                  <w:r>
                    <w:rPr>
                      <w:rFonts w:hint="eastAsia"/>
                      <w:color w:val="auto"/>
                      <w:vertAlign w:val="superscript"/>
                    </w:rPr>
                    <w:t>2</w:t>
                  </w:r>
                  <w:r>
                    <w:rPr>
                      <w:rFonts w:hint="eastAsia"/>
                      <w:color w:val="auto"/>
                    </w:rPr>
                    <w:t>，1层，建筑面积</w:t>
                  </w:r>
                  <w:r>
                    <w:rPr>
                      <w:rFonts w:hint="eastAsia"/>
                      <w:color w:val="auto"/>
                      <w:lang w:val="en-US" w:eastAsia="zh-CN"/>
                    </w:rPr>
                    <w:t>201</w:t>
                  </w:r>
                  <w:r>
                    <w:rPr>
                      <w:rFonts w:hint="eastAsia"/>
                      <w:color w:val="auto"/>
                    </w:rPr>
                    <w:t>m</w:t>
                  </w:r>
                  <w:r>
                    <w:rPr>
                      <w:rFonts w:hint="eastAsia"/>
                      <w:color w:val="auto"/>
                      <w:vertAlign w:val="superscript"/>
                    </w:rPr>
                    <w:t>2</w:t>
                  </w:r>
                  <w:r>
                    <w:rPr>
                      <w:rFonts w:hint="eastAsia"/>
                      <w:color w:val="auto"/>
                    </w:rPr>
                    <w:t>，</w:t>
                  </w:r>
                  <w:r>
                    <w:rPr>
                      <w:rFonts w:hint="eastAsia"/>
                      <w:color w:val="auto"/>
                      <w:lang w:eastAsia="zh-CN"/>
                    </w:rPr>
                    <w:t>负责设备的维修。</w:t>
                  </w:r>
                  <w:r>
                    <w:rPr>
                      <w:rFonts w:hint="eastAsia"/>
                      <w:color w:val="auto"/>
                      <w:lang w:val="en-US" w:eastAsia="zh-CN"/>
                    </w:rPr>
                    <w:t>现已建设完成。</w:t>
                  </w:r>
                </w:p>
              </w:tc>
              <w:tc>
                <w:tcPr>
                  <w:tcW w:w="815" w:type="pct"/>
                  <w:vAlign w:val="center"/>
                </w:tcPr>
                <w:p w14:paraId="0CC93780">
                  <w:pPr>
                    <w:pStyle w:val="31"/>
                    <w:bidi w:val="0"/>
                    <w:rPr>
                      <w:color w:val="auto"/>
                    </w:rPr>
                  </w:pPr>
                  <w:r>
                    <w:rPr>
                      <w:rFonts w:hint="eastAsia"/>
                      <w:color w:val="auto"/>
                      <w:lang w:val="en-US" w:eastAsia="zh-CN"/>
                    </w:rPr>
                    <w:t>已建成</w:t>
                  </w:r>
                </w:p>
              </w:tc>
            </w:tr>
            <w:tr w14:paraId="5D17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Merge w:val="restart"/>
                  <w:vAlign w:val="center"/>
                </w:tcPr>
                <w:p w14:paraId="7DA875D3">
                  <w:pPr>
                    <w:pStyle w:val="31"/>
                    <w:bidi w:val="0"/>
                    <w:rPr>
                      <w:rFonts w:hint="eastAsia" w:eastAsia="宋体"/>
                      <w:color w:val="auto"/>
                      <w:lang w:eastAsia="zh-CN"/>
                    </w:rPr>
                  </w:pPr>
                  <w:r>
                    <w:rPr>
                      <w:rFonts w:hint="eastAsia"/>
                      <w:color w:val="auto"/>
                      <w:lang w:eastAsia="zh-CN"/>
                    </w:rPr>
                    <w:t>公用工程</w:t>
                  </w:r>
                </w:p>
              </w:tc>
              <w:tc>
                <w:tcPr>
                  <w:tcW w:w="927" w:type="pct"/>
                  <w:gridSpan w:val="2"/>
                  <w:vAlign w:val="center"/>
                </w:tcPr>
                <w:p w14:paraId="25A3CB6D">
                  <w:pPr>
                    <w:pStyle w:val="31"/>
                    <w:bidi w:val="0"/>
                    <w:rPr>
                      <w:rFonts w:hint="eastAsia" w:eastAsia="宋体"/>
                      <w:color w:val="auto"/>
                      <w:lang w:eastAsia="zh-CN"/>
                    </w:rPr>
                  </w:pPr>
                  <w:r>
                    <w:rPr>
                      <w:rFonts w:hint="eastAsia"/>
                      <w:color w:val="auto"/>
                      <w:lang w:eastAsia="zh-CN"/>
                    </w:rPr>
                    <w:t>给水</w:t>
                  </w:r>
                </w:p>
              </w:tc>
              <w:tc>
                <w:tcPr>
                  <w:tcW w:w="2842" w:type="pct"/>
                  <w:vAlign w:val="center"/>
                </w:tcPr>
                <w:p w14:paraId="5CA4C304">
                  <w:pPr>
                    <w:pStyle w:val="31"/>
                    <w:bidi w:val="0"/>
                    <w:jc w:val="left"/>
                    <w:rPr>
                      <w:rFonts w:hint="eastAsia" w:eastAsia="宋体"/>
                      <w:color w:val="auto"/>
                      <w:lang w:eastAsia="zh-CN"/>
                    </w:rPr>
                  </w:pPr>
                  <w:r>
                    <w:rPr>
                      <w:rFonts w:hint="eastAsia" w:eastAsia="宋体"/>
                      <w:color w:val="auto"/>
                      <w:lang w:eastAsia="zh-CN"/>
                    </w:rPr>
                    <w:t>由现有乡村供水管网供给，项目用水依托现有已铺设的自来水管网</w:t>
                  </w:r>
                  <w:r>
                    <w:rPr>
                      <w:rFonts w:hint="eastAsia"/>
                      <w:color w:val="auto"/>
                      <w:lang w:eastAsia="zh-CN"/>
                    </w:rPr>
                    <w:t>。</w:t>
                  </w:r>
                </w:p>
              </w:tc>
              <w:tc>
                <w:tcPr>
                  <w:tcW w:w="815" w:type="pct"/>
                  <w:vAlign w:val="center"/>
                </w:tcPr>
                <w:p w14:paraId="38C86266">
                  <w:pPr>
                    <w:pStyle w:val="31"/>
                    <w:bidi w:val="0"/>
                    <w:rPr>
                      <w:color w:val="auto"/>
                    </w:rPr>
                  </w:pPr>
                  <w:r>
                    <w:rPr>
                      <w:rFonts w:hint="eastAsia"/>
                      <w:color w:val="auto"/>
                      <w:lang w:val="en-US" w:eastAsia="zh-CN"/>
                    </w:rPr>
                    <w:t>已建成</w:t>
                  </w:r>
                </w:p>
              </w:tc>
            </w:tr>
            <w:tr w14:paraId="235AE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Merge w:val="continue"/>
                  <w:vAlign w:val="center"/>
                </w:tcPr>
                <w:p w14:paraId="625C0016">
                  <w:pPr>
                    <w:pStyle w:val="31"/>
                    <w:bidi w:val="0"/>
                    <w:rPr>
                      <w:rFonts w:hint="eastAsia"/>
                      <w:color w:val="auto"/>
                      <w:lang w:eastAsia="zh-CN"/>
                    </w:rPr>
                  </w:pPr>
                </w:p>
              </w:tc>
              <w:tc>
                <w:tcPr>
                  <w:tcW w:w="927" w:type="pct"/>
                  <w:gridSpan w:val="2"/>
                  <w:vAlign w:val="center"/>
                </w:tcPr>
                <w:p w14:paraId="3B3A2F6E">
                  <w:pPr>
                    <w:pStyle w:val="31"/>
                    <w:bidi w:val="0"/>
                    <w:rPr>
                      <w:rFonts w:hint="eastAsia" w:eastAsia="宋体"/>
                      <w:color w:val="auto"/>
                      <w:lang w:eastAsia="zh-CN"/>
                    </w:rPr>
                  </w:pPr>
                  <w:r>
                    <w:rPr>
                      <w:rFonts w:hint="eastAsia"/>
                      <w:color w:val="auto"/>
                      <w:lang w:eastAsia="zh-CN"/>
                    </w:rPr>
                    <w:t>排水</w:t>
                  </w:r>
                </w:p>
              </w:tc>
              <w:tc>
                <w:tcPr>
                  <w:tcW w:w="2842" w:type="pct"/>
                  <w:vAlign w:val="center"/>
                </w:tcPr>
                <w:p w14:paraId="6B431BE6">
                  <w:pPr>
                    <w:pStyle w:val="31"/>
                    <w:bidi w:val="0"/>
                    <w:jc w:val="left"/>
                    <w:rPr>
                      <w:color w:val="auto"/>
                    </w:rPr>
                  </w:pPr>
                  <w:r>
                    <w:rPr>
                      <w:rFonts w:hint="eastAsia"/>
                      <w:color w:val="auto"/>
                    </w:rPr>
                    <w:t>项目厂区排水采用雨污分流</w:t>
                  </w:r>
                  <w:r>
                    <w:rPr>
                      <w:rFonts w:hint="eastAsia"/>
                      <w:color w:val="auto"/>
                      <w:lang w:val="en-US" w:eastAsia="zh-CN"/>
                    </w:rPr>
                    <w:t>制</w:t>
                  </w:r>
                  <w:r>
                    <w:rPr>
                      <w:rFonts w:hint="eastAsia"/>
                      <w:color w:val="auto"/>
                    </w:rPr>
                    <w:t>，</w:t>
                  </w:r>
                  <w:r>
                    <w:rPr>
                      <w:rFonts w:hint="eastAsia"/>
                      <w:color w:val="auto"/>
                      <w:lang w:val="en-US" w:eastAsia="zh-CN"/>
                    </w:rPr>
                    <w:t>15分钟前</w:t>
                  </w:r>
                  <w:r>
                    <w:rPr>
                      <w:rFonts w:hint="eastAsia"/>
                      <w:color w:val="auto"/>
                      <w:highlight w:val="none"/>
                    </w:rPr>
                    <w:t>雨水经雨水沟收集后</w:t>
                  </w:r>
                  <w:r>
                    <w:rPr>
                      <w:rFonts w:hint="eastAsia"/>
                      <w:color w:val="auto"/>
                      <w:highlight w:val="none"/>
                      <w:lang w:val="en-US" w:eastAsia="zh-CN"/>
                    </w:rPr>
                    <w:t>进入初期雨水收集池沉淀后回用于厂区洒水降尘，后期雨水排入周边沟渠</w:t>
                  </w:r>
                  <w:r>
                    <w:rPr>
                      <w:rFonts w:hint="eastAsia"/>
                      <w:color w:val="auto"/>
                      <w:highlight w:val="none"/>
                    </w:rPr>
                    <w:t>。</w:t>
                  </w:r>
                  <w:r>
                    <w:rPr>
                      <w:rFonts w:hint="eastAsia"/>
                      <w:color w:val="auto"/>
                    </w:rPr>
                    <w:t>本项目生产废水处理后循环使用，不外排；生活污水经化粪池</w:t>
                  </w:r>
                  <w:r>
                    <w:rPr>
                      <w:rFonts w:hint="eastAsia"/>
                      <w:color w:val="auto"/>
                      <w:lang w:val="en-US" w:eastAsia="zh-CN"/>
                    </w:rPr>
                    <w:t>预处理</w:t>
                  </w:r>
                  <w:r>
                    <w:rPr>
                      <w:rFonts w:hint="eastAsia"/>
                      <w:color w:val="auto"/>
                    </w:rPr>
                    <w:t>后进入一体化污水处理设施处理达标后用于</w:t>
                  </w:r>
                  <w:r>
                    <w:rPr>
                      <w:rFonts w:hint="eastAsia"/>
                      <w:color w:val="auto"/>
                      <w:lang w:val="en-US" w:eastAsia="zh-CN"/>
                    </w:rPr>
                    <w:t>厂区绿化及道路空地浇洒，</w:t>
                  </w:r>
                  <w:r>
                    <w:rPr>
                      <w:rFonts w:hint="eastAsia"/>
                      <w:color w:val="auto"/>
                    </w:rPr>
                    <w:t>不外排。</w:t>
                  </w:r>
                </w:p>
              </w:tc>
              <w:tc>
                <w:tcPr>
                  <w:tcW w:w="815" w:type="pct"/>
                  <w:vAlign w:val="center"/>
                </w:tcPr>
                <w:p w14:paraId="353A4F73">
                  <w:pPr>
                    <w:pStyle w:val="31"/>
                    <w:bidi w:val="0"/>
                    <w:rPr>
                      <w:rFonts w:hint="default" w:eastAsia="宋体"/>
                      <w:color w:val="auto"/>
                      <w:lang w:val="en-US" w:eastAsia="zh-CN"/>
                    </w:rPr>
                  </w:pPr>
                  <w:r>
                    <w:rPr>
                      <w:rFonts w:hint="eastAsia"/>
                      <w:color w:val="auto"/>
                      <w:lang w:val="en-US" w:eastAsia="zh-CN"/>
                    </w:rPr>
                    <w:t>一体化污水处理设施为新建，其余已建成</w:t>
                  </w:r>
                </w:p>
              </w:tc>
            </w:tr>
            <w:tr w14:paraId="4A373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Merge w:val="continue"/>
                  <w:vAlign w:val="center"/>
                </w:tcPr>
                <w:p w14:paraId="23427F58">
                  <w:pPr>
                    <w:pStyle w:val="31"/>
                    <w:bidi w:val="0"/>
                    <w:rPr>
                      <w:rFonts w:hint="eastAsia"/>
                      <w:color w:val="auto"/>
                      <w:lang w:eastAsia="zh-CN"/>
                    </w:rPr>
                  </w:pPr>
                </w:p>
              </w:tc>
              <w:tc>
                <w:tcPr>
                  <w:tcW w:w="927" w:type="pct"/>
                  <w:gridSpan w:val="2"/>
                  <w:vAlign w:val="center"/>
                </w:tcPr>
                <w:p w14:paraId="4DC8875F">
                  <w:pPr>
                    <w:pStyle w:val="31"/>
                    <w:bidi w:val="0"/>
                    <w:rPr>
                      <w:rFonts w:hint="eastAsia" w:eastAsia="宋体"/>
                      <w:color w:val="auto"/>
                      <w:lang w:eastAsia="zh-CN"/>
                    </w:rPr>
                  </w:pPr>
                  <w:r>
                    <w:rPr>
                      <w:rFonts w:hint="eastAsia"/>
                      <w:color w:val="auto"/>
                      <w:lang w:eastAsia="zh-CN"/>
                    </w:rPr>
                    <w:t>供电</w:t>
                  </w:r>
                </w:p>
              </w:tc>
              <w:tc>
                <w:tcPr>
                  <w:tcW w:w="2842" w:type="pct"/>
                  <w:vAlign w:val="center"/>
                </w:tcPr>
                <w:p w14:paraId="073DEE16">
                  <w:pPr>
                    <w:pStyle w:val="31"/>
                    <w:bidi w:val="0"/>
                    <w:jc w:val="left"/>
                    <w:rPr>
                      <w:rFonts w:hint="eastAsia" w:eastAsia="宋体"/>
                      <w:color w:val="auto"/>
                      <w:lang w:eastAsia="zh-CN"/>
                    </w:rPr>
                  </w:pPr>
                  <w:r>
                    <w:rPr>
                      <w:rFonts w:hint="eastAsia" w:eastAsia="宋体"/>
                      <w:color w:val="auto"/>
                      <w:lang w:eastAsia="zh-CN"/>
                    </w:rPr>
                    <w:t>由区域市政电网供给</w:t>
                  </w:r>
                  <w:r>
                    <w:rPr>
                      <w:rFonts w:hint="eastAsia"/>
                      <w:color w:val="auto"/>
                      <w:lang w:eastAsia="zh-CN"/>
                    </w:rPr>
                    <w:t>。</w:t>
                  </w:r>
                </w:p>
              </w:tc>
              <w:tc>
                <w:tcPr>
                  <w:tcW w:w="815" w:type="pct"/>
                  <w:vAlign w:val="center"/>
                </w:tcPr>
                <w:p w14:paraId="6F280DCA">
                  <w:pPr>
                    <w:pStyle w:val="31"/>
                    <w:bidi w:val="0"/>
                    <w:rPr>
                      <w:color w:val="auto"/>
                    </w:rPr>
                  </w:pPr>
                  <w:r>
                    <w:rPr>
                      <w:rFonts w:hint="eastAsia"/>
                      <w:color w:val="auto"/>
                    </w:rPr>
                    <w:t>已建成</w:t>
                  </w:r>
                </w:p>
              </w:tc>
            </w:tr>
            <w:tr w14:paraId="4B61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Merge w:val="restart"/>
                  <w:vAlign w:val="center"/>
                </w:tcPr>
                <w:p w14:paraId="7F63621F">
                  <w:pPr>
                    <w:pStyle w:val="31"/>
                    <w:bidi w:val="0"/>
                    <w:rPr>
                      <w:rFonts w:hint="eastAsia"/>
                      <w:color w:val="auto"/>
                      <w:lang w:eastAsia="zh-CN"/>
                    </w:rPr>
                  </w:pPr>
                  <w:r>
                    <w:rPr>
                      <w:rFonts w:hint="eastAsia"/>
                      <w:color w:val="auto"/>
                      <w:lang w:eastAsia="zh-CN"/>
                    </w:rPr>
                    <w:t>环保工程</w:t>
                  </w:r>
                </w:p>
              </w:tc>
              <w:tc>
                <w:tcPr>
                  <w:tcW w:w="276" w:type="pct"/>
                  <w:vMerge w:val="restart"/>
                  <w:vAlign w:val="center"/>
                </w:tcPr>
                <w:p w14:paraId="3DD6EB3C">
                  <w:pPr>
                    <w:pStyle w:val="31"/>
                    <w:bidi w:val="0"/>
                    <w:rPr>
                      <w:rFonts w:hint="eastAsia"/>
                      <w:color w:val="auto"/>
                      <w:highlight w:val="green"/>
                      <w:lang w:eastAsia="zh-CN"/>
                    </w:rPr>
                  </w:pPr>
                  <w:r>
                    <w:rPr>
                      <w:rFonts w:hint="eastAsia"/>
                      <w:color w:val="auto"/>
                      <w:highlight w:val="none"/>
                      <w:lang w:eastAsia="zh-CN"/>
                    </w:rPr>
                    <w:t>废气</w:t>
                  </w:r>
                </w:p>
              </w:tc>
              <w:tc>
                <w:tcPr>
                  <w:tcW w:w="650" w:type="pct"/>
                  <w:vMerge w:val="restart"/>
                  <w:vAlign w:val="center"/>
                </w:tcPr>
                <w:p w14:paraId="31CC8D45">
                  <w:pPr>
                    <w:pStyle w:val="31"/>
                    <w:bidi w:val="0"/>
                    <w:rPr>
                      <w:rFonts w:hint="default"/>
                      <w:color w:val="auto"/>
                      <w:highlight w:val="none"/>
                      <w:lang w:val="en-US" w:eastAsia="zh-CN"/>
                    </w:rPr>
                  </w:pPr>
                  <w:r>
                    <w:rPr>
                      <w:rFonts w:hint="eastAsia"/>
                      <w:color w:val="auto"/>
                      <w:highlight w:val="none"/>
                      <w:lang w:val="en-US" w:eastAsia="zh-CN"/>
                    </w:rPr>
                    <w:t>焊接、补锌烟尘</w:t>
                  </w:r>
                </w:p>
              </w:tc>
              <w:tc>
                <w:tcPr>
                  <w:tcW w:w="2842" w:type="pct"/>
                  <w:vAlign w:val="center"/>
                </w:tcPr>
                <w:p w14:paraId="189A905B">
                  <w:pPr>
                    <w:pStyle w:val="31"/>
                    <w:bidi w:val="0"/>
                    <w:jc w:val="both"/>
                    <w:rPr>
                      <w:rFonts w:hint="eastAsia" w:eastAsia="宋体"/>
                      <w:color w:val="auto"/>
                      <w:highlight w:val="none"/>
                      <w:lang w:eastAsia="zh-CN"/>
                    </w:rPr>
                  </w:pPr>
                  <w:r>
                    <w:rPr>
                      <w:rFonts w:hint="eastAsia"/>
                      <w:color w:val="auto"/>
                      <w:highlight w:val="none"/>
                      <w:lang w:val="en-US" w:eastAsia="zh-CN"/>
                    </w:rPr>
                    <w:t>项目1#、2#、3#、4#高频焊管生产线焊接工序产生焊接、补锌烟尘经各自集气罩（共4个）收集后进入1套布袋除尘器（TA001）处理后由1根15m高排气筒（DA001）排放。</w:t>
                  </w:r>
                </w:p>
              </w:tc>
              <w:tc>
                <w:tcPr>
                  <w:tcW w:w="815" w:type="pct"/>
                  <w:vAlign w:val="center"/>
                </w:tcPr>
                <w:p w14:paraId="60140701">
                  <w:pPr>
                    <w:pStyle w:val="31"/>
                    <w:bidi w:val="0"/>
                    <w:rPr>
                      <w:rFonts w:hint="default" w:eastAsia="宋体"/>
                      <w:color w:val="auto"/>
                      <w:highlight w:val="none"/>
                      <w:lang w:val="en-US" w:eastAsia="zh-CN"/>
                    </w:rPr>
                  </w:pPr>
                  <w:r>
                    <w:rPr>
                      <w:rFonts w:hint="eastAsia"/>
                      <w:color w:val="auto"/>
                      <w:highlight w:val="none"/>
                      <w:lang w:val="en-US" w:eastAsia="zh-CN"/>
                    </w:rPr>
                    <w:t>新建</w:t>
                  </w:r>
                </w:p>
              </w:tc>
            </w:tr>
            <w:tr w14:paraId="2157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Merge w:val="continue"/>
                  <w:vAlign w:val="center"/>
                </w:tcPr>
                <w:p w14:paraId="5AC52B48">
                  <w:pPr>
                    <w:pStyle w:val="31"/>
                    <w:bidi w:val="0"/>
                    <w:rPr>
                      <w:rFonts w:hint="eastAsia"/>
                      <w:color w:val="auto"/>
                      <w:lang w:eastAsia="zh-CN"/>
                    </w:rPr>
                  </w:pPr>
                </w:p>
              </w:tc>
              <w:tc>
                <w:tcPr>
                  <w:tcW w:w="276" w:type="pct"/>
                  <w:vMerge w:val="continue"/>
                  <w:vAlign w:val="center"/>
                </w:tcPr>
                <w:p w14:paraId="60BA1392">
                  <w:pPr>
                    <w:pStyle w:val="31"/>
                    <w:bidi w:val="0"/>
                    <w:rPr>
                      <w:rFonts w:hint="eastAsia"/>
                      <w:color w:val="auto"/>
                      <w:highlight w:val="green"/>
                      <w:lang w:eastAsia="zh-CN"/>
                    </w:rPr>
                  </w:pPr>
                </w:p>
              </w:tc>
              <w:tc>
                <w:tcPr>
                  <w:tcW w:w="650" w:type="pct"/>
                  <w:vMerge w:val="continue"/>
                  <w:vAlign w:val="center"/>
                </w:tcPr>
                <w:p w14:paraId="62F7163E">
                  <w:pPr>
                    <w:pStyle w:val="31"/>
                    <w:bidi w:val="0"/>
                    <w:rPr>
                      <w:rFonts w:hint="default"/>
                      <w:color w:val="auto"/>
                      <w:highlight w:val="none"/>
                      <w:lang w:val="en-US" w:eastAsia="zh-CN"/>
                    </w:rPr>
                  </w:pPr>
                </w:p>
              </w:tc>
              <w:tc>
                <w:tcPr>
                  <w:tcW w:w="2842" w:type="pct"/>
                  <w:vAlign w:val="center"/>
                </w:tcPr>
                <w:p w14:paraId="741786C4">
                  <w:pPr>
                    <w:pStyle w:val="31"/>
                    <w:bidi w:val="0"/>
                    <w:jc w:val="both"/>
                    <w:rPr>
                      <w:rFonts w:hint="default" w:eastAsia="宋体"/>
                      <w:color w:val="auto"/>
                      <w:highlight w:val="none"/>
                      <w:lang w:val="en-US" w:eastAsia="zh-CN"/>
                    </w:rPr>
                  </w:pPr>
                  <w:r>
                    <w:rPr>
                      <w:rFonts w:hint="eastAsia"/>
                      <w:color w:val="auto"/>
                      <w:highlight w:val="none"/>
                      <w:lang w:val="en-US" w:eastAsia="zh-CN"/>
                    </w:rPr>
                    <w:t>项目5#、6#、7#、8#高频焊管生产线焊接工序产生的焊接、补锌烟尘经各自集气罩（共4个）收集后进入1套布袋除尘器（TA002）处理后由1根15m高排气筒（DA002）排放。</w:t>
                  </w:r>
                </w:p>
              </w:tc>
              <w:tc>
                <w:tcPr>
                  <w:tcW w:w="815" w:type="pct"/>
                  <w:vAlign w:val="center"/>
                </w:tcPr>
                <w:p w14:paraId="3012ECC6">
                  <w:pPr>
                    <w:pStyle w:val="31"/>
                    <w:bidi w:val="0"/>
                    <w:rPr>
                      <w:rFonts w:hint="eastAsia" w:eastAsia="宋体"/>
                      <w:color w:val="auto"/>
                      <w:highlight w:val="none"/>
                      <w:lang w:eastAsia="zh-CN"/>
                    </w:rPr>
                  </w:pPr>
                  <w:r>
                    <w:rPr>
                      <w:rFonts w:hint="eastAsia"/>
                      <w:color w:val="auto"/>
                      <w:highlight w:val="none"/>
                      <w:lang w:val="en-US" w:eastAsia="zh-CN"/>
                    </w:rPr>
                    <w:t>新建</w:t>
                  </w:r>
                </w:p>
              </w:tc>
            </w:tr>
            <w:tr w14:paraId="4070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Merge w:val="continue"/>
                  <w:vAlign w:val="center"/>
                </w:tcPr>
                <w:p w14:paraId="1B202481">
                  <w:pPr>
                    <w:pStyle w:val="31"/>
                    <w:bidi w:val="0"/>
                    <w:rPr>
                      <w:rFonts w:hint="eastAsia"/>
                      <w:color w:val="auto"/>
                      <w:lang w:eastAsia="zh-CN"/>
                    </w:rPr>
                  </w:pPr>
                </w:p>
              </w:tc>
              <w:tc>
                <w:tcPr>
                  <w:tcW w:w="276" w:type="pct"/>
                  <w:vMerge w:val="restart"/>
                  <w:vAlign w:val="center"/>
                </w:tcPr>
                <w:p w14:paraId="526DCC50">
                  <w:pPr>
                    <w:pStyle w:val="31"/>
                    <w:bidi w:val="0"/>
                    <w:rPr>
                      <w:rFonts w:hint="eastAsia" w:eastAsia="宋体"/>
                      <w:color w:val="auto"/>
                      <w:lang w:eastAsia="zh-CN"/>
                    </w:rPr>
                  </w:pPr>
                  <w:r>
                    <w:rPr>
                      <w:rFonts w:hint="eastAsia"/>
                      <w:color w:val="auto"/>
                      <w:lang w:eastAsia="zh-CN"/>
                    </w:rPr>
                    <w:t>废水</w:t>
                  </w:r>
                </w:p>
              </w:tc>
              <w:tc>
                <w:tcPr>
                  <w:tcW w:w="650" w:type="pct"/>
                  <w:vAlign w:val="center"/>
                </w:tcPr>
                <w:p w14:paraId="75CD529D">
                  <w:pPr>
                    <w:pStyle w:val="31"/>
                    <w:bidi w:val="0"/>
                    <w:rPr>
                      <w:rFonts w:hint="eastAsia"/>
                      <w:color w:val="auto"/>
                      <w:lang w:eastAsia="zh-CN"/>
                    </w:rPr>
                  </w:pPr>
                  <w:r>
                    <w:rPr>
                      <w:rFonts w:hint="eastAsia"/>
                      <w:color w:val="auto"/>
                      <w:lang w:eastAsia="zh-CN"/>
                    </w:rPr>
                    <w:t>生活污水</w:t>
                  </w:r>
                </w:p>
              </w:tc>
              <w:tc>
                <w:tcPr>
                  <w:tcW w:w="2842" w:type="pct"/>
                  <w:vAlign w:val="center"/>
                </w:tcPr>
                <w:p w14:paraId="29FD76D3">
                  <w:pPr>
                    <w:pStyle w:val="31"/>
                    <w:bidi w:val="0"/>
                    <w:jc w:val="both"/>
                    <w:rPr>
                      <w:rFonts w:hint="default" w:eastAsia="宋体"/>
                      <w:color w:val="auto"/>
                      <w:lang w:val="en-US" w:eastAsia="zh-CN"/>
                    </w:rPr>
                  </w:pPr>
                  <w:r>
                    <w:rPr>
                      <w:rFonts w:hint="eastAsia"/>
                      <w:color w:val="auto"/>
                      <w:lang w:val="en-US" w:eastAsia="zh-CN"/>
                    </w:rPr>
                    <w:t>项目生活污水经化粪池（TW001，1个，容积为</w:t>
                  </w:r>
                  <w:r>
                    <w:rPr>
                      <w:rFonts w:hint="eastAsia"/>
                      <w:color w:val="auto"/>
                      <w:highlight w:val="none"/>
                      <w:lang w:val="en-US" w:eastAsia="zh-CN"/>
                    </w:rPr>
                    <w:t>3m</w:t>
                  </w:r>
                  <w:r>
                    <w:rPr>
                      <w:rFonts w:hint="eastAsia"/>
                      <w:color w:val="auto"/>
                      <w:highlight w:val="none"/>
                      <w:vertAlign w:val="superscript"/>
                      <w:lang w:val="en-US" w:eastAsia="zh-CN"/>
                    </w:rPr>
                    <w:t>3</w:t>
                  </w:r>
                  <w:r>
                    <w:rPr>
                      <w:rFonts w:hint="eastAsia"/>
                      <w:color w:val="auto"/>
                      <w:highlight w:val="none"/>
                      <w:lang w:val="en-US" w:eastAsia="zh-CN"/>
                    </w:rPr>
                    <w:t>）</w:t>
                  </w:r>
                  <w:r>
                    <w:rPr>
                      <w:rFonts w:hint="eastAsia"/>
                      <w:color w:val="auto"/>
                      <w:lang w:val="en-US" w:eastAsia="zh-CN"/>
                    </w:rPr>
                    <w:t>预处理后进入自建1套处理规模为</w:t>
                  </w:r>
                  <w:r>
                    <w:rPr>
                      <w:rFonts w:hint="eastAsia"/>
                      <w:color w:val="auto"/>
                      <w:highlight w:val="none"/>
                      <w:lang w:val="en-US" w:eastAsia="zh-CN"/>
                    </w:rPr>
                    <w:t>2m</w:t>
                  </w:r>
                  <w:r>
                    <w:rPr>
                      <w:rFonts w:hint="eastAsia"/>
                      <w:color w:val="auto"/>
                      <w:highlight w:val="none"/>
                      <w:vertAlign w:val="superscript"/>
                      <w:lang w:val="en-US" w:eastAsia="zh-CN"/>
                    </w:rPr>
                    <w:t>3</w:t>
                  </w:r>
                  <w:r>
                    <w:rPr>
                      <w:rFonts w:hint="eastAsia"/>
                      <w:color w:val="auto"/>
                      <w:highlight w:val="none"/>
                      <w:lang w:val="en-US" w:eastAsia="zh-CN"/>
                    </w:rPr>
                    <w:t>/d</w:t>
                  </w:r>
                  <w:r>
                    <w:rPr>
                      <w:rFonts w:hint="eastAsia"/>
                      <w:color w:val="auto"/>
                      <w:lang w:val="en-US" w:eastAsia="zh-CN"/>
                    </w:rPr>
                    <w:t>的一体化污水处理设备处理达标后暂存于中水池（TW002，容积为</w:t>
                  </w:r>
                  <w:r>
                    <w:rPr>
                      <w:rFonts w:hint="eastAsia"/>
                      <w:color w:val="auto"/>
                      <w:highlight w:val="none"/>
                      <w:lang w:val="en-US" w:eastAsia="zh-CN"/>
                    </w:rPr>
                    <w:t>7m</w:t>
                  </w:r>
                  <w:r>
                    <w:rPr>
                      <w:rFonts w:hint="eastAsia"/>
                      <w:color w:val="auto"/>
                      <w:highlight w:val="none"/>
                      <w:vertAlign w:val="superscript"/>
                      <w:lang w:val="en-US" w:eastAsia="zh-CN"/>
                    </w:rPr>
                    <w:t>3</w:t>
                  </w:r>
                  <w:r>
                    <w:rPr>
                      <w:rFonts w:hint="eastAsia"/>
                      <w:color w:val="auto"/>
                      <w:lang w:val="en-US" w:eastAsia="zh-CN"/>
                    </w:rPr>
                    <w:t>），回用于厂区绿化及道路空地浇洒，不外排。</w:t>
                  </w:r>
                </w:p>
              </w:tc>
              <w:tc>
                <w:tcPr>
                  <w:tcW w:w="815" w:type="pct"/>
                  <w:vAlign w:val="center"/>
                </w:tcPr>
                <w:p w14:paraId="3034234C">
                  <w:pPr>
                    <w:pStyle w:val="31"/>
                    <w:bidi w:val="0"/>
                    <w:rPr>
                      <w:color w:val="auto"/>
                    </w:rPr>
                  </w:pPr>
                  <w:r>
                    <w:rPr>
                      <w:rFonts w:hint="eastAsia"/>
                      <w:color w:val="auto"/>
                      <w:lang w:val="en-US" w:eastAsia="zh-CN"/>
                    </w:rPr>
                    <w:t>化粪池已建成，其余为新建</w:t>
                  </w:r>
                </w:p>
              </w:tc>
            </w:tr>
            <w:tr w14:paraId="5CBE5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Merge w:val="continue"/>
                  <w:vAlign w:val="center"/>
                </w:tcPr>
                <w:p w14:paraId="73A80F43">
                  <w:pPr>
                    <w:pStyle w:val="31"/>
                    <w:bidi w:val="0"/>
                    <w:rPr>
                      <w:rFonts w:hint="eastAsia"/>
                      <w:color w:val="auto"/>
                      <w:lang w:eastAsia="zh-CN"/>
                    </w:rPr>
                  </w:pPr>
                </w:p>
              </w:tc>
              <w:tc>
                <w:tcPr>
                  <w:tcW w:w="276" w:type="pct"/>
                  <w:vMerge w:val="continue"/>
                  <w:vAlign w:val="center"/>
                </w:tcPr>
                <w:p w14:paraId="4C5E67AE">
                  <w:pPr>
                    <w:pStyle w:val="31"/>
                    <w:bidi w:val="0"/>
                    <w:rPr>
                      <w:rFonts w:hint="eastAsia"/>
                      <w:color w:val="auto"/>
                      <w:lang w:eastAsia="zh-CN"/>
                    </w:rPr>
                  </w:pPr>
                </w:p>
              </w:tc>
              <w:tc>
                <w:tcPr>
                  <w:tcW w:w="650" w:type="pct"/>
                  <w:vAlign w:val="center"/>
                </w:tcPr>
                <w:p w14:paraId="0B136C89">
                  <w:pPr>
                    <w:pStyle w:val="31"/>
                    <w:bidi w:val="0"/>
                    <w:rPr>
                      <w:rFonts w:hint="eastAsia"/>
                      <w:color w:val="auto"/>
                      <w:lang w:eastAsia="zh-CN"/>
                    </w:rPr>
                  </w:pPr>
                  <w:r>
                    <w:rPr>
                      <w:rFonts w:hint="eastAsia"/>
                      <w:color w:val="auto"/>
                      <w:lang w:eastAsia="zh-CN"/>
                    </w:rPr>
                    <w:t>冷却水</w:t>
                  </w:r>
                </w:p>
              </w:tc>
              <w:tc>
                <w:tcPr>
                  <w:tcW w:w="2842" w:type="pct"/>
                  <w:vAlign w:val="center"/>
                </w:tcPr>
                <w:p w14:paraId="38B31EF9">
                  <w:pPr>
                    <w:pStyle w:val="31"/>
                    <w:bidi w:val="0"/>
                    <w:jc w:val="both"/>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①</w:t>
                  </w:r>
                  <w:r>
                    <w:rPr>
                      <w:rFonts w:hint="eastAsia" w:ascii="Times New Roman" w:hAnsi="Times New Roman" w:eastAsia="宋体"/>
                      <w:color w:val="auto"/>
                      <w:highlight w:val="none"/>
                      <w:lang w:val="en-US" w:eastAsia="zh-CN"/>
                    </w:rPr>
                    <w:t>项目1#高频焊管生产线旁配套设置1个容积为30m</w:t>
                  </w:r>
                  <w:r>
                    <w:rPr>
                      <w:rFonts w:hint="eastAsia" w:ascii="Times New Roman" w:hAnsi="Times New Roman" w:eastAsia="宋体"/>
                      <w:color w:val="auto"/>
                      <w:highlight w:val="none"/>
                      <w:vertAlign w:val="superscript"/>
                      <w:lang w:val="en-US" w:eastAsia="zh-CN"/>
                    </w:rPr>
                    <w:t>3</w:t>
                  </w:r>
                  <w:r>
                    <w:rPr>
                      <w:rFonts w:hint="eastAsia" w:ascii="Times New Roman" w:hAnsi="Times New Roman" w:eastAsia="宋体"/>
                      <w:color w:val="auto"/>
                      <w:highlight w:val="none"/>
                      <w:lang w:val="en-US" w:eastAsia="zh-CN"/>
                    </w:rPr>
                    <w:t>的冷却循环水池；</w:t>
                  </w:r>
                </w:p>
                <w:p w14:paraId="044C386E">
                  <w:pPr>
                    <w:pStyle w:val="31"/>
                    <w:bidi w:val="0"/>
                    <w:jc w:val="both"/>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②</w:t>
                  </w:r>
                  <w:r>
                    <w:rPr>
                      <w:rFonts w:hint="eastAsia" w:ascii="Times New Roman" w:hAnsi="Times New Roman" w:eastAsia="宋体"/>
                      <w:color w:val="auto"/>
                      <w:highlight w:val="none"/>
                      <w:lang w:val="en-US" w:eastAsia="zh-CN"/>
                    </w:rPr>
                    <w:t>项目2#高频焊管生产线旁配套设置1个容积为20m</w:t>
                  </w:r>
                  <w:r>
                    <w:rPr>
                      <w:rFonts w:hint="eastAsia" w:ascii="Times New Roman" w:hAnsi="Times New Roman" w:eastAsia="宋体"/>
                      <w:color w:val="auto"/>
                      <w:highlight w:val="none"/>
                      <w:vertAlign w:val="superscript"/>
                      <w:lang w:val="en-US" w:eastAsia="zh-CN"/>
                    </w:rPr>
                    <w:t>3</w:t>
                  </w:r>
                  <w:r>
                    <w:rPr>
                      <w:rFonts w:hint="eastAsia" w:ascii="Times New Roman" w:hAnsi="Times New Roman" w:eastAsia="宋体"/>
                      <w:color w:val="auto"/>
                      <w:highlight w:val="none"/>
                      <w:lang w:val="en-US" w:eastAsia="zh-CN"/>
                    </w:rPr>
                    <w:t>的冷却循环水池；</w:t>
                  </w:r>
                </w:p>
                <w:p w14:paraId="44495863">
                  <w:pPr>
                    <w:pStyle w:val="31"/>
                    <w:bidi w:val="0"/>
                    <w:jc w:val="both"/>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③</w:t>
                  </w:r>
                  <w:r>
                    <w:rPr>
                      <w:rFonts w:hint="eastAsia" w:ascii="Times New Roman" w:hAnsi="Times New Roman" w:eastAsia="宋体"/>
                      <w:color w:val="auto"/>
                      <w:highlight w:val="none"/>
                      <w:lang w:val="en-US" w:eastAsia="zh-CN"/>
                    </w:rPr>
                    <w:t>项目3#高频焊管生产线旁配套设置1个容积为20m</w:t>
                  </w:r>
                  <w:r>
                    <w:rPr>
                      <w:rFonts w:hint="eastAsia" w:ascii="Times New Roman" w:hAnsi="Times New Roman" w:eastAsia="宋体"/>
                      <w:color w:val="auto"/>
                      <w:highlight w:val="none"/>
                      <w:vertAlign w:val="superscript"/>
                      <w:lang w:val="en-US" w:eastAsia="zh-CN"/>
                    </w:rPr>
                    <w:t>3</w:t>
                  </w:r>
                  <w:r>
                    <w:rPr>
                      <w:rFonts w:hint="eastAsia" w:ascii="Times New Roman" w:hAnsi="Times New Roman" w:eastAsia="宋体"/>
                      <w:color w:val="auto"/>
                      <w:highlight w:val="none"/>
                      <w:lang w:val="en-US" w:eastAsia="zh-CN"/>
                    </w:rPr>
                    <w:t>的冷却循环水池；</w:t>
                  </w:r>
                </w:p>
                <w:p w14:paraId="1FA7ED00">
                  <w:pPr>
                    <w:pStyle w:val="31"/>
                    <w:bidi w:val="0"/>
                    <w:jc w:val="both"/>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④</w:t>
                  </w:r>
                  <w:r>
                    <w:rPr>
                      <w:rFonts w:hint="eastAsia" w:ascii="Times New Roman" w:hAnsi="Times New Roman" w:eastAsia="宋体"/>
                      <w:color w:val="auto"/>
                      <w:highlight w:val="none"/>
                      <w:lang w:val="en-US" w:eastAsia="zh-CN"/>
                    </w:rPr>
                    <w:t>项目4#高频焊管生产线旁配套设置1个容积为20m</w:t>
                  </w:r>
                  <w:r>
                    <w:rPr>
                      <w:rFonts w:hint="eastAsia" w:ascii="Times New Roman" w:hAnsi="Times New Roman" w:eastAsia="宋体"/>
                      <w:color w:val="auto"/>
                      <w:highlight w:val="none"/>
                      <w:vertAlign w:val="superscript"/>
                      <w:lang w:val="en-US" w:eastAsia="zh-CN"/>
                    </w:rPr>
                    <w:t>3</w:t>
                  </w:r>
                  <w:r>
                    <w:rPr>
                      <w:rFonts w:hint="eastAsia" w:ascii="Times New Roman" w:hAnsi="Times New Roman" w:eastAsia="宋体"/>
                      <w:color w:val="auto"/>
                      <w:highlight w:val="none"/>
                      <w:lang w:val="en-US" w:eastAsia="zh-CN"/>
                    </w:rPr>
                    <w:t>的冷却循环水池；</w:t>
                  </w:r>
                </w:p>
                <w:p w14:paraId="55A71F1F">
                  <w:pPr>
                    <w:pStyle w:val="31"/>
                    <w:bidi w:val="0"/>
                    <w:jc w:val="both"/>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⑤</w:t>
                  </w:r>
                  <w:r>
                    <w:rPr>
                      <w:rFonts w:hint="eastAsia" w:ascii="Times New Roman" w:hAnsi="Times New Roman" w:eastAsia="宋体"/>
                      <w:color w:val="auto"/>
                      <w:highlight w:val="none"/>
                      <w:lang w:val="en-US" w:eastAsia="zh-CN"/>
                    </w:rPr>
                    <w:t>项目5#高频焊管生产线旁配套设置1个容积为20m</w:t>
                  </w:r>
                  <w:r>
                    <w:rPr>
                      <w:rFonts w:hint="eastAsia" w:ascii="Times New Roman" w:hAnsi="Times New Roman" w:eastAsia="宋体"/>
                      <w:color w:val="auto"/>
                      <w:highlight w:val="none"/>
                      <w:vertAlign w:val="superscript"/>
                      <w:lang w:val="en-US" w:eastAsia="zh-CN"/>
                    </w:rPr>
                    <w:t>3</w:t>
                  </w:r>
                  <w:r>
                    <w:rPr>
                      <w:rFonts w:hint="eastAsia" w:ascii="Times New Roman" w:hAnsi="Times New Roman" w:eastAsia="宋体"/>
                      <w:color w:val="auto"/>
                      <w:highlight w:val="none"/>
                      <w:lang w:val="en-US" w:eastAsia="zh-CN"/>
                    </w:rPr>
                    <w:t>的冷却循环水池；</w:t>
                  </w:r>
                </w:p>
                <w:p w14:paraId="2EA3A259">
                  <w:pPr>
                    <w:pStyle w:val="31"/>
                    <w:bidi w:val="0"/>
                    <w:jc w:val="both"/>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⑥</w:t>
                  </w:r>
                  <w:r>
                    <w:rPr>
                      <w:rFonts w:hint="eastAsia" w:ascii="Times New Roman" w:hAnsi="Times New Roman" w:eastAsia="宋体"/>
                      <w:color w:val="auto"/>
                      <w:highlight w:val="none"/>
                      <w:lang w:val="en-US" w:eastAsia="zh-CN"/>
                    </w:rPr>
                    <w:t>项目6#高频焊管生产线旁配套设置1个容积为10m</w:t>
                  </w:r>
                  <w:r>
                    <w:rPr>
                      <w:rFonts w:hint="eastAsia" w:ascii="Times New Roman" w:hAnsi="Times New Roman" w:eastAsia="宋体"/>
                      <w:color w:val="auto"/>
                      <w:highlight w:val="none"/>
                      <w:vertAlign w:val="superscript"/>
                      <w:lang w:val="en-US" w:eastAsia="zh-CN"/>
                    </w:rPr>
                    <w:t>3</w:t>
                  </w:r>
                  <w:r>
                    <w:rPr>
                      <w:rFonts w:hint="eastAsia" w:ascii="Times New Roman" w:hAnsi="Times New Roman" w:eastAsia="宋体"/>
                      <w:color w:val="auto"/>
                      <w:highlight w:val="none"/>
                      <w:lang w:val="en-US" w:eastAsia="zh-CN"/>
                    </w:rPr>
                    <w:t>的冷却循环水池；</w:t>
                  </w:r>
                </w:p>
                <w:p w14:paraId="192AD332">
                  <w:pPr>
                    <w:pStyle w:val="31"/>
                    <w:bidi w:val="0"/>
                    <w:jc w:val="both"/>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⑦</w:t>
                  </w:r>
                  <w:r>
                    <w:rPr>
                      <w:rFonts w:hint="eastAsia" w:ascii="Times New Roman" w:hAnsi="Times New Roman" w:eastAsia="宋体"/>
                      <w:color w:val="auto"/>
                      <w:highlight w:val="none"/>
                      <w:lang w:val="en-US" w:eastAsia="zh-CN"/>
                    </w:rPr>
                    <w:t>项目7#高频焊管生产线旁配套设置1个容积为15m</w:t>
                  </w:r>
                  <w:r>
                    <w:rPr>
                      <w:rFonts w:hint="eastAsia" w:ascii="Times New Roman" w:hAnsi="Times New Roman" w:eastAsia="宋体"/>
                      <w:color w:val="auto"/>
                      <w:highlight w:val="none"/>
                      <w:vertAlign w:val="superscript"/>
                      <w:lang w:val="en-US" w:eastAsia="zh-CN"/>
                    </w:rPr>
                    <w:t>3</w:t>
                  </w:r>
                  <w:r>
                    <w:rPr>
                      <w:rFonts w:hint="eastAsia" w:ascii="Times New Roman" w:hAnsi="Times New Roman" w:eastAsia="宋体"/>
                      <w:color w:val="auto"/>
                      <w:highlight w:val="none"/>
                      <w:lang w:val="en-US" w:eastAsia="zh-CN"/>
                    </w:rPr>
                    <w:t>的冷却循环水池；</w:t>
                  </w:r>
                </w:p>
                <w:p w14:paraId="62F9F1A6">
                  <w:pPr>
                    <w:pStyle w:val="31"/>
                    <w:bidi w:val="0"/>
                    <w:jc w:val="both"/>
                    <w:rPr>
                      <w:rFonts w:hint="default" w:eastAsia="宋体"/>
                      <w:color w:val="auto"/>
                      <w:lang w:val="en-US" w:eastAsia="zh-CN"/>
                    </w:rPr>
                  </w:pPr>
                  <w:r>
                    <w:rPr>
                      <w:rFonts w:hint="default" w:ascii="Times New Roman" w:hAnsi="Times New Roman" w:eastAsia="宋体"/>
                      <w:color w:val="auto"/>
                      <w:highlight w:val="none"/>
                      <w:lang w:val="en-US" w:eastAsia="zh-CN"/>
                    </w:rPr>
                    <w:t>⑧</w:t>
                  </w:r>
                  <w:r>
                    <w:rPr>
                      <w:rFonts w:hint="eastAsia" w:ascii="Times New Roman" w:hAnsi="Times New Roman" w:eastAsia="宋体"/>
                      <w:color w:val="auto"/>
                      <w:highlight w:val="none"/>
                      <w:lang w:val="en-US" w:eastAsia="zh-CN"/>
                    </w:rPr>
                    <w:t>项目8#高频焊管生产线旁配套设置1个容积为30m</w:t>
                  </w:r>
                  <w:r>
                    <w:rPr>
                      <w:rFonts w:hint="eastAsia" w:ascii="Times New Roman" w:hAnsi="Times New Roman" w:eastAsia="宋体"/>
                      <w:color w:val="auto"/>
                      <w:highlight w:val="none"/>
                      <w:vertAlign w:val="superscript"/>
                      <w:lang w:val="en-US" w:eastAsia="zh-CN"/>
                    </w:rPr>
                    <w:t>3</w:t>
                  </w:r>
                  <w:r>
                    <w:rPr>
                      <w:rFonts w:hint="eastAsia" w:ascii="Times New Roman" w:hAnsi="Times New Roman" w:eastAsia="宋体"/>
                      <w:color w:val="auto"/>
                      <w:highlight w:val="none"/>
                      <w:lang w:val="en-US" w:eastAsia="zh-CN"/>
                    </w:rPr>
                    <w:t>的冷却循环水池；</w:t>
                  </w:r>
                </w:p>
              </w:tc>
              <w:tc>
                <w:tcPr>
                  <w:tcW w:w="815" w:type="pct"/>
                  <w:vAlign w:val="center"/>
                </w:tcPr>
                <w:p w14:paraId="654C1EC0">
                  <w:pPr>
                    <w:pStyle w:val="31"/>
                    <w:bidi w:val="0"/>
                    <w:rPr>
                      <w:color w:val="auto"/>
                    </w:rPr>
                  </w:pPr>
                  <w:r>
                    <w:rPr>
                      <w:rFonts w:hint="eastAsia"/>
                      <w:color w:val="auto"/>
                    </w:rPr>
                    <w:t>已建成</w:t>
                  </w:r>
                </w:p>
              </w:tc>
            </w:tr>
            <w:tr w14:paraId="6DDE6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Merge w:val="continue"/>
                  <w:vAlign w:val="center"/>
                </w:tcPr>
                <w:p w14:paraId="6C4E7C2E">
                  <w:pPr>
                    <w:pStyle w:val="31"/>
                    <w:bidi w:val="0"/>
                    <w:rPr>
                      <w:rFonts w:hint="eastAsia"/>
                      <w:color w:val="auto"/>
                      <w:lang w:eastAsia="zh-CN"/>
                    </w:rPr>
                  </w:pPr>
                </w:p>
              </w:tc>
              <w:tc>
                <w:tcPr>
                  <w:tcW w:w="276" w:type="pct"/>
                  <w:vMerge w:val="continue"/>
                  <w:vAlign w:val="center"/>
                </w:tcPr>
                <w:p w14:paraId="6EBDF566">
                  <w:pPr>
                    <w:pStyle w:val="31"/>
                    <w:bidi w:val="0"/>
                    <w:rPr>
                      <w:rFonts w:hint="eastAsia"/>
                      <w:color w:val="auto"/>
                      <w:lang w:eastAsia="zh-CN"/>
                    </w:rPr>
                  </w:pPr>
                </w:p>
              </w:tc>
              <w:tc>
                <w:tcPr>
                  <w:tcW w:w="650" w:type="pct"/>
                  <w:vAlign w:val="center"/>
                </w:tcPr>
                <w:p w14:paraId="50011745">
                  <w:pPr>
                    <w:pStyle w:val="31"/>
                    <w:bidi w:val="0"/>
                    <w:rPr>
                      <w:rFonts w:hint="default"/>
                      <w:color w:val="auto"/>
                      <w:lang w:val="en-US" w:eastAsia="zh-CN"/>
                    </w:rPr>
                  </w:pPr>
                  <w:r>
                    <w:rPr>
                      <w:rFonts w:hint="eastAsia"/>
                      <w:color w:val="auto"/>
                      <w:lang w:val="en-US" w:eastAsia="zh-CN"/>
                    </w:rPr>
                    <w:t>初期雨水</w:t>
                  </w:r>
                </w:p>
              </w:tc>
              <w:tc>
                <w:tcPr>
                  <w:tcW w:w="2842" w:type="pct"/>
                  <w:vAlign w:val="center"/>
                </w:tcPr>
                <w:p w14:paraId="7E2560A5">
                  <w:pPr>
                    <w:pStyle w:val="31"/>
                    <w:bidi w:val="0"/>
                    <w:jc w:val="both"/>
                    <w:rPr>
                      <w:rFonts w:hint="default" w:ascii="Times New Roman" w:hAnsi="Times New Roman" w:eastAsia="宋体"/>
                      <w:color w:val="auto"/>
                      <w:highlight w:val="none"/>
                      <w:lang w:val="en-US" w:eastAsia="zh-CN"/>
                    </w:rPr>
                  </w:pPr>
                  <w:r>
                    <w:rPr>
                      <w:rFonts w:hint="eastAsia"/>
                      <w:color w:val="auto"/>
                      <w:highlight w:val="none"/>
                      <w:lang w:val="en-US" w:eastAsia="zh-CN"/>
                    </w:rPr>
                    <w:t>设置1个容积为100m</w:t>
                  </w:r>
                  <w:r>
                    <w:rPr>
                      <w:rFonts w:hint="eastAsia"/>
                      <w:color w:val="auto"/>
                      <w:highlight w:val="none"/>
                      <w:vertAlign w:val="superscript"/>
                      <w:lang w:val="en-US" w:eastAsia="zh-CN"/>
                    </w:rPr>
                    <w:t>3</w:t>
                  </w:r>
                  <w:r>
                    <w:rPr>
                      <w:rFonts w:hint="eastAsia"/>
                      <w:color w:val="auto"/>
                      <w:highlight w:val="none"/>
                      <w:lang w:val="en-US" w:eastAsia="zh-CN"/>
                    </w:rPr>
                    <w:t>的初期雨水收集池，用于收集厂区初期雨水。</w:t>
                  </w:r>
                </w:p>
              </w:tc>
              <w:tc>
                <w:tcPr>
                  <w:tcW w:w="815" w:type="pct"/>
                  <w:vAlign w:val="center"/>
                </w:tcPr>
                <w:p w14:paraId="26C88D66">
                  <w:pPr>
                    <w:pStyle w:val="31"/>
                    <w:bidi w:val="0"/>
                    <w:rPr>
                      <w:rFonts w:hint="default"/>
                      <w:color w:val="auto"/>
                      <w:lang w:val="en-US" w:eastAsia="zh-CN"/>
                    </w:rPr>
                  </w:pPr>
                  <w:r>
                    <w:rPr>
                      <w:rFonts w:hint="eastAsia"/>
                      <w:color w:val="auto"/>
                      <w:lang w:val="en-US" w:eastAsia="zh-CN"/>
                    </w:rPr>
                    <w:t>新建</w:t>
                  </w:r>
                </w:p>
              </w:tc>
            </w:tr>
            <w:tr w14:paraId="1C92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Merge w:val="continue"/>
                  <w:vAlign w:val="center"/>
                </w:tcPr>
                <w:p w14:paraId="09978301">
                  <w:pPr>
                    <w:pStyle w:val="31"/>
                    <w:bidi w:val="0"/>
                    <w:rPr>
                      <w:rFonts w:hint="eastAsia"/>
                      <w:color w:val="auto"/>
                      <w:lang w:eastAsia="zh-CN"/>
                    </w:rPr>
                  </w:pPr>
                </w:p>
              </w:tc>
              <w:tc>
                <w:tcPr>
                  <w:tcW w:w="927" w:type="pct"/>
                  <w:gridSpan w:val="2"/>
                  <w:vAlign w:val="center"/>
                </w:tcPr>
                <w:p w14:paraId="66F9CA38">
                  <w:pPr>
                    <w:pStyle w:val="31"/>
                    <w:bidi w:val="0"/>
                    <w:rPr>
                      <w:rFonts w:hint="eastAsia" w:eastAsia="宋体"/>
                      <w:color w:val="auto"/>
                      <w:lang w:eastAsia="zh-CN"/>
                    </w:rPr>
                  </w:pPr>
                  <w:r>
                    <w:rPr>
                      <w:rFonts w:hint="eastAsia"/>
                      <w:color w:val="auto"/>
                      <w:lang w:eastAsia="zh-CN"/>
                    </w:rPr>
                    <w:t>噪声</w:t>
                  </w:r>
                </w:p>
              </w:tc>
              <w:tc>
                <w:tcPr>
                  <w:tcW w:w="2842" w:type="pct"/>
                  <w:vAlign w:val="center"/>
                </w:tcPr>
                <w:p w14:paraId="02B91F8D">
                  <w:pPr>
                    <w:pStyle w:val="31"/>
                    <w:bidi w:val="0"/>
                    <w:jc w:val="both"/>
                    <w:rPr>
                      <w:color w:val="auto"/>
                    </w:rPr>
                  </w:pPr>
                  <w:r>
                    <w:rPr>
                      <w:rFonts w:hint="default" w:ascii="Times New Roman" w:hAnsi="Times New Roman" w:cs="Times New Roman"/>
                      <w:color w:val="auto"/>
                      <w:szCs w:val="21"/>
                    </w:rPr>
                    <w:t>设备基座减震垫、厂房隔声</w:t>
                  </w:r>
                </w:p>
              </w:tc>
              <w:tc>
                <w:tcPr>
                  <w:tcW w:w="815" w:type="pct"/>
                  <w:vAlign w:val="center"/>
                </w:tcPr>
                <w:p w14:paraId="334D4378">
                  <w:pPr>
                    <w:pStyle w:val="31"/>
                    <w:bidi w:val="0"/>
                    <w:rPr>
                      <w:color w:val="auto"/>
                    </w:rPr>
                  </w:pPr>
                  <w:r>
                    <w:rPr>
                      <w:rFonts w:hint="eastAsia"/>
                      <w:color w:val="auto"/>
                      <w:lang w:val="en-US" w:eastAsia="zh-CN"/>
                    </w:rPr>
                    <w:t>新建</w:t>
                  </w:r>
                </w:p>
              </w:tc>
            </w:tr>
            <w:tr w14:paraId="5A0B0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414" w:type="pct"/>
                  <w:vMerge w:val="continue"/>
                  <w:vAlign w:val="center"/>
                </w:tcPr>
                <w:p w14:paraId="0506A49E">
                  <w:pPr>
                    <w:pStyle w:val="31"/>
                    <w:bidi w:val="0"/>
                    <w:rPr>
                      <w:rFonts w:hint="eastAsia"/>
                      <w:color w:val="auto"/>
                      <w:lang w:eastAsia="zh-CN"/>
                    </w:rPr>
                  </w:pPr>
                </w:p>
              </w:tc>
              <w:tc>
                <w:tcPr>
                  <w:tcW w:w="276" w:type="pct"/>
                  <w:vMerge w:val="restart"/>
                  <w:vAlign w:val="center"/>
                </w:tcPr>
                <w:p w14:paraId="31B86D86">
                  <w:pPr>
                    <w:pStyle w:val="31"/>
                    <w:bidi w:val="0"/>
                    <w:rPr>
                      <w:rFonts w:hint="eastAsia" w:eastAsia="宋体"/>
                      <w:color w:val="auto"/>
                      <w:lang w:eastAsia="zh-CN"/>
                    </w:rPr>
                  </w:pPr>
                  <w:r>
                    <w:rPr>
                      <w:rFonts w:hint="eastAsia"/>
                      <w:color w:val="auto"/>
                      <w:lang w:eastAsia="zh-CN"/>
                    </w:rPr>
                    <w:t>固废</w:t>
                  </w:r>
                </w:p>
              </w:tc>
              <w:tc>
                <w:tcPr>
                  <w:tcW w:w="650" w:type="pct"/>
                  <w:vAlign w:val="center"/>
                </w:tcPr>
                <w:p w14:paraId="428F8EA0">
                  <w:pPr>
                    <w:pStyle w:val="31"/>
                    <w:bidi w:val="0"/>
                    <w:rPr>
                      <w:rFonts w:hint="eastAsia"/>
                      <w:color w:val="auto"/>
                      <w:lang w:eastAsia="zh-CN"/>
                    </w:rPr>
                  </w:pPr>
                  <w:r>
                    <w:rPr>
                      <w:rFonts w:hint="eastAsia"/>
                      <w:color w:val="auto"/>
                      <w:lang w:eastAsia="zh-CN"/>
                    </w:rPr>
                    <w:t>生活垃圾</w:t>
                  </w:r>
                </w:p>
              </w:tc>
              <w:tc>
                <w:tcPr>
                  <w:tcW w:w="2842" w:type="pct"/>
                  <w:vAlign w:val="center"/>
                </w:tcPr>
                <w:p w14:paraId="43B7790D">
                  <w:pPr>
                    <w:pStyle w:val="31"/>
                    <w:bidi w:val="0"/>
                    <w:jc w:val="both"/>
                    <w:rPr>
                      <w:rFonts w:hint="default" w:eastAsia="宋体"/>
                      <w:color w:val="auto"/>
                      <w:lang w:val="en-US" w:eastAsia="zh-CN"/>
                    </w:rPr>
                  </w:pPr>
                  <w:r>
                    <w:rPr>
                      <w:rFonts w:hint="eastAsia"/>
                      <w:color w:val="auto"/>
                      <w:lang w:val="en-US" w:eastAsia="zh-CN"/>
                    </w:rPr>
                    <w:t>厂区内设置生活垃圾桶若干，用于收集生活垃圾，收集后并入纳古镇清运处置。</w:t>
                  </w:r>
                </w:p>
              </w:tc>
              <w:tc>
                <w:tcPr>
                  <w:tcW w:w="815" w:type="pct"/>
                  <w:vAlign w:val="center"/>
                </w:tcPr>
                <w:p w14:paraId="076014B7">
                  <w:pPr>
                    <w:pStyle w:val="31"/>
                    <w:bidi w:val="0"/>
                    <w:rPr>
                      <w:color w:val="auto"/>
                    </w:rPr>
                  </w:pPr>
                  <w:r>
                    <w:rPr>
                      <w:rFonts w:hint="eastAsia"/>
                      <w:color w:val="auto"/>
                      <w:lang w:val="en-US" w:eastAsia="zh-CN"/>
                    </w:rPr>
                    <w:t>已建成</w:t>
                  </w:r>
                </w:p>
              </w:tc>
            </w:tr>
            <w:tr w14:paraId="1614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Merge w:val="continue"/>
                  <w:vAlign w:val="center"/>
                </w:tcPr>
                <w:p w14:paraId="5BEB7386">
                  <w:pPr>
                    <w:pStyle w:val="31"/>
                    <w:bidi w:val="0"/>
                    <w:rPr>
                      <w:rFonts w:hint="eastAsia"/>
                      <w:color w:val="auto"/>
                      <w:lang w:eastAsia="zh-CN"/>
                    </w:rPr>
                  </w:pPr>
                </w:p>
              </w:tc>
              <w:tc>
                <w:tcPr>
                  <w:tcW w:w="276" w:type="pct"/>
                  <w:vMerge w:val="continue"/>
                  <w:vAlign w:val="center"/>
                </w:tcPr>
                <w:p w14:paraId="4E85D4CF">
                  <w:pPr>
                    <w:pStyle w:val="31"/>
                    <w:bidi w:val="0"/>
                    <w:rPr>
                      <w:rFonts w:hint="eastAsia"/>
                      <w:color w:val="auto"/>
                      <w:lang w:eastAsia="zh-CN"/>
                    </w:rPr>
                  </w:pPr>
                </w:p>
              </w:tc>
              <w:tc>
                <w:tcPr>
                  <w:tcW w:w="650" w:type="pct"/>
                  <w:vAlign w:val="center"/>
                </w:tcPr>
                <w:p w14:paraId="7679981A">
                  <w:pPr>
                    <w:pStyle w:val="31"/>
                    <w:bidi w:val="0"/>
                    <w:rPr>
                      <w:rFonts w:hint="default"/>
                      <w:color w:val="auto"/>
                      <w:lang w:val="en-US" w:eastAsia="zh-CN"/>
                    </w:rPr>
                  </w:pPr>
                  <w:r>
                    <w:rPr>
                      <w:rFonts w:hint="default"/>
                      <w:color w:val="auto"/>
                      <w:lang w:val="en-US" w:eastAsia="zh-CN"/>
                    </w:rPr>
                    <w:t>废料打包库</w:t>
                  </w:r>
                </w:p>
              </w:tc>
              <w:tc>
                <w:tcPr>
                  <w:tcW w:w="2842" w:type="pct"/>
                  <w:vAlign w:val="center"/>
                </w:tcPr>
                <w:p w14:paraId="6EBC990B">
                  <w:pPr>
                    <w:pStyle w:val="31"/>
                    <w:bidi w:val="0"/>
                    <w:jc w:val="both"/>
                    <w:rPr>
                      <w:rFonts w:hint="default" w:eastAsia="宋体"/>
                      <w:color w:val="auto"/>
                      <w:vertAlign w:val="baseline"/>
                      <w:lang w:val="en-US" w:eastAsia="zh-CN"/>
                    </w:rPr>
                  </w:pPr>
                  <w:r>
                    <w:rPr>
                      <w:rFonts w:hint="eastAsia"/>
                      <w:color w:val="auto"/>
                      <w:lang w:val="en-US" w:eastAsia="zh-CN"/>
                    </w:rPr>
                    <w:t>1间，占地面积1158</w:t>
                  </w:r>
                  <w:r>
                    <w:rPr>
                      <w:rFonts w:hint="eastAsia"/>
                      <w:color w:val="auto"/>
                    </w:rPr>
                    <w:t>m</w:t>
                  </w:r>
                  <w:r>
                    <w:rPr>
                      <w:rFonts w:hint="eastAsia"/>
                      <w:color w:val="auto"/>
                      <w:vertAlign w:val="superscript"/>
                    </w:rPr>
                    <w:t>2</w:t>
                  </w:r>
                  <w:r>
                    <w:rPr>
                      <w:rFonts w:hint="eastAsia"/>
                      <w:color w:val="auto"/>
                      <w:vertAlign w:val="baseline"/>
                      <w:lang w:eastAsia="zh-CN"/>
                    </w:rPr>
                    <w:t>，</w:t>
                  </w:r>
                  <w:r>
                    <w:rPr>
                      <w:rFonts w:hint="eastAsia"/>
                      <w:color w:val="auto"/>
                      <w:vertAlign w:val="baseline"/>
                      <w:lang w:val="en-US" w:eastAsia="zh-CN"/>
                    </w:rPr>
                    <w:t>位于厂区东南侧，主要用于</w:t>
                  </w:r>
                  <w:r>
                    <w:rPr>
                      <w:rFonts w:hint="eastAsia" w:ascii="Times New Roman" w:hAnsi="Times New Roman" w:eastAsia="宋体"/>
                      <w:color w:val="auto"/>
                      <w:sz w:val="21"/>
                      <w:szCs w:val="21"/>
                      <w:lang w:val="en-US" w:eastAsia="zh-CN"/>
                    </w:rPr>
                    <w:t>不合格品、金属碎屑、焊渣、</w:t>
                  </w:r>
                  <w:r>
                    <w:rPr>
                      <w:rFonts w:hint="eastAsia" w:ascii="Times New Roman" w:hAnsi="Times New Roman" w:eastAsia="宋体"/>
                      <w:color w:val="auto"/>
                      <w:sz w:val="21"/>
                      <w:szCs w:val="21"/>
                      <w:highlight w:val="none"/>
                      <w:lang w:val="en-US" w:eastAsia="zh-CN"/>
                    </w:rPr>
                    <w:t>除尘灰</w:t>
                  </w:r>
                  <w:r>
                    <w:rPr>
                      <w:rFonts w:hint="eastAsia" w:ascii="Times New Roman" w:hAnsi="Times New Roman" w:eastAsia="宋体"/>
                      <w:color w:val="auto"/>
                      <w:sz w:val="21"/>
                      <w:szCs w:val="21"/>
                      <w:lang w:val="en-US" w:eastAsia="zh-CN"/>
                    </w:rPr>
                    <w:t>等固废暂存及打包。</w:t>
                  </w:r>
                </w:p>
              </w:tc>
              <w:tc>
                <w:tcPr>
                  <w:tcW w:w="815" w:type="pct"/>
                  <w:vAlign w:val="center"/>
                </w:tcPr>
                <w:p w14:paraId="6F8EFA94">
                  <w:pPr>
                    <w:pStyle w:val="31"/>
                    <w:bidi w:val="0"/>
                    <w:rPr>
                      <w:rFonts w:hint="eastAsia" w:eastAsia="宋体"/>
                      <w:color w:val="auto"/>
                      <w:lang w:eastAsia="zh-CN"/>
                    </w:rPr>
                  </w:pPr>
                  <w:r>
                    <w:rPr>
                      <w:rFonts w:hint="eastAsia"/>
                      <w:color w:val="auto"/>
                      <w:lang w:val="en-US" w:eastAsia="zh-CN"/>
                    </w:rPr>
                    <w:t>已建成</w:t>
                  </w:r>
                </w:p>
              </w:tc>
            </w:tr>
            <w:tr w14:paraId="6D239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Merge w:val="continue"/>
                  <w:vAlign w:val="center"/>
                </w:tcPr>
                <w:p w14:paraId="78C61C69">
                  <w:pPr>
                    <w:pStyle w:val="31"/>
                    <w:bidi w:val="0"/>
                    <w:rPr>
                      <w:rFonts w:hint="eastAsia"/>
                      <w:color w:val="auto"/>
                      <w:lang w:eastAsia="zh-CN"/>
                    </w:rPr>
                  </w:pPr>
                </w:p>
              </w:tc>
              <w:tc>
                <w:tcPr>
                  <w:tcW w:w="276" w:type="pct"/>
                  <w:vMerge w:val="continue"/>
                  <w:vAlign w:val="center"/>
                </w:tcPr>
                <w:p w14:paraId="2612A2AF">
                  <w:pPr>
                    <w:pStyle w:val="31"/>
                    <w:bidi w:val="0"/>
                    <w:rPr>
                      <w:rFonts w:hint="eastAsia"/>
                      <w:color w:val="auto"/>
                      <w:lang w:eastAsia="zh-CN"/>
                    </w:rPr>
                  </w:pPr>
                </w:p>
              </w:tc>
              <w:tc>
                <w:tcPr>
                  <w:tcW w:w="650" w:type="pct"/>
                  <w:vAlign w:val="center"/>
                </w:tcPr>
                <w:p w14:paraId="58E4DCF7">
                  <w:pPr>
                    <w:pStyle w:val="31"/>
                    <w:bidi w:val="0"/>
                    <w:rPr>
                      <w:rFonts w:hint="default"/>
                      <w:color w:val="auto"/>
                      <w:lang w:val="en-US" w:eastAsia="zh-CN"/>
                    </w:rPr>
                  </w:pPr>
                  <w:r>
                    <w:rPr>
                      <w:rFonts w:hint="eastAsia"/>
                      <w:color w:val="auto"/>
                      <w:lang w:val="en-US" w:eastAsia="zh-CN"/>
                    </w:rPr>
                    <w:t>危废暂存间</w:t>
                  </w:r>
                </w:p>
              </w:tc>
              <w:tc>
                <w:tcPr>
                  <w:tcW w:w="2842" w:type="pct"/>
                  <w:vAlign w:val="center"/>
                </w:tcPr>
                <w:p w14:paraId="4327D5D6">
                  <w:pPr>
                    <w:pStyle w:val="31"/>
                    <w:bidi w:val="0"/>
                    <w:jc w:val="both"/>
                    <w:rPr>
                      <w:rFonts w:hint="default" w:eastAsia="宋体"/>
                      <w:color w:val="auto"/>
                      <w:lang w:val="en-US" w:eastAsia="zh-CN"/>
                    </w:rPr>
                  </w:pPr>
                  <w:r>
                    <w:rPr>
                      <w:rFonts w:hint="eastAsia"/>
                      <w:color w:val="auto"/>
                      <w:lang w:val="en-US" w:eastAsia="zh-CN"/>
                    </w:rPr>
                    <w:t>TS001，1间，占地面积5m</w:t>
                  </w:r>
                  <w:r>
                    <w:rPr>
                      <w:rFonts w:hint="eastAsia"/>
                      <w:color w:val="auto"/>
                      <w:vertAlign w:val="superscript"/>
                      <w:lang w:val="en-US" w:eastAsia="zh-CN"/>
                    </w:rPr>
                    <w:t>2</w:t>
                  </w:r>
                  <w:r>
                    <w:rPr>
                      <w:rFonts w:hint="eastAsia"/>
                      <w:color w:val="auto"/>
                      <w:vertAlign w:val="baseline"/>
                      <w:lang w:val="en-US" w:eastAsia="zh-CN"/>
                    </w:rPr>
                    <w:t>，位于检修车间内</w:t>
                  </w:r>
                  <w:r>
                    <w:rPr>
                      <w:rFonts w:hint="eastAsia"/>
                      <w:color w:val="auto"/>
                      <w:lang w:val="en-US" w:eastAsia="zh-CN"/>
                    </w:rPr>
                    <w:t>，危废间地面设置导流沟和收集池，并作重点防渗处理，危废暂存后委托有资质单位转运处置。</w:t>
                  </w:r>
                </w:p>
              </w:tc>
              <w:tc>
                <w:tcPr>
                  <w:tcW w:w="815" w:type="pct"/>
                  <w:vAlign w:val="center"/>
                </w:tcPr>
                <w:p w14:paraId="76D52DBF">
                  <w:pPr>
                    <w:pStyle w:val="31"/>
                    <w:bidi w:val="0"/>
                    <w:rPr>
                      <w:color w:val="auto"/>
                    </w:rPr>
                  </w:pPr>
                  <w:r>
                    <w:rPr>
                      <w:rFonts w:hint="eastAsia"/>
                      <w:color w:val="auto"/>
                      <w:lang w:val="en-US" w:eastAsia="zh-CN"/>
                    </w:rPr>
                    <w:t>新建</w:t>
                  </w:r>
                </w:p>
              </w:tc>
            </w:tr>
            <w:tr w14:paraId="3A57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Merge w:val="continue"/>
                  <w:vAlign w:val="center"/>
                </w:tcPr>
                <w:p w14:paraId="7A36F9A6">
                  <w:pPr>
                    <w:pStyle w:val="31"/>
                    <w:bidi w:val="0"/>
                    <w:rPr>
                      <w:rFonts w:hint="eastAsia"/>
                      <w:color w:val="auto"/>
                      <w:lang w:eastAsia="zh-CN"/>
                    </w:rPr>
                  </w:pPr>
                </w:p>
              </w:tc>
              <w:tc>
                <w:tcPr>
                  <w:tcW w:w="276" w:type="pct"/>
                  <w:vAlign w:val="center"/>
                </w:tcPr>
                <w:p w14:paraId="345CC3B7">
                  <w:pPr>
                    <w:pStyle w:val="31"/>
                    <w:bidi w:val="0"/>
                    <w:rPr>
                      <w:rFonts w:hint="default"/>
                      <w:color w:val="auto"/>
                      <w:lang w:val="en-US" w:eastAsia="zh-CN"/>
                    </w:rPr>
                  </w:pPr>
                  <w:r>
                    <w:rPr>
                      <w:rFonts w:hint="eastAsia"/>
                      <w:color w:val="auto"/>
                      <w:lang w:val="en-US" w:eastAsia="zh-CN"/>
                    </w:rPr>
                    <w:t>其他</w:t>
                  </w:r>
                </w:p>
              </w:tc>
              <w:tc>
                <w:tcPr>
                  <w:tcW w:w="650" w:type="pct"/>
                  <w:vAlign w:val="center"/>
                </w:tcPr>
                <w:p w14:paraId="10938B39">
                  <w:pPr>
                    <w:pStyle w:val="31"/>
                    <w:bidi w:val="0"/>
                    <w:rPr>
                      <w:rFonts w:hint="default"/>
                      <w:color w:val="auto"/>
                      <w:lang w:val="en-US" w:eastAsia="zh-CN"/>
                    </w:rPr>
                  </w:pPr>
                  <w:r>
                    <w:rPr>
                      <w:rFonts w:hint="eastAsia"/>
                      <w:color w:val="auto"/>
                      <w:lang w:val="en-US" w:eastAsia="zh-CN"/>
                    </w:rPr>
                    <w:t>绿化</w:t>
                  </w:r>
                </w:p>
              </w:tc>
              <w:tc>
                <w:tcPr>
                  <w:tcW w:w="2842" w:type="pct"/>
                  <w:vAlign w:val="center"/>
                </w:tcPr>
                <w:p w14:paraId="2CDF49C7">
                  <w:pPr>
                    <w:pStyle w:val="31"/>
                    <w:bidi w:val="0"/>
                    <w:jc w:val="both"/>
                    <w:rPr>
                      <w:rFonts w:hint="eastAsia"/>
                      <w:color w:val="auto"/>
                      <w:lang w:val="en-US" w:eastAsia="zh-CN"/>
                    </w:rPr>
                  </w:pPr>
                  <w:r>
                    <w:rPr>
                      <w:rFonts w:hint="eastAsia"/>
                      <w:color w:val="auto"/>
                      <w:kern w:val="0"/>
                      <w:szCs w:val="21"/>
                      <w:lang w:bidi="ar"/>
                    </w:rPr>
                    <w:t>绿化面积</w:t>
                  </w:r>
                  <w:r>
                    <w:rPr>
                      <w:rFonts w:hint="eastAsia"/>
                      <w:color w:val="auto"/>
                      <w:kern w:val="0"/>
                      <w:szCs w:val="21"/>
                      <w:lang w:val="en-US" w:eastAsia="zh-CN" w:bidi="ar"/>
                    </w:rPr>
                    <w:t>100</w:t>
                  </w:r>
                  <w:r>
                    <w:rPr>
                      <w:rFonts w:hint="eastAsia"/>
                      <w:color w:val="auto"/>
                      <w:kern w:val="0"/>
                      <w:szCs w:val="21"/>
                      <w:lang w:bidi="ar"/>
                    </w:rPr>
                    <w:t>m</w:t>
                  </w:r>
                  <w:r>
                    <w:rPr>
                      <w:rFonts w:hint="eastAsia"/>
                      <w:color w:val="auto"/>
                      <w:kern w:val="0"/>
                      <w:szCs w:val="21"/>
                      <w:vertAlign w:val="superscript"/>
                      <w:lang w:bidi="ar"/>
                    </w:rPr>
                    <w:t>2</w:t>
                  </w:r>
                  <w:r>
                    <w:rPr>
                      <w:rFonts w:hint="eastAsia"/>
                      <w:color w:val="auto"/>
                      <w:kern w:val="0"/>
                      <w:szCs w:val="21"/>
                      <w:lang w:bidi="ar"/>
                    </w:rPr>
                    <w:t>。</w:t>
                  </w:r>
                </w:p>
              </w:tc>
              <w:tc>
                <w:tcPr>
                  <w:tcW w:w="815" w:type="pct"/>
                  <w:vAlign w:val="center"/>
                </w:tcPr>
                <w:p w14:paraId="5C20DDC7">
                  <w:pPr>
                    <w:pStyle w:val="31"/>
                    <w:bidi w:val="0"/>
                    <w:rPr>
                      <w:rFonts w:hint="default"/>
                      <w:color w:val="auto"/>
                      <w:lang w:val="en-US" w:eastAsia="zh-CN"/>
                    </w:rPr>
                  </w:pPr>
                  <w:r>
                    <w:rPr>
                      <w:rFonts w:hint="eastAsia"/>
                      <w:color w:val="auto"/>
                      <w:lang w:val="en-US" w:eastAsia="zh-CN"/>
                    </w:rPr>
                    <w:t>已建</w:t>
                  </w:r>
                </w:p>
              </w:tc>
            </w:tr>
          </w:tbl>
          <w:p w14:paraId="0D097DDC">
            <w:pPr>
              <w:pStyle w:val="39"/>
              <w:rPr>
                <w:rFonts w:hint="default"/>
                <w:color w:val="auto"/>
              </w:rPr>
            </w:pPr>
            <w:r>
              <w:rPr>
                <w:rFonts w:hint="eastAsia"/>
                <w:color w:val="auto"/>
                <w:lang w:eastAsia="zh-CN"/>
              </w:rPr>
              <w:t>三、</w:t>
            </w:r>
            <w:r>
              <w:rPr>
                <w:color w:val="auto"/>
              </w:rPr>
              <w:t>产品方案及规模</w:t>
            </w:r>
          </w:p>
          <w:p w14:paraId="6B747DB2">
            <w:pPr>
              <w:bidi w:val="0"/>
              <w:rPr>
                <w:rFonts w:hint="default"/>
                <w:color w:val="auto"/>
                <w:lang w:val="en-US" w:eastAsia="zh-CN"/>
              </w:rPr>
            </w:pPr>
            <w:r>
              <w:rPr>
                <w:rFonts w:hint="eastAsia"/>
                <w:color w:val="auto"/>
                <w:lang w:eastAsia="zh-CN"/>
              </w:rPr>
              <w:t>本项目产品方案为年产</w:t>
            </w:r>
            <w:r>
              <w:rPr>
                <w:rFonts w:hint="eastAsia"/>
                <w:color w:val="auto"/>
                <w:lang w:val="en-US" w:eastAsia="zh-CN"/>
              </w:rPr>
              <w:t>10万吨高频直缝焊管。项目建成后，项目产品方案见下表。</w:t>
            </w:r>
          </w:p>
          <w:p w14:paraId="74A56AA7">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olor w:val="auto"/>
                <w:sz w:val="24"/>
                <w:szCs w:val="24"/>
                <w:lang w:eastAsia="zh-CN"/>
              </w:rPr>
            </w:pPr>
            <w:r>
              <w:rPr>
                <w:rFonts w:ascii="Times New Roman" w:hAnsi="Times New Roman" w:eastAsia="宋体"/>
                <w:color w:val="auto"/>
                <w:sz w:val="24"/>
                <w:szCs w:val="24"/>
              </w:rPr>
              <w:t>表2-2  本项目产品方案</w:t>
            </w:r>
            <w:r>
              <w:rPr>
                <w:rFonts w:hint="eastAsia" w:ascii="Times New Roman" w:hAnsi="Times New Roman" w:eastAsia="宋体"/>
                <w:color w:val="auto"/>
                <w:sz w:val="24"/>
                <w:szCs w:val="24"/>
                <w:lang w:eastAsia="zh-CN"/>
              </w:rPr>
              <w:t>及规模</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854"/>
              <w:gridCol w:w="900"/>
              <w:gridCol w:w="5653"/>
            </w:tblGrid>
            <w:tr w14:paraId="6A5E7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7" w:type="pct"/>
                  <w:vAlign w:val="center"/>
                </w:tcPr>
                <w:p w14:paraId="2A7DC116">
                  <w:pPr>
                    <w:pStyle w:val="31"/>
                    <w:rPr>
                      <w:rFonts w:hint="default"/>
                      <w:color w:val="auto"/>
                    </w:rPr>
                  </w:pPr>
                  <w:r>
                    <w:rPr>
                      <w:color w:val="auto"/>
                    </w:rPr>
                    <w:t>产品名称</w:t>
                  </w:r>
                </w:p>
              </w:tc>
              <w:tc>
                <w:tcPr>
                  <w:tcW w:w="497" w:type="pct"/>
                  <w:vAlign w:val="center"/>
                </w:tcPr>
                <w:p w14:paraId="54ABE5B7">
                  <w:pPr>
                    <w:pStyle w:val="31"/>
                    <w:rPr>
                      <w:rFonts w:hint="eastAsia" w:eastAsia="宋体"/>
                      <w:color w:val="auto"/>
                      <w:lang w:eastAsia="zh-CN"/>
                    </w:rPr>
                  </w:pPr>
                  <w:r>
                    <w:rPr>
                      <w:rFonts w:hint="eastAsia"/>
                      <w:color w:val="auto"/>
                      <w:lang w:eastAsia="zh-CN"/>
                    </w:rPr>
                    <w:t>单位</w:t>
                  </w:r>
                </w:p>
              </w:tc>
              <w:tc>
                <w:tcPr>
                  <w:tcW w:w="524" w:type="pct"/>
                  <w:vAlign w:val="center"/>
                </w:tcPr>
                <w:p w14:paraId="18371824">
                  <w:pPr>
                    <w:pStyle w:val="31"/>
                    <w:rPr>
                      <w:rFonts w:hint="eastAsia" w:eastAsia="宋体"/>
                      <w:color w:val="auto"/>
                      <w:lang w:eastAsia="zh-CN"/>
                    </w:rPr>
                  </w:pPr>
                  <w:r>
                    <w:rPr>
                      <w:rFonts w:hint="eastAsia"/>
                      <w:color w:val="auto"/>
                      <w:lang w:eastAsia="zh-CN"/>
                    </w:rPr>
                    <w:t>数量</w:t>
                  </w:r>
                </w:p>
              </w:tc>
              <w:tc>
                <w:tcPr>
                  <w:tcW w:w="3291" w:type="pct"/>
                  <w:vAlign w:val="center"/>
                </w:tcPr>
                <w:p w14:paraId="6AFF13CE">
                  <w:pPr>
                    <w:pStyle w:val="31"/>
                    <w:rPr>
                      <w:rFonts w:hint="eastAsia" w:eastAsia="宋体"/>
                      <w:color w:val="auto"/>
                      <w:lang w:eastAsia="zh-CN"/>
                    </w:rPr>
                  </w:pPr>
                  <w:r>
                    <w:rPr>
                      <w:rFonts w:hint="eastAsia"/>
                      <w:color w:val="auto"/>
                      <w:lang w:eastAsia="zh-CN"/>
                    </w:rPr>
                    <w:t>规格及型号</w:t>
                  </w:r>
                </w:p>
              </w:tc>
            </w:tr>
            <w:tr w14:paraId="4B613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pct"/>
                  <w:vAlign w:val="center"/>
                </w:tcPr>
                <w:p w14:paraId="4517F13E">
                  <w:pPr>
                    <w:pStyle w:val="31"/>
                    <w:rPr>
                      <w:rFonts w:hint="eastAsia" w:eastAsia="宋体"/>
                      <w:color w:val="auto"/>
                      <w:lang w:eastAsia="zh-CN"/>
                    </w:rPr>
                  </w:pPr>
                  <w:r>
                    <w:rPr>
                      <w:rFonts w:hint="eastAsia"/>
                      <w:color w:val="auto"/>
                      <w:lang w:eastAsia="zh-CN"/>
                    </w:rPr>
                    <w:t>高频直缝焊管</w:t>
                  </w:r>
                </w:p>
              </w:tc>
              <w:tc>
                <w:tcPr>
                  <w:tcW w:w="497" w:type="pct"/>
                  <w:vAlign w:val="center"/>
                </w:tcPr>
                <w:p w14:paraId="58A253ED">
                  <w:pPr>
                    <w:pStyle w:val="31"/>
                    <w:rPr>
                      <w:rFonts w:hint="default" w:eastAsia="宋体"/>
                      <w:color w:val="auto"/>
                      <w:lang w:val="en-US" w:eastAsia="zh-CN"/>
                    </w:rPr>
                  </w:pPr>
                  <w:r>
                    <w:rPr>
                      <w:rFonts w:hint="eastAsia"/>
                      <w:color w:val="auto"/>
                      <w:lang w:val="en-US" w:eastAsia="zh-CN"/>
                    </w:rPr>
                    <w:t>万t/a</w:t>
                  </w:r>
                </w:p>
              </w:tc>
              <w:tc>
                <w:tcPr>
                  <w:tcW w:w="524" w:type="pct"/>
                  <w:vAlign w:val="center"/>
                </w:tcPr>
                <w:p w14:paraId="6CA85B39">
                  <w:pPr>
                    <w:pStyle w:val="31"/>
                    <w:rPr>
                      <w:rFonts w:hint="default" w:eastAsia="宋体"/>
                      <w:color w:val="auto"/>
                      <w:lang w:val="en-US" w:eastAsia="zh-CN"/>
                    </w:rPr>
                  </w:pPr>
                  <w:r>
                    <w:rPr>
                      <w:rFonts w:hint="eastAsia"/>
                      <w:color w:val="auto"/>
                      <w:lang w:val="en-US" w:eastAsia="zh-CN"/>
                    </w:rPr>
                    <w:t>10</w:t>
                  </w:r>
                </w:p>
              </w:tc>
              <w:tc>
                <w:tcPr>
                  <w:tcW w:w="3291" w:type="pct"/>
                  <w:vAlign w:val="center"/>
                </w:tcPr>
                <w:p w14:paraId="0D6799E4">
                  <w:pPr>
                    <w:pStyle w:val="31"/>
                    <w:jc w:val="left"/>
                    <w:rPr>
                      <w:rFonts w:hint="default"/>
                      <w:color w:val="auto"/>
                    </w:rPr>
                  </w:pPr>
                  <w:r>
                    <w:rPr>
                      <w:rFonts w:hint="default"/>
                      <w:color w:val="auto"/>
                    </w:rPr>
                    <w:t>方管：</w:t>
                  </w:r>
                </w:p>
                <w:p w14:paraId="1CCA4A88">
                  <w:pPr>
                    <w:pStyle w:val="31"/>
                    <w:jc w:val="left"/>
                    <w:rPr>
                      <w:rFonts w:hint="eastAsia" w:eastAsia="宋体"/>
                      <w:color w:val="auto"/>
                      <w:lang w:val="en-US" w:eastAsia="zh-CN"/>
                    </w:rPr>
                  </w:pPr>
                  <w:r>
                    <w:rPr>
                      <w:rFonts w:hint="eastAsia"/>
                      <w:color w:val="auto"/>
                      <w:lang w:val="en-US" w:eastAsia="zh-CN"/>
                    </w:rPr>
                    <w:t>20</w:t>
                  </w:r>
                  <w:r>
                    <w:rPr>
                      <w:rFonts w:hint="default"/>
                      <w:color w:val="auto"/>
                    </w:rPr>
                    <w:t>mm×</w:t>
                  </w:r>
                  <w:r>
                    <w:rPr>
                      <w:rFonts w:hint="eastAsia"/>
                      <w:color w:val="auto"/>
                      <w:lang w:val="en-US" w:eastAsia="zh-CN"/>
                    </w:rPr>
                    <w:t>20</w:t>
                  </w:r>
                  <w:r>
                    <w:rPr>
                      <w:rFonts w:hint="default"/>
                      <w:color w:val="auto"/>
                    </w:rPr>
                    <w:t>mm、</w:t>
                  </w:r>
                  <w:r>
                    <w:rPr>
                      <w:rFonts w:hint="eastAsia"/>
                      <w:color w:val="auto"/>
                      <w:lang w:val="en-US" w:eastAsia="zh-CN"/>
                    </w:rPr>
                    <w:t>20</w:t>
                  </w:r>
                  <w:r>
                    <w:rPr>
                      <w:rFonts w:hint="default"/>
                      <w:color w:val="auto"/>
                    </w:rPr>
                    <w:t>mm×</w:t>
                  </w:r>
                  <w:r>
                    <w:rPr>
                      <w:rFonts w:hint="eastAsia"/>
                      <w:color w:val="auto"/>
                      <w:lang w:val="en-US" w:eastAsia="zh-CN"/>
                    </w:rPr>
                    <w:t>40</w:t>
                  </w:r>
                  <w:r>
                    <w:rPr>
                      <w:rFonts w:hint="default"/>
                      <w:color w:val="auto"/>
                    </w:rPr>
                    <w:t>mm、</w:t>
                  </w:r>
                  <w:r>
                    <w:rPr>
                      <w:rFonts w:hint="eastAsia"/>
                      <w:color w:val="auto"/>
                      <w:lang w:val="en-US" w:eastAsia="zh-CN"/>
                    </w:rPr>
                    <w:t>25</w:t>
                  </w:r>
                  <w:r>
                    <w:rPr>
                      <w:rFonts w:hint="default"/>
                      <w:color w:val="auto"/>
                    </w:rPr>
                    <w:t>mm×</w:t>
                  </w:r>
                  <w:r>
                    <w:rPr>
                      <w:rFonts w:hint="eastAsia"/>
                      <w:color w:val="auto"/>
                      <w:lang w:val="en-US" w:eastAsia="zh-CN"/>
                    </w:rPr>
                    <w:t>35</w:t>
                  </w:r>
                  <w:r>
                    <w:rPr>
                      <w:rFonts w:hint="default"/>
                      <w:color w:val="auto"/>
                    </w:rPr>
                    <w:t>mm、</w:t>
                  </w:r>
                  <w:r>
                    <w:rPr>
                      <w:rFonts w:hint="eastAsia"/>
                      <w:color w:val="auto"/>
                      <w:lang w:val="en-US" w:eastAsia="zh-CN"/>
                    </w:rPr>
                    <w:t>30</w:t>
                  </w:r>
                  <w:r>
                    <w:rPr>
                      <w:rFonts w:hint="default"/>
                      <w:color w:val="auto"/>
                    </w:rPr>
                    <w:t>mm×</w:t>
                  </w:r>
                  <w:r>
                    <w:rPr>
                      <w:rFonts w:hint="eastAsia"/>
                      <w:color w:val="auto"/>
                      <w:lang w:val="en-US" w:eastAsia="zh-CN"/>
                    </w:rPr>
                    <w:t>30</w:t>
                  </w:r>
                  <w:r>
                    <w:rPr>
                      <w:rFonts w:hint="default"/>
                      <w:color w:val="auto"/>
                    </w:rPr>
                    <w:t>mm、</w:t>
                  </w:r>
                  <w:r>
                    <w:rPr>
                      <w:rFonts w:hint="eastAsia"/>
                      <w:color w:val="auto"/>
                      <w:lang w:val="en-US" w:eastAsia="zh-CN"/>
                    </w:rPr>
                    <w:t>40</w:t>
                  </w:r>
                  <w:r>
                    <w:rPr>
                      <w:rFonts w:hint="default"/>
                      <w:color w:val="auto"/>
                    </w:rPr>
                    <w:t>mm×</w:t>
                  </w:r>
                  <w:r>
                    <w:rPr>
                      <w:rFonts w:hint="eastAsia"/>
                      <w:color w:val="auto"/>
                      <w:lang w:val="en-US" w:eastAsia="zh-CN"/>
                    </w:rPr>
                    <w:t>40</w:t>
                  </w:r>
                  <w:r>
                    <w:rPr>
                      <w:rFonts w:hint="default"/>
                      <w:color w:val="auto"/>
                    </w:rPr>
                    <w:t>mm、</w:t>
                  </w:r>
                  <w:r>
                    <w:rPr>
                      <w:rFonts w:hint="eastAsia"/>
                      <w:color w:val="auto"/>
                      <w:lang w:val="en-US" w:eastAsia="zh-CN"/>
                    </w:rPr>
                    <w:t>50</w:t>
                  </w:r>
                  <w:r>
                    <w:rPr>
                      <w:rFonts w:hint="default"/>
                      <w:color w:val="auto"/>
                    </w:rPr>
                    <w:t>mm×</w:t>
                  </w:r>
                  <w:r>
                    <w:rPr>
                      <w:rFonts w:hint="eastAsia"/>
                      <w:color w:val="auto"/>
                      <w:lang w:val="en-US" w:eastAsia="zh-CN"/>
                    </w:rPr>
                    <w:t>50</w:t>
                  </w:r>
                  <w:r>
                    <w:rPr>
                      <w:rFonts w:hint="default"/>
                      <w:color w:val="auto"/>
                    </w:rPr>
                    <w:t>mm</w:t>
                  </w:r>
                  <w:r>
                    <w:rPr>
                      <w:rFonts w:hint="eastAsia"/>
                      <w:color w:val="auto"/>
                      <w:lang w:eastAsia="zh-CN"/>
                    </w:rPr>
                    <w:t>、</w:t>
                  </w:r>
                  <w:r>
                    <w:rPr>
                      <w:rFonts w:hint="eastAsia"/>
                      <w:color w:val="auto"/>
                      <w:lang w:val="en-US" w:eastAsia="zh-CN"/>
                    </w:rPr>
                    <w:t>80</w:t>
                  </w:r>
                  <w:r>
                    <w:rPr>
                      <w:rFonts w:hint="default"/>
                      <w:color w:val="auto"/>
                    </w:rPr>
                    <w:t>mm×</w:t>
                  </w:r>
                  <w:r>
                    <w:rPr>
                      <w:rFonts w:hint="eastAsia"/>
                      <w:color w:val="auto"/>
                      <w:lang w:val="en-US" w:eastAsia="zh-CN"/>
                    </w:rPr>
                    <w:t>80</w:t>
                  </w:r>
                  <w:r>
                    <w:rPr>
                      <w:rFonts w:hint="default"/>
                      <w:color w:val="auto"/>
                    </w:rPr>
                    <w:t>mm、</w:t>
                  </w:r>
                  <w:r>
                    <w:rPr>
                      <w:rFonts w:hint="eastAsia"/>
                      <w:color w:val="auto"/>
                      <w:lang w:val="en-US" w:eastAsia="zh-CN"/>
                    </w:rPr>
                    <w:t>80</w:t>
                  </w:r>
                  <w:r>
                    <w:rPr>
                      <w:rFonts w:hint="default"/>
                      <w:color w:val="auto"/>
                    </w:rPr>
                    <w:t>mm×</w:t>
                  </w:r>
                  <w:r>
                    <w:rPr>
                      <w:rFonts w:hint="eastAsia"/>
                      <w:color w:val="auto"/>
                      <w:lang w:val="en-US" w:eastAsia="zh-CN"/>
                    </w:rPr>
                    <w:t>100</w:t>
                  </w:r>
                  <w:r>
                    <w:rPr>
                      <w:rFonts w:hint="default"/>
                      <w:color w:val="auto"/>
                    </w:rPr>
                    <w:t>mm、</w:t>
                  </w:r>
                  <w:r>
                    <w:rPr>
                      <w:rFonts w:hint="eastAsia"/>
                      <w:color w:val="auto"/>
                      <w:lang w:val="en-US" w:eastAsia="zh-CN"/>
                    </w:rPr>
                    <w:t>100</w:t>
                  </w:r>
                  <w:r>
                    <w:rPr>
                      <w:rFonts w:hint="default"/>
                      <w:color w:val="auto"/>
                    </w:rPr>
                    <w:t>mm×</w:t>
                  </w:r>
                  <w:r>
                    <w:rPr>
                      <w:rFonts w:hint="eastAsia"/>
                      <w:color w:val="auto"/>
                      <w:lang w:val="en-US" w:eastAsia="zh-CN"/>
                    </w:rPr>
                    <w:t>150</w:t>
                  </w:r>
                  <w:r>
                    <w:rPr>
                      <w:rFonts w:hint="default"/>
                      <w:color w:val="auto"/>
                    </w:rPr>
                    <w:t>mm、</w:t>
                  </w:r>
                  <w:r>
                    <w:rPr>
                      <w:rFonts w:hint="eastAsia"/>
                      <w:color w:val="auto"/>
                      <w:lang w:val="en-US" w:eastAsia="zh-CN"/>
                    </w:rPr>
                    <w:t>120</w:t>
                  </w:r>
                  <w:r>
                    <w:rPr>
                      <w:rFonts w:hint="default"/>
                      <w:color w:val="auto"/>
                    </w:rPr>
                    <w:t>mm×</w:t>
                  </w:r>
                  <w:r>
                    <w:rPr>
                      <w:rFonts w:hint="eastAsia"/>
                      <w:color w:val="auto"/>
                      <w:lang w:val="en-US" w:eastAsia="zh-CN"/>
                    </w:rPr>
                    <w:t>120</w:t>
                  </w:r>
                  <w:r>
                    <w:rPr>
                      <w:rFonts w:hint="default"/>
                      <w:color w:val="auto"/>
                    </w:rPr>
                    <w:t>mm</w:t>
                  </w:r>
                  <w:r>
                    <w:rPr>
                      <w:rFonts w:hint="eastAsia"/>
                      <w:color w:val="auto"/>
                      <w:lang w:eastAsia="zh-CN"/>
                    </w:rPr>
                    <w:t>、</w:t>
                  </w:r>
                  <w:r>
                    <w:rPr>
                      <w:rFonts w:hint="eastAsia"/>
                      <w:color w:val="auto"/>
                      <w:lang w:val="en-US" w:eastAsia="zh-CN"/>
                    </w:rPr>
                    <w:t>150</w:t>
                  </w:r>
                  <w:r>
                    <w:rPr>
                      <w:rFonts w:hint="default"/>
                      <w:color w:val="auto"/>
                    </w:rPr>
                    <w:t>mm×</w:t>
                  </w:r>
                  <w:r>
                    <w:rPr>
                      <w:rFonts w:hint="eastAsia"/>
                      <w:color w:val="auto"/>
                      <w:lang w:val="en-US" w:eastAsia="zh-CN"/>
                    </w:rPr>
                    <w:t>150</w:t>
                  </w:r>
                  <w:r>
                    <w:rPr>
                      <w:rFonts w:hint="default"/>
                      <w:color w:val="auto"/>
                    </w:rPr>
                    <w:t>mm</w:t>
                  </w:r>
                  <w:r>
                    <w:rPr>
                      <w:rFonts w:hint="eastAsia"/>
                      <w:color w:val="auto"/>
                      <w:lang w:eastAsia="zh-CN"/>
                    </w:rPr>
                    <w:t>；</w:t>
                  </w:r>
                </w:p>
                <w:p w14:paraId="7D8A62F0">
                  <w:pPr>
                    <w:pStyle w:val="31"/>
                    <w:jc w:val="left"/>
                    <w:rPr>
                      <w:rFonts w:hint="default"/>
                      <w:color w:val="auto"/>
                    </w:rPr>
                  </w:pPr>
                  <w:r>
                    <w:rPr>
                      <w:rFonts w:hint="default"/>
                      <w:color w:val="auto"/>
                    </w:rPr>
                    <w:t>圆管：</w:t>
                  </w:r>
                </w:p>
                <w:p w14:paraId="58E68A33">
                  <w:pPr>
                    <w:pStyle w:val="31"/>
                    <w:jc w:val="left"/>
                    <w:rPr>
                      <w:rFonts w:hint="eastAsia" w:eastAsia="宋体"/>
                      <w:color w:val="auto"/>
                      <w:lang w:eastAsia="zh-CN"/>
                    </w:rPr>
                  </w:pPr>
                  <w:r>
                    <w:rPr>
                      <w:rFonts w:hint="default"/>
                      <w:color w:val="auto"/>
                    </w:rPr>
                    <w:t>φ48mm、φ</w:t>
                  </w:r>
                  <w:r>
                    <w:rPr>
                      <w:rFonts w:hint="eastAsia"/>
                      <w:color w:val="auto"/>
                      <w:lang w:val="en-US" w:eastAsia="zh-CN"/>
                    </w:rPr>
                    <w:t>60</w:t>
                  </w:r>
                  <w:r>
                    <w:rPr>
                      <w:rFonts w:hint="default"/>
                      <w:color w:val="auto"/>
                    </w:rPr>
                    <w:t>mm、φ</w:t>
                  </w:r>
                  <w:r>
                    <w:rPr>
                      <w:rFonts w:hint="eastAsia"/>
                      <w:color w:val="auto"/>
                      <w:lang w:val="en-US" w:eastAsia="zh-CN"/>
                    </w:rPr>
                    <w:t>114</w:t>
                  </w:r>
                  <w:r>
                    <w:rPr>
                      <w:rFonts w:hint="default"/>
                      <w:color w:val="auto"/>
                    </w:rPr>
                    <w:t>mm</w:t>
                  </w:r>
                  <w:r>
                    <w:rPr>
                      <w:rFonts w:hint="eastAsia"/>
                      <w:color w:val="auto"/>
                      <w:lang w:eastAsia="zh-CN"/>
                    </w:rPr>
                    <w:t>。</w:t>
                  </w:r>
                </w:p>
              </w:tc>
            </w:tr>
          </w:tbl>
          <w:p w14:paraId="03BCCEC0">
            <w:pPr>
              <w:pStyle w:val="39"/>
              <w:rPr>
                <w:rFonts w:hint="default"/>
                <w:color w:val="auto"/>
              </w:rPr>
            </w:pPr>
            <w:r>
              <w:rPr>
                <w:rFonts w:hint="eastAsia"/>
                <w:color w:val="auto"/>
                <w:lang w:eastAsia="zh-CN"/>
              </w:rPr>
              <w:t>四、</w:t>
            </w:r>
            <w:r>
              <w:rPr>
                <w:color w:val="auto"/>
              </w:rPr>
              <w:t>主要生产设施及设施参数</w:t>
            </w:r>
          </w:p>
          <w:p w14:paraId="70B00A2F">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color w:val="auto"/>
                <w:lang w:eastAsia="zh-CN"/>
              </w:rPr>
            </w:pPr>
            <w:r>
              <w:rPr>
                <w:rFonts w:hint="eastAsia"/>
                <w:color w:val="auto"/>
                <w:lang w:eastAsia="zh-CN"/>
              </w:rPr>
              <w:t>本项目主要生产设备见下表。</w:t>
            </w:r>
          </w:p>
          <w:p w14:paraId="1A5CC23F">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olor w:val="auto"/>
                <w:sz w:val="24"/>
                <w:szCs w:val="24"/>
              </w:rPr>
            </w:pPr>
            <w:r>
              <w:rPr>
                <w:rFonts w:ascii="Times New Roman" w:hAnsi="Times New Roman" w:eastAsia="宋体"/>
                <w:color w:val="auto"/>
                <w:sz w:val="24"/>
                <w:szCs w:val="24"/>
              </w:rPr>
              <w:t>表2-3  项目生产设备及主要技术参数一览表</w:t>
            </w:r>
          </w:p>
          <w:tbl>
            <w:tblPr>
              <w:tblStyle w:val="22"/>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82"/>
              <w:gridCol w:w="1305"/>
              <w:gridCol w:w="1710"/>
              <w:gridCol w:w="1350"/>
              <w:gridCol w:w="2454"/>
            </w:tblGrid>
            <w:tr w14:paraId="46344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24042073">
                  <w:pPr>
                    <w:pStyle w:val="31"/>
                    <w:bidi w:val="0"/>
                    <w:rPr>
                      <w:rFonts w:hint="default"/>
                      <w:color w:val="auto"/>
                    </w:rPr>
                  </w:pPr>
                  <w:r>
                    <w:rPr>
                      <w:color w:val="auto"/>
                    </w:rPr>
                    <w:t>序号</w:t>
                  </w:r>
                </w:p>
              </w:tc>
              <w:tc>
                <w:tcPr>
                  <w:tcW w:w="630" w:type="pct"/>
                  <w:vAlign w:val="center"/>
                </w:tcPr>
                <w:p w14:paraId="7F79584E">
                  <w:pPr>
                    <w:pStyle w:val="31"/>
                    <w:bidi w:val="0"/>
                    <w:rPr>
                      <w:rFonts w:hint="default"/>
                      <w:color w:val="auto"/>
                    </w:rPr>
                  </w:pPr>
                  <w:r>
                    <w:rPr>
                      <w:color w:val="auto"/>
                    </w:rPr>
                    <w:t>设备名称</w:t>
                  </w:r>
                </w:p>
              </w:tc>
              <w:tc>
                <w:tcPr>
                  <w:tcW w:w="760" w:type="pct"/>
                  <w:vAlign w:val="center"/>
                </w:tcPr>
                <w:p w14:paraId="48185DE3">
                  <w:pPr>
                    <w:pStyle w:val="31"/>
                    <w:bidi w:val="0"/>
                    <w:rPr>
                      <w:rFonts w:hint="default"/>
                      <w:color w:val="auto"/>
                      <w:lang w:val="en-US" w:eastAsia="zh-CN"/>
                    </w:rPr>
                  </w:pPr>
                  <w:r>
                    <w:rPr>
                      <w:rFonts w:hint="eastAsia"/>
                      <w:color w:val="auto"/>
                      <w:lang w:eastAsia="zh-CN"/>
                    </w:rPr>
                    <w:t>功率</w:t>
                  </w:r>
                  <w:r>
                    <w:rPr>
                      <w:rFonts w:hint="eastAsia"/>
                      <w:color w:val="auto"/>
                      <w:lang w:val="en-US" w:eastAsia="zh-CN"/>
                    </w:rPr>
                    <w:t>Kw</w:t>
                  </w:r>
                </w:p>
              </w:tc>
              <w:tc>
                <w:tcPr>
                  <w:tcW w:w="996" w:type="pct"/>
                  <w:vAlign w:val="center"/>
                </w:tcPr>
                <w:p w14:paraId="57B842EB">
                  <w:pPr>
                    <w:pStyle w:val="31"/>
                    <w:bidi w:val="0"/>
                    <w:rPr>
                      <w:rFonts w:hint="eastAsia"/>
                      <w:color w:val="auto"/>
                      <w:lang w:val="en-US" w:eastAsia="zh-CN"/>
                    </w:rPr>
                  </w:pPr>
                  <w:r>
                    <w:rPr>
                      <w:color w:val="auto"/>
                    </w:rPr>
                    <w:t>规格型号</w:t>
                  </w:r>
                </w:p>
              </w:tc>
              <w:tc>
                <w:tcPr>
                  <w:tcW w:w="786" w:type="pct"/>
                  <w:vAlign w:val="center"/>
                </w:tcPr>
                <w:p w14:paraId="7553533B">
                  <w:pPr>
                    <w:pStyle w:val="31"/>
                    <w:bidi w:val="0"/>
                    <w:rPr>
                      <w:rFonts w:hint="eastAsia"/>
                      <w:color w:val="auto"/>
                      <w:lang w:eastAsia="zh-CN"/>
                    </w:rPr>
                  </w:pPr>
                  <w:r>
                    <w:rPr>
                      <w:rFonts w:hint="eastAsia"/>
                      <w:color w:val="auto"/>
                      <w:lang w:eastAsia="zh-CN"/>
                    </w:rPr>
                    <w:t>数量</w:t>
                  </w:r>
                </w:p>
              </w:tc>
              <w:tc>
                <w:tcPr>
                  <w:tcW w:w="1429" w:type="pct"/>
                  <w:vAlign w:val="center"/>
                </w:tcPr>
                <w:p w14:paraId="543A4DE2">
                  <w:pPr>
                    <w:pStyle w:val="31"/>
                    <w:bidi w:val="0"/>
                    <w:rPr>
                      <w:rFonts w:hint="eastAsia"/>
                      <w:color w:val="auto"/>
                      <w:lang w:eastAsia="zh-CN"/>
                    </w:rPr>
                  </w:pPr>
                  <w:r>
                    <w:rPr>
                      <w:rFonts w:hint="eastAsia"/>
                      <w:color w:val="auto"/>
                      <w:lang w:eastAsia="zh-CN"/>
                    </w:rPr>
                    <w:t>备注</w:t>
                  </w:r>
                </w:p>
              </w:tc>
            </w:tr>
            <w:tr w14:paraId="7FE5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6F2C5957">
                  <w:pPr>
                    <w:pStyle w:val="31"/>
                    <w:bidi w:val="0"/>
                    <w:rPr>
                      <w:rFonts w:hint="eastAsia"/>
                      <w:color w:val="auto"/>
                      <w:lang w:val="en-US" w:eastAsia="zh-CN"/>
                    </w:rPr>
                  </w:pPr>
                  <w:r>
                    <w:rPr>
                      <w:rFonts w:hint="eastAsia"/>
                      <w:color w:val="auto"/>
                      <w:lang w:val="en-US" w:eastAsia="zh-CN"/>
                    </w:rPr>
                    <w:t>1</w:t>
                  </w:r>
                </w:p>
              </w:tc>
              <w:tc>
                <w:tcPr>
                  <w:tcW w:w="630" w:type="pct"/>
                  <w:vMerge w:val="restart"/>
                  <w:vAlign w:val="center"/>
                </w:tcPr>
                <w:p w14:paraId="3CD7C751">
                  <w:pPr>
                    <w:pStyle w:val="31"/>
                    <w:bidi w:val="0"/>
                    <w:jc w:val="center"/>
                    <w:rPr>
                      <w:rFonts w:hint="default"/>
                      <w:color w:val="auto"/>
                      <w:lang w:val="en-US" w:eastAsia="zh-CN"/>
                    </w:rPr>
                  </w:pPr>
                  <w:r>
                    <w:rPr>
                      <w:rFonts w:hint="default"/>
                      <w:color w:val="auto"/>
                      <w:lang w:val="en-US" w:eastAsia="zh-CN"/>
                    </w:rPr>
                    <w:t>焊管机组</w:t>
                  </w:r>
                </w:p>
              </w:tc>
              <w:tc>
                <w:tcPr>
                  <w:tcW w:w="760" w:type="pct"/>
                  <w:vAlign w:val="center"/>
                </w:tcPr>
                <w:p w14:paraId="6DCC7DBF">
                  <w:pPr>
                    <w:pStyle w:val="31"/>
                    <w:bidi w:val="0"/>
                    <w:rPr>
                      <w:rFonts w:hint="default"/>
                      <w:color w:val="auto"/>
                      <w:lang w:val="en-US" w:eastAsia="zh-CN"/>
                    </w:rPr>
                  </w:pPr>
                  <w:r>
                    <w:rPr>
                      <w:rFonts w:hint="eastAsia"/>
                      <w:color w:val="auto"/>
                      <w:lang w:val="en-US" w:eastAsia="zh-CN"/>
                    </w:rPr>
                    <w:t>400</w:t>
                  </w:r>
                </w:p>
              </w:tc>
              <w:tc>
                <w:tcPr>
                  <w:tcW w:w="996" w:type="pct"/>
                  <w:vAlign w:val="center"/>
                </w:tcPr>
                <w:p w14:paraId="7E6B343A">
                  <w:pPr>
                    <w:pStyle w:val="31"/>
                    <w:bidi w:val="0"/>
                    <w:rPr>
                      <w:rFonts w:hint="default"/>
                      <w:color w:val="auto"/>
                      <w:lang w:val="en-US" w:eastAsia="zh-CN"/>
                    </w:rPr>
                  </w:pPr>
                  <w:r>
                    <w:rPr>
                      <w:rFonts w:hint="eastAsia"/>
                      <w:color w:val="auto"/>
                      <w:lang w:val="en-US" w:eastAsia="zh-CN"/>
                    </w:rPr>
                    <w:t>114型焊管机</w:t>
                  </w:r>
                </w:p>
              </w:tc>
              <w:tc>
                <w:tcPr>
                  <w:tcW w:w="786" w:type="pct"/>
                  <w:vAlign w:val="center"/>
                </w:tcPr>
                <w:p w14:paraId="46A5C5E2">
                  <w:pPr>
                    <w:pStyle w:val="31"/>
                    <w:bidi w:val="0"/>
                    <w:rPr>
                      <w:rFonts w:hint="eastAsia"/>
                      <w:color w:val="auto"/>
                      <w:lang w:eastAsia="zh-CN"/>
                    </w:rPr>
                  </w:pPr>
                  <w:r>
                    <w:rPr>
                      <w:rFonts w:hint="eastAsia"/>
                      <w:color w:val="auto"/>
                      <w:lang w:val="en-US" w:eastAsia="zh-CN"/>
                    </w:rPr>
                    <w:t>1</w:t>
                  </w:r>
                  <w:r>
                    <w:rPr>
                      <w:rFonts w:hint="eastAsia"/>
                      <w:color w:val="auto"/>
                      <w:lang w:eastAsia="zh-CN"/>
                    </w:rPr>
                    <w:t>台</w:t>
                  </w:r>
                </w:p>
              </w:tc>
              <w:tc>
                <w:tcPr>
                  <w:tcW w:w="1429" w:type="pct"/>
                  <w:vAlign w:val="center"/>
                </w:tcPr>
                <w:p w14:paraId="18BB7345">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已建成</w:t>
                  </w:r>
                </w:p>
              </w:tc>
            </w:tr>
            <w:tr w14:paraId="418F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71F36BBC">
                  <w:pPr>
                    <w:pStyle w:val="31"/>
                    <w:bidi w:val="0"/>
                    <w:rPr>
                      <w:rFonts w:hint="eastAsia"/>
                      <w:color w:val="auto"/>
                      <w:lang w:val="en-US" w:eastAsia="zh-CN"/>
                    </w:rPr>
                  </w:pPr>
                  <w:r>
                    <w:rPr>
                      <w:rFonts w:hint="eastAsia"/>
                      <w:color w:val="auto"/>
                      <w:lang w:val="en-US" w:eastAsia="zh-CN"/>
                    </w:rPr>
                    <w:t>2</w:t>
                  </w:r>
                </w:p>
              </w:tc>
              <w:tc>
                <w:tcPr>
                  <w:tcW w:w="630" w:type="pct"/>
                  <w:vMerge w:val="continue"/>
                  <w:vAlign w:val="center"/>
                </w:tcPr>
                <w:p w14:paraId="7FD70096">
                  <w:pPr>
                    <w:pStyle w:val="31"/>
                    <w:bidi w:val="0"/>
                    <w:rPr>
                      <w:rFonts w:hint="eastAsia"/>
                      <w:color w:val="auto"/>
                      <w:lang w:eastAsia="zh-CN"/>
                    </w:rPr>
                  </w:pPr>
                </w:p>
              </w:tc>
              <w:tc>
                <w:tcPr>
                  <w:tcW w:w="760" w:type="pct"/>
                  <w:vAlign w:val="center"/>
                </w:tcPr>
                <w:p w14:paraId="3E263B35">
                  <w:pPr>
                    <w:pStyle w:val="31"/>
                    <w:bidi w:val="0"/>
                    <w:rPr>
                      <w:rFonts w:hint="default"/>
                      <w:color w:val="auto"/>
                      <w:lang w:val="en-US" w:eastAsia="zh-CN"/>
                    </w:rPr>
                  </w:pPr>
                  <w:r>
                    <w:rPr>
                      <w:rFonts w:hint="eastAsia"/>
                      <w:color w:val="auto"/>
                      <w:lang w:val="en-US" w:eastAsia="zh-CN"/>
                    </w:rPr>
                    <w:t>300</w:t>
                  </w:r>
                </w:p>
              </w:tc>
              <w:tc>
                <w:tcPr>
                  <w:tcW w:w="996" w:type="pct"/>
                  <w:vAlign w:val="center"/>
                </w:tcPr>
                <w:p w14:paraId="578C4434">
                  <w:pPr>
                    <w:pStyle w:val="31"/>
                    <w:bidi w:val="0"/>
                    <w:rPr>
                      <w:rFonts w:hint="default"/>
                      <w:color w:val="auto"/>
                      <w:lang w:val="en-US" w:eastAsia="zh-CN"/>
                    </w:rPr>
                  </w:pPr>
                  <w:r>
                    <w:rPr>
                      <w:rFonts w:hint="eastAsia"/>
                      <w:color w:val="auto"/>
                      <w:lang w:val="en-US" w:eastAsia="zh-CN"/>
                    </w:rPr>
                    <w:t>89型焊管机</w:t>
                  </w:r>
                </w:p>
              </w:tc>
              <w:tc>
                <w:tcPr>
                  <w:tcW w:w="786" w:type="pct"/>
                  <w:vAlign w:val="center"/>
                </w:tcPr>
                <w:p w14:paraId="74EA7B10">
                  <w:pPr>
                    <w:pStyle w:val="31"/>
                    <w:bidi w:val="0"/>
                    <w:rPr>
                      <w:rFonts w:hint="default"/>
                      <w:color w:val="auto"/>
                    </w:rPr>
                  </w:pPr>
                  <w:r>
                    <w:rPr>
                      <w:rFonts w:hint="eastAsia"/>
                      <w:color w:val="auto"/>
                      <w:lang w:val="en-US" w:eastAsia="zh-CN"/>
                    </w:rPr>
                    <w:t>1</w:t>
                  </w:r>
                  <w:r>
                    <w:rPr>
                      <w:rFonts w:hint="eastAsia"/>
                      <w:color w:val="auto"/>
                      <w:lang w:eastAsia="zh-CN"/>
                    </w:rPr>
                    <w:t>台</w:t>
                  </w:r>
                </w:p>
              </w:tc>
              <w:tc>
                <w:tcPr>
                  <w:tcW w:w="1429" w:type="pct"/>
                  <w:vAlign w:val="center"/>
                </w:tcPr>
                <w:p w14:paraId="226DAD3C">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color w:val="auto"/>
                      <w:lang w:val="en-US" w:eastAsia="zh-CN"/>
                    </w:rPr>
                  </w:pPr>
                  <w:r>
                    <w:rPr>
                      <w:rFonts w:hint="eastAsia"/>
                      <w:color w:val="auto"/>
                      <w:lang w:val="en-US" w:eastAsia="zh-CN"/>
                    </w:rPr>
                    <w:t>已建成</w:t>
                  </w:r>
                </w:p>
              </w:tc>
            </w:tr>
            <w:tr w14:paraId="5F86D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16C4C878">
                  <w:pPr>
                    <w:pStyle w:val="31"/>
                    <w:bidi w:val="0"/>
                    <w:rPr>
                      <w:rFonts w:hint="eastAsia"/>
                      <w:color w:val="auto"/>
                      <w:lang w:val="en-US" w:eastAsia="zh-CN"/>
                    </w:rPr>
                  </w:pPr>
                  <w:r>
                    <w:rPr>
                      <w:rFonts w:hint="eastAsia"/>
                      <w:color w:val="auto"/>
                      <w:lang w:val="en-US" w:eastAsia="zh-CN"/>
                    </w:rPr>
                    <w:t>3</w:t>
                  </w:r>
                </w:p>
              </w:tc>
              <w:tc>
                <w:tcPr>
                  <w:tcW w:w="630" w:type="pct"/>
                  <w:vMerge w:val="continue"/>
                  <w:vAlign w:val="center"/>
                </w:tcPr>
                <w:p w14:paraId="65B964AD">
                  <w:pPr>
                    <w:pStyle w:val="31"/>
                    <w:bidi w:val="0"/>
                    <w:rPr>
                      <w:rFonts w:hint="eastAsia"/>
                      <w:color w:val="auto"/>
                      <w:lang w:eastAsia="zh-CN"/>
                    </w:rPr>
                  </w:pPr>
                </w:p>
              </w:tc>
              <w:tc>
                <w:tcPr>
                  <w:tcW w:w="760" w:type="pct"/>
                  <w:vAlign w:val="center"/>
                </w:tcPr>
                <w:p w14:paraId="22D6F9F2">
                  <w:pPr>
                    <w:pStyle w:val="31"/>
                    <w:bidi w:val="0"/>
                    <w:rPr>
                      <w:rFonts w:hint="default"/>
                      <w:color w:val="auto"/>
                      <w:lang w:val="en-US" w:eastAsia="zh-CN"/>
                    </w:rPr>
                  </w:pPr>
                  <w:r>
                    <w:rPr>
                      <w:rFonts w:hint="eastAsia"/>
                      <w:color w:val="auto"/>
                      <w:lang w:val="en-US" w:eastAsia="zh-CN"/>
                    </w:rPr>
                    <w:t>/</w:t>
                  </w:r>
                </w:p>
              </w:tc>
              <w:tc>
                <w:tcPr>
                  <w:tcW w:w="996" w:type="pct"/>
                  <w:vAlign w:val="center"/>
                </w:tcPr>
                <w:p w14:paraId="295DDFB2">
                  <w:pPr>
                    <w:pStyle w:val="31"/>
                    <w:bidi w:val="0"/>
                    <w:rPr>
                      <w:rFonts w:hint="default"/>
                      <w:color w:val="auto"/>
                      <w:lang w:val="en-US" w:eastAsia="zh-CN"/>
                    </w:rPr>
                  </w:pPr>
                  <w:r>
                    <w:rPr>
                      <w:rFonts w:hint="eastAsia"/>
                      <w:color w:val="auto"/>
                      <w:lang w:val="en-US" w:eastAsia="zh-CN"/>
                    </w:rPr>
                    <w:t>76型焊管机</w:t>
                  </w:r>
                </w:p>
              </w:tc>
              <w:tc>
                <w:tcPr>
                  <w:tcW w:w="786" w:type="pct"/>
                  <w:vAlign w:val="center"/>
                </w:tcPr>
                <w:p w14:paraId="72C3F836">
                  <w:pPr>
                    <w:pStyle w:val="31"/>
                    <w:bidi w:val="0"/>
                    <w:rPr>
                      <w:rFonts w:hint="default"/>
                      <w:color w:val="auto"/>
                    </w:rPr>
                  </w:pPr>
                  <w:r>
                    <w:rPr>
                      <w:rFonts w:hint="eastAsia"/>
                      <w:color w:val="auto"/>
                      <w:lang w:val="en-US" w:eastAsia="zh-CN"/>
                    </w:rPr>
                    <w:t>1</w:t>
                  </w:r>
                  <w:r>
                    <w:rPr>
                      <w:rFonts w:hint="eastAsia"/>
                      <w:color w:val="auto"/>
                      <w:lang w:eastAsia="zh-CN"/>
                    </w:rPr>
                    <w:t>台</w:t>
                  </w:r>
                </w:p>
              </w:tc>
              <w:tc>
                <w:tcPr>
                  <w:tcW w:w="1429" w:type="pct"/>
                  <w:vAlign w:val="center"/>
                </w:tcPr>
                <w:p w14:paraId="2FB191C4">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color w:val="auto"/>
                      <w:lang w:val="en-US" w:eastAsia="zh-CN"/>
                    </w:rPr>
                  </w:pPr>
                  <w:r>
                    <w:rPr>
                      <w:rFonts w:hint="eastAsia"/>
                      <w:color w:val="auto"/>
                      <w:lang w:val="en-US" w:eastAsia="zh-CN"/>
                    </w:rPr>
                    <w:t>已建成</w:t>
                  </w:r>
                </w:p>
              </w:tc>
            </w:tr>
            <w:tr w14:paraId="2D02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69DE6C08">
                  <w:pPr>
                    <w:pStyle w:val="31"/>
                    <w:bidi w:val="0"/>
                    <w:rPr>
                      <w:rFonts w:hint="eastAsia"/>
                      <w:color w:val="auto"/>
                      <w:lang w:val="en-US" w:eastAsia="zh-CN"/>
                    </w:rPr>
                  </w:pPr>
                  <w:r>
                    <w:rPr>
                      <w:rFonts w:hint="eastAsia"/>
                      <w:color w:val="auto"/>
                      <w:lang w:val="en-US" w:eastAsia="zh-CN"/>
                    </w:rPr>
                    <w:t>4</w:t>
                  </w:r>
                </w:p>
              </w:tc>
              <w:tc>
                <w:tcPr>
                  <w:tcW w:w="630" w:type="pct"/>
                  <w:vMerge w:val="continue"/>
                  <w:vAlign w:val="center"/>
                </w:tcPr>
                <w:p w14:paraId="74CF2914">
                  <w:pPr>
                    <w:pStyle w:val="31"/>
                    <w:bidi w:val="0"/>
                    <w:rPr>
                      <w:rFonts w:hint="eastAsia"/>
                      <w:color w:val="auto"/>
                      <w:lang w:eastAsia="zh-CN"/>
                    </w:rPr>
                  </w:pPr>
                </w:p>
              </w:tc>
              <w:tc>
                <w:tcPr>
                  <w:tcW w:w="760" w:type="pct"/>
                  <w:vAlign w:val="center"/>
                </w:tcPr>
                <w:p w14:paraId="15FDA0E5">
                  <w:pPr>
                    <w:pStyle w:val="31"/>
                    <w:bidi w:val="0"/>
                    <w:rPr>
                      <w:rFonts w:hint="default"/>
                      <w:color w:val="auto"/>
                      <w:lang w:val="en-US" w:eastAsia="zh-CN"/>
                    </w:rPr>
                  </w:pPr>
                  <w:r>
                    <w:rPr>
                      <w:rFonts w:hint="eastAsia"/>
                      <w:color w:val="auto"/>
                      <w:lang w:val="en-US" w:eastAsia="zh-CN"/>
                    </w:rPr>
                    <w:t>200</w:t>
                  </w:r>
                </w:p>
              </w:tc>
              <w:tc>
                <w:tcPr>
                  <w:tcW w:w="996" w:type="pct"/>
                  <w:vAlign w:val="center"/>
                </w:tcPr>
                <w:p w14:paraId="0EBC38C3">
                  <w:pPr>
                    <w:pStyle w:val="31"/>
                    <w:bidi w:val="0"/>
                    <w:rPr>
                      <w:rFonts w:hint="default"/>
                      <w:color w:val="auto"/>
                      <w:lang w:val="en-US" w:eastAsia="zh-CN"/>
                    </w:rPr>
                  </w:pPr>
                  <w:r>
                    <w:rPr>
                      <w:rFonts w:hint="eastAsia"/>
                      <w:color w:val="auto"/>
                      <w:lang w:val="en-US" w:eastAsia="zh-CN"/>
                    </w:rPr>
                    <w:t>50型焊管机</w:t>
                  </w:r>
                </w:p>
              </w:tc>
              <w:tc>
                <w:tcPr>
                  <w:tcW w:w="786" w:type="pct"/>
                  <w:vAlign w:val="center"/>
                </w:tcPr>
                <w:p w14:paraId="3B60C535">
                  <w:pPr>
                    <w:pStyle w:val="31"/>
                    <w:bidi w:val="0"/>
                    <w:rPr>
                      <w:rFonts w:hint="default"/>
                      <w:color w:val="auto"/>
                    </w:rPr>
                  </w:pPr>
                  <w:r>
                    <w:rPr>
                      <w:rFonts w:hint="eastAsia"/>
                      <w:color w:val="auto"/>
                      <w:lang w:val="en-US" w:eastAsia="zh-CN"/>
                    </w:rPr>
                    <w:t>3</w:t>
                  </w:r>
                  <w:r>
                    <w:rPr>
                      <w:rFonts w:hint="eastAsia"/>
                      <w:color w:val="auto"/>
                      <w:lang w:eastAsia="zh-CN"/>
                    </w:rPr>
                    <w:t>台</w:t>
                  </w:r>
                </w:p>
              </w:tc>
              <w:tc>
                <w:tcPr>
                  <w:tcW w:w="1429" w:type="pct"/>
                  <w:vAlign w:val="center"/>
                </w:tcPr>
                <w:p w14:paraId="6016EC06">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已建成</w:t>
                  </w:r>
                </w:p>
              </w:tc>
            </w:tr>
            <w:tr w14:paraId="79A52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1E8B5312">
                  <w:pPr>
                    <w:pStyle w:val="31"/>
                    <w:bidi w:val="0"/>
                    <w:rPr>
                      <w:rFonts w:hint="eastAsia"/>
                      <w:color w:val="auto"/>
                      <w:lang w:val="en-US" w:eastAsia="zh-CN"/>
                    </w:rPr>
                  </w:pPr>
                  <w:r>
                    <w:rPr>
                      <w:rFonts w:hint="eastAsia"/>
                      <w:color w:val="auto"/>
                      <w:lang w:val="en-US" w:eastAsia="zh-CN"/>
                    </w:rPr>
                    <w:t>5</w:t>
                  </w:r>
                </w:p>
              </w:tc>
              <w:tc>
                <w:tcPr>
                  <w:tcW w:w="630" w:type="pct"/>
                  <w:vMerge w:val="continue"/>
                  <w:vAlign w:val="center"/>
                </w:tcPr>
                <w:p w14:paraId="006AE962">
                  <w:pPr>
                    <w:pStyle w:val="31"/>
                    <w:bidi w:val="0"/>
                    <w:rPr>
                      <w:rFonts w:hint="eastAsia"/>
                      <w:color w:val="auto"/>
                      <w:lang w:eastAsia="zh-CN"/>
                    </w:rPr>
                  </w:pPr>
                </w:p>
              </w:tc>
              <w:tc>
                <w:tcPr>
                  <w:tcW w:w="760" w:type="pct"/>
                  <w:vAlign w:val="center"/>
                </w:tcPr>
                <w:p w14:paraId="103F6DCE">
                  <w:pPr>
                    <w:pStyle w:val="31"/>
                    <w:bidi w:val="0"/>
                    <w:rPr>
                      <w:rFonts w:hint="default"/>
                      <w:color w:val="auto"/>
                      <w:lang w:val="en-US" w:eastAsia="zh-CN"/>
                    </w:rPr>
                  </w:pPr>
                  <w:r>
                    <w:rPr>
                      <w:rFonts w:hint="eastAsia"/>
                      <w:color w:val="auto"/>
                      <w:lang w:val="en-US" w:eastAsia="zh-CN"/>
                    </w:rPr>
                    <w:t>100</w:t>
                  </w:r>
                </w:p>
              </w:tc>
              <w:tc>
                <w:tcPr>
                  <w:tcW w:w="996" w:type="pct"/>
                  <w:vAlign w:val="center"/>
                </w:tcPr>
                <w:p w14:paraId="52D31217">
                  <w:pPr>
                    <w:pStyle w:val="31"/>
                    <w:bidi w:val="0"/>
                    <w:rPr>
                      <w:rFonts w:hint="default"/>
                      <w:color w:val="auto"/>
                      <w:lang w:val="en-US" w:eastAsia="zh-CN"/>
                    </w:rPr>
                  </w:pPr>
                  <w:r>
                    <w:rPr>
                      <w:rFonts w:hint="eastAsia"/>
                      <w:color w:val="auto"/>
                      <w:lang w:val="en-US" w:eastAsia="zh-CN"/>
                    </w:rPr>
                    <w:t>32型焊管机</w:t>
                  </w:r>
                </w:p>
              </w:tc>
              <w:tc>
                <w:tcPr>
                  <w:tcW w:w="786" w:type="pct"/>
                  <w:vAlign w:val="center"/>
                </w:tcPr>
                <w:p w14:paraId="79639051">
                  <w:pPr>
                    <w:pStyle w:val="31"/>
                    <w:bidi w:val="0"/>
                    <w:rPr>
                      <w:rFonts w:hint="default"/>
                      <w:color w:val="auto"/>
                    </w:rPr>
                  </w:pPr>
                  <w:r>
                    <w:rPr>
                      <w:rFonts w:hint="eastAsia"/>
                      <w:color w:val="auto"/>
                      <w:lang w:val="en-US" w:eastAsia="zh-CN"/>
                    </w:rPr>
                    <w:t>2</w:t>
                  </w:r>
                  <w:r>
                    <w:rPr>
                      <w:rFonts w:hint="eastAsia"/>
                      <w:color w:val="auto"/>
                      <w:lang w:eastAsia="zh-CN"/>
                    </w:rPr>
                    <w:t>台</w:t>
                  </w:r>
                </w:p>
              </w:tc>
              <w:tc>
                <w:tcPr>
                  <w:tcW w:w="1429" w:type="pct"/>
                  <w:vAlign w:val="center"/>
                </w:tcPr>
                <w:p w14:paraId="4B71D918">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已建成</w:t>
                  </w:r>
                </w:p>
              </w:tc>
            </w:tr>
            <w:tr w14:paraId="383C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6AD1DB3B">
                  <w:pPr>
                    <w:pStyle w:val="31"/>
                    <w:bidi w:val="0"/>
                    <w:ind w:firstLine="0" w:firstLineChars="0"/>
                    <w:rPr>
                      <w:rFonts w:hint="eastAsia"/>
                      <w:color w:val="auto"/>
                      <w:lang w:val="en-US" w:eastAsia="zh-CN"/>
                    </w:rPr>
                  </w:pPr>
                  <w:r>
                    <w:rPr>
                      <w:rFonts w:hint="eastAsia"/>
                      <w:color w:val="auto"/>
                      <w:lang w:val="en-US" w:eastAsia="zh-CN"/>
                    </w:rPr>
                    <w:t>6</w:t>
                  </w:r>
                </w:p>
              </w:tc>
              <w:tc>
                <w:tcPr>
                  <w:tcW w:w="630" w:type="pct"/>
                  <w:vMerge w:val="restart"/>
                  <w:vAlign w:val="center"/>
                </w:tcPr>
                <w:p w14:paraId="6C17E8B9">
                  <w:pPr>
                    <w:pStyle w:val="31"/>
                    <w:bidi w:val="0"/>
                    <w:rPr>
                      <w:rFonts w:hint="eastAsia"/>
                      <w:color w:val="auto"/>
                      <w:lang w:eastAsia="zh-CN"/>
                    </w:rPr>
                  </w:pPr>
                  <w:r>
                    <w:rPr>
                      <w:rFonts w:hint="eastAsia"/>
                      <w:color w:val="auto"/>
                      <w:lang w:eastAsia="zh-CN"/>
                    </w:rPr>
                    <w:t>高频</w:t>
                  </w:r>
                </w:p>
              </w:tc>
              <w:tc>
                <w:tcPr>
                  <w:tcW w:w="760" w:type="pct"/>
                  <w:vAlign w:val="center"/>
                </w:tcPr>
                <w:p w14:paraId="3E4428FE">
                  <w:pPr>
                    <w:pStyle w:val="31"/>
                    <w:bidi w:val="0"/>
                    <w:rPr>
                      <w:rFonts w:hint="default"/>
                      <w:color w:val="auto"/>
                      <w:lang w:val="en-US" w:eastAsia="zh-CN"/>
                    </w:rPr>
                  </w:pPr>
                  <w:r>
                    <w:rPr>
                      <w:rFonts w:hint="eastAsia"/>
                      <w:color w:val="auto"/>
                      <w:lang w:val="en-US" w:eastAsia="zh-CN"/>
                    </w:rPr>
                    <w:t>/</w:t>
                  </w:r>
                </w:p>
              </w:tc>
              <w:tc>
                <w:tcPr>
                  <w:tcW w:w="996" w:type="pct"/>
                  <w:vAlign w:val="center"/>
                </w:tcPr>
                <w:p w14:paraId="5B760C9B">
                  <w:pPr>
                    <w:pStyle w:val="31"/>
                    <w:bidi w:val="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400</w:t>
                  </w:r>
                </w:p>
              </w:tc>
              <w:tc>
                <w:tcPr>
                  <w:tcW w:w="786" w:type="pct"/>
                  <w:vAlign w:val="center"/>
                </w:tcPr>
                <w:p w14:paraId="0DAB961B">
                  <w:pPr>
                    <w:pStyle w:val="31"/>
                    <w:bidi w:val="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1台</w:t>
                  </w:r>
                </w:p>
              </w:tc>
              <w:tc>
                <w:tcPr>
                  <w:tcW w:w="1429" w:type="pct"/>
                  <w:vAlign w:val="center"/>
                </w:tcPr>
                <w:p w14:paraId="5093CCA4">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color w:val="auto"/>
                      <w:lang w:val="en-US" w:eastAsia="zh-CN"/>
                    </w:rPr>
                  </w:pPr>
                  <w:r>
                    <w:rPr>
                      <w:rFonts w:hint="eastAsia"/>
                      <w:color w:val="auto"/>
                      <w:lang w:val="en-US" w:eastAsia="zh-CN"/>
                    </w:rPr>
                    <w:t>已建成</w:t>
                  </w:r>
                </w:p>
              </w:tc>
            </w:tr>
            <w:tr w14:paraId="54C19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59F9A1D1">
                  <w:pPr>
                    <w:pStyle w:val="31"/>
                    <w:bidi w:val="0"/>
                    <w:ind w:firstLine="0" w:firstLineChars="0"/>
                    <w:rPr>
                      <w:rFonts w:hint="eastAsia"/>
                      <w:color w:val="auto"/>
                      <w:lang w:val="en-US" w:eastAsia="zh-CN"/>
                    </w:rPr>
                  </w:pPr>
                  <w:r>
                    <w:rPr>
                      <w:rFonts w:hint="eastAsia"/>
                      <w:color w:val="auto"/>
                      <w:lang w:val="en-US" w:eastAsia="zh-CN"/>
                    </w:rPr>
                    <w:t>7</w:t>
                  </w:r>
                </w:p>
              </w:tc>
              <w:tc>
                <w:tcPr>
                  <w:tcW w:w="630" w:type="pct"/>
                  <w:vMerge w:val="continue"/>
                  <w:vAlign w:val="center"/>
                </w:tcPr>
                <w:p w14:paraId="0CDD5A60">
                  <w:pPr>
                    <w:pStyle w:val="31"/>
                    <w:bidi w:val="0"/>
                    <w:rPr>
                      <w:rFonts w:hint="eastAsia"/>
                      <w:color w:val="auto"/>
                      <w:lang w:eastAsia="zh-CN"/>
                    </w:rPr>
                  </w:pPr>
                </w:p>
              </w:tc>
              <w:tc>
                <w:tcPr>
                  <w:tcW w:w="760" w:type="pct"/>
                  <w:vAlign w:val="center"/>
                </w:tcPr>
                <w:p w14:paraId="1EF87379">
                  <w:pPr>
                    <w:pStyle w:val="31"/>
                    <w:bidi w:val="0"/>
                    <w:rPr>
                      <w:rFonts w:hint="default"/>
                      <w:color w:val="auto"/>
                      <w:lang w:val="en-US" w:eastAsia="zh-CN"/>
                    </w:rPr>
                  </w:pPr>
                  <w:r>
                    <w:rPr>
                      <w:rFonts w:hint="eastAsia"/>
                      <w:color w:val="auto"/>
                      <w:lang w:val="en-US" w:eastAsia="zh-CN"/>
                    </w:rPr>
                    <w:t>/</w:t>
                  </w:r>
                </w:p>
              </w:tc>
              <w:tc>
                <w:tcPr>
                  <w:tcW w:w="996" w:type="pct"/>
                  <w:vAlign w:val="center"/>
                </w:tcPr>
                <w:p w14:paraId="36767243">
                  <w:pPr>
                    <w:pStyle w:val="31"/>
                    <w:bidi w:val="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300</w:t>
                  </w:r>
                </w:p>
              </w:tc>
              <w:tc>
                <w:tcPr>
                  <w:tcW w:w="786" w:type="pct"/>
                  <w:vAlign w:val="center"/>
                </w:tcPr>
                <w:p w14:paraId="770CBF35">
                  <w:pPr>
                    <w:pStyle w:val="31"/>
                    <w:bidi w:val="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2台</w:t>
                  </w:r>
                </w:p>
              </w:tc>
              <w:tc>
                <w:tcPr>
                  <w:tcW w:w="1429" w:type="pct"/>
                  <w:vAlign w:val="center"/>
                </w:tcPr>
                <w:p w14:paraId="635249FF">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color w:val="auto"/>
                      <w:lang w:val="en-US" w:eastAsia="zh-CN"/>
                    </w:rPr>
                  </w:pPr>
                  <w:r>
                    <w:rPr>
                      <w:rFonts w:hint="eastAsia"/>
                      <w:color w:val="auto"/>
                      <w:lang w:val="en-US" w:eastAsia="zh-CN"/>
                    </w:rPr>
                    <w:t>已建成</w:t>
                  </w:r>
                </w:p>
              </w:tc>
            </w:tr>
            <w:tr w14:paraId="07AF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692884CA">
                  <w:pPr>
                    <w:pStyle w:val="31"/>
                    <w:bidi w:val="0"/>
                    <w:ind w:firstLine="0" w:firstLineChars="0"/>
                    <w:rPr>
                      <w:rFonts w:hint="eastAsia"/>
                      <w:color w:val="auto"/>
                      <w:lang w:val="en-US" w:eastAsia="zh-CN"/>
                    </w:rPr>
                  </w:pPr>
                  <w:r>
                    <w:rPr>
                      <w:rFonts w:hint="eastAsia"/>
                      <w:color w:val="auto"/>
                      <w:lang w:val="en-US" w:eastAsia="zh-CN"/>
                    </w:rPr>
                    <w:t>8</w:t>
                  </w:r>
                </w:p>
              </w:tc>
              <w:tc>
                <w:tcPr>
                  <w:tcW w:w="630" w:type="pct"/>
                  <w:vMerge w:val="continue"/>
                  <w:vAlign w:val="center"/>
                </w:tcPr>
                <w:p w14:paraId="3CB9D281">
                  <w:pPr>
                    <w:pStyle w:val="31"/>
                    <w:bidi w:val="0"/>
                    <w:rPr>
                      <w:rFonts w:hint="eastAsia"/>
                      <w:color w:val="auto"/>
                      <w:lang w:eastAsia="zh-CN"/>
                    </w:rPr>
                  </w:pPr>
                </w:p>
              </w:tc>
              <w:tc>
                <w:tcPr>
                  <w:tcW w:w="760" w:type="pct"/>
                  <w:vAlign w:val="center"/>
                </w:tcPr>
                <w:p w14:paraId="3622D555">
                  <w:pPr>
                    <w:pStyle w:val="31"/>
                    <w:bidi w:val="0"/>
                    <w:rPr>
                      <w:rFonts w:hint="default"/>
                      <w:color w:val="auto"/>
                      <w:lang w:val="en-US" w:eastAsia="zh-CN"/>
                    </w:rPr>
                  </w:pPr>
                  <w:r>
                    <w:rPr>
                      <w:rFonts w:hint="eastAsia"/>
                      <w:color w:val="auto"/>
                      <w:lang w:val="en-US" w:eastAsia="zh-CN"/>
                    </w:rPr>
                    <w:t>/</w:t>
                  </w:r>
                </w:p>
              </w:tc>
              <w:tc>
                <w:tcPr>
                  <w:tcW w:w="996" w:type="pct"/>
                  <w:vAlign w:val="center"/>
                </w:tcPr>
                <w:p w14:paraId="37466F30">
                  <w:pPr>
                    <w:pStyle w:val="31"/>
                    <w:bidi w:val="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200</w:t>
                  </w:r>
                </w:p>
              </w:tc>
              <w:tc>
                <w:tcPr>
                  <w:tcW w:w="786" w:type="pct"/>
                  <w:vAlign w:val="center"/>
                </w:tcPr>
                <w:p w14:paraId="7E285F7D">
                  <w:pPr>
                    <w:pStyle w:val="31"/>
                    <w:bidi w:val="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2台</w:t>
                  </w:r>
                </w:p>
              </w:tc>
              <w:tc>
                <w:tcPr>
                  <w:tcW w:w="1429" w:type="pct"/>
                  <w:vAlign w:val="center"/>
                </w:tcPr>
                <w:p w14:paraId="6EF7B52D">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color w:val="auto"/>
                      <w:lang w:val="en-US" w:eastAsia="zh-CN"/>
                    </w:rPr>
                  </w:pPr>
                  <w:r>
                    <w:rPr>
                      <w:rFonts w:hint="eastAsia"/>
                      <w:color w:val="auto"/>
                      <w:lang w:val="en-US" w:eastAsia="zh-CN"/>
                    </w:rPr>
                    <w:t>已建成</w:t>
                  </w:r>
                </w:p>
              </w:tc>
            </w:tr>
            <w:tr w14:paraId="13518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0C6C91F9">
                  <w:pPr>
                    <w:pStyle w:val="31"/>
                    <w:bidi w:val="0"/>
                    <w:ind w:firstLine="0" w:firstLineChars="0"/>
                    <w:rPr>
                      <w:rFonts w:hint="eastAsia"/>
                      <w:color w:val="auto"/>
                      <w:lang w:val="en-US" w:eastAsia="zh-CN"/>
                    </w:rPr>
                  </w:pPr>
                  <w:r>
                    <w:rPr>
                      <w:rFonts w:hint="eastAsia"/>
                      <w:color w:val="auto"/>
                      <w:lang w:val="en-US" w:eastAsia="zh-CN"/>
                    </w:rPr>
                    <w:t>9</w:t>
                  </w:r>
                </w:p>
              </w:tc>
              <w:tc>
                <w:tcPr>
                  <w:tcW w:w="630" w:type="pct"/>
                  <w:vMerge w:val="continue"/>
                  <w:vAlign w:val="center"/>
                </w:tcPr>
                <w:p w14:paraId="5766E4A5">
                  <w:pPr>
                    <w:pStyle w:val="31"/>
                    <w:bidi w:val="0"/>
                    <w:rPr>
                      <w:rFonts w:hint="eastAsia"/>
                      <w:color w:val="auto"/>
                      <w:lang w:eastAsia="zh-CN"/>
                    </w:rPr>
                  </w:pPr>
                </w:p>
              </w:tc>
              <w:tc>
                <w:tcPr>
                  <w:tcW w:w="760" w:type="pct"/>
                  <w:vAlign w:val="center"/>
                </w:tcPr>
                <w:p w14:paraId="2CF31455">
                  <w:pPr>
                    <w:pStyle w:val="31"/>
                    <w:bidi w:val="0"/>
                    <w:rPr>
                      <w:rFonts w:hint="default"/>
                      <w:color w:val="auto"/>
                      <w:lang w:val="en-US" w:eastAsia="zh-CN"/>
                    </w:rPr>
                  </w:pPr>
                  <w:r>
                    <w:rPr>
                      <w:rFonts w:hint="eastAsia"/>
                      <w:color w:val="auto"/>
                      <w:lang w:val="en-US" w:eastAsia="zh-CN"/>
                    </w:rPr>
                    <w:t>/</w:t>
                  </w:r>
                </w:p>
              </w:tc>
              <w:tc>
                <w:tcPr>
                  <w:tcW w:w="996" w:type="pct"/>
                  <w:vAlign w:val="center"/>
                </w:tcPr>
                <w:p w14:paraId="535D4FAD">
                  <w:pPr>
                    <w:pStyle w:val="31"/>
                    <w:bidi w:val="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150</w:t>
                  </w:r>
                </w:p>
              </w:tc>
              <w:tc>
                <w:tcPr>
                  <w:tcW w:w="786" w:type="pct"/>
                  <w:vAlign w:val="center"/>
                </w:tcPr>
                <w:p w14:paraId="17870F08">
                  <w:pPr>
                    <w:pStyle w:val="31"/>
                    <w:bidi w:val="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3台</w:t>
                  </w:r>
                </w:p>
              </w:tc>
              <w:tc>
                <w:tcPr>
                  <w:tcW w:w="1429" w:type="pct"/>
                  <w:vAlign w:val="center"/>
                </w:tcPr>
                <w:p w14:paraId="49B4F052">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color w:val="auto"/>
                      <w:lang w:val="en-US" w:eastAsia="zh-CN"/>
                    </w:rPr>
                  </w:pPr>
                  <w:r>
                    <w:rPr>
                      <w:rFonts w:hint="eastAsia"/>
                      <w:color w:val="auto"/>
                      <w:lang w:val="en-US" w:eastAsia="zh-CN"/>
                    </w:rPr>
                    <w:t>已建成</w:t>
                  </w:r>
                </w:p>
              </w:tc>
            </w:tr>
            <w:tr w14:paraId="752B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70175767">
                  <w:pPr>
                    <w:pStyle w:val="31"/>
                    <w:bidi w:val="0"/>
                    <w:ind w:firstLine="0" w:firstLineChars="0"/>
                    <w:rPr>
                      <w:rFonts w:hint="eastAsia"/>
                      <w:color w:val="auto"/>
                      <w:lang w:val="en-US" w:eastAsia="zh-CN"/>
                    </w:rPr>
                  </w:pPr>
                  <w:r>
                    <w:rPr>
                      <w:rFonts w:hint="eastAsia"/>
                      <w:color w:val="auto"/>
                      <w:lang w:val="en-US" w:eastAsia="zh-CN"/>
                    </w:rPr>
                    <w:t>10</w:t>
                  </w:r>
                </w:p>
              </w:tc>
              <w:tc>
                <w:tcPr>
                  <w:tcW w:w="630" w:type="pct"/>
                  <w:vMerge w:val="restart"/>
                  <w:vAlign w:val="center"/>
                </w:tcPr>
                <w:p w14:paraId="165406FD">
                  <w:pPr>
                    <w:pStyle w:val="31"/>
                    <w:bidi w:val="0"/>
                    <w:rPr>
                      <w:rFonts w:hint="eastAsia"/>
                      <w:color w:val="auto"/>
                      <w:lang w:eastAsia="zh-CN"/>
                    </w:rPr>
                  </w:pPr>
                  <w:r>
                    <w:rPr>
                      <w:rFonts w:hint="eastAsia"/>
                      <w:color w:val="auto"/>
                      <w:lang w:eastAsia="zh-CN"/>
                    </w:rPr>
                    <w:t>空压机</w:t>
                  </w:r>
                </w:p>
              </w:tc>
              <w:tc>
                <w:tcPr>
                  <w:tcW w:w="760" w:type="pct"/>
                  <w:vAlign w:val="center"/>
                </w:tcPr>
                <w:p w14:paraId="3D54E53F">
                  <w:pPr>
                    <w:pStyle w:val="31"/>
                    <w:bidi w:val="0"/>
                    <w:rPr>
                      <w:rFonts w:hint="default"/>
                      <w:color w:val="auto"/>
                      <w:lang w:val="en-US" w:eastAsia="zh-CN"/>
                    </w:rPr>
                  </w:pPr>
                  <w:r>
                    <w:rPr>
                      <w:rFonts w:hint="eastAsia"/>
                      <w:color w:val="auto"/>
                      <w:lang w:val="en-US" w:eastAsia="zh-CN"/>
                    </w:rPr>
                    <w:t>15</w:t>
                  </w:r>
                </w:p>
              </w:tc>
              <w:tc>
                <w:tcPr>
                  <w:tcW w:w="996" w:type="pct"/>
                  <w:vAlign w:val="center"/>
                </w:tcPr>
                <w:p w14:paraId="1328F734">
                  <w:pPr>
                    <w:pStyle w:val="31"/>
                    <w:bidi w:val="0"/>
                    <w:rPr>
                      <w:rFonts w:hint="default"/>
                      <w:color w:val="auto"/>
                      <w:lang w:val="en-US" w:eastAsia="zh-CN"/>
                    </w:rPr>
                  </w:pPr>
                  <w:r>
                    <w:rPr>
                      <w:rFonts w:hint="eastAsia"/>
                      <w:color w:val="auto"/>
                      <w:lang w:val="en-US" w:eastAsia="zh-CN"/>
                    </w:rPr>
                    <w:t>20m</w:t>
                  </w:r>
                  <w:r>
                    <w:rPr>
                      <w:rFonts w:hint="eastAsia"/>
                      <w:color w:val="auto"/>
                      <w:vertAlign w:val="superscript"/>
                      <w:lang w:val="en-US" w:eastAsia="zh-CN"/>
                    </w:rPr>
                    <w:t>3</w:t>
                  </w:r>
                  <w:r>
                    <w:rPr>
                      <w:rFonts w:hint="eastAsia"/>
                      <w:color w:val="auto"/>
                      <w:lang w:val="en-US" w:eastAsia="zh-CN"/>
                    </w:rPr>
                    <w:t>/h</w:t>
                  </w:r>
                </w:p>
              </w:tc>
              <w:tc>
                <w:tcPr>
                  <w:tcW w:w="786" w:type="pct"/>
                  <w:vAlign w:val="center"/>
                </w:tcPr>
                <w:p w14:paraId="5B560F8C">
                  <w:pPr>
                    <w:pStyle w:val="31"/>
                    <w:bidi w:val="0"/>
                    <w:rPr>
                      <w:rFonts w:hint="default"/>
                      <w:color w:val="auto"/>
                    </w:rPr>
                  </w:pPr>
                  <w:r>
                    <w:rPr>
                      <w:rFonts w:hint="eastAsia"/>
                      <w:color w:val="auto"/>
                      <w:lang w:val="en-US" w:eastAsia="zh-CN"/>
                    </w:rPr>
                    <w:t>1</w:t>
                  </w:r>
                  <w:r>
                    <w:rPr>
                      <w:rFonts w:hint="eastAsia"/>
                      <w:color w:val="auto"/>
                      <w:lang w:eastAsia="zh-CN"/>
                    </w:rPr>
                    <w:t>台</w:t>
                  </w:r>
                </w:p>
              </w:tc>
              <w:tc>
                <w:tcPr>
                  <w:tcW w:w="1429" w:type="pct"/>
                  <w:vAlign w:val="center"/>
                </w:tcPr>
                <w:p w14:paraId="2506819C">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color w:val="auto"/>
                      <w:lang w:val="en-US" w:eastAsia="zh-CN"/>
                    </w:rPr>
                  </w:pPr>
                  <w:r>
                    <w:rPr>
                      <w:rFonts w:hint="eastAsia"/>
                      <w:color w:val="auto"/>
                      <w:lang w:val="en-US" w:eastAsia="zh-CN"/>
                    </w:rPr>
                    <w:t>已建成</w:t>
                  </w:r>
                </w:p>
              </w:tc>
            </w:tr>
            <w:tr w14:paraId="073FD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36D6BD7F">
                  <w:pPr>
                    <w:pStyle w:val="31"/>
                    <w:bidi w:val="0"/>
                    <w:ind w:firstLine="0" w:firstLineChars="0"/>
                    <w:rPr>
                      <w:rFonts w:hint="eastAsia"/>
                      <w:color w:val="auto"/>
                      <w:lang w:val="en-US" w:eastAsia="zh-CN"/>
                    </w:rPr>
                  </w:pPr>
                  <w:r>
                    <w:rPr>
                      <w:rFonts w:hint="eastAsia"/>
                      <w:color w:val="auto"/>
                      <w:lang w:val="en-US" w:eastAsia="zh-CN"/>
                    </w:rPr>
                    <w:t>11</w:t>
                  </w:r>
                </w:p>
              </w:tc>
              <w:tc>
                <w:tcPr>
                  <w:tcW w:w="630" w:type="pct"/>
                  <w:vMerge w:val="continue"/>
                  <w:vAlign w:val="center"/>
                </w:tcPr>
                <w:p w14:paraId="35747DE4">
                  <w:pPr>
                    <w:pStyle w:val="31"/>
                    <w:bidi w:val="0"/>
                    <w:rPr>
                      <w:rFonts w:hint="eastAsia"/>
                      <w:color w:val="auto"/>
                      <w:lang w:eastAsia="zh-CN"/>
                    </w:rPr>
                  </w:pPr>
                </w:p>
              </w:tc>
              <w:tc>
                <w:tcPr>
                  <w:tcW w:w="760" w:type="pct"/>
                  <w:vAlign w:val="center"/>
                </w:tcPr>
                <w:p w14:paraId="0D6B660B">
                  <w:pPr>
                    <w:pStyle w:val="31"/>
                    <w:bidi w:val="0"/>
                    <w:rPr>
                      <w:rFonts w:hint="default"/>
                      <w:color w:val="auto"/>
                      <w:lang w:val="en-US" w:eastAsia="zh-CN"/>
                    </w:rPr>
                  </w:pPr>
                  <w:r>
                    <w:rPr>
                      <w:rFonts w:hint="eastAsia"/>
                      <w:color w:val="auto"/>
                      <w:lang w:val="en-US" w:eastAsia="zh-CN"/>
                    </w:rPr>
                    <w:t>10</w:t>
                  </w:r>
                </w:p>
              </w:tc>
              <w:tc>
                <w:tcPr>
                  <w:tcW w:w="996" w:type="pct"/>
                  <w:vAlign w:val="center"/>
                </w:tcPr>
                <w:p w14:paraId="7C1158A6">
                  <w:pPr>
                    <w:pStyle w:val="31"/>
                    <w:bidi w:val="0"/>
                    <w:rPr>
                      <w:rFonts w:hint="default"/>
                      <w:color w:val="auto"/>
                      <w:lang w:val="en-US" w:eastAsia="zh-CN"/>
                    </w:rPr>
                  </w:pPr>
                  <w:r>
                    <w:rPr>
                      <w:rFonts w:hint="eastAsia"/>
                      <w:color w:val="auto"/>
                      <w:lang w:val="en-US" w:eastAsia="zh-CN"/>
                    </w:rPr>
                    <w:t>10m</w:t>
                  </w:r>
                  <w:r>
                    <w:rPr>
                      <w:rFonts w:hint="eastAsia"/>
                      <w:color w:val="auto"/>
                      <w:vertAlign w:val="superscript"/>
                      <w:lang w:val="en-US" w:eastAsia="zh-CN"/>
                    </w:rPr>
                    <w:t>3</w:t>
                  </w:r>
                  <w:r>
                    <w:rPr>
                      <w:rFonts w:hint="eastAsia"/>
                      <w:color w:val="auto"/>
                      <w:lang w:val="en-US" w:eastAsia="zh-CN"/>
                    </w:rPr>
                    <w:t>/h</w:t>
                  </w:r>
                </w:p>
              </w:tc>
              <w:tc>
                <w:tcPr>
                  <w:tcW w:w="786" w:type="pct"/>
                  <w:vAlign w:val="center"/>
                </w:tcPr>
                <w:p w14:paraId="15B31B18">
                  <w:pPr>
                    <w:pStyle w:val="31"/>
                    <w:bidi w:val="0"/>
                    <w:rPr>
                      <w:rFonts w:hint="default"/>
                      <w:color w:val="auto"/>
                    </w:rPr>
                  </w:pPr>
                  <w:r>
                    <w:rPr>
                      <w:rFonts w:hint="eastAsia"/>
                      <w:color w:val="auto"/>
                      <w:lang w:val="en-US" w:eastAsia="zh-CN"/>
                    </w:rPr>
                    <w:t>1</w:t>
                  </w:r>
                  <w:r>
                    <w:rPr>
                      <w:rFonts w:hint="eastAsia"/>
                      <w:color w:val="auto"/>
                      <w:lang w:eastAsia="zh-CN"/>
                    </w:rPr>
                    <w:t>台</w:t>
                  </w:r>
                </w:p>
              </w:tc>
              <w:tc>
                <w:tcPr>
                  <w:tcW w:w="1429" w:type="pct"/>
                  <w:vAlign w:val="center"/>
                </w:tcPr>
                <w:p w14:paraId="26A5E45F">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color w:val="auto"/>
                      <w:lang w:val="en-US" w:eastAsia="zh-CN"/>
                    </w:rPr>
                  </w:pPr>
                  <w:r>
                    <w:rPr>
                      <w:rFonts w:hint="eastAsia"/>
                      <w:color w:val="auto"/>
                      <w:lang w:val="en-US" w:eastAsia="zh-CN"/>
                    </w:rPr>
                    <w:t>已建成</w:t>
                  </w:r>
                </w:p>
              </w:tc>
            </w:tr>
            <w:tr w14:paraId="6470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77617202">
                  <w:pPr>
                    <w:pStyle w:val="31"/>
                    <w:bidi w:val="0"/>
                    <w:ind w:firstLine="0" w:firstLineChars="0"/>
                    <w:rPr>
                      <w:rFonts w:hint="eastAsia"/>
                      <w:color w:val="auto"/>
                      <w:lang w:val="en-US" w:eastAsia="zh-CN"/>
                    </w:rPr>
                  </w:pPr>
                  <w:r>
                    <w:rPr>
                      <w:rFonts w:hint="eastAsia"/>
                      <w:color w:val="auto"/>
                      <w:lang w:val="en-US" w:eastAsia="zh-CN"/>
                    </w:rPr>
                    <w:t>12</w:t>
                  </w:r>
                </w:p>
              </w:tc>
              <w:tc>
                <w:tcPr>
                  <w:tcW w:w="630" w:type="pct"/>
                  <w:vMerge w:val="continue"/>
                  <w:vAlign w:val="center"/>
                </w:tcPr>
                <w:p w14:paraId="35481222">
                  <w:pPr>
                    <w:pStyle w:val="31"/>
                    <w:bidi w:val="0"/>
                    <w:rPr>
                      <w:rFonts w:hint="eastAsia"/>
                      <w:color w:val="auto"/>
                      <w:lang w:eastAsia="zh-CN"/>
                    </w:rPr>
                  </w:pPr>
                </w:p>
              </w:tc>
              <w:tc>
                <w:tcPr>
                  <w:tcW w:w="760" w:type="pct"/>
                  <w:vAlign w:val="center"/>
                </w:tcPr>
                <w:p w14:paraId="27039149">
                  <w:pPr>
                    <w:pStyle w:val="31"/>
                    <w:bidi w:val="0"/>
                    <w:rPr>
                      <w:rFonts w:hint="default"/>
                      <w:color w:val="auto"/>
                      <w:lang w:val="en-US" w:eastAsia="zh-CN"/>
                    </w:rPr>
                  </w:pPr>
                  <w:r>
                    <w:rPr>
                      <w:rFonts w:hint="eastAsia"/>
                      <w:color w:val="auto"/>
                      <w:lang w:val="en-US" w:eastAsia="zh-CN"/>
                    </w:rPr>
                    <w:t>8</w:t>
                  </w:r>
                </w:p>
              </w:tc>
              <w:tc>
                <w:tcPr>
                  <w:tcW w:w="996" w:type="pct"/>
                  <w:vAlign w:val="center"/>
                </w:tcPr>
                <w:p w14:paraId="097EBF48">
                  <w:pPr>
                    <w:pStyle w:val="31"/>
                    <w:bidi w:val="0"/>
                    <w:rPr>
                      <w:rFonts w:hint="default"/>
                      <w:color w:val="auto"/>
                      <w:lang w:val="en-US" w:eastAsia="zh-CN"/>
                    </w:rPr>
                  </w:pPr>
                  <w:r>
                    <w:rPr>
                      <w:rFonts w:hint="eastAsia"/>
                      <w:color w:val="auto"/>
                      <w:lang w:val="en-US" w:eastAsia="zh-CN"/>
                    </w:rPr>
                    <w:t>2m</w:t>
                  </w:r>
                  <w:r>
                    <w:rPr>
                      <w:rFonts w:hint="eastAsia"/>
                      <w:color w:val="auto"/>
                      <w:vertAlign w:val="superscript"/>
                      <w:lang w:val="en-US" w:eastAsia="zh-CN"/>
                    </w:rPr>
                    <w:t>3</w:t>
                  </w:r>
                  <w:r>
                    <w:rPr>
                      <w:rFonts w:hint="eastAsia"/>
                      <w:color w:val="auto"/>
                      <w:lang w:val="en-US" w:eastAsia="zh-CN"/>
                    </w:rPr>
                    <w:t>/h</w:t>
                  </w:r>
                </w:p>
              </w:tc>
              <w:tc>
                <w:tcPr>
                  <w:tcW w:w="786" w:type="pct"/>
                  <w:vAlign w:val="center"/>
                </w:tcPr>
                <w:p w14:paraId="5796A2DE">
                  <w:pPr>
                    <w:pStyle w:val="31"/>
                    <w:bidi w:val="0"/>
                    <w:rPr>
                      <w:rFonts w:hint="default"/>
                      <w:color w:val="auto"/>
                      <w:lang w:val="en-US" w:eastAsia="zh-CN"/>
                    </w:rPr>
                  </w:pPr>
                  <w:r>
                    <w:rPr>
                      <w:rFonts w:hint="eastAsia"/>
                      <w:color w:val="auto"/>
                      <w:lang w:val="en-US" w:eastAsia="zh-CN"/>
                    </w:rPr>
                    <w:t>1台</w:t>
                  </w:r>
                </w:p>
              </w:tc>
              <w:tc>
                <w:tcPr>
                  <w:tcW w:w="1429" w:type="pct"/>
                  <w:vAlign w:val="center"/>
                </w:tcPr>
                <w:p w14:paraId="540184E0">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已建成</w:t>
                  </w:r>
                </w:p>
              </w:tc>
            </w:tr>
            <w:tr w14:paraId="36745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2705C96F">
                  <w:pPr>
                    <w:pStyle w:val="31"/>
                    <w:bidi w:val="0"/>
                    <w:ind w:firstLine="0" w:firstLineChars="0"/>
                    <w:rPr>
                      <w:rFonts w:hint="eastAsia"/>
                      <w:color w:val="auto"/>
                      <w:lang w:val="en-US" w:eastAsia="zh-CN"/>
                    </w:rPr>
                  </w:pPr>
                  <w:r>
                    <w:rPr>
                      <w:rFonts w:hint="eastAsia"/>
                      <w:color w:val="auto"/>
                      <w:lang w:val="en-US" w:eastAsia="zh-CN"/>
                    </w:rPr>
                    <w:t>13</w:t>
                  </w:r>
                </w:p>
              </w:tc>
              <w:tc>
                <w:tcPr>
                  <w:tcW w:w="630" w:type="pct"/>
                  <w:vMerge w:val="restart"/>
                  <w:vAlign w:val="center"/>
                </w:tcPr>
                <w:p w14:paraId="4CFDA9DB">
                  <w:pPr>
                    <w:pStyle w:val="31"/>
                    <w:bidi w:val="0"/>
                    <w:rPr>
                      <w:rFonts w:hint="eastAsia"/>
                      <w:color w:val="auto"/>
                      <w:lang w:eastAsia="zh-CN"/>
                    </w:rPr>
                  </w:pPr>
                  <w:r>
                    <w:rPr>
                      <w:rFonts w:hint="eastAsia"/>
                      <w:color w:val="auto"/>
                      <w:lang w:eastAsia="zh-CN"/>
                    </w:rPr>
                    <w:t>变压器</w:t>
                  </w:r>
                </w:p>
              </w:tc>
              <w:tc>
                <w:tcPr>
                  <w:tcW w:w="760" w:type="pct"/>
                  <w:vAlign w:val="center"/>
                </w:tcPr>
                <w:p w14:paraId="6F1A2A67">
                  <w:pPr>
                    <w:pStyle w:val="31"/>
                    <w:bidi w:val="0"/>
                    <w:rPr>
                      <w:rFonts w:hint="default"/>
                      <w:color w:val="auto"/>
                      <w:lang w:val="en-US" w:eastAsia="zh-CN"/>
                    </w:rPr>
                  </w:pPr>
                  <w:r>
                    <w:rPr>
                      <w:rFonts w:hint="eastAsia"/>
                      <w:color w:val="auto"/>
                      <w:lang w:val="en-US" w:eastAsia="zh-CN"/>
                    </w:rPr>
                    <w:t>/</w:t>
                  </w:r>
                </w:p>
              </w:tc>
              <w:tc>
                <w:tcPr>
                  <w:tcW w:w="996" w:type="pct"/>
                  <w:vAlign w:val="center"/>
                </w:tcPr>
                <w:p w14:paraId="2DD32779">
                  <w:pPr>
                    <w:pStyle w:val="31"/>
                    <w:bidi w:val="0"/>
                    <w:rPr>
                      <w:rFonts w:hint="default"/>
                      <w:color w:val="auto"/>
                      <w:lang w:val="en-US" w:eastAsia="zh-CN"/>
                    </w:rPr>
                  </w:pPr>
                  <w:r>
                    <w:rPr>
                      <w:rFonts w:hint="eastAsia"/>
                      <w:color w:val="auto"/>
                      <w:lang w:val="en-US" w:eastAsia="zh-CN"/>
                    </w:rPr>
                    <w:t>400KvA</w:t>
                  </w:r>
                </w:p>
              </w:tc>
              <w:tc>
                <w:tcPr>
                  <w:tcW w:w="786" w:type="pct"/>
                  <w:vAlign w:val="center"/>
                </w:tcPr>
                <w:p w14:paraId="45C4017C">
                  <w:pPr>
                    <w:pStyle w:val="31"/>
                    <w:bidi w:val="0"/>
                    <w:rPr>
                      <w:rFonts w:hint="eastAsia"/>
                      <w:color w:val="auto"/>
                      <w:lang w:eastAsia="zh-CN"/>
                    </w:rPr>
                  </w:pPr>
                  <w:r>
                    <w:rPr>
                      <w:rFonts w:hint="eastAsia"/>
                      <w:color w:val="auto"/>
                      <w:lang w:val="en-US" w:eastAsia="zh-CN"/>
                    </w:rPr>
                    <w:t>2</w:t>
                  </w:r>
                  <w:r>
                    <w:rPr>
                      <w:rFonts w:hint="eastAsia"/>
                      <w:color w:val="auto"/>
                      <w:lang w:eastAsia="zh-CN"/>
                    </w:rPr>
                    <w:t>台</w:t>
                  </w:r>
                </w:p>
              </w:tc>
              <w:tc>
                <w:tcPr>
                  <w:tcW w:w="1429" w:type="pct"/>
                  <w:vAlign w:val="center"/>
                </w:tcPr>
                <w:p w14:paraId="011EEA85">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已建成</w:t>
                  </w:r>
                </w:p>
              </w:tc>
            </w:tr>
            <w:tr w14:paraId="783E4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3C7252DB">
                  <w:pPr>
                    <w:pStyle w:val="31"/>
                    <w:bidi w:val="0"/>
                    <w:ind w:firstLine="0" w:firstLineChars="0"/>
                    <w:rPr>
                      <w:rFonts w:hint="default"/>
                      <w:color w:val="auto"/>
                      <w:lang w:val="en-US" w:eastAsia="zh-CN"/>
                    </w:rPr>
                  </w:pPr>
                  <w:r>
                    <w:rPr>
                      <w:rFonts w:hint="eastAsia"/>
                      <w:color w:val="auto"/>
                      <w:lang w:val="en-US" w:eastAsia="zh-CN"/>
                    </w:rPr>
                    <w:t>14</w:t>
                  </w:r>
                </w:p>
              </w:tc>
              <w:tc>
                <w:tcPr>
                  <w:tcW w:w="630" w:type="pct"/>
                  <w:vMerge w:val="continue"/>
                  <w:vAlign w:val="center"/>
                </w:tcPr>
                <w:p w14:paraId="5EA7B33F">
                  <w:pPr>
                    <w:pStyle w:val="31"/>
                    <w:bidi w:val="0"/>
                    <w:rPr>
                      <w:rFonts w:hint="eastAsia"/>
                      <w:color w:val="auto"/>
                      <w:lang w:eastAsia="zh-CN"/>
                    </w:rPr>
                  </w:pPr>
                </w:p>
              </w:tc>
              <w:tc>
                <w:tcPr>
                  <w:tcW w:w="760" w:type="pct"/>
                  <w:vAlign w:val="center"/>
                </w:tcPr>
                <w:p w14:paraId="024CC119">
                  <w:pPr>
                    <w:pStyle w:val="31"/>
                    <w:bidi w:val="0"/>
                    <w:rPr>
                      <w:rFonts w:hint="default"/>
                      <w:color w:val="auto"/>
                      <w:lang w:val="en-US" w:eastAsia="zh-CN"/>
                    </w:rPr>
                  </w:pPr>
                  <w:r>
                    <w:rPr>
                      <w:rFonts w:hint="eastAsia"/>
                      <w:color w:val="auto"/>
                      <w:lang w:val="en-US" w:eastAsia="zh-CN"/>
                    </w:rPr>
                    <w:t>/</w:t>
                  </w:r>
                </w:p>
              </w:tc>
              <w:tc>
                <w:tcPr>
                  <w:tcW w:w="996" w:type="pct"/>
                  <w:vAlign w:val="center"/>
                </w:tcPr>
                <w:p w14:paraId="4FA60741">
                  <w:pPr>
                    <w:pStyle w:val="31"/>
                    <w:bidi w:val="0"/>
                    <w:rPr>
                      <w:rFonts w:hint="default"/>
                      <w:color w:val="auto"/>
                      <w:lang w:val="en-US" w:eastAsia="zh-CN"/>
                    </w:rPr>
                  </w:pPr>
                  <w:r>
                    <w:rPr>
                      <w:rFonts w:hint="eastAsia"/>
                      <w:color w:val="auto"/>
                      <w:lang w:val="en-US" w:eastAsia="zh-CN"/>
                    </w:rPr>
                    <w:t>200KvA</w:t>
                  </w:r>
                </w:p>
              </w:tc>
              <w:tc>
                <w:tcPr>
                  <w:tcW w:w="786" w:type="pct"/>
                  <w:vAlign w:val="center"/>
                </w:tcPr>
                <w:p w14:paraId="6FC022D7">
                  <w:pPr>
                    <w:pStyle w:val="31"/>
                    <w:bidi w:val="0"/>
                    <w:rPr>
                      <w:rFonts w:hint="eastAsia"/>
                      <w:color w:val="auto"/>
                      <w:lang w:eastAsia="zh-CN"/>
                    </w:rPr>
                  </w:pPr>
                  <w:r>
                    <w:rPr>
                      <w:rFonts w:hint="eastAsia"/>
                      <w:color w:val="auto"/>
                      <w:lang w:val="en-US" w:eastAsia="zh-CN"/>
                    </w:rPr>
                    <w:t>4</w:t>
                  </w:r>
                  <w:r>
                    <w:rPr>
                      <w:rFonts w:hint="eastAsia"/>
                      <w:color w:val="auto"/>
                      <w:lang w:eastAsia="zh-CN"/>
                    </w:rPr>
                    <w:t>台</w:t>
                  </w:r>
                </w:p>
              </w:tc>
              <w:tc>
                <w:tcPr>
                  <w:tcW w:w="1429" w:type="pct"/>
                  <w:vAlign w:val="center"/>
                </w:tcPr>
                <w:p w14:paraId="3F46878D">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已建成</w:t>
                  </w:r>
                </w:p>
              </w:tc>
            </w:tr>
            <w:tr w14:paraId="4190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16A9C628">
                  <w:pPr>
                    <w:pStyle w:val="31"/>
                    <w:bidi w:val="0"/>
                    <w:ind w:firstLine="0" w:firstLineChars="0"/>
                    <w:rPr>
                      <w:rFonts w:hint="default"/>
                      <w:color w:val="auto"/>
                      <w:lang w:val="en-US" w:eastAsia="zh-CN"/>
                    </w:rPr>
                  </w:pPr>
                  <w:r>
                    <w:rPr>
                      <w:rFonts w:hint="eastAsia"/>
                      <w:color w:val="auto"/>
                      <w:lang w:val="en-US" w:eastAsia="zh-CN"/>
                    </w:rPr>
                    <w:t>15</w:t>
                  </w:r>
                </w:p>
              </w:tc>
              <w:tc>
                <w:tcPr>
                  <w:tcW w:w="630" w:type="pct"/>
                  <w:vMerge w:val="restart"/>
                  <w:vAlign w:val="center"/>
                </w:tcPr>
                <w:p w14:paraId="5EFAD11E">
                  <w:pPr>
                    <w:pStyle w:val="31"/>
                    <w:bidi w:val="0"/>
                    <w:rPr>
                      <w:rFonts w:hint="eastAsia"/>
                      <w:color w:val="auto"/>
                      <w:lang w:eastAsia="zh-CN"/>
                    </w:rPr>
                  </w:pPr>
                  <w:r>
                    <w:rPr>
                      <w:rFonts w:hint="eastAsia"/>
                      <w:color w:val="auto"/>
                      <w:lang w:eastAsia="zh-CN"/>
                    </w:rPr>
                    <w:t>起重机</w:t>
                  </w:r>
                </w:p>
              </w:tc>
              <w:tc>
                <w:tcPr>
                  <w:tcW w:w="760" w:type="pct"/>
                  <w:vAlign w:val="center"/>
                </w:tcPr>
                <w:p w14:paraId="5801CE52">
                  <w:pPr>
                    <w:pStyle w:val="31"/>
                    <w:bidi w:val="0"/>
                    <w:rPr>
                      <w:rFonts w:hint="default"/>
                      <w:color w:val="auto"/>
                      <w:lang w:val="en-US" w:eastAsia="zh-CN"/>
                    </w:rPr>
                  </w:pPr>
                  <w:r>
                    <w:rPr>
                      <w:rFonts w:hint="eastAsia"/>
                      <w:color w:val="auto"/>
                      <w:lang w:val="en-US" w:eastAsia="zh-CN"/>
                    </w:rPr>
                    <w:t>7.5</w:t>
                  </w:r>
                </w:p>
              </w:tc>
              <w:tc>
                <w:tcPr>
                  <w:tcW w:w="996" w:type="pct"/>
                  <w:vAlign w:val="center"/>
                </w:tcPr>
                <w:p w14:paraId="29249A2F">
                  <w:pPr>
                    <w:pStyle w:val="31"/>
                    <w:bidi w:val="0"/>
                    <w:rPr>
                      <w:rFonts w:hint="default"/>
                      <w:color w:val="auto"/>
                      <w:lang w:val="en-US" w:eastAsia="zh-CN"/>
                    </w:rPr>
                  </w:pPr>
                  <w:r>
                    <w:rPr>
                      <w:rFonts w:hint="eastAsia"/>
                      <w:color w:val="auto"/>
                      <w:lang w:val="en-US" w:eastAsia="zh-CN"/>
                    </w:rPr>
                    <w:t>10T</w:t>
                  </w:r>
                </w:p>
              </w:tc>
              <w:tc>
                <w:tcPr>
                  <w:tcW w:w="786" w:type="pct"/>
                  <w:vAlign w:val="center"/>
                </w:tcPr>
                <w:p w14:paraId="1216D320">
                  <w:pPr>
                    <w:pStyle w:val="31"/>
                    <w:bidi w:val="0"/>
                    <w:rPr>
                      <w:rFonts w:hint="eastAsia"/>
                      <w:color w:val="auto"/>
                      <w:lang w:eastAsia="zh-CN"/>
                    </w:rPr>
                  </w:pPr>
                  <w:r>
                    <w:rPr>
                      <w:rFonts w:hint="eastAsia"/>
                      <w:color w:val="auto"/>
                      <w:lang w:val="en-US" w:eastAsia="zh-CN"/>
                    </w:rPr>
                    <w:t>12</w:t>
                  </w:r>
                  <w:r>
                    <w:rPr>
                      <w:rFonts w:hint="eastAsia"/>
                      <w:color w:val="auto"/>
                      <w:lang w:eastAsia="zh-CN"/>
                    </w:rPr>
                    <w:t>台</w:t>
                  </w:r>
                </w:p>
              </w:tc>
              <w:tc>
                <w:tcPr>
                  <w:tcW w:w="1429" w:type="pct"/>
                  <w:vAlign w:val="center"/>
                </w:tcPr>
                <w:p w14:paraId="31441614">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已建成</w:t>
                  </w:r>
                </w:p>
              </w:tc>
            </w:tr>
            <w:tr w14:paraId="6DA0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06DC33EF">
                  <w:pPr>
                    <w:pStyle w:val="31"/>
                    <w:bidi w:val="0"/>
                    <w:ind w:firstLine="0" w:firstLineChars="0"/>
                    <w:rPr>
                      <w:rFonts w:hint="default"/>
                      <w:color w:val="auto"/>
                      <w:lang w:val="en-US" w:eastAsia="zh-CN"/>
                    </w:rPr>
                  </w:pPr>
                  <w:r>
                    <w:rPr>
                      <w:rFonts w:hint="eastAsia"/>
                      <w:color w:val="auto"/>
                      <w:lang w:val="en-US" w:eastAsia="zh-CN"/>
                    </w:rPr>
                    <w:t>16</w:t>
                  </w:r>
                </w:p>
              </w:tc>
              <w:tc>
                <w:tcPr>
                  <w:tcW w:w="630" w:type="pct"/>
                  <w:vMerge w:val="continue"/>
                  <w:vAlign w:val="center"/>
                </w:tcPr>
                <w:p w14:paraId="08BD0FAC">
                  <w:pPr>
                    <w:pStyle w:val="31"/>
                    <w:bidi w:val="0"/>
                    <w:rPr>
                      <w:rFonts w:hint="eastAsia"/>
                      <w:color w:val="auto"/>
                      <w:lang w:eastAsia="zh-CN"/>
                    </w:rPr>
                  </w:pPr>
                </w:p>
              </w:tc>
              <w:tc>
                <w:tcPr>
                  <w:tcW w:w="760" w:type="pct"/>
                  <w:vAlign w:val="center"/>
                </w:tcPr>
                <w:p w14:paraId="05D182E2">
                  <w:pPr>
                    <w:pStyle w:val="31"/>
                    <w:bidi w:val="0"/>
                    <w:rPr>
                      <w:rFonts w:hint="default"/>
                      <w:color w:val="auto"/>
                      <w:lang w:val="en-US" w:eastAsia="zh-CN"/>
                    </w:rPr>
                  </w:pPr>
                  <w:r>
                    <w:rPr>
                      <w:rFonts w:hint="eastAsia"/>
                      <w:color w:val="auto"/>
                      <w:lang w:val="en-US" w:eastAsia="zh-CN"/>
                    </w:rPr>
                    <w:t>3.5</w:t>
                  </w:r>
                </w:p>
              </w:tc>
              <w:tc>
                <w:tcPr>
                  <w:tcW w:w="996" w:type="pct"/>
                  <w:vAlign w:val="center"/>
                </w:tcPr>
                <w:p w14:paraId="2B90A9C5">
                  <w:pPr>
                    <w:pStyle w:val="31"/>
                    <w:bidi w:val="0"/>
                    <w:rPr>
                      <w:rFonts w:hint="default"/>
                      <w:color w:val="auto"/>
                      <w:lang w:val="en-US" w:eastAsia="zh-CN"/>
                    </w:rPr>
                  </w:pPr>
                  <w:r>
                    <w:rPr>
                      <w:rFonts w:hint="eastAsia"/>
                      <w:color w:val="auto"/>
                      <w:lang w:val="en-US" w:eastAsia="zh-CN"/>
                    </w:rPr>
                    <w:t>5T</w:t>
                  </w:r>
                </w:p>
              </w:tc>
              <w:tc>
                <w:tcPr>
                  <w:tcW w:w="786" w:type="pct"/>
                  <w:vAlign w:val="center"/>
                </w:tcPr>
                <w:p w14:paraId="75062983">
                  <w:pPr>
                    <w:pStyle w:val="31"/>
                    <w:bidi w:val="0"/>
                    <w:rPr>
                      <w:rFonts w:hint="eastAsia"/>
                      <w:color w:val="auto"/>
                      <w:lang w:eastAsia="zh-CN"/>
                    </w:rPr>
                  </w:pPr>
                  <w:r>
                    <w:rPr>
                      <w:rFonts w:hint="eastAsia"/>
                      <w:color w:val="auto"/>
                      <w:lang w:val="en-US" w:eastAsia="zh-CN"/>
                    </w:rPr>
                    <w:t>7</w:t>
                  </w:r>
                  <w:r>
                    <w:rPr>
                      <w:rFonts w:hint="eastAsia"/>
                      <w:color w:val="auto"/>
                      <w:lang w:eastAsia="zh-CN"/>
                    </w:rPr>
                    <w:t>台</w:t>
                  </w:r>
                </w:p>
              </w:tc>
              <w:tc>
                <w:tcPr>
                  <w:tcW w:w="1429" w:type="pct"/>
                  <w:vAlign w:val="center"/>
                </w:tcPr>
                <w:p w14:paraId="64D2114B">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已建成</w:t>
                  </w:r>
                </w:p>
              </w:tc>
            </w:tr>
            <w:tr w14:paraId="0BA0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338C2924">
                  <w:pPr>
                    <w:pStyle w:val="31"/>
                    <w:bidi w:val="0"/>
                    <w:ind w:firstLine="0" w:firstLineChars="0"/>
                    <w:rPr>
                      <w:rFonts w:hint="default"/>
                      <w:color w:val="auto"/>
                      <w:lang w:val="en-US" w:eastAsia="zh-CN"/>
                    </w:rPr>
                  </w:pPr>
                  <w:r>
                    <w:rPr>
                      <w:rFonts w:hint="eastAsia"/>
                      <w:color w:val="auto"/>
                      <w:lang w:val="en-US" w:eastAsia="zh-CN"/>
                    </w:rPr>
                    <w:t>17</w:t>
                  </w:r>
                </w:p>
              </w:tc>
              <w:tc>
                <w:tcPr>
                  <w:tcW w:w="630" w:type="pct"/>
                  <w:vMerge w:val="continue"/>
                  <w:vAlign w:val="center"/>
                </w:tcPr>
                <w:p w14:paraId="57590840">
                  <w:pPr>
                    <w:pStyle w:val="31"/>
                    <w:bidi w:val="0"/>
                    <w:rPr>
                      <w:rFonts w:hint="eastAsia"/>
                      <w:color w:val="auto"/>
                      <w:lang w:eastAsia="zh-CN"/>
                    </w:rPr>
                  </w:pPr>
                </w:p>
              </w:tc>
              <w:tc>
                <w:tcPr>
                  <w:tcW w:w="760" w:type="pct"/>
                  <w:vAlign w:val="center"/>
                </w:tcPr>
                <w:p w14:paraId="3CC6263A">
                  <w:pPr>
                    <w:pStyle w:val="31"/>
                    <w:bidi w:val="0"/>
                    <w:rPr>
                      <w:rFonts w:hint="default"/>
                      <w:color w:val="auto"/>
                      <w:lang w:val="en-US" w:eastAsia="zh-CN"/>
                    </w:rPr>
                  </w:pPr>
                  <w:r>
                    <w:rPr>
                      <w:rFonts w:hint="eastAsia"/>
                      <w:color w:val="auto"/>
                      <w:lang w:val="en-US" w:eastAsia="zh-CN"/>
                    </w:rPr>
                    <w:t>3.5</w:t>
                  </w:r>
                </w:p>
              </w:tc>
              <w:tc>
                <w:tcPr>
                  <w:tcW w:w="996" w:type="pct"/>
                  <w:vAlign w:val="center"/>
                </w:tcPr>
                <w:p w14:paraId="67C568DE">
                  <w:pPr>
                    <w:pStyle w:val="31"/>
                    <w:bidi w:val="0"/>
                    <w:rPr>
                      <w:rFonts w:hint="default"/>
                      <w:color w:val="auto"/>
                      <w:lang w:val="en-US" w:eastAsia="zh-CN"/>
                    </w:rPr>
                  </w:pPr>
                  <w:r>
                    <w:rPr>
                      <w:rFonts w:hint="eastAsia"/>
                      <w:color w:val="auto"/>
                      <w:lang w:val="en-US" w:eastAsia="zh-CN"/>
                    </w:rPr>
                    <w:t>3T</w:t>
                  </w:r>
                </w:p>
              </w:tc>
              <w:tc>
                <w:tcPr>
                  <w:tcW w:w="786" w:type="pct"/>
                  <w:vAlign w:val="center"/>
                </w:tcPr>
                <w:p w14:paraId="712A0387">
                  <w:pPr>
                    <w:pStyle w:val="31"/>
                    <w:bidi w:val="0"/>
                    <w:rPr>
                      <w:rFonts w:hint="eastAsia"/>
                      <w:color w:val="auto"/>
                      <w:lang w:eastAsia="zh-CN"/>
                    </w:rPr>
                  </w:pPr>
                  <w:r>
                    <w:rPr>
                      <w:rFonts w:hint="eastAsia"/>
                      <w:color w:val="auto"/>
                      <w:lang w:val="en-US" w:eastAsia="zh-CN"/>
                    </w:rPr>
                    <w:t>10</w:t>
                  </w:r>
                  <w:r>
                    <w:rPr>
                      <w:rFonts w:hint="eastAsia"/>
                      <w:color w:val="auto"/>
                      <w:lang w:eastAsia="zh-CN"/>
                    </w:rPr>
                    <w:t>台</w:t>
                  </w:r>
                </w:p>
              </w:tc>
              <w:tc>
                <w:tcPr>
                  <w:tcW w:w="1429" w:type="pct"/>
                  <w:vAlign w:val="center"/>
                </w:tcPr>
                <w:p w14:paraId="5536F35F">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已建成</w:t>
                  </w:r>
                </w:p>
              </w:tc>
            </w:tr>
            <w:tr w14:paraId="0AFFE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7F5D171C">
                  <w:pPr>
                    <w:pStyle w:val="31"/>
                    <w:bidi w:val="0"/>
                    <w:ind w:firstLine="0" w:firstLineChars="0"/>
                    <w:rPr>
                      <w:rFonts w:hint="default"/>
                      <w:color w:val="auto"/>
                      <w:lang w:val="en-US" w:eastAsia="zh-CN"/>
                    </w:rPr>
                  </w:pPr>
                  <w:r>
                    <w:rPr>
                      <w:rFonts w:hint="eastAsia"/>
                      <w:color w:val="auto"/>
                      <w:lang w:val="en-US" w:eastAsia="zh-CN"/>
                    </w:rPr>
                    <w:t>18</w:t>
                  </w:r>
                </w:p>
              </w:tc>
              <w:tc>
                <w:tcPr>
                  <w:tcW w:w="630" w:type="pct"/>
                  <w:vMerge w:val="restart"/>
                  <w:vAlign w:val="center"/>
                </w:tcPr>
                <w:p w14:paraId="49974DF4">
                  <w:pPr>
                    <w:pStyle w:val="31"/>
                    <w:bidi w:val="0"/>
                    <w:rPr>
                      <w:rFonts w:hint="eastAsia"/>
                      <w:color w:val="auto"/>
                      <w:lang w:eastAsia="zh-CN"/>
                    </w:rPr>
                  </w:pPr>
                  <w:r>
                    <w:rPr>
                      <w:rFonts w:hint="eastAsia"/>
                      <w:color w:val="auto"/>
                      <w:lang w:eastAsia="zh-CN"/>
                    </w:rPr>
                    <w:t>车床</w:t>
                  </w:r>
                </w:p>
              </w:tc>
              <w:tc>
                <w:tcPr>
                  <w:tcW w:w="760" w:type="pct"/>
                  <w:vAlign w:val="center"/>
                </w:tcPr>
                <w:p w14:paraId="4B782003">
                  <w:pPr>
                    <w:pStyle w:val="31"/>
                    <w:bidi w:val="0"/>
                    <w:rPr>
                      <w:rFonts w:hint="default"/>
                      <w:color w:val="auto"/>
                      <w:lang w:val="en-US" w:eastAsia="zh-CN"/>
                    </w:rPr>
                  </w:pPr>
                  <w:r>
                    <w:rPr>
                      <w:rFonts w:hint="eastAsia"/>
                      <w:color w:val="auto"/>
                      <w:lang w:val="en-US" w:eastAsia="zh-CN"/>
                    </w:rPr>
                    <w:t>4.5</w:t>
                  </w:r>
                </w:p>
              </w:tc>
              <w:tc>
                <w:tcPr>
                  <w:tcW w:w="996" w:type="pct"/>
                  <w:vAlign w:val="center"/>
                </w:tcPr>
                <w:p w14:paraId="0A4224D2">
                  <w:pPr>
                    <w:pStyle w:val="31"/>
                    <w:bidi w:val="0"/>
                    <w:rPr>
                      <w:rFonts w:hint="default"/>
                      <w:color w:val="auto"/>
                      <w:lang w:val="en-US" w:eastAsia="zh-CN"/>
                    </w:rPr>
                  </w:pPr>
                  <w:r>
                    <w:rPr>
                      <w:rFonts w:hint="eastAsia"/>
                      <w:color w:val="auto"/>
                      <w:lang w:val="en-US" w:eastAsia="zh-CN"/>
                    </w:rPr>
                    <w:t>6150</w:t>
                  </w:r>
                </w:p>
              </w:tc>
              <w:tc>
                <w:tcPr>
                  <w:tcW w:w="786" w:type="pct"/>
                  <w:vAlign w:val="center"/>
                </w:tcPr>
                <w:p w14:paraId="71FF9D2F">
                  <w:pPr>
                    <w:pStyle w:val="31"/>
                    <w:bidi w:val="0"/>
                    <w:rPr>
                      <w:rFonts w:hint="eastAsia"/>
                      <w:color w:val="auto"/>
                      <w:lang w:eastAsia="zh-CN"/>
                    </w:rPr>
                  </w:pPr>
                  <w:r>
                    <w:rPr>
                      <w:rFonts w:hint="eastAsia"/>
                      <w:color w:val="auto"/>
                      <w:lang w:val="en-US" w:eastAsia="zh-CN"/>
                    </w:rPr>
                    <w:t>3</w:t>
                  </w:r>
                  <w:r>
                    <w:rPr>
                      <w:rFonts w:hint="eastAsia"/>
                      <w:color w:val="auto"/>
                      <w:lang w:eastAsia="zh-CN"/>
                    </w:rPr>
                    <w:t>台</w:t>
                  </w:r>
                </w:p>
              </w:tc>
              <w:tc>
                <w:tcPr>
                  <w:tcW w:w="1429" w:type="pct"/>
                  <w:vAlign w:val="center"/>
                </w:tcPr>
                <w:p w14:paraId="5FD21E6C">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olor w:val="auto"/>
                      <w:lang w:val="en-US" w:eastAsia="zh-CN"/>
                    </w:rPr>
                  </w:pPr>
                  <w:r>
                    <w:rPr>
                      <w:rFonts w:hint="eastAsia"/>
                      <w:color w:val="auto"/>
                      <w:lang w:val="en-US" w:eastAsia="zh-CN"/>
                    </w:rPr>
                    <w:t>已建成</w:t>
                  </w:r>
                </w:p>
              </w:tc>
            </w:tr>
            <w:tr w14:paraId="290FF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14F7E121">
                  <w:pPr>
                    <w:pStyle w:val="31"/>
                    <w:bidi w:val="0"/>
                    <w:ind w:firstLine="0" w:firstLineChars="0"/>
                    <w:rPr>
                      <w:rFonts w:hint="default"/>
                      <w:color w:val="auto"/>
                      <w:lang w:val="en-US" w:eastAsia="zh-CN"/>
                    </w:rPr>
                  </w:pPr>
                  <w:r>
                    <w:rPr>
                      <w:rFonts w:hint="eastAsia"/>
                      <w:color w:val="auto"/>
                      <w:lang w:val="en-US" w:eastAsia="zh-CN"/>
                    </w:rPr>
                    <w:t>19</w:t>
                  </w:r>
                </w:p>
              </w:tc>
              <w:tc>
                <w:tcPr>
                  <w:tcW w:w="630" w:type="pct"/>
                  <w:vMerge w:val="continue"/>
                  <w:vAlign w:val="center"/>
                </w:tcPr>
                <w:p w14:paraId="21F61C73">
                  <w:pPr>
                    <w:pStyle w:val="31"/>
                    <w:bidi w:val="0"/>
                    <w:rPr>
                      <w:rFonts w:hint="eastAsia"/>
                      <w:color w:val="auto"/>
                      <w:lang w:eastAsia="zh-CN"/>
                    </w:rPr>
                  </w:pPr>
                </w:p>
              </w:tc>
              <w:tc>
                <w:tcPr>
                  <w:tcW w:w="760" w:type="pct"/>
                  <w:vAlign w:val="center"/>
                </w:tcPr>
                <w:p w14:paraId="327722B8">
                  <w:pPr>
                    <w:pStyle w:val="31"/>
                    <w:bidi w:val="0"/>
                    <w:rPr>
                      <w:rFonts w:hint="default"/>
                      <w:color w:val="auto"/>
                      <w:lang w:val="en-US" w:eastAsia="zh-CN"/>
                    </w:rPr>
                  </w:pPr>
                  <w:r>
                    <w:rPr>
                      <w:rFonts w:hint="eastAsia"/>
                      <w:color w:val="auto"/>
                      <w:lang w:val="en-US" w:eastAsia="zh-CN"/>
                    </w:rPr>
                    <w:t>4.5</w:t>
                  </w:r>
                </w:p>
              </w:tc>
              <w:tc>
                <w:tcPr>
                  <w:tcW w:w="996" w:type="pct"/>
                  <w:vAlign w:val="center"/>
                </w:tcPr>
                <w:p w14:paraId="3D18BB04">
                  <w:pPr>
                    <w:pStyle w:val="31"/>
                    <w:bidi w:val="0"/>
                    <w:rPr>
                      <w:rFonts w:hint="default"/>
                      <w:color w:val="auto"/>
                      <w:lang w:val="en-US" w:eastAsia="zh-CN"/>
                    </w:rPr>
                  </w:pPr>
                  <w:r>
                    <w:rPr>
                      <w:rFonts w:hint="eastAsia"/>
                      <w:color w:val="auto"/>
                      <w:lang w:val="en-US" w:eastAsia="zh-CN"/>
                    </w:rPr>
                    <w:t>6166</w:t>
                  </w:r>
                </w:p>
              </w:tc>
              <w:tc>
                <w:tcPr>
                  <w:tcW w:w="786" w:type="pct"/>
                  <w:vAlign w:val="center"/>
                </w:tcPr>
                <w:p w14:paraId="221117E6">
                  <w:pPr>
                    <w:pStyle w:val="31"/>
                    <w:bidi w:val="0"/>
                    <w:rPr>
                      <w:rFonts w:hint="eastAsia"/>
                      <w:color w:val="auto"/>
                      <w:lang w:eastAsia="zh-CN"/>
                    </w:rPr>
                  </w:pPr>
                  <w:r>
                    <w:rPr>
                      <w:rFonts w:hint="eastAsia"/>
                      <w:color w:val="auto"/>
                      <w:lang w:val="en-US" w:eastAsia="zh-CN"/>
                    </w:rPr>
                    <w:t>3</w:t>
                  </w:r>
                  <w:r>
                    <w:rPr>
                      <w:rFonts w:hint="eastAsia"/>
                      <w:color w:val="auto"/>
                      <w:lang w:eastAsia="zh-CN"/>
                    </w:rPr>
                    <w:t>台</w:t>
                  </w:r>
                </w:p>
              </w:tc>
              <w:tc>
                <w:tcPr>
                  <w:tcW w:w="1429" w:type="pct"/>
                  <w:vAlign w:val="center"/>
                </w:tcPr>
                <w:p w14:paraId="70CAB761">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olor w:val="auto"/>
                      <w:lang w:val="en-US" w:eastAsia="zh-CN"/>
                    </w:rPr>
                  </w:pPr>
                  <w:r>
                    <w:rPr>
                      <w:rFonts w:hint="eastAsia"/>
                      <w:color w:val="auto"/>
                      <w:lang w:val="en-US" w:eastAsia="zh-CN"/>
                    </w:rPr>
                    <w:t>已建成</w:t>
                  </w:r>
                </w:p>
              </w:tc>
            </w:tr>
            <w:tr w14:paraId="26F50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647C101A">
                  <w:pPr>
                    <w:pStyle w:val="31"/>
                    <w:bidi w:val="0"/>
                    <w:ind w:firstLine="0" w:firstLineChars="0"/>
                    <w:rPr>
                      <w:rFonts w:hint="default"/>
                      <w:color w:val="auto"/>
                      <w:lang w:val="en-US" w:eastAsia="zh-CN"/>
                    </w:rPr>
                  </w:pPr>
                  <w:r>
                    <w:rPr>
                      <w:rFonts w:hint="eastAsia"/>
                      <w:color w:val="auto"/>
                      <w:lang w:val="en-US" w:eastAsia="zh-CN"/>
                    </w:rPr>
                    <w:t>20</w:t>
                  </w:r>
                </w:p>
              </w:tc>
              <w:tc>
                <w:tcPr>
                  <w:tcW w:w="630" w:type="pct"/>
                  <w:vAlign w:val="center"/>
                </w:tcPr>
                <w:p w14:paraId="2A2119A6">
                  <w:pPr>
                    <w:pStyle w:val="31"/>
                    <w:bidi w:val="0"/>
                    <w:rPr>
                      <w:rFonts w:hint="eastAsia"/>
                      <w:color w:val="auto"/>
                      <w:lang w:eastAsia="zh-CN"/>
                    </w:rPr>
                  </w:pPr>
                  <w:r>
                    <w:rPr>
                      <w:rFonts w:hint="eastAsia"/>
                      <w:color w:val="auto"/>
                      <w:lang w:eastAsia="zh-CN"/>
                    </w:rPr>
                    <w:t>铣床</w:t>
                  </w:r>
                </w:p>
              </w:tc>
              <w:tc>
                <w:tcPr>
                  <w:tcW w:w="760" w:type="pct"/>
                  <w:vAlign w:val="center"/>
                </w:tcPr>
                <w:p w14:paraId="16477514">
                  <w:pPr>
                    <w:pStyle w:val="31"/>
                    <w:bidi w:val="0"/>
                    <w:rPr>
                      <w:rFonts w:hint="default"/>
                      <w:color w:val="auto"/>
                      <w:lang w:val="en-US" w:eastAsia="zh-CN"/>
                    </w:rPr>
                  </w:pPr>
                  <w:r>
                    <w:rPr>
                      <w:rFonts w:hint="eastAsia"/>
                      <w:color w:val="auto"/>
                      <w:lang w:val="en-US" w:eastAsia="zh-CN"/>
                    </w:rPr>
                    <w:t>4.5</w:t>
                  </w:r>
                </w:p>
              </w:tc>
              <w:tc>
                <w:tcPr>
                  <w:tcW w:w="996" w:type="pct"/>
                  <w:vAlign w:val="center"/>
                </w:tcPr>
                <w:p w14:paraId="692C7198">
                  <w:pPr>
                    <w:pStyle w:val="31"/>
                    <w:bidi w:val="0"/>
                    <w:rPr>
                      <w:rFonts w:hint="default"/>
                      <w:color w:val="auto"/>
                      <w:lang w:val="en-US" w:eastAsia="zh-CN"/>
                    </w:rPr>
                  </w:pPr>
                  <w:r>
                    <w:rPr>
                      <w:rFonts w:hint="eastAsia"/>
                      <w:color w:val="auto"/>
                      <w:lang w:val="en-US" w:eastAsia="zh-CN"/>
                    </w:rPr>
                    <w:t>62</w:t>
                  </w:r>
                </w:p>
              </w:tc>
              <w:tc>
                <w:tcPr>
                  <w:tcW w:w="786" w:type="pct"/>
                  <w:vAlign w:val="center"/>
                </w:tcPr>
                <w:p w14:paraId="2F8737CE">
                  <w:pPr>
                    <w:pStyle w:val="31"/>
                    <w:bidi w:val="0"/>
                    <w:rPr>
                      <w:rFonts w:hint="eastAsia"/>
                      <w:color w:val="auto"/>
                      <w:lang w:eastAsia="zh-CN"/>
                    </w:rPr>
                  </w:pPr>
                  <w:r>
                    <w:rPr>
                      <w:rFonts w:hint="eastAsia"/>
                      <w:color w:val="auto"/>
                      <w:lang w:val="en-US" w:eastAsia="zh-CN"/>
                    </w:rPr>
                    <w:t>2</w:t>
                  </w:r>
                  <w:r>
                    <w:rPr>
                      <w:rFonts w:hint="eastAsia"/>
                      <w:color w:val="auto"/>
                      <w:lang w:eastAsia="zh-CN"/>
                    </w:rPr>
                    <w:t>台</w:t>
                  </w:r>
                </w:p>
              </w:tc>
              <w:tc>
                <w:tcPr>
                  <w:tcW w:w="1429" w:type="pct"/>
                  <w:vAlign w:val="center"/>
                </w:tcPr>
                <w:p w14:paraId="5DB4DED7">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olor w:val="auto"/>
                      <w:lang w:val="en-US" w:eastAsia="zh-CN"/>
                    </w:rPr>
                  </w:pPr>
                  <w:r>
                    <w:rPr>
                      <w:rFonts w:hint="eastAsia"/>
                      <w:color w:val="auto"/>
                      <w:lang w:val="en-US" w:eastAsia="zh-CN"/>
                    </w:rPr>
                    <w:t>已建成</w:t>
                  </w:r>
                </w:p>
              </w:tc>
            </w:tr>
            <w:tr w14:paraId="0A5C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75EA3D95">
                  <w:pPr>
                    <w:pStyle w:val="31"/>
                    <w:bidi w:val="0"/>
                    <w:ind w:firstLine="0" w:firstLineChars="0"/>
                    <w:rPr>
                      <w:rFonts w:hint="default"/>
                      <w:color w:val="auto"/>
                      <w:lang w:val="en-US" w:eastAsia="zh-CN"/>
                    </w:rPr>
                  </w:pPr>
                  <w:r>
                    <w:rPr>
                      <w:rFonts w:hint="eastAsia"/>
                      <w:color w:val="auto"/>
                      <w:lang w:val="en-US" w:eastAsia="zh-CN"/>
                    </w:rPr>
                    <w:t>21</w:t>
                  </w:r>
                </w:p>
              </w:tc>
              <w:tc>
                <w:tcPr>
                  <w:tcW w:w="630" w:type="pct"/>
                  <w:vMerge w:val="restart"/>
                  <w:vAlign w:val="center"/>
                </w:tcPr>
                <w:p w14:paraId="2D8E727D">
                  <w:pPr>
                    <w:pStyle w:val="31"/>
                    <w:bidi w:val="0"/>
                    <w:rPr>
                      <w:rFonts w:hint="eastAsia"/>
                      <w:color w:val="auto"/>
                      <w:lang w:eastAsia="zh-CN"/>
                    </w:rPr>
                  </w:pPr>
                  <w:r>
                    <w:rPr>
                      <w:rFonts w:hint="eastAsia"/>
                      <w:color w:val="auto"/>
                      <w:lang w:eastAsia="zh-CN"/>
                    </w:rPr>
                    <w:t>磨床</w:t>
                  </w:r>
                </w:p>
              </w:tc>
              <w:tc>
                <w:tcPr>
                  <w:tcW w:w="760" w:type="pct"/>
                  <w:vAlign w:val="center"/>
                </w:tcPr>
                <w:p w14:paraId="4E00E534">
                  <w:pPr>
                    <w:pStyle w:val="31"/>
                    <w:bidi w:val="0"/>
                    <w:rPr>
                      <w:rFonts w:hint="default"/>
                      <w:color w:val="auto"/>
                      <w:lang w:val="en-US" w:eastAsia="zh-CN"/>
                    </w:rPr>
                  </w:pPr>
                  <w:r>
                    <w:rPr>
                      <w:rFonts w:hint="eastAsia"/>
                      <w:color w:val="auto"/>
                      <w:lang w:val="en-US" w:eastAsia="zh-CN"/>
                    </w:rPr>
                    <w:t>4.5</w:t>
                  </w:r>
                </w:p>
              </w:tc>
              <w:tc>
                <w:tcPr>
                  <w:tcW w:w="996" w:type="pct"/>
                  <w:vAlign w:val="center"/>
                </w:tcPr>
                <w:p w14:paraId="4B06A233">
                  <w:pPr>
                    <w:pStyle w:val="31"/>
                    <w:bidi w:val="0"/>
                    <w:rPr>
                      <w:rFonts w:hint="eastAsia"/>
                      <w:color w:val="auto"/>
                      <w:lang w:val="en-US" w:eastAsia="zh-CN"/>
                    </w:rPr>
                  </w:pPr>
                  <w:r>
                    <w:rPr>
                      <w:rFonts w:hint="eastAsia"/>
                      <w:color w:val="auto"/>
                      <w:lang w:val="en-US" w:eastAsia="zh-CN"/>
                    </w:rPr>
                    <w:t>平面</w:t>
                  </w:r>
                </w:p>
              </w:tc>
              <w:tc>
                <w:tcPr>
                  <w:tcW w:w="786" w:type="pct"/>
                  <w:vAlign w:val="center"/>
                </w:tcPr>
                <w:p w14:paraId="620E3219">
                  <w:pPr>
                    <w:pStyle w:val="31"/>
                    <w:bidi w:val="0"/>
                    <w:rPr>
                      <w:rFonts w:hint="eastAsia"/>
                      <w:color w:val="auto"/>
                      <w:lang w:eastAsia="zh-CN"/>
                    </w:rPr>
                  </w:pPr>
                  <w:r>
                    <w:rPr>
                      <w:rFonts w:hint="eastAsia"/>
                      <w:color w:val="auto"/>
                      <w:lang w:val="en-US" w:eastAsia="zh-CN"/>
                    </w:rPr>
                    <w:t>1</w:t>
                  </w:r>
                  <w:r>
                    <w:rPr>
                      <w:rFonts w:hint="eastAsia"/>
                      <w:color w:val="auto"/>
                      <w:lang w:eastAsia="zh-CN"/>
                    </w:rPr>
                    <w:t>台</w:t>
                  </w:r>
                </w:p>
              </w:tc>
              <w:tc>
                <w:tcPr>
                  <w:tcW w:w="1429" w:type="pct"/>
                  <w:vAlign w:val="center"/>
                </w:tcPr>
                <w:p w14:paraId="70254B91">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olor w:val="auto"/>
                      <w:lang w:val="en-US" w:eastAsia="zh-CN"/>
                    </w:rPr>
                  </w:pPr>
                  <w:r>
                    <w:rPr>
                      <w:rFonts w:hint="eastAsia"/>
                      <w:color w:val="auto"/>
                      <w:lang w:val="en-US" w:eastAsia="zh-CN"/>
                    </w:rPr>
                    <w:t>已建成</w:t>
                  </w:r>
                </w:p>
              </w:tc>
            </w:tr>
            <w:tr w14:paraId="412E3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7122E030">
                  <w:pPr>
                    <w:pStyle w:val="31"/>
                    <w:bidi w:val="0"/>
                    <w:ind w:firstLine="0" w:firstLineChars="0"/>
                    <w:rPr>
                      <w:rFonts w:hint="default"/>
                      <w:color w:val="auto"/>
                      <w:lang w:val="en-US" w:eastAsia="zh-CN"/>
                    </w:rPr>
                  </w:pPr>
                  <w:r>
                    <w:rPr>
                      <w:rFonts w:hint="eastAsia"/>
                      <w:color w:val="auto"/>
                      <w:lang w:val="en-US" w:eastAsia="zh-CN"/>
                    </w:rPr>
                    <w:t>22</w:t>
                  </w:r>
                </w:p>
              </w:tc>
              <w:tc>
                <w:tcPr>
                  <w:tcW w:w="630" w:type="pct"/>
                  <w:vMerge w:val="continue"/>
                  <w:vAlign w:val="center"/>
                </w:tcPr>
                <w:p w14:paraId="4987D734">
                  <w:pPr>
                    <w:pStyle w:val="31"/>
                    <w:bidi w:val="0"/>
                    <w:rPr>
                      <w:rFonts w:hint="eastAsia"/>
                      <w:color w:val="auto"/>
                      <w:lang w:eastAsia="zh-CN"/>
                    </w:rPr>
                  </w:pPr>
                </w:p>
              </w:tc>
              <w:tc>
                <w:tcPr>
                  <w:tcW w:w="760" w:type="pct"/>
                  <w:vAlign w:val="center"/>
                </w:tcPr>
                <w:p w14:paraId="58C61F1B">
                  <w:pPr>
                    <w:pStyle w:val="31"/>
                    <w:bidi w:val="0"/>
                    <w:rPr>
                      <w:rFonts w:hint="default"/>
                      <w:color w:val="auto"/>
                      <w:lang w:val="en-US" w:eastAsia="zh-CN"/>
                    </w:rPr>
                  </w:pPr>
                  <w:r>
                    <w:rPr>
                      <w:rFonts w:hint="eastAsia"/>
                      <w:color w:val="auto"/>
                      <w:lang w:val="en-US" w:eastAsia="zh-CN"/>
                    </w:rPr>
                    <w:t>4.5</w:t>
                  </w:r>
                </w:p>
              </w:tc>
              <w:tc>
                <w:tcPr>
                  <w:tcW w:w="996" w:type="pct"/>
                  <w:vAlign w:val="center"/>
                </w:tcPr>
                <w:p w14:paraId="1819A050">
                  <w:pPr>
                    <w:pStyle w:val="31"/>
                    <w:bidi w:val="0"/>
                    <w:rPr>
                      <w:rFonts w:hint="eastAsia"/>
                      <w:color w:val="auto"/>
                      <w:lang w:val="en-US" w:eastAsia="zh-CN"/>
                    </w:rPr>
                  </w:pPr>
                  <w:r>
                    <w:rPr>
                      <w:rFonts w:hint="eastAsia"/>
                      <w:color w:val="auto"/>
                      <w:lang w:val="en-US" w:eastAsia="zh-CN"/>
                    </w:rPr>
                    <w:t>外圆</w:t>
                  </w:r>
                </w:p>
              </w:tc>
              <w:tc>
                <w:tcPr>
                  <w:tcW w:w="786" w:type="pct"/>
                  <w:vAlign w:val="center"/>
                </w:tcPr>
                <w:p w14:paraId="1FB97F97">
                  <w:pPr>
                    <w:pStyle w:val="31"/>
                    <w:bidi w:val="0"/>
                    <w:rPr>
                      <w:rFonts w:hint="eastAsia"/>
                      <w:color w:val="auto"/>
                      <w:lang w:eastAsia="zh-CN"/>
                    </w:rPr>
                  </w:pPr>
                  <w:r>
                    <w:rPr>
                      <w:rFonts w:hint="eastAsia"/>
                      <w:color w:val="auto"/>
                      <w:lang w:val="en-US" w:eastAsia="zh-CN"/>
                    </w:rPr>
                    <w:t>2</w:t>
                  </w:r>
                  <w:r>
                    <w:rPr>
                      <w:rFonts w:hint="eastAsia"/>
                      <w:color w:val="auto"/>
                      <w:lang w:eastAsia="zh-CN"/>
                    </w:rPr>
                    <w:t>台</w:t>
                  </w:r>
                </w:p>
              </w:tc>
              <w:tc>
                <w:tcPr>
                  <w:tcW w:w="1429" w:type="pct"/>
                  <w:vAlign w:val="center"/>
                </w:tcPr>
                <w:p w14:paraId="241F0EA7">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olor w:val="auto"/>
                      <w:lang w:val="en-US" w:eastAsia="zh-CN"/>
                    </w:rPr>
                  </w:pPr>
                  <w:r>
                    <w:rPr>
                      <w:rFonts w:hint="eastAsia"/>
                      <w:color w:val="auto"/>
                      <w:lang w:val="en-US" w:eastAsia="zh-CN"/>
                    </w:rPr>
                    <w:t>已建成</w:t>
                  </w:r>
                </w:p>
              </w:tc>
            </w:tr>
            <w:tr w14:paraId="18F2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1811B42F">
                  <w:pPr>
                    <w:pStyle w:val="31"/>
                    <w:bidi w:val="0"/>
                    <w:rPr>
                      <w:rFonts w:hint="default"/>
                      <w:color w:val="auto"/>
                      <w:lang w:val="en-US" w:eastAsia="zh-CN"/>
                    </w:rPr>
                  </w:pPr>
                  <w:r>
                    <w:rPr>
                      <w:rFonts w:hint="eastAsia"/>
                      <w:color w:val="auto"/>
                      <w:lang w:val="en-US" w:eastAsia="zh-CN"/>
                    </w:rPr>
                    <w:t>23</w:t>
                  </w:r>
                </w:p>
              </w:tc>
              <w:tc>
                <w:tcPr>
                  <w:tcW w:w="630" w:type="pct"/>
                  <w:vAlign w:val="center"/>
                </w:tcPr>
                <w:p w14:paraId="698F69E0">
                  <w:pPr>
                    <w:pStyle w:val="31"/>
                    <w:bidi w:val="0"/>
                    <w:rPr>
                      <w:rFonts w:hint="eastAsia"/>
                      <w:color w:val="auto"/>
                      <w:lang w:eastAsia="zh-CN"/>
                    </w:rPr>
                  </w:pPr>
                  <w:r>
                    <w:rPr>
                      <w:rFonts w:hint="eastAsia"/>
                      <w:color w:val="auto"/>
                      <w:lang w:eastAsia="zh-CN"/>
                    </w:rPr>
                    <w:t>刨床</w:t>
                  </w:r>
                </w:p>
              </w:tc>
              <w:tc>
                <w:tcPr>
                  <w:tcW w:w="760" w:type="pct"/>
                  <w:vAlign w:val="center"/>
                </w:tcPr>
                <w:p w14:paraId="28DF49C5">
                  <w:pPr>
                    <w:pStyle w:val="31"/>
                    <w:bidi w:val="0"/>
                    <w:rPr>
                      <w:rFonts w:hint="default"/>
                      <w:color w:val="auto"/>
                      <w:lang w:val="en-US" w:eastAsia="zh-CN"/>
                    </w:rPr>
                  </w:pPr>
                  <w:r>
                    <w:rPr>
                      <w:rFonts w:hint="eastAsia"/>
                      <w:color w:val="auto"/>
                      <w:lang w:val="en-US" w:eastAsia="zh-CN"/>
                    </w:rPr>
                    <w:t>4.5</w:t>
                  </w:r>
                </w:p>
              </w:tc>
              <w:tc>
                <w:tcPr>
                  <w:tcW w:w="996" w:type="pct"/>
                  <w:vAlign w:val="center"/>
                </w:tcPr>
                <w:p w14:paraId="326F89BC">
                  <w:pPr>
                    <w:pStyle w:val="31"/>
                    <w:bidi w:val="0"/>
                    <w:rPr>
                      <w:rFonts w:hint="default"/>
                      <w:color w:val="auto"/>
                      <w:lang w:val="en-US" w:eastAsia="zh-CN"/>
                    </w:rPr>
                  </w:pPr>
                  <w:r>
                    <w:rPr>
                      <w:rFonts w:hint="eastAsia"/>
                      <w:color w:val="auto"/>
                      <w:lang w:val="en-US" w:eastAsia="zh-CN"/>
                    </w:rPr>
                    <w:t>/</w:t>
                  </w:r>
                </w:p>
              </w:tc>
              <w:tc>
                <w:tcPr>
                  <w:tcW w:w="786" w:type="pct"/>
                  <w:vAlign w:val="center"/>
                </w:tcPr>
                <w:p w14:paraId="725DD07D">
                  <w:pPr>
                    <w:pStyle w:val="31"/>
                    <w:bidi w:val="0"/>
                    <w:rPr>
                      <w:rFonts w:hint="eastAsia"/>
                      <w:color w:val="auto"/>
                      <w:lang w:eastAsia="zh-CN"/>
                    </w:rPr>
                  </w:pPr>
                  <w:r>
                    <w:rPr>
                      <w:rFonts w:hint="eastAsia"/>
                      <w:color w:val="auto"/>
                      <w:lang w:val="en-US" w:eastAsia="zh-CN"/>
                    </w:rPr>
                    <w:t>2</w:t>
                  </w:r>
                  <w:r>
                    <w:rPr>
                      <w:rFonts w:hint="eastAsia"/>
                      <w:color w:val="auto"/>
                      <w:lang w:eastAsia="zh-CN"/>
                    </w:rPr>
                    <w:t>台</w:t>
                  </w:r>
                </w:p>
              </w:tc>
              <w:tc>
                <w:tcPr>
                  <w:tcW w:w="1429" w:type="pct"/>
                  <w:vAlign w:val="center"/>
                </w:tcPr>
                <w:p w14:paraId="7B2E4DBF">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olor w:val="auto"/>
                      <w:lang w:val="en-US" w:eastAsia="zh-CN"/>
                    </w:rPr>
                  </w:pPr>
                  <w:r>
                    <w:rPr>
                      <w:rFonts w:hint="eastAsia"/>
                      <w:color w:val="auto"/>
                      <w:lang w:val="en-US" w:eastAsia="zh-CN"/>
                    </w:rPr>
                    <w:t>已建成</w:t>
                  </w:r>
                </w:p>
              </w:tc>
            </w:tr>
            <w:tr w14:paraId="4E5C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5C0C0B75">
                  <w:pPr>
                    <w:pStyle w:val="31"/>
                    <w:bidi w:val="0"/>
                    <w:rPr>
                      <w:rFonts w:hint="default"/>
                      <w:color w:val="auto"/>
                      <w:lang w:val="en-US" w:eastAsia="zh-CN"/>
                    </w:rPr>
                  </w:pPr>
                  <w:r>
                    <w:rPr>
                      <w:rFonts w:hint="eastAsia"/>
                      <w:color w:val="auto"/>
                      <w:lang w:val="en-US" w:eastAsia="zh-CN"/>
                    </w:rPr>
                    <w:t>24</w:t>
                  </w:r>
                </w:p>
              </w:tc>
              <w:tc>
                <w:tcPr>
                  <w:tcW w:w="630" w:type="pct"/>
                  <w:vAlign w:val="center"/>
                </w:tcPr>
                <w:p w14:paraId="4C3369B6">
                  <w:pPr>
                    <w:pStyle w:val="31"/>
                    <w:bidi w:val="0"/>
                    <w:rPr>
                      <w:rFonts w:hint="eastAsia"/>
                      <w:color w:val="auto"/>
                      <w:lang w:eastAsia="zh-CN"/>
                    </w:rPr>
                  </w:pPr>
                  <w:r>
                    <w:rPr>
                      <w:rFonts w:hint="eastAsia"/>
                      <w:color w:val="auto"/>
                      <w:lang w:eastAsia="zh-CN"/>
                    </w:rPr>
                    <w:t>分剪机</w:t>
                  </w:r>
                </w:p>
              </w:tc>
              <w:tc>
                <w:tcPr>
                  <w:tcW w:w="760" w:type="pct"/>
                  <w:vAlign w:val="center"/>
                </w:tcPr>
                <w:p w14:paraId="63236C34">
                  <w:pPr>
                    <w:pStyle w:val="31"/>
                    <w:bidi w:val="0"/>
                    <w:rPr>
                      <w:rFonts w:hint="default"/>
                      <w:color w:val="auto"/>
                      <w:lang w:val="en-US" w:eastAsia="zh-CN"/>
                    </w:rPr>
                  </w:pPr>
                  <w:r>
                    <w:rPr>
                      <w:rFonts w:hint="eastAsia"/>
                      <w:color w:val="auto"/>
                      <w:lang w:val="en-US" w:eastAsia="zh-CN"/>
                    </w:rPr>
                    <w:t>6.5</w:t>
                  </w:r>
                </w:p>
              </w:tc>
              <w:tc>
                <w:tcPr>
                  <w:tcW w:w="996" w:type="pct"/>
                  <w:vAlign w:val="center"/>
                </w:tcPr>
                <w:p w14:paraId="550DC126">
                  <w:pPr>
                    <w:pStyle w:val="31"/>
                    <w:bidi w:val="0"/>
                    <w:rPr>
                      <w:rFonts w:hint="default"/>
                      <w:color w:val="auto"/>
                      <w:lang w:val="en-US" w:eastAsia="zh-CN"/>
                    </w:rPr>
                  </w:pPr>
                  <w:r>
                    <w:rPr>
                      <w:rFonts w:hint="eastAsia"/>
                      <w:color w:val="auto"/>
                      <w:lang w:val="en-US" w:eastAsia="zh-CN"/>
                    </w:rPr>
                    <w:t>/</w:t>
                  </w:r>
                </w:p>
              </w:tc>
              <w:tc>
                <w:tcPr>
                  <w:tcW w:w="786" w:type="pct"/>
                  <w:vAlign w:val="center"/>
                </w:tcPr>
                <w:p w14:paraId="63589694">
                  <w:pPr>
                    <w:pStyle w:val="31"/>
                    <w:bidi w:val="0"/>
                    <w:rPr>
                      <w:rFonts w:hint="eastAsia"/>
                      <w:color w:val="auto"/>
                      <w:lang w:eastAsia="zh-CN"/>
                    </w:rPr>
                  </w:pPr>
                  <w:r>
                    <w:rPr>
                      <w:rFonts w:hint="eastAsia"/>
                      <w:color w:val="auto"/>
                      <w:lang w:val="en-US" w:eastAsia="zh-CN"/>
                    </w:rPr>
                    <w:t>5</w:t>
                  </w:r>
                  <w:r>
                    <w:rPr>
                      <w:rFonts w:hint="eastAsia"/>
                      <w:color w:val="auto"/>
                      <w:lang w:eastAsia="zh-CN"/>
                    </w:rPr>
                    <w:t>台</w:t>
                  </w:r>
                </w:p>
              </w:tc>
              <w:tc>
                <w:tcPr>
                  <w:tcW w:w="1429" w:type="pct"/>
                  <w:vAlign w:val="center"/>
                </w:tcPr>
                <w:p w14:paraId="63EA2D06">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olor w:val="auto"/>
                      <w:lang w:val="en-US" w:eastAsia="zh-CN"/>
                    </w:rPr>
                  </w:pPr>
                  <w:r>
                    <w:rPr>
                      <w:rFonts w:hint="eastAsia"/>
                      <w:color w:val="auto"/>
                      <w:lang w:val="en-US" w:eastAsia="zh-CN"/>
                    </w:rPr>
                    <w:t>已建成</w:t>
                  </w:r>
                </w:p>
              </w:tc>
            </w:tr>
            <w:tr w14:paraId="093FF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2390A305">
                  <w:pPr>
                    <w:pStyle w:val="31"/>
                    <w:bidi w:val="0"/>
                    <w:rPr>
                      <w:rFonts w:hint="default"/>
                      <w:color w:val="auto"/>
                      <w:lang w:val="en-US" w:eastAsia="zh-CN"/>
                    </w:rPr>
                  </w:pPr>
                  <w:r>
                    <w:rPr>
                      <w:rFonts w:hint="eastAsia"/>
                      <w:color w:val="auto"/>
                      <w:lang w:val="en-US" w:eastAsia="zh-CN"/>
                    </w:rPr>
                    <w:t>25</w:t>
                  </w:r>
                </w:p>
              </w:tc>
              <w:tc>
                <w:tcPr>
                  <w:tcW w:w="630" w:type="pct"/>
                  <w:vAlign w:val="center"/>
                </w:tcPr>
                <w:p w14:paraId="2C86CDF2">
                  <w:pPr>
                    <w:pStyle w:val="31"/>
                    <w:bidi w:val="0"/>
                    <w:rPr>
                      <w:rFonts w:hint="eastAsia"/>
                      <w:color w:val="auto"/>
                      <w:lang w:eastAsia="zh-CN"/>
                    </w:rPr>
                  </w:pPr>
                  <w:r>
                    <w:rPr>
                      <w:rFonts w:hint="eastAsia"/>
                      <w:color w:val="auto"/>
                      <w:lang w:eastAsia="zh-CN"/>
                    </w:rPr>
                    <w:t>废料打包机</w:t>
                  </w:r>
                </w:p>
              </w:tc>
              <w:tc>
                <w:tcPr>
                  <w:tcW w:w="760" w:type="pct"/>
                  <w:vAlign w:val="center"/>
                </w:tcPr>
                <w:p w14:paraId="7117E18D">
                  <w:pPr>
                    <w:pStyle w:val="31"/>
                    <w:bidi w:val="0"/>
                    <w:rPr>
                      <w:rFonts w:hint="default"/>
                      <w:color w:val="auto"/>
                      <w:lang w:val="en-US" w:eastAsia="zh-CN"/>
                    </w:rPr>
                  </w:pPr>
                  <w:r>
                    <w:rPr>
                      <w:rFonts w:hint="eastAsia"/>
                      <w:color w:val="auto"/>
                      <w:lang w:val="en-US" w:eastAsia="zh-CN"/>
                    </w:rPr>
                    <w:t>6.5</w:t>
                  </w:r>
                </w:p>
              </w:tc>
              <w:tc>
                <w:tcPr>
                  <w:tcW w:w="996" w:type="pct"/>
                  <w:vAlign w:val="center"/>
                </w:tcPr>
                <w:p w14:paraId="7C4C1776">
                  <w:pPr>
                    <w:pStyle w:val="31"/>
                    <w:bidi w:val="0"/>
                    <w:rPr>
                      <w:rFonts w:hint="default"/>
                      <w:color w:val="auto"/>
                      <w:lang w:val="en-US" w:eastAsia="zh-CN"/>
                    </w:rPr>
                  </w:pPr>
                  <w:r>
                    <w:rPr>
                      <w:rFonts w:hint="eastAsia"/>
                      <w:color w:val="auto"/>
                      <w:lang w:val="en-US" w:eastAsia="zh-CN"/>
                    </w:rPr>
                    <w:t>/</w:t>
                  </w:r>
                </w:p>
              </w:tc>
              <w:tc>
                <w:tcPr>
                  <w:tcW w:w="786" w:type="pct"/>
                  <w:vAlign w:val="center"/>
                </w:tcPr>
                <w:p w14:paraId="31AE3CF3">
                  <w:pPr>
                    <w:pStyle w:val="31"/>
                    <w:bidi w:val="0"/>
                    <w:rPr>
                      <w:rFonts w:hint="eastAsia"/>
                      <w:color w:val="auto"/>
                      <w:lang w:eastAsia="zh-CN"/>
                    </w:rPr>
                  </w:pPr>
                  <w:r>
                    <w:rPr>
                      <w:rFonts w:hint="eastAsia"/>
                      <w:color w:val="auto"/>
                      <w:lang w:val="en-US" w:eastAsia="zh-CN"/>
                    </w:rPr>
                    <w:t>1</w:t>
                  </w:r>
                  <w:r>
                    <w:rPr>
                      <w:rFonts w:hint="eastAsia"/>
                      <w:color w:val="auto"/>
                      <w:lang w:eastAsia="zh-CN"/>
                    </w:rPr>
                    <w:t>台</w:t>
                  </w:r>
                </w:p>
              </w:tc>
              <w:tc>
                <w:tcPr>
                  <w:tcW w:w="1429" w:type="pct"/>
                  <w:vAlign w:val="center"/>
                </w:tcPr>
                <w:p w14:paraId="79413CB9">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olor w:val="auto"/>
                      <w:lang w:val="en-US" w:eastAsia="zh-CN"/>
                    </w:rPr>
                  </w:pPr>
                  <w:r>
                    <w:rPr>
                      <w:rFonts w:hint="eastAsia"/>
                      <w:color w:val="auto"/>
                      <w:lang w:val="en-US" w:eastAsia="zh-CN"/>
                    </w:rPr>
                    <w:t>已建成</w:t>
                  </w:r>
                </w:p>
              </w:tc>
            </w:tr>
            <w:tr w14:paraId="30A4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4FFB25E6">
                  <w:pPr>
                    <w:pStyle w:val="31"/>
                    <w:bidi w:val="0"/>
                    <w:rPr>
                      <w:rFonts w:hint="default"/>
                      <w:color w:val="auto"/>
                      <w:lang w:val="en-US" w:eastAsia="zh-CN"/>
                    </w:rPr>
                  </w:pPr>
                  <w:r>
                    <w:rPr>
                      <w:rFonts w:hint="eastAsia"/>
                      <w:color w:val="auto"/>
                      <w:lang w:val="en-US" w:eastAsia="zh-CN"/>
                    </w:rPr>
                    <w:t>26</w:t>
                  </w:r>
                </w:p>
              </w:tc>
              <w:tc>
                <w:tcPr>
                  <w:tcW w:w="630" w:type="pct"/>
                  <w:vAlign w:val="center"/>
                </w:tcPr>
                <w:p w14:paraId="1A76F169">
                  <w:pPr>
                    <w:pStyle w:val="31"/>
                    <w:bidi w:val="0"/>
                    <w:rPr>
                      <w:rFonts w:hint="eastAsia"/>
                      <w:color w:val="auto"/>
                      <w:lang w:eastAsia="zh-CN"/>
                    </w:rPr>
                  </w:pPr>
                  <w:r>
                    <w:rPr>
                      <w:rFonts w:hint="eastAsia"/>
                      <w:color w:val="auto"/>
                      <w:lang w:eastAsia="zh-CN"/>
                    </w:rPr>
                    <w:t>平头机</w:t>
                  </w:r>
                </w:p>
              </w:tc>
              <w:tc>
                <w:tcPr>
                  <w:tcW w:w="760" w:type="pct"/>
                  <w:vAlign w:val="center"/>
                </w:tcPr>
                <w:p w14:paraId="03FDE4BD">
                  <w:pPr>
                    <w:pStyle w:val="31"/>
                    <w:bidi w:val="0"/>
                    <w:rPr>
                      <w:rFonts w:hint="default"/>
                      <w:color w:val="auto"/>
                      <w:lang w:val="en-US" w:eastAsia="zh-CN"/>
                    </w:rPr>
                  </w:pPr>
                  <w:r>
                    <w:rPr>
                      <w:rFonts w:hint="eastAsia"/>
                      <w:color w:val="auto"/>
                      <w:lang w:val="en-US" w:eastAsia="zh-CN"/>
                    </w:rPr>
                    <w:t>6.5</w:t>
                  </w:r>
                </w:p>
              </w:tc>
              <w:tc>
                <w:tcPr>
                  <w:tcW w:w="996" w:type="pct"/>
                  <w:vAlign w:val="center"/>
                </w:tcPr>
                <w:p w14:paraId="152EB6DC">
                  <w:pPr>
                    <w:pStyle w:val="31"/>
                    <w:bidi w:val="0"/>
                    <w:rPr>
                      <w:rFonts w:hint="default"/>
                      <w:color w:val="auto"/>
                      <w:lang w:val="en-US" w:eastAsia="zh-CN"/>
                    </w:rPr>
                  </w:pPr>
                  <w:r>
                    <w:rPr>
                      <w:rFonts w:hint="eastAsia"/>
                      <w:color w:val="auto"/>
                      <w:lang w:val="en-US" w:eastAsia="zh-CN"/>
                    </w:rPr>
                    <w:t>/</w:t>
                  </w:r>
                </w:p>
              </w:tc>
              <w:tc>
                <w:tcPr>
                  <w:tcW w:w="786" w:type="pct"/>
                  <w:vAlign w:val="center"/>
                </w:tcPr>
                <w:p w14:paraId="5B674D88">
                  <w:pPr>
                    <w:pStyle w:val="31"/>
                    <w:bidi w:val="0"/>
                    <w:rPr>
                      <w:rFonts w:hint="eastAsia"/>
                      <w:color w:val="auto"/>
                      <w:lang w:eastAsia="zh-CN"/>
                    </w:rPr>
                  </w:pPr>
                  <w:r>
                    <w:rPr>
                      <w:rFonts w:hint="eastAsia"/>
                      <w:color w:val="auto"/>
                      <w:lang w:val="en-US" w:eastAsia="zh-CN"/>
                    </w:rPr>
                    <w:t>3</w:t>
                  </w:r>
                  <w:r>
                    <w:rPr>
                      <w:rFonts w:hint="eastAsia"/>
                      <w:color w:val="auto"/>
                      <w:lang w:eastAsia="zh-CN"/>
                    </w:rPr>
                    <w:t>台</w:t>
                  </w:r>
                </w:p>
              </w:tc>
              <w:tc>
                <w:tcPr>
                  <w:tcW w:w="1429" w:type="pct"/>
                  <w:vAlign w:val="center"/>
                </w:tcPr>
                <w:p w14:paraId="060DD973">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olor w:val="auto"/>
                      <w:lang w:val="en-US" w:eastAsia="zh-CN"/>
                    </w:rPr>
                  </w:pPr>
                  <w:r>
                    <w:rPr>
                      <w:rFonts w:hint="eastAsia"/>
                      <w:color w:val="auto"/>
                      <w:lang w:val="en-US" w:eastAsia="zh-CN"/>
                    </w:rPr>
                    <w:t>已建成</w:t>
                  </w:r>
                </w:p>
              </w:tc>
            </w:tr>
            <w:tr w14:paraId="745A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Align w:val="center"/>
                </w:tcPr>
                <w:p w14:paraId="11665305">
                  <w:pPr>
                    <w:pStyle w:val="31"/>
                    <w:bidi w:val="0"/>
                    <w:rPr>
                      <w:rFonts w:hint="default"/>
                      <w:color w:val="auto"/>
                      <w:lang w:val="en-US" w:eastAsia="zh-CN"/>
                    </w:rPr>
                  </w:pPr>
                  <w:r>
                    <w:rPr>
                      <w:rFonts w:hint="eastAsia"/>
                      <w:color w:val="auto"/>
                      <w:lang w:val="en-US" w:eastAsia="zh-CN"/>
                    </w:rPr>
                    <w:t>27</w:t>
                  </w:r>
                </w:p>
              </w:tc>
              <w:tc>
                <w:tcPr>
                  <w:tcW w:w="630" w:type="pct"/>
                  <w:vAlign w:val="center"/>
                </w:tcPr>
                <w:p w14:paraId="1F62CDB0">
                  <w:pPr>
                    <w:pStyle w:val="31"/>
                    <w:bidi w:val="0"/>
                    <w:rPr>
                      <w:rFonts w:hint="default"/>
                      <w:color w:val="auto"/>
                      <w:lang w:val="en-US" w:eastAsia="zh-CN"/>
                    </w:rPr>
                  </w:pPr>
                  <w:r>
                    <w:rPr>
                      <w:rFonts w:hint="eastAsia"/>
                      <w:color w:val="auto"/>
                      <w:lang w:val="en-US" w:eastAsia="zh-CN"/>
                    </w:rPr>
                    <w:t>布袋除尘器风机</w:t>
                  </w:r>
                </w:p>
              </w:tc>
              <w:tc>
                <w:tcPr>
                  <w:tcW w:w="760" w:type="pct"/>
                  <w:vAlign w:val="center"/>
                </w:tcPr>
                <w:p w14:paraId="595C6D80">
                  <w:pPr>
                    <w:pStyle w:val="31"/>
                    <w:bidi w:val="0"/>
                    <w:rPr>
                      <w:rFonts w:hint="default"/>
                      <w:color w:val="auto"/>
                      <w:lang w:val="en-US" w:eastAsia="zh-CN"/>
                    </w:rPr>
                  </w:pPr>
                  <w:r>
                    <w:rPr>
                      <w:rFonts w:hint="eastAsia"/>
                      <w:color w:val="auto"/>
                      <w:lang w:val="en-US" w:eastAsia="zh-CN"/>
                    </w:rPr>
                    <w:t>/</w:t>
                  </w:r>
                </w:p>
              </w:tc>
              <w:tc>
                <w:tcPr>
                  <w:tcW w:w="996" w:type="pct"/>
                  <w:vAlign w:val="center"/>
                </w:tcPr>
                <w:p w14:paraId="0FF25CAC">
                  <w:pPr>
                    <w:pStyle w:val="31"/>
                    <w:bidi w:val="0"/>
                    <w:rPr>
                      <w:rFonts w:hint="eastAsia"/>
                      <w:color w:val="auto"/>
                      <w:lang w:val="en-US" w:eastAsia="zh-CN"/>
                    </w:rPr>
                  </w:pPr>
                  <w:r>
                    <w:rPr>
                      <w:rFonts w:hint="eastAsia"/>
                      <w:color w:val="auto"/>
                      <w:lang w:val="en-US" w:eastAsia="zh-CN"/>
                    </w:rPr>
                    <w:t>18000m</w:t>
                  </w:r>
                  <w:r>
                    <w:rPr>
                      <w:rFonts w:hint="eastAsia"/>
                      <w:color w:val="auto"/>
                      <w:vertAlign w:val="superscript"/>
                      <w:lang w:val="en-US" w:eastAsia="zh-CN"/>
                    </w:rPr>
                    <w:t>3</w:t>
                  </w:r>
                  <w:r>
                    <w:rPr>
                      <w:rFonts w:hint="eastAsia"/>
                      <w:color w:val="auto"/>
                      <w:lang w:val="en-US" w:eastAsia="zh-CN"/>
                    </w:rPr>
                    <w:t>/h</w:t>
                  </w:r>
                </w:p>
              </w:tc>
              <w:tc>
                <w:tcPr>
                  <w:tcW w:w="786" w:type="pct"/>
                  <w:vAlign w:val="center"/>
                </w:tcPr>
                <w:p w14:paraId="3CBAB964">
                  <w:pPr>
                    <w:pStyle w:val="31"/>
                    <w:bidi w:val="0"/>
                    <w:rPr>
                      <w:rFonts w:hint="default"/>
                      <w:color w:val="auto"/>
                      <w:lang w:val="en-US" w:eastAsia="zh-CN"/>
                    </w:rPr>
                  </w:pPr>
                  <w:r>
                    <w:rPr>
                      <w:rFonts w:hint="eastAsia"/>
                      <w:color w:val="auto"/>
                      <w:lang w:val="en-US" w:eastAsia="zh-CN"/>
                    </w:rPr>
                    <w:t>2台</w:t>
                  </w:r>
                </w:p>
              </w:tc>
              <w:tc>
                <w:tcPr>
                  <w:tcW w:w="1429" w:type="pct"/>
                  <w:vAlign w:val="center"/>
                </w:tcPr>
                <w:p w14:paraId="1E684844">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olor w:val="auto"/>
                      <w:lang w:val="en-US" w:eastAsia="zh-CN"/>
                    </w:rPr>
                  </w:pPr>
                  <w:r>
                    <w:rPr>
                      <w:rFonts w:hint="eastAsia"/>
                      <w:color w:val="auto"/>
                      <w:lang w:val="en-US" w:eastAsia="zh-CN"/>
                    </w:rPr>
                    <w:t>本次改建项目新增</w:t>
                  </w:r>
                </w:p>
              </w:tc>
            </w:tr>
          </w:tbl>
          <w:p w14:paraId="588AC639">
            <w:pPr>
              <w:pStyle w:val="39"/>
              <w:rPr>
                <w:rFonts w:hint="eastAsia" w:eastAsia="宋体"/>
                <w:color w:val="auto"/>
                <w:lang w:eastAsia="zh-CN"/>
              </w:rPr>
            </w:pPr>
            <w:r>
              <w:rPr>
                <w:rFonts w:hint="eastAsia"/>
                <w:color w:val="auto"/>
                <w:lang w:eastAsia="zh-CN"/>
              </w:rPr>
              <w:t>五、</w:t>
            </w:r>
            <w:r>
              <w:rPr>
                <w:color w:val="auto"/>
              </w:rPr>
              <w:t>主要原辅材料及</w:t>
            </w:r>
            <w:r>
              <w:rPr>
                <w:rFonts w:hint="eastAsia"/>
                <w:color w:val="auto"/>
                <w:lang w:eastAsia="zh-CN"/>
              </w:rPr>
              <w:t>能源</w:t>
            </w:r>
            <w:r>
              <w:rPr>
                <w:color w:val="auto"/>
              </w:rPr>
              <w:t>的</w:t>
            </w:r>
            <w:r>
              <w:rPr>
                <w:rFonts w:hint="eastAsia"/>
                <w:color w:val="auto"/>
                <w:lang w:eastAsia="zh-CN"/>
              </w:rPr>
              <w:t>消耗</w:t>
            </w:r>
          </w:p>
          <w:p w14:paraId="036642CD">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color w:val="auto"/>
                <w:lang w:eastAsia="zh-CN"/>
              </w:rPr>
            </w:pPr>
            <w:r>
              <w:rPr>
                <w:rFonts w:hint="eastAsia"/>
                <w:color w:val="auto"/>
                <w:lang w:eastAsia="zh-CN"/>
              </w:rPr>
              <w:t>（</w:t>
            </w:r>
            <w:r>
              <w:rPr>
                <w:rFonts w:hint="eastAsia"/>
                <w:color w:val="auto"/>
                <w:lang w:val="en-US" w:eastAsia="zh-CN"/>
              </w:rPr>
              <w:t>1</w:t>
            </w:r>
            <w:r>
              <w:rPr>
                <w:rFonts w:hint="eastAsia"/>
                <w:color w:val="auto"/>
                <w:lang w:eastAsia="zh-CN"/>
              </w:rPr>
              <w:t>）主要原辅材料</w:t>
            </w:r>
          </w:p>
          <w:p w14:paraId="389918D5">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color w:val="auto"/>
                <w:lang w:eastAsia="zh-CN"/>
              </w:rPr>
            </w:pPr>
            <w:r>
              <w:rPr>
                <w:rFonts w:hint="eastAsia"/>
                <w:color w:val="auto"/>
                <w:lang w:eastAsia="zh-CN"/>
              </w:rPr>
              <w:t>根据建设单位提供的资料，项目主要使用的原辅材料情况见下表。</w:t>
            </w:r>
          </w:p>
          <w:p w14:paraId="3C555CA4">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宋体"/>
                <w:color w:val="auto"/>
                <w:sz w:val="24"/>
                <w:szCs w:val="24"/>
              </w:rPr>
            </w:pPr>
          </w:p>
          <w:p w14:paraId="529B29EF">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olor w:val="auto"/>
                <w:sz w:val="24"/>
                <w:szCs w:val="24"/>
              </w:rPr>
            </w:pPr>
            <w:r>
              <w:rPr>
                <w:rFonts w:ascii="Times New Roman" w:hAnsi="Times New Roman" w:eastAsia="宋体"/>
                <w:color w:val="auto"/>
                <w:sz w:val="24"/>
                <w:szCs w:val="24"/>
              </w:rPr>
              <w:t>表2-4 本项目原辅材料年用量一览表</w:t>
            </w:r>
          </w:p>
          <w:tbl>
            <w:tblPr>
              <w:tblStyle w:val="23"/>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3"/>
              <w:gridCol w:w="1304"/>
              <w:gridCol w:w="884"/>
              <w:gridCol w:w="951"/>
              <w:gridCol w:w="747"/>
              <w:gridCol w:w="978"/>
              <w:gridCol w:w="1067"/>
              <w:gridCol w:w="2157"/>
            </w:tblGrid>
            <w:tr w14:paraId="73EE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vAlign w:val="center"/>
                </w:tcPr>
                <w:p w14:paraId="21D284B0">
                  <w:pPr>
                    <w:pStyle w:val="31"/>
                    <w:rPr>
                      <w:rFonts w:hint="eastAsia" w:eastAsia="宋体"/>
                      <w:color w:val="auto"/>
                      <w:lang w:eastAsia="zh-CN"/>
                    </w:rPr>
                  </w:pPr>
                  <w:r>
                    <w:rPr>
                      <w:rFonts w:hint="eastAsia"/>
                      <w:color w:val="auto"/>
                      <w:lang w:eastAsia="zh-CN"/>
                    </w:rPr>
                    <w:t>原辅材料</w:t>
                  </w:r>
                </w:p>
              </w:tc>
            </w:tr>
            <w:tr w14:paraId="45674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 w:type="pct"/>
                  <w:vAlign w:val="center"/>
                </w:tcPr>
                <w:p w14:paraId="690B42BF">
                  <w:pPr>
                    <w:pStyle w:val="31"/>
                    <w:rPr>
                      <w:rFonts w:hint="default"/>
                      <w:color w:val="auto"/>
                    </w:rPr>
                  </w:pPr>
                  <w:r>
                    <w:rPr>
                      <w:color w:val="auto"/>
                    </w:rPr>
                    <w:t>序号</w:t>
                  </w:r>
                </w:p>
              </w:tc>
              <w:tc>
                <w:tcPr>
                  <w:tcW w:w="760" w:type="pct"/>
                  <w:vAlign w:val="center"/>
                </w:tcPr>
                <w:p w14:paraId="25166AA8">
                  <w:pPr>
                    <w:pStyle w:val="31"/>
                    <w:rPr>
                      <w:rFonts w:hint="default"/>
                      <w:color w:val="auto"/>
                    </w:rPr>
                  </w:pPr>
                  <w:r>
                    <w:rPr>
                      <w:color w:val="auto"/>
                    </w:rPr>
                    <w:t>名称</w:t>
                  </w:r>
                </w:p>
              </w:tc>
              <w:tc>
                <w:tcPr>
                  <w:tcW w:w="515" w:type="pct"/>
                  <w:vAlign w:val="center"/>
                </w:tcPr>
                <w:p w14:paraId="0C9E3DCF">
                  <w:pPr>
                    <w:pStyle w:val="31"/>
                    <w:rPr>
                      <w:rFonts w:hint="default"/>
                      <w:color w:val="auto"/>
                    </w:rPr>
                  </w:pPr>
                  <w:r>
                    <w:rPr>
                      <w:color w:val="auto"/>
                    </w:rPr>
                    <w:t>单位</w:t>
                  </w:r>
                </w:p>
              </w:tc>
              <w:tc>
                <w:tcPr>
                  <w:tcW w:w="554" w:type="pct"/>
                  <w:vAlign w:val="center"/>
                </w:tcPr>
                <w:p w14:paraId="3BD27A3A">
                  <w:pPr>
                    <w:pStyle w:val="31"/>
                    <w:rPr>
                      <w:rFonts w:hint="eastAsia" w:eastAsia="宋体"/>
                      <w:color w:val="auto"/>
                      <w:lang w:eastAsia="zh-CN"/>
                    </w:rPr>
                  </w:pPr>
                  <w:r>
                    <w:rPr>
                      <w:rFonts w:hint="eastAsia"/>
                      <w:color w:val="auto"/>
                      <w:lang w:eastAsia="zh-CN"/>
                    </w:rPr>
                    <w:t>消耗量</w:t>
                  </w:r>
                </w:p>
              </w:tc>
              <w:tc>
                <w:tcPr>
                  <w:tcW w:w="435" w:type="pct"/>
                  <w:vAlign w:val="center"/>
                </w:tcPr>
                <w:p w14:paraId="69710404">
                  <w:pPr>
                    <w:pStyle w:val="31"/>
                    <w:rPr>
                      <w:rFonts w:hint="eastAsia" w:eastAsia="宋体"/>
                      <w:color w:val="auto"/>
                      <w:lang w:eastAsia="zh-CN"/>
                    </w:rPr>
                  </w:pPr>
                  <w:r>
                    <w:rPr>
                      <w:rFonts w:hint="eastAsia"/>
                      <w:color w:val="auto"/>
                      <w:lang w:eastAsia="zh-CN"/>
                    </w:rPr>
                    <w:t>形态</w:t>
                  </w:r>
                </w:p>
              </w:tc>
              <w:tc>
                <w:tcPr>
                  <w:tcW w:w="570" w:type="pct"/>
                  <w:vAlign w:val="center"/>
                </w:tcPr>
                <w:p w14:paraId="2A4EABF5">
                  <w:pPr>
                    <w:pStyle w:val="31"/>
                    <w:rPr>
                      <w:rFonts w:hint="default"/>
                      <w:color w:val="auto"/>
                      <w:lang w:val="en-US" w:eastAsia="zh-CN"/>
                    </w:rPr>
                  </w:pPr>
                  <w:r>
                    <w:rPr>
                      <w:rFonts w:hint="eastAsia"/>
                      <w:color w:val="auto"/>
                      <w:lang w:eastAsia="zh-CN"/>
                    </w:rPr>
                    <w:t>最大存储量</w:t>
                  </w:r>
                  <w:r>
                    <w:rPr>
                      <w:rFonts w:hint="eastAsia"/>
                      <w:color w:val="auto"/>
                      <w:lang w:val="en-US" w:eastAsia="zh-CN"/>
                    </w:rPr>
                    <w:t>(t)</w:t>
                  </w:r>
                </w:p>
              </w:tc>
              <w:tc>
                <w:tcPr>
                  <w:tcW w:w="622" w:type="pct"/>
                  <w:vAlign w:val="center"/>
                </w:tcPr>
                <w:p w14:paraId="7CC1D5EB">
                  <w:pPr>
                    <w:pStyle w:val="31"/>
                    <w:rPr>
                      <w:rFonts w:hint="eastAsia"/>
                      <w:color w:val="auto"/>
                      <w:lang w:eastAsia="zh-CN"/>
                    </w:rPr>
                  </w:pPr>
                  <w:r>
                    <w:rPr>
                      <w:rFonts w:hint="eastAsia"/>
                      <w:color w:val="auto"/>
                      <w:lang w:eastAsia="zh-CN"/>
                    </w:rPr>
                    <w:t>存储位置</w:t>
                  </w:r>
                </w:p>
              </w:tc>
              <w:tc>
                <w:tcPr>
                  <w:tcW w:w="1253" w:type="pct"/>
                  <w:vAlign w:val="center"/>
                </w:tcPr>
                <w:p w14:paraId="26C076EB">
                  <w:pPr>
                    <w:pStyle w:val="31"/>
                    <w:rPr>
                      <w:rFonts w:hint="eastAsia" w:eastAsia="宋体"/>
                      <w:color w:val="auto"/>
                      <w:lang w:eastAsia="zh-CN"/>
                    </w:rPr>
                  </w:pPr>
                  <w:r>
                    <w:rPr>
                      <w:rFonts w:hint="eastAsia"/>
                      <w:color w:val="auto"/>
                      <w:lang w:eastAsia="zh-CN"/>
                    </w:rPr>
                    <w:t>备注</w:t>
                  </w:r>
                </w:p>
              </w:tc>
            </w:tr>
            <w:tr w14:paraId="03461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 w:type="pct"/>
                  <w:vAlign w:val="center"/>
                </w:tcPr>
                <w:p w14:paraId="1168FEFE">
                  <w:pPr>
                    <w:pStyle w:val="31"/>
                    <w:rPr>
                      <w:rFonts w:hint="default"/>
                      <w:color w:val="auto"/>
                    </w:rPr>
                  </w:pPr>
                  <w:r>
                    <w:rPr>
                      <w:color w:val="auto"/>
                    </w:rPr>
                    <w:t>1</w:t>
                  </w:r>
                </w:p>
              </w:tc>
              <w:tc>
                <w:tcPr>
                  <w:tcW w:w="760" w:type="pct"/>
                  <w:shd w:val="clear" w:color="auto" w:fill="auto"/>
                  <w:vAlign w:val="center"/>
                </w:tcPr>
                <w:p w14:paraId="5557CD0C">
                  <w:pPr>
                    <w:pStyle w:val="31"/>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ascii="Times New Roman" w:hAnsi="Times New Roman" w:eastAsia="宋体"/>
                      <w:color w:val="auto"/>
                    </w:rPr>
                    <w:t>镀锌钢带</w:t>
                  </w:r>
                </w:p>
              </w:tc>
              <w:tc>
                <w:tcPr>
                  <w:tcW w:w="515" w:type="pct"/>
                  <w:shd w:val="clear" w:color="auto" w:fill="auto"/>
                  <w:vAlign w:val="center"/>
                </w:tcPr>
                <w:p w14:paraId="4558310B">
                  <w:pPr>
                    <w:pStyle w:val="31"/>
                    <w:ind w:firstLine="0" w:firstLineChars="0"/>
                    <w:jc w:val="center"/>
                    <w:rPr>
                      <w:rFonts w:hint="default" w:ascii="Times New Roman" w:hAnsi="Times New Roman" w:eastAsia="宋体" w:cs="黑体"/>
                      <w:b w:val="0"/>
                      <w:color w:val="auto"/>
                      <w:kern w:val="2"/>
                      <w:sz w:val="21"/>
                      <w:szCs w:val="24"/>
                      <w:lang w:val="en-US" w:eastAsia="zh-CN" w:bidi="ar-SA"/>
                    </w:rPr>
                  </w:pPr>
                  <w:r>
                    <w:rPr>
                      <w:rFonts w:ascii="Times New Roman" w:hAnsi="Times New Roman" w:eastAsia="宋体"/>
                      <w:color w:val="auto"/>
                    </w:rPr>
                    <w:t>t/a</w:t>
                  </w:r>
                </w:p>
              </w:tc>
              <w:tc>
                <w:tcPr>
                  <w:tcW w:w="951" w:type="dxa"/>
                  <w:shd w:val="clear" w:color="auto" w:fill="auto"/>
                  <w:vAlign w:val="center"/>
                </w:tcPr>
                <w:p w14:paraId="4FB85280">
                  <w:pPr>
                    <w:pStyle w:val="31"/>
                    <w:ind w:firstLine="0" w:firstLineChars="0"/>
                    <w:jc w:val="center"/>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100500</w:t>
                  </w:r>
                </w:p>
              </w:tc>
              <w:tc>
                <w:tcPr>
                  <w:tcW w:w="435" w:type="pct"/>
                  <w:shd w:val="clear" w:color="auto" w:fill="auto"/>
                  <w:vAlign w:val="center"/>
                </w:tcPr>
                <w:p w14:paraId="7829081E">
                  <w:pPr>
                    <w:pStyle w:val="31"/>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ascii="Times New Roman" w:hAnsi="Times New Roman" w:eastAsia="宋体"/>
                      <w:color w:val="auto"/>
                      <w:lang w:val="en-US" w:eastAsia="zh-CN"/>
                    </w:rPr>
                    <w:t>固</w:t>
                  </w:r>
                </w:p>
              </w:tc>
              <w:tc>
                <w:tcPr>
                  <w:tcW w:w="570" w:type="pct"/>
                  <w:shd w:val="clear" w:color="auto" w:fill="auto"/>
                  <w:vAlign w:val="center"/>
                </w:tcPr>
                <w:p w14:paraId="474CDC66">
                  <w:pPr>
                    <w:pStyle w:val="31"/>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ascii="Times New Roman" w:hAnsi="Times New Roman" w:eastAsia="宋体"/>
                      <w:color w:val="auto"/>
                      <w:lang w:val="en-US" w:eastAsia="zh-CN"/>
                    </w:rPr>
                    <w:t>500</w:t>
                  </w:r>
                </w:p>
              </w:tc>
              <w:tc>
                <w:tcPr>
                  <w:tcW w:w="622" w:type="pct"/>
                  <w:shd w:val="clear" w:color="auto" w:fill="auto"/>
                  <w:vAlign w:val="center"/>
                </w:tcPr>
                <w:p w14:paraId="1F6C25FD">
                  <w:pPr>
                    <w:pStyle w:val="31"/>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原料库</w:t>
                  </w:r>
                </w:p>
              </w:tc>
              <w:tc>
                <w:tcPr>
                  <w:tcW w:w="1253" w:type="pct"/>
                  <w:shd w:val="clear" w:color="auto" w:fill="auto"/>
                  <w:vAlign w:val="center"/>
                </w:tcPr>
                <w:p w14:paraId="235788EB">
                  <w:pPr>
                    <w:pStyle w:val="31"/>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ascii="Times New Roman" w:hAnsi="Times New Roman" w:eastAsia="宋体"/>
                      <w:color w:val="auto"/>
                      <w:lang w:val="en-US" w:eastAsia="zh-CN"/>
                    </w:rPr>
                    <w:t>外购；原料表面不含油污类等</w:t>
                  </w:r>
                  <w:r>
                    <w:rPr>
                      <w:rFonts w:hint="eastAsia"/>
                      <w:color w:val="auto"/>
                      <w:lang w:val="en-US" w:eastAsia="zh-CN"/>
                    </w:rPr>
                    <w:t>，</w:t>
                  </w:r>
                  <w:r>
                    <w:rPr>
                      <w:rFonts w:hint="eastAsia" w:ascii="Times New Roman" w:hAnsi="Times New Roman" w:eastAsia="宋体"/>
                      <w:color w:val="auto"/>
                      <w:lang w:val="en-US" w:eastAsia="zh-CN"/>
                    </w:rPr>
                    <w:t>用于焊管生产</w:t>
                  </w:r>
                </w:p>
              </w:tc>
            </w:tr>
            <w:tr w14:paraId="163E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 w:type="pct"/>
                  <w:shd w:val="clear" w:color="auto" w:fill="auto"/>
                  <w:vAlign w:val="center"/>
                </w:tcPr>
                <w:p w14:paraId="6C2E535B">
                  <w:pPr>
                    <w:pStyle w:val="31"/>
                    <w:ind w:firstLine="0" w:firstLineChars="0"/>
                    <w:rPr>
                      <w:rFonts w:hint="default" w:ascii="Times New Roman" w:hAnsi="Times New Roman" w:eastAsia="宋体" w:cs="黑体"/>
                      <w:b w:val="0"/>
                      <w:color w:val="auto"/>
                      <w:kern w:val="2"/>
                      <w:sz w:val="21"/>
                      <w:szCs w:val="24"/>
                      <w:lang w:val="en-US" w:eastAsia="zh-CN" w:bidi="ar-SA"/>
                    </w:rPr>
                  </w:pPr>
                  <w:r>
                    <w:rPr>
                      <w:color w:val="auto"/>
                    </w:rPr>
                    <w:t>2</w:t>
                  </w:r>
                </w:p>
              </w:tc>
              <w:tc>
                <w:tcPr>
                  <w:tcW w:w="760" w:type="pct"/>
                  <w:shd w:val="clear" w:color="auto" w:fill="auto"/>
                  <w:vAlign w:val="center"/>
                </w:tcPr>
                <w:p w14:paraId="15DE2F04">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eastAsia="zh-CN"/>
                    </w:rPr>
                    <w:t>乙炔</w:t>
                  </w:r>
                </w:p>
              </w:tc>
              <w:tc>
                <w:tcPr>
                  <w:tcW w:w="515" w:type="pct"/>
                  <w:shd w:val="clear" w:color="auto" w:fill="auto"/>
                  <w:vAlign w:val="center"/>
                </w:tcPr>
                <w:p w14:paraId="2075FBD6">
                  <w:pPr>
                    <w:pStyle w:val="31"/>
                    <w:ind w:firstLine="0" w:firstLineChars="0"/>
                    <w:rPr>
                      <w:rFonts w:hint="default" w:ascii="Times New Roman" w:hAnsi="Times New Roman" w:eastAsia="宋体" w:cs="黑体"/>
                      <w:b w:val="0"/>
                      <w:color w:val="auto"/>
                      <w:kern w:val="2"/>
                      <w:sz w:val="21"/>
                      <w:szCs w:val="24"/>
                      <w:lang w:val="en-US" w:eastAsia="zh-CN" w:bidi="ar-SA"/>
                    </w:rPr>
                  </w:pPr>
                  <w:r>
                    <w:rPr>
                      <w:color w:val="auto"/>
                    </w:rPr>
                    <w:t>t/a</w:t>
                  </w:r>
                </w:p>
              </w:tc>
              <w:tc>
                <w:tcPr>
                  <w:tcW w:w="951" w:type="dxa"/>
                  <w:shd w:val="clear" w:color="auto" w:fill="auto"/>
                  <w:vAlign w:val="center"/>
                </w:tcPr>
                <w:p w14:paraId="56FD1DBB">
                  <w:pPr>
                    <w:pStyle w:val="31"/>
                    <w:ind w:firstLine="0" w:firstLineChars="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6</w:t>
                  </w:r>
                </w:p>
              </w:tc>
              <w:tc>
                <w:tcPr>
                  <w:tcW w:w="435" w:type="pct"/>
                  <w:shd w:val="clear" w:color="auto" w:fill="auto"/>
                  <w:vAlign w:val="center"/>
                </w:tcPr>
                <w:p w14:paraId="1F8CAE85">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气</w:t>
                  </w:r>
                </w:p>
              </w:tc>
              <w:tc>
                <w:tcPr>
                  <w:tcW w:w="570" w:type="pct"/>
                  <w:shd w:val="clear" w:color="auto" w:fill="auto"/>
                  <w:vAlign w:val="center"/>
                </w:tcPr>
                <w:p w14:paraId="1F8A3D24">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0.5</w:t>
                  </w:r>
                </w:p>
              </w:tc>
              <w:tc>
                <w:tcPr>
                  <w:tcW w:w="622" w:type="pct"/>
                  <w:shd w:val="clear" w:color="auto" w:fill="auto"/>
                  <w:vAlign w:val="center"/>
                </w:tcPr>
                <w:p w14:paraId="2C657069">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乙炔储藏区</w:t>
                  </w:r>
                </w:p>
              </w:tc>
              <w:tc>
                <w:tcPr>
                  <w:tcW w:w="1253" w:type="pct"/>
                  <w:shd w:val="clear" w:color="auto" w:fill="auto"/>
                  <w:vAlign w:val="center"/>
                </w:tcPr>
                <w:p w14:paraId="00E0AE8E">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用于焊管焊接</w:t>
                  </w:r>
                </w:p>
              </w:tc>
            </w:tr>
            <w:tr w14:paraId="721B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 w:type="pct"/>
                  <w:shd w:val="clear" w:color="auto" w:fill="auto"/>
                  <w:vAlign w:val="center"/>
                </w:tcPr>
                <w:p w14:paraId="2395C8F5">
                  <w:pPr>
                    <w:pStyle w:val="31"/>
                    <w:ind w:firstLine="0" w:firstLineChars="0"/>
                    <w:rPr>
                      <w:rFonts w:hint="default" w:ascii="Times New Roman" w:hAnsi="Times New Roman" w:eastAsia="宋体" w:cs="黑体"/>
                      <w:b w:val="0"/>
                      <w:color w:val="auto"/>
                      <w:kern w:val="2"/>
                      <w:sz w:val="21"/>
                      <w:szCs w:val="24"/>
                      <w:lang w:val="en-US" w:eastAsia="zh-CN" w:bidi="ar-SA"/>
                    </w:rPr>
                  </w:pPr>
                  <w:r>
                    <w:rPr>
                      <w:color w:val="auto"/>
                    </w:rPr>
                    <w:t>3</w:t>
                  </w:r>
                </w:p>
              </w:tc>
              <w:tc>
                <w:tcPr>
                  <w:tcW w:w="760" w:type="pct"/>
                  <w:shd w:val="clear" w:color="auto" w:fill="auto"/>
                  <w:vAlign w:val="center"/>
                </w:tcPr>
                <w:p w14:paraId="5D1307B5">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eastAsia="zh-CN"/>
                    </w:rPr>
                    <w:t>氧气</w:t>
                  </w:r>
                </w:p>
              </w:tc>
              <w:tc>
                <w:tcPr>
                  <w:tcW w:w="515" w:type="pct"/>
                  <w:shd w:val="clear" w:color="auto" w:fill="auto"/>
                  <w:vAlign w:val="center"/>
                </w:tcPr>
                <w:p w14:paraId="04AE36F5">
                  <w:pPr>
                    <w:pStyle w:val="31"/>
                    <w:ind w:firstLine="0" w:firstLineChars="0"/>
                    <w:rPr>
                      <w:rFonts w:hint="default" w:ascii="Times New Roman" w:hAnsi="Times New Roman" w:eastAsia="宋体" w:cs="黑体"/>
                      <w:b w:val="0"/>
                      <w:color w:val="auto"/>
                      <w:kern w:val="2"/>
                      <w:sz w:val="21"/>
                      <w:szCs w:val="24"/>
                      <w:lang w:val="en-US" w:eastAsia="zh-CN" w:bidi="ar-SA"/>
                    </w:rPr>
                  </w:pPr>
                  <w:r>
                    <w:rPr>
                      <w:color w:val="auto"/>
                    </w:rPr>
                    <w:t>t/a</w:t>
                  </w:r>
                </w:p>
              </w:tc>
              <w:tc>
                <w:tcPr>
                  <w:tcW w:w="951" w:type="dxa"/>
                  <w:shd w:val="clear" w:color="auto" w:fill="auto"/>
                  <w:vAlign w:val="center"/>
                </w:tcPr>
                <w:p w14:paraId="1609ED4B">
                  <w:pPr>
                    <w:pStyle w:val="31"/>
                    <w:ind w:firstLine="0" w:firstLineChars="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20</w:t>
                  </w:r>
                </w:p>
              </w:tc>
              <w:tc>
                <w:tcPr>
                  <w:tcW w:w="435" w:type="pct"/>
                  <w:shd w:val="clear" w:color="auto" w:fill="auto"/>
                  <w:vAlign w:val="center"/>
                </w:tcPr>
                <w:p w14:paraId="49F4007A">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气</w:t>
                  </w:r>
                </w:p>
              </w:tc>
              <w:tc>
                <w:tcPr>
                  <w:tcW w:w="570" w:type="pct"/>
                  <w:shd w:val="clear" w:color="auto" w:fill="auto"/>
                  <w:vAlign w:val="center"/>
                </w:tcPr>
                <w:p w14:paraId="6C740776">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2.4</w:t>
                  </w:r>
                </w:p>
              </w:tc>
              <w:tc>
                <w:tcPr>
                  <w:tcW w:w="622" w:type="pct"/>
                  <w:shd w:val="clear" w:color="auto" w:fill="auto"/>
                  <w:vAlign w:val="center"/>
                </w:tcPr>
                <w:p w14:paraId="1B463915">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原料库</w:t>
                  </w:r>
                </w:p>
              </w:tc>
              <w:tc>
                <w:tcPr>
                  <w:tcW w:w="1253" w:type="pct"/>
                  <w:shd w:val="clear" w:color="auto" w:fill="auto"/>
                  <w:vAlign w:val="center"/>
                </w:tcPr>
                <w:p w14:paraId="6C2AA086">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用于焊管焊接</w:t>
                  </w:r>
                </w:p>
              </w:tc>
            </w:tr>
            <w:tr w14:paraId="0822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87" w:type="pct"/>
                  <w:shd w:val="clear" w:color="auto" w:fill="auto"/>
                  <w:vAlign w:val="center"/>
                </w:tcPr>
                <w:p w14:paraId="4CCB624B">
                  <w:pPr>
                    <w:pStyle w:val="31"/>
                    <w:ind w:firstLine="0" w:firstLineChars="0"/>
                    <w:rPr>
                      <w:rFonts w:hint="default" w:ascii="Times New Roman" w:hAnsi="Times New Roman" w:eastAsia="宋体" w:cs="黑体"/>
                      <w:b w:val="0"/>
                      <w:color w:val="auto"/>
                      <w:kern w:val="2"/>
                      <w:sz w:val="21"/>
                      <w:szCs w:val="24"/>
                      <w:lang w:val="en-US" w:eastAsia="zh-CN" w:bidi="ar-SA"/>
                    </w:rPr>
                  </w:pPr>
                  <w:r>
                    <w:rPr>
                      <w:rFonts w:hint="eastAsia" w:eastAsia="宋体"/>
                      <w:color w:val="auto"/>
                      <w:lang w:val="en-US" w:eastAsia="zh-CN"/>
                    </w:rPr>
                    <w:t>4</w:t>
                  </w:r>
                </w:p>
              </w:tc>
              <w:tc>
                <w:tcPr>
                  <w:tcW w:w="760" w:type="pct"/>
                  <w:shd w:val="clear" w:color="auto" w:fill="auto"/>
                  <w:vAlign w:val="center"/>
                </w:tcPr>
                <w:p w14:paraId="145E6EE5">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eastAsia="zh-CN"/>
                    </w:rPr>
                    <w:t>锌丝</w:t>
                  </w:r>
                </w:p>
              </w:tc>
              <w:tc>
                <w:tcPr>
                  <w:tcW w:w="515" w:type="pct"/>
                  <w:shd w:val="clear" w:color="auto" w:fill="auto"/>
                  <w:vAlign w:val="center"/>
                </w:tcPr>
                <w:p w14:paraId="1943A4DD">
                  <w:pPr>
                    <w:pStyle w:val="31"/>
                    <w:ind w:firstLine="0" w:firstLineChars="0"/>
                    <w:rPr>
                      <w:rFonts w:hint="default" w:ascii="Times New Roman" w:hAnsi="Times New Roman" w:eastAsia="宋体" w:cs="黑体"/>
                      <w:b w:val="0"/>
                      <w:color w:val="auto"/>
                      <w:kern w:val="2"/>
                      <w:sz w:val="21"/>
                      <w:szCs w:val="24"/>
                      <w:lang w:val="en-US" w:eastAsia="zh-CN" w:bidi="ar-SA"/>
                    </w:rPr>
                  </w:pPr>
                  <w:r>
                    <w:rPr>
                      <w:color w:val="auto"/>
                    </w:rPr>
                    <w:t>t/a</w:t>
                  </w:r>
                </w:p>
              </w:tc>
              <w:tc>
                <w:tcPr>
                  <w:tcW w:w="951" w:type="dxa"/>
                  <w:shd w:val="clear" w:color="auto" w:fill="auto"/>
                  <w:vAlign w:val="center"/>
                </w:tcPr>
                <w:p w14:paraId="5189B0A2">
                  <w:pPr>
                    <w:pStyle w:val="31"/>
                    <w:ind w:firstLine="0" w:firstLineChars="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4</w:t>
                  </w:r>
                </w:p>
              </w:tc>
              <w:tc>
                <w:tcPr>
                  <w:tcW w:w="435" w:type="pct"/>
                  <w:shd w:val="clear" w:color="auto" w:fill="auto"/>
                  <w:vAlign w:val="center"/>
                </w:tcPr>
                <w:p w14:paraId="1B2EAE08">
                  <w:pPr>
                    <w:pStyle w:val="31"/>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固</w:t>
                  </w:r>
                </w:p>
              </w:tc>
              <w:tc>
                <w:tcPr>
                  <w:tcW w:w="570" w:type="pct"/>
                  <w:shd w:val="clear" w:color="auto" w:fill="auto"/>
                  <w:vAlign w:val="center"/>
                </w:tcPr>
                <w:p w14:paraId="26BB9DB2">
                  <w:pPr>
                    <w:pStyle w:val="31"/>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0.5</w:t>
                  </w:r>
                </w:p>
              </w:tc>
              <w:tc>
                <w:tcPr>
                  <w:tcW w:w="622" w:type="pct"/>
                  <w:shd w:val="clear" w:color="auto" w:fill="auto"/>
                  <w:vAlign w:val="center"/>
                </w:tcPr>
                <w:p w14:paraId="58F8E447">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原料库</w:t>
                  </w:r>
                </w:p>
              </w:tc>
              <w:tc>
                <w:tcPr>
                  <w:tcW w:w="1253" w:type="pct"/>
                  <w:shd w:val="clear" w:color="auto" w:fill="auto"/>
                  <w:vAlign w:val="center"/>
                </w:tcPr>
                <w:p w14:paraId="63C6663A">
                  <w:pPr>
                    <w:pStyle w:val="31"/>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外购；用于焊缝补锌</w:t>
                  </w:r>
                </w:p>
              </w:tc>
            </w:tr>
            <w:tr w14:paraId="4B07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 w:type="pct"/>
                  <w:shd w:val="clear" w:color="auto" w:fill="auto"/>
                  <w:vAlign w:val="center"/>
                </w:tcPr>
                <w:p w14:paraId="357CD70A">
                  <w:pPr>
                    <w:pStyle w:val="31"/>
                    <w:ind w:firstLine="0" w:firstLineChars="0"/>
                    <w:rPr>
                      <w:rFonts w:hint="default" w:ascii="Times New Roman" w:hAnsi="Times New Roman" w:eastAsia="宋体" w:cs="黑体"/>
                      <w:b w:val="0"/>
                      <w:color w:val="auto"/>
                      <w:kern w:val="2"/>
                      <w:sz w:val="21"/>
                      <w:szCs w:val="24"/>
                      <w:lang w:val="en-US" w:eastAsia="zh-CN" w:bidi="ar-SA"/>
                    </w:rPr>
                  </w:pPr>
                  <w:r>
                    <w:rPr>
                      <w:rFonts w:hint="eastAsia" w:eastAsia="宋体"/>
                      <w:color w:val="auto"/>
                      <w:lang w:val="en-US" w:eastAsia="zh-CN"/>
                    </w:rPr>
                    <w:t>5</w:t>
                  </w:r>
                </w:p>
              </w:tc>
              <w:tc>
                <w:tcPr>
                  <w:tcW w:w="760" w:type="pct"/>
                  <w:shd w:val="clear" w:color="auto" w:fill="auto"/>
                  <w:vAlign w:val="center"/>
                </w:tcPr>
                <w:p w14:paraId="72181D0F">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eastAsia="zh-CN"/>
                    </w:rPr>
                    <w:t>铝丝</w:t>
                  </w:r>
                </w:p>
              </w:tc>
              <w:tc>
                <w:tcPr>
                  <w:tcW w:w="515" w:type="pct"/>
                  <w:shd w:val="clear" w:color="auto" w:fill="auto"/>
                  <w:vAlign w:val="center"/>
                </w:tcPr>
                <w:p w14:paraId="6CAA377C">
                  <w:pPr>
                    <w:pStyle w:val="31"/>
                    <w:ind w:firstLine="0" w:firstLineChars="0"/>
                    <w:rPr>
                      <w:rFonts w:hint="default" w:ascii="Times New Roman" w:hAnsi="Times New Roman" w:eastAsia="宋体" w:cs="黑体"/>
                      <w:b w:val="0"/>
                      <w:color w:val="auto"/>
                      <w:kern w:val="2"/>
                      <w:sz w:val="21"/>
                      <w:szCs w:val="24"/>
                      <w:lang w:val="en-US" w:eastAsia="zh-CN" w:bidi="ar-SA"/>
                    </w:rPr>
                  </w:pPr>
                  <w:r>
                    <w:rPr>
                      <w:color w:val="auto"/>
                    </w:rPr>
                    <w:t>t/a</w:t>
                  </w:r>
                </w:p>
              </w:tc>
              <w:tc>
                <w:tcPr>
                  <w:tcW w:w="951" w:type="dxa"/>
                  <w:shd w:val="clear" w:color="auto" w:fill="auto"/>
                  <w:vAlign w:val="center"/>
                </w:tcPr>
                <w:p w14:paraId="47DDE277">
                  <w:pPr>
                    <w:pStyle w:val="31"/>
                    <w:ind w:firstLine="0" w:firstLineChars="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4</w:t>
                  </w:r>
                </w:p>
              </w:tc>
              <w:tc>
                <w:tcPr>
                  <w:tcW w:w="435" w:type="pct"/>
                  <w:shd w:val="clear" w:color="auto" w:fill="auto"/>
                  <w:vAlign w:val="center"/>
                </w:tcPr>
                <w:p w14:paraId="3B48EF8B">
                  <w:pPr>
                    <w:pStyle w:val="31"/>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eastAsia="zh-CN"/>
                    </w:rPr>
                    <w:t>固</w:t>
                  </w:r>
                </w:p>
              </w:tc>
              <w:tc>
                <w:tcPr>
                  <w:tcW w:w="570" w:type="pct"/>
                  <w:shd w:val="clear" w:color="auto" w:fill="auto"/>
                  <w:vAlign w:val="center"/>
                </w:tcPr>
                <w:p w14:paraId="00A9E607">
                  <w:pPr>
                    <w:pStyle w:val="31"/>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0.3</w:t>
                  </w:r>
                </w:p>
              </w:tc>
              <w:tc>
                <w:tcPr>
                  <w:tcW w:w="622" w:type="pct"/>
                  <w:shd w:val="clear" w:color="auto" w:fill="auto"/>
                  <w:vAlign w:val="center"/>
                </w:tcPr>
                <w:p w14:paraId="60838DB4">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原料库</w:t>
                  </w:r>
                </w:p>
              </w:tc>
              <w:tc>
                <w:tcPr>
                  <w:tcW w:w="1253" w:type="pct"/>
                  <w:shd w:val="clear" w:color="auto" w:fill="auto"/>
                  <w:vAlign w:val="center"/>
                </w:tcPr>
                <w:p w14:paraId="096F3331">
                  <w:pPr>
                    <w:pStyle w:val="31"/>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eastAsia="zh-CN"/>
                    </w:rPr>
                    <w:t>外购；用于焊缝补锌</w:t>
                  </w:r>
                </w:p>
              </w:tc>
            </w:tr>
            <w:tr w14:paraId="5B9D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287" w:type="pct"/>
                  <w:shd w:val="clear" w:color="auto" w:fill="auto"/>
                  <w:vAlign w:val="center"/>
                </w:tcPr>
                <w:p w14:paraId="089B6A82">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6</w:t>
                  </w:r>
                </w:p>
              </w:tc>
              <w:tc>
                <w:tcPr>
                  <w:tcW w:w="760" w:type="pct"/>
                  <w:shd w:val="clear" w:color="auto" w:fill="auto"/>
                  <w:vAlign w:val="center"/>
                </w:tcPr>
                <w:p w14:paraId="1C82BAAC">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eastAsia="zh-CN"/>
                    </w:rPr>
                    <w:t>液压油</w:t>
                  </w:r>
                </w:p>
              </w:tc>
              <w:tc>
                <w:tcPr>
                  <w:tcW w:w="515" w:type="pct"/>
                  <w:shd w:val="clear" w:color="auto" w:fill="auto"/>
                  <w:vAlign w:val="center"/>
                </w:tcPr>
                <w:p w14:paraId="45D1DBDF">
                  <w:pPr>
                    <w:pStyle w:val="31"/>
                    <w:ind w:firstLine="0" w:firstLineChars="0"/>
                    <w:rPr>
                      <w:rFonts w:hint="eastAsia" w:ascii="Times New Roman" w:hAnsi="Times New Roman" w:eastAsia="宋体" w:cs="黑体"/>
                      <w:b w:val="0"/>
                      <w:color w:val="auto"/>
                      <w:kern w:val="2"/>
                      <w:sz w:val="21"/>
                      <w:szCs w:val="24"/>
                      <w:lang w:val="en-US" w:eastAsia="zh-CN" w:bidi="ar-SA"/>
                    </w:rPr>
                  </w:pPr>
                  <w:r>
                    <w:rPr>
                      <w:color w:val="auto"/>
                    </w:rPr>
                    <w:t>t/a</w:t>
                  </w:r>
                </w:p>
              </w:tc>
              <w:tc>
                <w:tcPr>
                  <w:tcW w:w="951" w:type="dxa"/>
                  <w:shd w:val="clear" w:color="auto" w:fill="auto"/>
                  <w:vAlign w:val="center"/>
                </w:tcPr>
                <w:p w14:paraId="5AF9F964">
                  <w:pPr>
                    <w:pStyle w:val="31"/>
                    <w:ind w:firstLine="0" w:firstLineChars="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1.5</w:t>
                  </w:r>
                </w:p>
              </w:tc>
              <w:tc>
                <w:tcPr>
                  <w:tcW w:w="435" w:type="pct"/>
                  <w:shd w:val="clear" w:color="auto" w:fill="auto"/>
                  <w:vAlign w:val="center"/>
                </w:tcPr>
                <w:p w14:paraId="6B111B03">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eastAsia="zh-CN"/>
                    </w:rPr>
                    <w:t>液</w:t>
                  </w:r>
                </w:p>
              </w:tc>
              <w:tc>
                <w:tcPr>
                  <w:tcW w:w="570" w:type="pct"/>
                  <w:shd w:val="clear" w:color="auto" w:fill="auto"/>
                  <w:vAlign w:val="center"/>
                </w:tcPr>
                <w:p w14:paraId="5CC3B9A8">
                  <w:pPr>
                    <w:pStyle w:val="31"/>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0.2</w:t>
                  </w:r>
                </w:p>
              </w:tc>
              <w:tc>
                <w:tcPr>
                  <w:tcW w:w="622" w:type="pct"/>
                  <w:shd w:val="clear" w:color="auto" w:fill="auto"/>
                  <w:vAlign w:val="center"/>
                </w:tcPr>
                <w:p w14:paraId="57F563A0">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原料库</w:t>
                  </w:r>
                </w:p>
              </w:tc>
              <w:tc>
                <w:tcPr>
                  <w:tcW w:w="1253" w:type="pct"/>
                  <w:shd w:val="clear" w:color="auto" w:fill="auto"/>
                  <w:vAlign w:val="center"/>
                </w:tcPr>
                <w:p w14:paraId="3931F21E">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eastAsia="zh-CN"/>
                    </w:rPr>
                    <w:t>外购；</w:t>
                  </w:r>
                  <w:r>
                    <w:rPr>
                      <w:rFonts w:hint="eastAsia"/>
                      <w:color w:val="auto"/>
                      <w:lang w:val="en-US" w:eastAsia="zh-CN"/>
                    </w:rPr>
                    <w:t>200kg铁桶装</w:t>
                  </w:r>
                </w:p>
              </w:tc>
            </w:tr>
            <w:tr w14:paraId="2591A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7" w:type="pct"/>
                  <w:shd w:val="clear" w:color="auto" w:fill="auto"/>
                  <w:vAlign w:val="center"/>
                </w:tcPr>
                <w:p w14:paraId="4EDBF642">
                  <w:pPr>
                    <w:pStyle w:val="31"/>
                    <w:ind w:firstLine="0" w:firstLineChars="0"/>
                    <w:rPr>
                      <w:rFonts w:hint="default"/>
                      <w:color w:val="auto"/>
                      <w:lang w:val="en-US" w:eastAsia="zh-CN"/>
                    </w:rPr>
                  </w:pPr>
                  <w:r>
                    <w:rPr>
                      <w:rFonts w:hint="eastAsia"/>
                      <w:color w:val="auto"/>
                      <w:lang w:val="en-US" w:eastAsia="zh-CN"/>
                    </w:rPr>
                    <w:t>7</w:t>
                  </w:r>
                </w:p>
              </w:tc>
              <w:tc>
                <w:tcPr>
                  <w:tcW w:w="760" w:type="pct"/>
                  <w:shd w:val="clear" w:color="auto" w:fill="auto"/>
                  <w:vAlign w:val="center"/>
                </w:tcPr>
                <w:p w14:paraId="21B17683">
                  <w:pPr>
                    <w:pStyle w:val="31"/>
                    <w:ind w:firstLine="0" w:firstLineChars="0"/>
                    <w:rPr>
                      <w:rFonts w:hint="default"/>
                      <w:color w:val="auto"/>
                      <w:lang w:val="en-US" w:eastAsia="zh-CN"/>
                    </w:rPr>
                  </w:pPr>
                  <w:r>
                    <w:rPr>
                      <w:rFonts w:hint="eastAsia"/>
                      <w:color w:val="auto"/>
                      <w:lang w:val="en-US" w:eastAsia="zh-CN"/>
                    </w:rPr>
                    <w:t>肥皂</w:t>
                  </w:r>
                </w:p>
              </w:tc>
              <w:tc>
                <w:tcPr>
                  <w:tcW w:w="515" w:type="pct"/>
                  <w:shd w:val="clear" w:color="auto" w:fill="auto"/>
                  <w:vAlign w:val="center"/>
                </w:tcPr>
                <w:p w14:paraId="6495175E">
                  <w:pPr>
                    <w:pStyle w:val="31"/>
                    <w:ind w:firstLine="0" w:firstLineChars="0"/>
                    <w:rPr>
                      <w:color w:val="auto"/>
                    </w:rPr>
                  </w:pPr>
                  <w:r>
                    <w:rPr>
                      <w:color w:val="auto"/>
                    </w:rPr>
                    <w:t>t/a</w:t>
                  </w:r>
                </w:p>
              </w:tc>
              <w:tc>
                <w:tcPr>
                  <w:tcW w:w="951" w:type="dxa"/>
                  <w:shd w:val="clear" w:color="auto" w:fill="auto"/>
                  <w:vAlign w:val="top"/>
                </w:tcPr>
                <w:p w14:paraId="579714E3">
                  <w:pPr>
                    <w:pStyle w:val="31"/>
                    <w:ind w:firstLine="0" w:firstLineChars="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100500</w:t>
                  </w:r>
                </w:p>
              </w:tc>
              <w:tc>
                <w:tcPr>
                  <w:tcW w:w="435" w:type="pct"/>
                  <w:shd w:val="clear" w:color="auto" w:fill="auto"/>
                  <w:vAlign w:val="center"/>
                </w:tcPr>
                <w:p w14:paraId="74D8B1DC">
                  <w:pPr>
                    <w:pStyle w:val="31"/>
                    <w:ind w:firstLine="0" w:firstLineChars="0"/>
                    <w:rPr>
                      <w:rFonts w:hint="eastAsia"/>
                      <w:color w:val="auto"/>
                      <w:lang w:eastAsia="zh-CN"/>
                    </w:rPr>
                  </w:pPr>
                  <w:r>
                    <w:rPr>
                      <w:rFonts w:hint="eastAsia"/>
                      <w:color w:val="auto"/>
                      <w:lang w:eastAsia="zh-CN"/>
                    </w:rPr>
                    <w:t>固</w:t>
                  </w:r>
                </w:p>
              </w:tc>
              <w:tc>
                <w:tcPr>
                  <w:tcW w:w="570" w:type="pct"/>
                  <w:shd w:val="clear" w:color="auto" w:fill="auto"/>
                  <w:vAlign w:val="center"/>
                </w:tcPr>
                <w:p w14:paraId="1F8DCA36">
                  <w:pPr>
                    <w:pStyle w:val="31"/>
                    <w:ind w:firstLine="0" w:firstLineChars="0"/>
                    <w:rPr>
                      <w:rFonts w:hint="default"/>
                      <w:color w:val="auto"/>
                      <w:lang w:val="en-US" w:eastAsia="zh-CN"/>
                    </w:rPr>
                  </w:pPr>
                  <w:r>
                    <w:rPr>
                      <w:rFonts w:hint="eastAsia"/>
                      <w:color w:val="auto"/>
                      <w:lang w:val="en-US" w:eastAsia="zh-CN"/>
                    </w:rPr>
                    <w:t>0.1</w:t>
                  </w:r>
                </w:p>
              </w:tc>
              <w:tc>
                <w:tcPr>
                  <w:tcW w:w="622" w:type="pct"/>
                  <w:shd w:val="clear" w:color="auto" w:fill="auto"/>
                  <w:vAlign w:val="center"/>
                </w:tcPr>
                <w:p w14:paraId="15C16E5E">
                  <w:pPr>
                    <w:pStyle w:val="31"/>
                    <w:ind w:firstLine="0" w:firstLineChars="0"/>
                    <w:rPr>
                      <w:rFonts w:hint="eastAsia"/>
                      <w:color w:val="auto"/>
                      <w:lang w:val="en-US" w:eastAsia="zh-CN"/>
                    </w:rPr>
                  </w:pPr>
                  <w:r>
                    <w:rPr>
                      <w:rFonts w:hint="eastAsia"/>
                      <w:color w:val="auto"/>
                      <w:lang w:val="en-US" w:eastAsia="zh-CN"/>
                    </w:rPr>
                    <w:t>原料库</w:t>
                  </w:r>
                </w:p>
              </w:tc>
              <w:tc>
                <w:tcPr>
                  <w:tcW w:w="1253" w:type="pct"/>
                  <w:shd w:val="clear" w:color="auto" w:fill="auto"/>
                  <w:vAlign w:val="center"/>
                </w:tcPr>
                <w:p w14:paraId="03389E31">
                  <w:pPr>
                    <w:pStyle w:val="31"/>
                    <w:ind w:firstLine="0" w:firstLineChars="0"/>
                    <w:rPr>
                      <w:rFonts w:hint="eastAsia"/>
                      <w:color w:val="auto"/>
                      <w:lang w:eastAsia="zh-CN"/>
                    </w:rPr>
                  </w:pPr>
                  <w:r>
                    <w:rPr>
                      <w:rFonts w:hint="eastAsia"/>
                      <w:color w:val="auto"/>
                      <w:lang w:eastAsia="zh-CN"/>
                    </w:rPr>
                    <w:t>外购；</w:t>
                  </w:r>
                  <w:r>
                    <w:rPr>
                      <w:rFonts w:hint="eastAsia"/>
                      <w:color w:val="auto"/>
                      <w:lang w:val="en-US" w:eastAsia="zh-CN"/>
                    </w:rPr>
                    <w:t>用作</w:t>
                  </w:r>
                  <w:r>
                    <w:rPr>
                      <w:rFonts w:hint="eastAsia"/>
                      <w:color w:val="auto"/>
                      <w:lang w:eastAsia="zh-CN"/>
                    </w:rPr>
                    <w:t>润滑</w:t>
                  </w:r>
                </w:p>
              </w:tc>
            </w:tr>
            <w:tr w14:paraId="7523F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5000" w:type="pct"/>
                  <w:gridSpan w:val="8"/>
                  <w:vAlign w:val="center"/>
                </w:tcPr>
                <w:p w14:paraId="1F4D294B">
                  <w:pPr>
                    <w:pStyle w:val="31"/>
                    <w:jc w:val="center"/>
                    <w:rPr>
                      <w:rFonts w:hint="eastAsia" w:eastAsia="宋体"/>
                      <w:color w:val="auto"/>
                      <w:highlight w:val="none"/>
                      <w:lang w:eastAsia="zh-CN"/>
                    </w:rPr>
                  </w:pPr>
                  <w:r>
                    <w:rPr>
                      <w:rFonts w:hint="eastAsia"/>
                      <w:color w:val="auto"/>
                      <w:highlight w:val="none"/>
                      <w:lang w:eastAsia="zh-CN"/>
                    </w:rPr>
                    <w:t>能源</w:t>
                  </w:r>
                </w:p>
              </w:tc>
            </w:tr>
            <w:tr w14:paraId="7ADD5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 w:type="pct"/>
                  <w:shd w:val="clear" w:color="auto" w:fill="auto"/>
                  <w:vAlign w:val="center"/>
                </w:tcPr>
                <w:p w14:paraId="4F2C6A02">
                  <w:pPr>
                    <w:pStyle w:val="31"/>
                    <w:ind w:firstLine="0" w:firstLineChars="0"/>
                    <w:rPr>
                      <w:rFonts w:hint="eastAsia" w:ascii="Times New Roman" w:hAnsi="Times New Roman" w:eastAsia="宋体" w:cs="黑体"/>
                      <w:b w:val="0"/>
                      <w:color w:val="auto"/>
                      <w:kern w:val="2"/>
                      <w:sz w:val="21"/>
                      <w:szCs w:val="24"/>
                      <w:highlight w:val="none"/>
                      <w:lang w:val="en-US" w:eastAsia="zh-CN" w:bidi="ar-SA"/>
                    </w:rPr>
                  </w:pPr>
                  <w:r>
                    <w:rPr>
                      <w:rFonts w:hint="eastAsia"/>
                      <w:color w:val="auto"/>
                      <w:highlight w:val="none"/>
                      <w:lang w:val="en-US" w:eastAsia="zh-CN"/>
                    </w:rPr>
                    <w:t>8</w:t>
                  </w:r>
                </w:p>
              </w:tc>
              <w:tc>
                <w:tcPr>
                  <w:tcW w:w="760" w:type="pct"/>
                  <w:vAlign w:val="center"/>
                </w:tcPr>
                <w:p w14:paraId="1D683900">
                  <w:pPr>
                    <w:pStyle w:val="31"/>
                    <w:rPr>
                      <w:rFonts w:hint="eastAsia" w:eastAsia="宋体"/>
                      <w:color w:val="auto"/>
                      <w:highlight w:val="none"/>
                      <w:lang w:eastAsia="zh-CN"/>
                    </w:rPr>
                  </w:pPr>
                  <w:r>
                    <w:rPr>
                      <w:rFonts w:hint="eastAsia"/>
                      <w:color w:val="auto"/>
                      <w:highlight w:val="none"/>
                      <w:lang w:eastAsia="zh-CN"/>
                    </w:rPr>
                    <w:t>电力</w:t>
                  </w:r>
                </w:p>
              </w:tc>
              <w:tc>
                <w:tcPr>
                  <w:tcW w:w="515" w:type="pct"/>
                  <w:vAlign w:val="center"/>
                </w:tcPr>
                <w:p w14:paraId="2C15B3C6">
                  <w:pPr>
                    <w:pStyle w:val="31"/>
                    <w:rPr>
                      <w:rFonts w:hint="default"/>
                      <w:color w:val="auto"/>
                      <w:highlight w:val="none"/>
                    </w:rPr>
                  </w:pPr>
                  <w:r>
                    <w:rPr>
                      <w:color w:val="auto"/>
                      <w:highlight w:val="none"/>
                      <w:lang w:val="en-GB"/>
                    </w:rPr>
                    <w:t>kw·h/a</w:t>
                  </w:r>
                </w:p>
              </w:tc>
              <w:tc>
                <w:tcPr>
                  <w:tcW w:w="554" w:type="pct"/>
                  <w:vAlign w:val="center"/>
                </w:tcPr>
                <w:p w14:paraId="3FCCA56E">
                  <w:pPr>
                    <w:pStyle w:val="31"/>
                    <w:rPr>
                      <w:rFonts w:hint="default" w:eastAsia="宋体"/>
                      <w:color w:val="auto"/>
                      <w:highlight w:val="none"/>
                      <w:lang w:val="en-US" w:eastAsia="zh-CN"/>
                    </w:rPr>
                  </w:pPr>
                  <w:r>
                    <w:rPr>
                      <w:rFonts w:hint="eastAsia"/>
                      <w:color w:val="auto"/>
                      <w:highlight w:val="none"/>
                      <w:lang w:val="en-US" w:eastAsia="zh-CN"/>
                    </w:rPr>
                    <w:t>446.5</w:t>
                  </w:r>
                  <w:r>
                    <w:rPr>
                      <w:rFonts w:hint="default" w:ascii="Arial" w:hAnsi="Arial" w:cs="Arial"/>
                      <w:color w:val="auto"/>
                      <w:highlight w:val="none"/>
                      <w:lang w:val="en-US" w:eastAsia="zh-CN"/>
                    </w:rPr>
                    <w:t>×</w:t>
                  </w:r>
                  <w:r>
                    <w:rPr>
                      <w:rFonts w:hint="eastAsia"/>
                      <w:color w:val="auto"/>
                      <w:highlight w:val="none"/>
                      <w:lang w:val="en-US" w:eastAsia="zh-CN"/>
                    </w:rPr>
                    <w:t>10</w:t>
                  </w:r>
                  <w:r>
                    <w:rPr>
                      <w:rFonts w:hint="eastAsia"/>
                      <w:color w:val="auto"/>
                      <w:highlight w:val="none"/>
                      <w:vertAlign w:val="superscript"/>
                      <w:lang w:val="en-US" w:eastAsia="zh-CN"/>
                    </w:rPr>
                    <w:t>4</w:t>
                  </w:r>
                </w:p>
              </w:tc>
              <w:tc>
                <w:tcPr>
                  <w:tcW w:w="435" w:type="pct"/>
                  <w:vAlign w:val="center"/>
                </w:tcPr>
                <w:p w14:paraId="63601CB8">
                  <w:pPr>
                    <w:pStyle w:val="31"/>
                    <w:rPr>
                      <w:rFonts w:hint="eastAsia" w:eastAsia="宋体"/>
                      <w:color w:val="auto"/>
                      <w:highlight w:val="none"/>
                      <w:lang w:eastAsia="zh-CN"/>
                    </w:rPr>
                  </w:pPr>
                  <w:r>
                    <w:rPr>
                      <w:rFonts w:hint="eastAsia"/>
                      <w:color w:val="auto"/>
                      <w:highlight w:val="none"/>
                      <w:lang w:eastAsia="zh-CN"/>
                    </w:rPr>
                    <w:t>——</w:t>
                  </w:r>
                </w:p>
              </w:tc>
              <w:tc>
                <w:tcPr>
                  <w:tcW w:w="570" w:type="pct"/>
                  <w:vAlign w:val="center"/>
                </w:tcPr>
                <w:p w14:paraId="283D3AA0">
                  <w:pPr>
                    <w:pStyle w:val="31"/>
                    <w:rPr>
                      <w:rFonts w:hint="default"/>
                      <w:color w:val="auto"/>
                      <w:highlight w:val="none"/>
                      <w:lang w:val="en-US" w:eastAsia="zh-CN"/>
                    </w:rPr>
                  </w:pPr>
                  <w:r>
                    <w:rPr>
                      <w:rFonts w:hint="eastAsia"/>
                      <w:color w:val="auto"/>
                      <w:highlight w:val="none"/>
                      <w:lang w:val="en-US" w:eastAsia="zh-CN"/>
                    </w:rPr>
                    <w:t>/</w:t>
                  </w:r>
                </w:p>
              </w:tc>
              <w:tc>
                <w:tcPr>
                  <w:tcW w:w="622" w:type="pct"/>
                  <w:vAlign w:val="center"/>
                </w:tcPr>
                <w:p w14:paraId="2E9C59D1">
                  <w:pPr>
                    <w:pStyle w:val="31"/>
                    <w:rPr>
                      <w:rFonts w:hint="default"/>
                      <w:color w:val="auto"/>
                      <w:highlight w:val="none"/>
                      <w:lang w:val="en-US" w:eastAsia="zh-CN"/>
                    </w:rPr>
                  </w:pPr>
                  <w:r>
                    <w:rPr>
                      <w:rFonts w:hint="eastAsia"/>
                      <w:color w:val="auto"/>
                      <w:highlight w:val="none"/>
                      <w:lang w:val="en-US" w:eastAsia="zh-CN"/>
                    </w:rPr>
                    <w:t>/</w:t>
                  </w:r>
                </w:p>
              </w:tc>
              <w:tc>
                <w:tcPr>
                  <w:tcW w:w="1253" w:type="pct"/>
                  <w:vAlign w:val="center"/>
                </w:tcPr>
                <w:p w14:paraId="707200CF">
                  <w:pPr>
                    <w:pStyle w:val="31"/>
                    <w:rPr>
                      <w:rFonts w:hint="eastAsia" w:eastAsia="宋体"/>
                      <w:color w:val="auto"/>
                      <w:highlight w:val="none"/>
                      <w:lang w:eastAsia="zh-CN"/>
                    </w:rPr>
                  </w:pPr>
                  <w:r>
                    <w:rPr>
                      <w:rFonts w:hint="eastAsia"/>
                      <w:color w:val="auto"/>
                      <w:highlight w:val="none"/>
                    </w:rPr>
                    <w:t>本项目用电来自市政供电网</w:t>
                  </w:r>
                </w:p>
              </w:tc>
            </w:tr>
            <w:tr w14:paraId="29CE9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 w:type="pct"/>
                  <w:shd w:val="clear" w:color="auto" w:fill="auto"/>
                  <w:vAlign w:val="center"/>
                </w:tcPr>
                <w:p w14:paraId="671EA486">
                  <w:pPr>
                    <w:pStyle w:val="31"/>
                    <w:ind w:firstLine="0" w:firstLineChars="0"/>
                    <w:rPr>
                      <w:rFonts w:hint="eastAsia" w:ascii="Times New Roman" w:hAnsi="Times New Roman" w:eastAsia="宋体" w:cs="黑体"/>
                      <w:b w:val="0"/>
                      <w:color w:val="auto"/>
                      <w:kern w:val="2"/>
                      <w:sz w:val="21"/>
                      <w:szCs w:val="24"/>
                      <w:highlight w:val="none"/>
                      <w:lang w:val="en-US" w:eastAsia="zh-CN" w:bidi="ar-SA"/>
                    </w:rPr>
                  </w:pPr>
                  <w:r>
                    <w:rPr>
                      <w:rFonts w:hint="eastAsia"/>
                      <w:color w:val="auto"/>
                      <w:highlight w:val="none"/>
                      <w:lang w:val="en-US" w:eastAsia="zh-CN"/>
                    </w:rPr>
                    <w:t>9</w:t>
                  </w:r>
                </w:p>
              </w:tc>
              <w:tc>
                <w:tcPr>
                  <w:tcW w:w="760" w:type="pct"/>
                  <w:vAlign w:val="center"/>
                </w:tcPr>
                <w:p w14:paraId="76F66D26">
                  <w:pPr>
                    <w:pStyle w:val="31"/>
                    <w:rPr>
                      <w:rFonts w:hint="eastAsia" w:eastAsia="宋体"/>
                      <w:color w:val="auto"/>
                      <w:highlight w:val="none"/>
                      <w:lang w:eastAsia="zh-CN"/>
                    </w:rPr>
                  </w:pPr>
                  <w:r>
                    <w:rPr>
                      <w:rFonts w:hint="eastAsia"/>
                      <w:color w:val="auto"/>
                      <w:highlight w:val="none"/>
                      <w:lang w:eastAsia="zh-CN"/>
                    </w:rPr>
                    <w:t>水</w:t>
                  </w:r>
                </w:p>
              </w:tc>
              <w:tc>
                <w:tcPr>
                  <w:tcW w:w="515" w:type="pct"/>
                  <w:vAlign w:val="center"/>
                </w:tcPr>
                <w:p w14:paraId="20DCB6E8">
                  <w:pPr>
                    <w:pStyle w:val="31"/>
                    <w:rPr>
                      <w:rFonts w:hint="default"/>
                      <w:color w:val="auto"/>
                      <w:highlight w:val="none"/>
                    </w:rPr>
                  </w:pPr>
                  <w:r>
                    <w:rPr>
                      <w:color w:val="auto"/>
                      <w:highlight w:val="none"/>
                      <w:lang w:val="en-GB"/>
                    </w:rPr>
                    <w:t>t/a</w:t>
                  </w:r>
                </w:p>
              </w:tc>
              <w:tc>
                <w:tcPr>
                  <w:tcW w:w="554" w:type="pct"/>
                  <w:vAlign w:val="center"/>
                </w:tcPr>
                <w:p w14:paraId="11EB1D6D">
                  <w:pPr>
                    <w:pStyle w:val="31"/>
                    <w:rPr>
                      <w:rFonts w:hint="default" w:eastAsia="宋体"/>
                      <w:color w:val="auto"/>
                      <w:highlight w:val="none"/>
                      <w:lang w:val="en-US" w:eastAsia="zh-CN"/>
                    </w:rPr>
                  </w:pPr>
                  <w:r>
                    <w:rPr>
                      <w:rFonts w:hint="eastAsia"/>
                      <w:color w:val="auto"/>
                      <w:highlight w:val="none"/>
                      <w:lang w:val="en-US" w:eastAsia="zh-CN"/>
                    </w:rPr>
                    <w:t>2742</w:t>
                  </w:r>
                </w:p>
              </w:tc>
              <w:tc>
                <w:tcPr>
                  <w:tcW w:w="435" w:type="pct"/>
                  <w:vAlign w:val="center"/>
                </w:tcPr>
                <w:p w14:paraId="58F553E0">
                  <w:pPr>
                    <w:pStyle w:val="31"/>
                    <w:rPr>
                      <w:rFonts w:hint="eastAsia" w:eastAsia="宋体"/>
                      <w:color w:val="auto"/>
                      <w:highlight w:val="none"/>
                      <w:lang w:eastAsia="zh-CN"/>
                    </w:rPr>
                  </w:pPr>
                  <w:r>
                    <w:rPr>
                      <w:rFonts w:hint="eastAsia"/>
                      <w:color w:val="auto"/>
                      <w:highlight w:val="none"/>
                      <w:lang w:eastAsia="zh-CN"/>
                    </w:rPr>
                    <w:t>液</w:t>
                  </w:r>
                </w:p>
              </w:tc>
              <w:tc>
                <w:tcPr>
                  <w:tcW w:w="570" w:type="pct"/>
                  <w:vAlign w:val="center"/>
                </w:tcPr>
                <w:p w14:paraId="2B1220B6">
                  <w:pPr>
                    <w:pStyle w:val="31"/>
                    <w:rPr>
                      <w:rFonts w:hint="default"/>
                      <w:color w:val="auto"/>
                      <w:highlight w:val="none"/>
                      <w:lang w:val="en-US" w:eastAsia="zh-CN"/>
                    </w:rPr>
                  </w:pPr>
                  <w:r>
                    <w:rPr>
                      <w:rFonts w:hint="eastAsia"/>
                      <w:color w:val="auto"/>
                      <w:highlight w:val="none"/>
                      <w:lang w:val="en-US" w:eastAsia="zh-CN"/>
                    </w:rPr>
                    <w:t>/</w:t>
                  </w:r>
                </w:p>
              </w:tc>
              <w:tc>
                <w:tcPr>
                  <w:tcW w:w="622" w:type="pct"/>
                  <w:vAlign w:val="center"/>
                </w:tcPr>
                <w:p w14:paraId="4D5A93F4">
                  <w:pPr>
                    <w:pStyle w:val="31"/>
                    <w:rPr>
                      <w:rFonts w:hint="default"/>
                      <w:color w:val="auto"/>
                      <w:highlight w:val="none"/>
                      <w:lang w:val="en-US" w:eastAsia="zh-CN"/>
                    </w:rPr>
                  </w:pPr>
                  <w:r>
                    <w:rPr>
                      <w:rFonts w:hint="eastAsia"/>
                      <w:color w:val="auto"/>
                      <w:highlight w:val="none"/>
                      <w:lang w:val="en-US" w:eastAsia="zh-CN"/>
                    </w:rPr>
                    <w:t>/</w:t>
                  </w:r>
                </w:p>
              </w:tc>
              <w:tc>
                <w:tcPr>
                  <w:tcW w:w="1253" w:type="pct"/>
                  <w:vAlign w:val="center"/>
                </w:tcPr>
                <w:p w14:paraId="0821A67F">
                  <w:pPr>
                    <w:pStyle w:val="31"/>
                    <w:jc w:val="left"/>
                    <w:rPr>
                      <w:rFonts w:hint="default" w:eastAsia="宋体"/>
                      <w:color w:val="auto"/>
                      <w:highlight w:val="none"/>
                      <w:lang w:val="en-US" w:eastAsia="zh-CN"/>
                    </w:rPr>
                  </w:pPr>
                  <w:r>
                    <w:rPr>
                      <w:rFonts w:hint="eastAsia"/>
                      <w:color w:val="auto"/>
                      <w:highlight w:val="none"/>
                      <w:lang w:eastAsia="zh-CN"/>
                    </w:rPr>
                    <w:t>由通海县纳古镇自来水管网提供</w:t>
                  </w:r>
                </w:p>
              </w:tc>
            </w:tr>
            <w:tr w14:paraId="5B43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 w:type="pct"/>
                  <w:vAlign w:val="center"/>
                </w:tcPr>
                <w:p w14:paraId="36F939C4">
                  <w:pPr>
                    <w:pStyle w:val="31"/>
                    <w:rPr>
                      <w:rFonts w:hint="default"/>
                      <w:color w:val="auto"/>
                      <w:highlight w:val="none"/>
                      <w:lang w:val="en-US" w:eastAsia="zh-CN"/>
                    </w:rPr>
                  </w:pPr>
                  <w:r>
                    <w:rPr>
                      <w:rFonts w:hint="eastAsia"/>
                      <w:color w:val="auto"/>
                      <w:highlight w:val="none"/>
                      <w:lang w:val="en-US" w:eastAsia="zh-CN"/>
                    </w:rPr>
                    <w:t>10</w:t>
                  </w:r>
                </w:p>
              </w:tc>
              <w:tc>
                <w:tcPr>
                  <w:tcW w:w="760" w:type="pct"/>
                  <w:vAlign w:val="center"/>
                </w:tcPr>
                <w:p w14:paraId="36D78026">
                  <w:pPr>
                    <w:pStyle w:val="31"/>
                    <w:rPr>
                      <w:rFonts w:hint="eastAsia"/>
                      <w:color w:val="auto"/>
                      <w:highlight w:val="none"/>
                      <w:lang w:eastAsia="zh-CN"/>
                    </w:rPr>
                  </w:pPr>
                  <w:r>
                    <w:rPr>
                      <w:rFonts w:hint="eastAsia"/>
                      <w:color w:val="auto"/>
                      <w:highlight w:val="none"/>
                      <w:lang w:eastAsia="zh-CN"/>
                    </w:rPr>
                    <w:t>压缩空气</w:t>
                  </w:r>
                </w:p>
              </w:tc>
              <w:tc>
                <w:tcPr>
                  <w:tcW w:w="515" w:type="pct"/>
                  <w:vAlign w:val="center"/>
                </w:tcPr>
                <w:p w14:paraId="664B0DFC">
                  <w:pPr>
                    <w:pStyle w:val="31"/>
                    <w:rPr>
                      <w:rFonts w:hint="default" w:eastAsia="宋体"/>
                      <w:color w:val="auto"/>
                      <w:highlight w:val="none"/>
                      <w:lang w:val="en-US" w:eastAsia="zh-CN"/>
                    </w:rPr>
                  </w:pPr>
                  <w:r>
                    <w:rPr>
                      <w:rFonts w:hint="eastAsia"/>
                      <w:color w:val="auto"/>
                      <w:highlight w:val="none"/>
                      <w:lang w:val="en-US" w:eastAsia="zh-CN"/>
                    </w:rPr>
                    <w:t>Nm</w:t>
                  </w:r>
                  <w:r>
                    <w:rPr>
                      <w:rFonts w:hint="eastAsia"/>
                      <w:color w:val="auto"/>
                      <w:highlight w:val="none"/>
                      <w:vertAlign w:val="superscript"/>
                      <w:lang w:val="en-US" w:eastAsia="zh-CN"/>
                    </w:rPr>
                    <w:t>3</w:t>
                  </w:r>
                  <w:r>
                    <w:rPr>
                      <w:rFonts w:hint="eastAsia"/>
                      <w:color w:val="auto"/>
                      <w:highlight w:val="none"/>
                      <w:lang w:val="en-US" w:eastAsia="zh-CN"/>
                    </w:rPr>
                    <w:t>/a</w:t>
                  </w:r>
                </w:p>
              </w:tc>
              <w:tc>
                <w:tcPr>
                  <w:tcW w:w="554" w:type="pct"/>
                  <w:vAlign w:val="center"/>
                </w:tcPr>
                <w:p w14:paraId="03BC905F">
                  <w:pPr>
                    <w:pStyle w:val="31"/>
                    <w:rPr>
                      <w:rFonts w:hint="eastAsia" w:eastAsia="宋体"/>
                      <w:color w:val="auto"/>
                      <w:highlight w:val="none"/>
                      <w:lang w:eastAsia="zh-CN"/>
                    </w:rPr>
                  </w:pPr>
                  <w:r>
                    <w:rPr>
                      <w:rFonts w:hint="eastAsia"/>
                      <w:color w:val="auto"/>
                      <w:highlight w:val="none"/>
                      <w:lang w:eastAsia="zh-CN"/>
                    </w:rPr>
                    <w:t>——</w:t>
                  </w:r>
                </w:p>
              </w:tc>
              <w:tc>
                <w:tcPr>
                  <w:tcW w:w="435" w:type="pct"/>
                  <w:vAlign w:val="center"/>
                </w:tcPr>
                <w:p w14:paraId="4BB713A5">
                  <w:pPr>
                    <w:pStyle w:val="31"/>
                    <w:rPr>
                      <w:rFonts w:hint="eastAsia" w:eastAsia="宋体"/>
                      <w:color w:val="auto"/>
                      <w:highlight w:val="none"/>
                      <w:lang w:eastAsia="zh-CN"/>
                    </w:rPr>
                  </w:pPr>
                  <w:r>
                    <w:rPr>
                      <w:rFonts w:hint="eastAsia"/>
                      <w:color w:val="auto"/>
                      <w:highlight w:val="none"/>
                      <w:lang w:eastAsia="zh-CN"/>
                    </w:rPr>
                    <w:t>气</w:t>
                  </w:r>
                </w:p>
              </w:tc>
              <w:tc>
                <w:tcPr>
                  <w:tcW w:w="570" w:type="pct"/>
                  <w:vAlign w:val="center"/>
                </w:tcPr>
                <w:p w14:paraId="4CD2F978">
                  <w:pPr>
                    <w:pStyle w:val="31"/>
                    <w:rPr>
                      <w:rFonts w:hint="default"/>
                      <w:color w:val="auto"/>
                      <w:highlight w:val="none"/>
                      <w:lang w:val="en-US" w:eastAsia="zh-CN"/>
                    </w:rPr>
                  </w:pPr>
                  <w:r>
                    <w:rPr>
                      <w:rFonts w:hint="eastAsia"/>
                      <w:color w:val="auto"/>
                      <w:highlight w:val="none"/>
                      <w:lang w:val="en-US" w:eastAsia="zh-CN"/>
                    </w:rPr>
                    <w:t>/</w:t>
                  </w:r>
                </w:p>
              </w:tc>
              <w:tc>
                <w:tcPr>
                  <w:tcW w:w="622" w:type="pct"/>
                  <w:vAlign w:val="center"/>
                </w:tcPr>
                <w:p w14:paraId="6E61EAB0">
                  <w:pPr>
                    <w:pStyle w:val="31"/>
                    <w:rPr>
                      <w:rFonts w:hint="default"/>
                      <w:color w:val="auto"/>
                      <w:highlight w:val="none"/>
                      <w:lang w:val="en-US" w:eastAsia="zh-CN"/>
                    </w:rPr>
                  </w:pPr>
                  <w:r>
                    <w:rPr>
                      <w:rFonts w:hint="eastAsia"/>
                      <w:color w:val="auto"/>
                      <w:highlight w:val="none"/>
                      <w:lang w:val="en-US" w:eastAsia="zh-CN"/>
                    </w:rPr>
                    <w:t>/</w:t>
                  </w:r>
                </w:p>
              </w:tc>
              <w:tc>
                <w:tcPr>
                  <w:tcW w:w="1253" w:type="pct"/>
                  <w:vAlign w:val="center"/>
                </w:tcPr>
                <w:p w14:paraId="35F7E3A6">
                  <w:pPr>
                    <w:pStyle w:val="31"/>
                    <w:rPr>
                      <w:rFonts w:hint="eastAsia" w:eastAsia="宋体"/>
                      <w:color w:val="auto"/>
                      <w:highlight w:val="none"/>
                      <w:lang w:eastAsia="zh-CN"/>
                    </w:rPr>
                  </w:pPr>
                  <w:r>
                    <w:rPr>
                      <w:rFonts w:hint="eastAsia"/>
                      <w:color w:val="auto"/>
                      <w:highlight w:val="none"/>
                      <w:lang w:eastAsia="zh-CN"/>
                    </w:rPr>
                    <w:t>装置自配压缩空气系统</w:t>
                  </w:r>
                </w:p>
              </w:tc>
            </w:tr>
          </w:tbl>
          <w:p w14:paraId="00CB0151">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color w:val="auto"/>
                <w:lang w:eastAsia="zh-CN"/>
              </w:rPr>
            </w:pPr>
            <w:r>
              <w:rPr>
                <w:rFonts w:hint="eastAsia"/>
                <w:color w:val="auto"/>
                <w:lang w:eastAsia="zh-CN"/>
              </w:rPr>
              <w:t>（</w:t>
            </w:r>
            <w:r>
              <w:rPr>
                <w:rFonts w:hint="eastAsia"/>
                <w:color w:val="auto"/>
                <w:lang w:val="en-US" w:eastAsia="zh-CN"/>
              </w:rPr>
              <w:t>2</w:t>
            </w:r>
            <w:r>
              <w:rPr>
                <w:rFonts w:hint="eastAsia"/>
                <w:color w:val="auto"/>
                <w:lang w:eastAsia="zh-CN"/>
              </w:rPr>
              <w:t>）主要原辅材料理化性质</w:t>
            </w:r>
          </w:p>
          <w:p w14:paraId="05B63C4F">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color w:val="auto"/>
                <w:lang w:eastAsia="zh-CN"/>
              </w:rPr>
            </w:pPr>
            <w:r>
              <w:rPr>
                <w:rFonts w:hint="eastAsia"/>
                <w:color w:val="auto"/>
                <w:lang w:eastAsia="zh-CN"/>
              </w:rPr>
              <w:t>项目主要原辅材料理化性质详见下表。</w:t>
            </w:r>
          </w:p>
          <w:p w14:paraId="7DE7DEFE">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表2-5  项目主要原辅材料理化性质</w:t>
            </w:r>
          </w:p>
          <w:tbl>
            <w:tblPr>
              <w:tblStyle w:val="23"/>
              <w:tblW w:w="494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49"/>
              <w:gridCol w:w="7553"/>
            </w:tblGrid>
            <w:tr w14:paraId="7DE2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914" w:type="dxa"/>
                  <w:shd w:val="clear" w:color="auto" w:fill="auto"/>
                  <w:noWrap w:val="0"/>
                  <w:vAlign w:val="center"/>
                </w:tcPr>
                <w:p w14:paraId="66B6C4C5">
                  <w:pPr>
                    <w:pStyle w:val="58"/>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名称</w:t>
                  </w:r>
                </w:p>
              </w:tc>
              <w:tc>
                <w:tcPr>
                  <w:tcW w:w="7277" w:type="dxa"/>
                  <w:shd w:val="clear" w:color="auto" w:fill="auto"/>
                  <w:noWrap w:val="0"/>
                  <w:vAlign w:val="center"/>
                </w:tcPr>
                <w:p w14:paraId="3E84A54A">
                  <w:pPr>
                    <w:pStyle w:val="58"/>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理化性质</w:t>
                  </w:r>
                </w:p>
              </w:tc>
            </w:tr>
            <w:tr w14:paraId="2D96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914" w:type="dxa"/>
                  <w:shd w:val="clear" w:color="auto" w:fill="auto"/>
                  <w:noWrap w:val="0"/>
                  <w:vAlign w:val="center"/>
                </w:tcPr>
                <w:p w14:paraId="4BACE216">
                  <w:pPr>
                    <w:pStyle w:val="58"/>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default" w:ascii="Times New Roman" w:hAnsi="Times New Roman" w:eastAsia="宋体"/>
                      <w:color w:val="auto"/>
                      <w:sz w:val="21"/>
                      <w:szCs w:val="21"/>
                      <w:lang w:val="en-US" w:eastAsia="zh-CN"/>
                    </w:rPr>
                    <w:t>乙炔</w:t>
                  </w:r>
                </w:p>
              </w:tc>
              <w:tc>
                <w:tcPr>
                  <w:tcW w:w="7277" w:type="dxa"/>
                  <w:shd w:val="clear" w:color="auto" w:fill="auto"/>
                  <w:noWrap w:val="0"/>
                  <w:vAlign w:val="center"/>
                </w:tcPr>
                <w:p w14:paraId="1D1EB3C7">
                  <w:pPr>
                    <w:pStyle w:val="58"/>
                    <w:keepNext w:val="0"/>
                    <w:keepLines w:val="0"/>
                    <w:pageBreakBefore w:val="0"/>
                    <w:widowControl w:val="0"/>
                    <w:kinsoku/>
                    <w:wordWrap/>
                    <w:overflowPunct/>
                    <w:topLinePunct/>
                    <w:autoSpaceDE/>
                    <w:autoSpaceDN/>
                    <w:bidi w:val="0"/>
                    <w:adjustRightInd w:val="0"/>
                    <w:snapToGrid w:val="0"/>
                    <w:spacing w:line="240" w:lineRule="auto"/>
                    <w:ind w:firstLine="0" w:firstLineChars="0"/>
                    <w:jc w:val="both"/>
                    <w:textAlignment w:val="auto"/>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乙炔（C</w:t>
                  </w:r>
                  <w:r>
                    <w:rPr>
                      <w:rFonts w:hint="eastAsia"/>
                      <w:color w:val="auto"/>
                      <w:sz w:val="21"/>
                      <w:szCs w:val="21"/>
                      <w:vertAlign w:val="subscript"/>
                      <w:lang w:val="en-US" w:eastAsia="zh-CN"/>
                    </w:rPr>
                    <w:t>2</w:t>
                  </w:r>
                  <w:r>
                    <w:rPr>
                      <w:rFonts w:hint="eastAsia" w:ascii="Times New Roman" w:hAnsi="Times New Roman" w:eastAsia="宋体"/>
                      <w:color w:val="auto"/>
                      <w:sz w:val="21"/>
                      <w:szCs w:val="21"/>
                      <w:lang w:val="en-US" w:eastAsia="zh-CN"/>
                    </w:rPr>
                    <w:t>H</w:t>
                  </w:r>
                  <w:r>
                    <w:rPr>
                      <w:rFonts w:hint="eastAsia"/>
                      <w:color w:val="auto"/>
                      <w:sz w:val="21"/>
                      <w:szCs w:val="21"/>
                      <w:vertAlign w:val="subscript"/>
                      <w:lang w:val="en-US" w:eastAsia="zh-CN"/>
                    </w:rPr>
                    <w:t>2</w:t>
                  </w:r>
                  <w:r>
                    <w:rPr>
                      <w:rFonts w:hint="eastAsia" w:ascii="Times New Roman" w:hAnsi="Times New Roman" w:eastAsia="宋体"/>
                      <w:color w:val="auto"/>
                      <w:sz w:val="21"/>
                      <w:szCs w:val="21"/>
                      <w:lang w:val="en-US" w:eastAsia="zh-CN"/>
                    </w:rPr>
                    <w:t>）为无色无味气体，工业品因含杂质略带臭味，相对分子质量26.04，相对密度（空气=1）0.908，比空气略轻，熔点-81.8℃，易升华，临界温度35.2℃，临界压力6.19MPa，微溶于水，易溶于丙酮、苯等有机溶剂；化学性质极活泼，含碳碳三键，易发生加成、氧化、聚合反应，具有弱酸性，可生成爆炸性金属炔化物；闪点-17.8℃，自燃温度305℃，爆炸极限2.5%～80%，爆炸范围极宽，受热、加压、震动、明火均易引发燃烧爆炸，高浓度可引起缺氧窒息，需以溶解于丙酮并吸附在多孔填料的方式安全储存与运输。</w:t>
                  </w:r>
                </w:p>
              </w:tc>
            </w:tr>
            <w:tr w14:paraId="72B1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914" w:type="dxa"/>
                  <w:shd w:val="clear" w:color="auto" w:fill="auto"/>
                  <w:noWrap w:val="0"/>
                  <w:vAlign w:val="center"/>
                </w:tcPr>
                <w:p w14:paraId="522AEEBF">
                  <w:pPr>
                    <w:pStyle w:val="58"/>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default" w:ascii="Times New Roman" w:hAnsi="Times New Roman" w:eastAsia="宋体"/>
                      <w:color w:val="auto"/>
                      <w:sz w:val="21"/>
                      <w:szCs w:val="21"/>
                      <w:lang w:val="en-US" w:eastAsia="zh-CN"/>
                    </w:rPr>
                    <w:t>氧气</w:t>
                  </w:r>
                </w:p>
              </w:tc>
              <w:tc>
                <w:tcPr>
                  <w:tcW w:w="7277" w:type="dxa"/>
                  <w:shd w:val="clear" w:color="auto" w:fill="auto"/>
                  <w:noWrap w:val="0"/>
                  <w:vAlign w:val="center"/>
                </w:tcPr>
                <w:p w14:paraId="615A42F1">
                  <w:pPr>
                    <w:pStyle w:val="58"/>
                    <w:keepNext w:val="0"/>
                    <w:keepLines w:val="0"/>
                    <w:pageBreakBefore w:val="0"/>
                    <w:widowControl w:val="0"/>
                    <w:kinsoku/>
                    <w:wordWrap/>
                    <w:overflowPunct/>
                    <w:topLinePunct/>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物化性质：常温下为无色、无臭和无味的气体。液态时凝结成淡蓝色液体。相对密度1.33，熔点-218.4℃，沸点-183℃，临界温度-118.6℃。化学性能活泼，可与绝大多数元素生成氧化物。与可燃性气体（如氢、乙炔、甲烷等）混合能形成爆炸性混合物。与氢气混合后燃烧火焰温度达2100～2500℃，微溶于水和醇。</w:t>
                  </w:r>
                </w:p>
                <w:p w14:paraId="33FD6E9B">
                  <w:pPr>
                    <w:pStyle w:val="58"/>
                    <w:keepNext w:val="0"/>
                    <w:keepLines w:val="0"/>
                    <w:pageBreakBefore w:val="0"/>
                    <w:widowControl w:val="0"/>
                    <w:kinsoku/>
                    <w:wordWrap/>
                    <w:overflowPunct/>
                    <w:topLinePunct/>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危险特性：本身不燃，但能助燃，与有机物或其他易氧化物质能形成爆炸性混合物，与乙炔、氢、甲烷等易燃气体混合能形成爆炸性混合物，液态氧和易燃物共储时，特别在高压下，有爆炸的危险，无腐蚀性，但有水分存在时会促进金属的腐蚀，气体本身无毒，但持续吸入高浓度氧时，可出现“氧中毒症”。</w:t>
                  </w:r>
                </w:p>
              </w:tc>
            </w:tr>
            <w:tr w14:paraId="631B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914" w:type="dxa"/>
                  <w:shd w:val="clear" w:color="auto" w:fill="auto"/>
                  <w:noWrap w:val="0"/>
                  <w:vAlign w:val="center"/>
                </w:tcPr>
                <w:p w14:paraId="54CF3FC8">
                  <w:pPr>
                    <w:pStyle w:val="58"/>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olor w:val="auto"/>
                      <w:sz w:val="21"/>
                      <w:szCs w:val="21"/>
                      <w:lang w:val="en-US" w:eastAsia="zh-CN"/>
                    </w:rPr>
                    <w:t>液压油</w:t>
                  </w:r>
                </w:p>
              </w:tc>
              <w:tc>
                <w:tcPr>
                  <w:tcW w:w="7277" w:type="dxa"/>
                  <w:shd w:val="clear" w:color="auto" w:fill="auto"/>
                  <w:noWrap w:val="0"/>
                  <w:vAlign w:val="center"/>
                </w:tcPr>
                <w:p w14:paraId="07872B85">
                  <w:pPr>
                    <w:pStyle w:val="58"/>
                    <w:keepNext w:val="0"/>
                    <w:keepLines w:val="0"/>
                    <w:pageBreakBefore w:val="0"/>
                    <w:widowControl w:val="0"/>
                    <w:kinsoku/>
                    <w:wordWrap/>
                    <w:overflowPunct/>
                    <w:topLinePunct/>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kern w:val="2"/>
                      <w:sz w:val="21"/>
                      <w:szCs w:val="21"/>
                      <w:lang w:val="en-US" w:eastAsia="zh-CN" w:bidi="ar-SA"/>
                    </w:rPr>
                    <w:t>液压油就是利用液体压力能的液压系统使用的液压介质，在液压系统中起着能量传递、抗磨、系统润滑、防腐、防锈、冷却等作用。液压油的种类繁多，分类方法各异，长期以来，习惯以用途进行分类，也有根据油品类型、化学组分或可燃性分类的。</w:t>
                  </w:r>
                </w:p>
              </w:tc>
            </w:tr>
          </w:tbl>
          <w:p w14:paraId="1A9F5885">
            <w:pPr>
              <w:pStyle w:val="40"/>
              <w:numPr>
                <w:ilvl w:val="0"/>
                <w:numId w:val="0"/>
              </w:numPr>
              <w:rPr>
                <w:rFonts w:hint="eastAsia"/>
                <w:color w:val="auto"/>
                <w:lang w:val="en-US" w:eastAsia="zh-CN"/>
              </w:rPr>
            </w:pPr>
            <w:r>
              <w:rPr>
                <w:rFonts w:hint="eastAsia"/>
                <w:color w:val="auto"/>
                <w:lang w:val="en-US" w:eastAsia="zh-CN"/>
              </w:rPr>
              <w:t>六、劳动定员及工作制度</w:t>
            </w:r>
          </w:p>
          <w:p w14:paraId="772D6B33">
            <w:pPr>
              <w:bidi w:val="0"/>
              <w:rPr>
                <w:rFonts w:hint="eastAsia" w:eastAsia="宋体"/>
                <w:b w:val="0"/>
                <w:bCs w:val="0"/>
                <w:color w:val="auto"/>
                <w:lang w:val="en-US" w:eastAsia="zh-CN"/>
              </w:rPr>
            </w:pPr>
            <w:r>
              <w:rPr>
                <w:rFonts w:hint="eastAsia" w:eastAsia="宋体"/>
                <w:b w:val="0"/>
                <w:bCs w:val="0"/>
                <w:color w:val="auto"/>
                <w:lang w:val="en-US" w:eastAsia="zh-CN"/>
              </w:rPr>
              <w:t>1、劳动定员</w:t>
            </w:r>
          </w:p>
          <w:p w14:paraId="202FD86E">
            <w:pPr>
              <w:bidi w:val="0"/>
              <w:rPr>
                <w:rFonts w:hint="eastAsia" w:eastAsia="宋体"/>
                <w:b w:val="0"/>
                <w:bCs w:val="0"/>
                <w:color w:val="auto"/>
                <w:lang w:val="en-US" w:eastAsia="zh-CN"/>
              </w:rPr>
            </w:pPr>
            <w:r>
              <w:rPr>
                <w:rFonts w:hint="eastAsia" w:eastAsia="宋体"/>
                <w:b w:val="0"/>
                <w:bCs w:val="0"/>
                <w:color w:val="auto"/>
                <w:lang w:val="en-US" w:eastAsia="zh-CN"/>
              </w:rPr>
              <w:t>本项目劳动定员38人，其中：管理、技术人员6人，生产工人32人。</w:t>
            </w:r>
          </w:p>
          <w:p w14:paraId="4CA31A99">
            <w:pPr>
              <w:bidi w:val="0"/>
              <w:rPr>
                <w:rFonts w:hint="eastAsia" w:eastAsia="宋体"/>
                <w:b w:val="0"/>
                <w:bCs w:val="0"/>
                <w:color w:val="auto"/>
                <w:lang w:val="en-US" w:eastAsia="zh-CN"/>
              </w:rPr>
            </w:pPr>
            <w:r>
              <w:rPr>
                <w:rFonts w:hint="eastAsia" w:eastAsia="宋体"/>
                <w:b w:val="0"/>
                <w:bCs w:val="0"/>
                <w:color w:val="auto"/>
                <w:lang w:val="en-US" w:eastAsia="zh-CN"/>
              </w:rPr>
              <w:t>2、工作制度</w:t>
            </w:r>
          </w:p>
          <w:p w14:paraId="7A431DBB">
            <w:pPr>
              <w:bidi w:val="0"/>
              <w:rPr>
                <w:rFonts w:hint="eastAsia" w:eastAsia="宋体"/>
                <w:b w:val="0"/>
                <w:bCs w:val="0"/>
                <w:color w:val="auto"/>
                <w:highlight w:val="none"/>
                <w:lang w:val="en-US" w:eastAsia="zh-CN"/>
              </w:rPr>
            </w:pPr>
            <w:r>
              <w:rPr>
                <w:rFonts w:hint="eastAsia" w:eastAsia="宋体"/>
                <w:b w:val="0"/>
                <w:bCs w:val="0"/>
                <w:color w:val="auto"/>
                <w:highlight w:val="none"/>
                <w:lang w:val="en-US" w:eastAsia="zh-CN"/>
              </w:rPr>
              <w:t>本项目采用</w:t>
            </w:r>
            <w:r>
              <w:rPr>
                <w:rFonts w:hint="eastAsia"/>
                <w:b w:val="0"/>
                <w:bCs w:val="0"/>
                <w:color w:val="auto"/>
                <w:highlight w:val="none"/>
                <w:lang w:val="en-US" w:eastAsia="zh-CN"/>
              </w:rPr>
              <w:t>一班</w:t>
            </w:r>
            <w:r>
              <w:rPr>
                <w:rFonts w:hint="eastAsia" w:eastAsia="宋体"/>
                <w:b w:val="0"/>
                <w:bCs w:val="0"/>
                <w:color w:val="auto"/>
                <w:highlight w:val="none"/>
                <w:lang w:val="en-US" w:eastAsia="zh-CN"/>
              </w:rPr>
              <w:t>班制，年运营300天，焊接每班4小时，</w:t>
            </w:r>
            <w:r>
              <w:rPr>
                <w:rFonts w:hint="eastAsia"/>
                <w:b w:val="0"/>
                <w:bCs w:val="0"/>
                <w:color w:val="auto"/>
                <w:highlight w:val="none"/>
                <w:lang w:val="en-US" w:eastAsia="zh-CN"/>
              </w:rPr>
              <w:t>其余工段</w:t>
            </w:r>
            <w:r>
              <w:rPr>
                <w:rFonts w:hint="eastAsia" w:eastAsia="宋体"/>
                <w:b w:val="0"/>
                <w:bCs w:val="0"/>
                <w:color w:val="auto"/>
                <w:highlight w:val="none"/>
                <w:lang w:val="en-US" w:eastAsia="zh-CN"/>
              </w:rPr>
              <w:t>每班8小时。</w:t>
            </w:r>
          </w:p>
          <w:p w14:paraId="76DA7873">
            <w:pPr>
              <w:bidi w:val="0"/>
              <w:rPr>
                <w:rFonts w:hint="default" w:eastAsia="宋体"/>
                <w:b w:val="0"/>
                <w:bCs w:val="0"/>
                <w:color w:val="auto"/>
                <w:lang w:val="en-US" w:eastAsia="zh-CN"/>
              </w:rPr>
            </w:pPr>
            <w:r>
              <w:rPr>
                <w:rFonts w:hint="eastAsia" w:eastAsia="宋体"/>
                <w:b w:val="0"/>
                <w:bCs w:val="0"/>
                <w:color w:val="auto"/>
                <w:lang w:val="en-US" w:eastAsia="zh-CN"/>
              </w:rPr>
              <w:t>3、员工食宿安排</w:t>
            </w:r>
          </w:p>
          <w:p w14:paraId="03FD7B56">
            <w:pPr>
              <w:bidi w:val="0"/>
              <w:rPr>
                <w:rFonts w:hint="default" w:eastAsia="宋体"/>
                <w:b w:val="0"/>
                <w:bCs w:val="0"/>
                <w:color w:val="auto"/>
                <w:lang w:val="en-US" w:eastAsia="zh-CN"/>
              </w:rPr>
            </w:pPr>
            <w:r>
              <w:rPr>
                <w:rFonts w:hint="eastAsia" w:eastAsia="宋体"/>
                <w:b w:val="0"/>
                <w:bCs w:val="0"/>
                <w:color w:val="auto"/>
                <w:lang w:val="en-US" w:eastAsia="zh-CN"/>
              </w:rPr>
              <w:t>项目区内不提供员工住宿和餐饮。</w:t>
            </w:r>
          </w:p>
          <w:p w14:paraId="71048788">
            <w:pPr>
              <w:pStyle w:val="40"/>
              <w:numPr>
                <w:ilvl w:val="0"/>
                <w:numId w:val="0"/>
              </w:numPr>
              <w:rPr>
                <w:rFonts w:hint="eastAsia"/>
                <w:color w:val="auto"/>
                <w:lang w:eastAsia="zh-CN"/>
              </w:rPr>
            </w:pPr>
            <w:r>
              <w:rPr>
                <w:rFonts w:hint="eastAsia"/>
                <w:color w:val="auto"/>
                <w:lang w:val="en-US" w:eastAsia="zh-CN"/>
              </w:rPr>
              <w:t>七、</w:t>
            </w:r>
            <w:r>
              <w:rPr>
                <w:rFonts w:hint="eastAsia"/>
                <w:color w:val="auto"/>
                <w:lang w:eastAsia="zh-CN"/>
              </w:rPr>
              <w:t>公用工程</w:t>
            </w:r>
          </w:p>
          <w:p w14:paraId="0ACC9E74">
            <w:pPr>
              <w:bidi w:val="0"/>
              <w:rPr>
                <w:rFonts w:hint="default"/>
                <w:b/>
                <w:bCs/>
                <w:color w:val="auto"/>
                <w:lang w:val="en-US" w:eastAsia="zh-CN"/>
              </w:rPr>
            </w:pPr>
            <w:r>
              <w:rPr>
                <w:rFonts w:hint="eastAsia"/>
                <w:b/>
                <w:bCs/>
                <w:color w:val="auto"/>
                <w:lang w:val="en-US" w:eastAsia="zh-CN"/>
              </w:rPr>
              <w:t>（1）供电</w:t>
            </w:r>
          </w:p>
          <w:p w14:paraId="11A7895E">
            <w:pPr>
              <w:bidi w:val="0"/>
              <w:rPr>
                <w:rFonts w:hint="eastAsia"/>
                <w:b w:val="0"/>
                <w:bCs w:val="0"/>
                <w:color w:val="auto"/>
                <w:lang w:val="en-US" w:eastAsia="zh-CN"/>
              </w:rPr>
            </w:pPr>
            <w:r>
              <w:rPr>
                <w:rFonts w:hint="eastAsia"/>
                <w:b w:val="0"/>
                <w:bCs w:val="0"/>
                <w:color w:val="auto"/>
                <w:lang w:val="en-US" w:eastAsia="zh-CN"/>
              </w:rPr>
              <w:t>本项目电源由市政电网供给，由配电室输送至各用电设备。</w:t>
            </w:r>
          </w:p>
          <w:p w14:paraId="4C9B340A">
            <w:pPr>
              <w:bidi w:val="0"/>
              <w:rPr>
                <w:rFonts w:hint="default"/>
                <w:b/>
                <w:bCs/>
                <w:color w:val="auto"/>
                <w:lang w:val="en-US" w:eastAsia="zh-CN"/>
              </w:rPr>
            </w:pPr>
            <w:r>
              <w:rPr>
                <w:rFonts w:hint="eastAsia"/>
                <w:b/>
                <w:bCs/>
                <w:color w:val="auto"/>
                <w:lang w:val="en-US" w:eastAsia="zh-CN"/>
              </w:rPr>
              <w:t>（2）给排水</w:t>
            </w:r>
          </w:p>
          <w:p w14:paraId="7599C195">
            <w:pPr>
              <w:bidi w:val="0"/>
              <w:rPr>
                <w:rFonts w:hint="default"/>
                <w:b w:val="0"/>
                <w:bCs w:val="0"/>
                <w:color w:val="auto"/>
                <w:lang w:val="en-US" w:eastAsia="zh-CN"/>
              </w:rPr>
            </w:pPr>
            <w:r>
              <w:rPr>
                <w:rFonts w:hint="eastAsia"/>
                <w:b/>
                <w:bCs/>
                <w:color w:val="auto"/>
                <w:lang w:val="en-US" w:eastAsia="zh-CN"/>
              </w:rPr>
              <w:t>1）给水：</w:t>
            </w:r>
            <w:r>
              <w:rPr>
                <w:rFonts w:hint="eastAsia"/>
                <w:b w:val="0"/>
                <w:bCs w:val="0"/>
                <w:color w:val="auto"/>
                <w:lang w:val="en-US" w:eastAsia="zh-CN"/>
              </w:rPr>
              <w:t>本项目生产用水、生活用水均由通海县纳古镇自来水管网提供。</w:t>
            </w:r>
          </w:p>
          <w:p w14:paraId="1C9DD23D">
            <w:pPr>
              <w:bidi w:val="0"/>
              <w:rPr>
                <w:rFonts w:hint="eastAsia"/>
                <w:b w:val="0"/>
                <w:bCs w:val="0"/>
                <w:color w:val="auto"/>
                <w:lang w:val="en-US" w:eastAsia="zh-CN"/>
              </w:rPr>
            </w:pPr>
            <w:r>
              <w:rPr>
                <w:rFonts w:hint="eastAsia"/>
                <w:b/>
                <w:bCs/>
                <w:color w:val="auto"/>
                <w:lang w:val="en-US" w:eastAsia="zh-CN"/>
              </w:rPr>
              <w:t>2）排水：</w:t>
            </w:r>
            <w:r>
              <w:rPr>
                <w:rFonts w:hint="eastAsia"/>
                <w:b w:val="0"/>
                <w:bCs w:val="0"/>
                <w:color w:val="auto"/>
                <w:lang w:val="en-US" w:eastAsia="zh-CN"/>
              </w:rPr>
              <w:t>本项目采用雨污分流制，初期雨水经雨水沟收集后进入初期雨水收集池沉淀后回用于厂区洒水降尘。本项目生产废水为冷却废水，处理后循环使用，不外排；生活污水经化粪池预处理后进入一体化污水处理设施处理达标后回用于厂区绿化及道路空地浇洒，不外排。</w:t>
            </w:r>
          </w:p>
          <w:p w14:paraId="6E43BBEA">
            <w:pPr>
              <w:bidi w:val="0"/>
              <w:rPr>
                <w:rFonts w:hint="eastAsia" w:eastAsia="宋体"/>
                <w:b/>
                <w:bCs/>
                <w:color w:val="auto"/>
                <w:lang w:val="en-US" w:eastAsia="zh-CN"/>
              </w:rPr>
            </w:pPr>
            <w:r>
              <w:rPr>
                <w:rFonts w:hint="eastAsia" w:eastAsia="宋体"/>
                <w:b/>
                <w:bCs/>
                <w:color w:val="auto"/>
                <w:lang w:val="en-US" w:eastAsia="zh-CN"/>
              </w:rPr>
              <w:t>3）用排水量核算</w:t>
            </w:r>
          </w:p>
          <w:p w14:paraId="34B2FAA0">
            <w:pPr>
              <w:bidi w:val="0"/>
              <w:rPr>
                <w:rFonts w:hint="eastAsia" w:eastAsia="宋体"/>
                <w:b w:val="0"/>
                <w:bCs w:val="0"/>
                <w:color w:val="auto"/>
                <w:lang w:val="en-US" w:eastAsia="zh-CN"/>
              </w:rPr>
            </w:pPr>
            <w:r>
              <w:rPr>
                <w:rFonts w:hint="eastAsia" w:eastAsia="宋体"/>
                <w:b w:val="0"/>
                <w:bCs w:val="0"/>
                <w:color w:val="auto"/>
                <w:lang w:val="en-US" w:eastAsia="zh-CN"/>
              </w:rPr>
              <w:t>①高频焊接冷却水</w:t>
            </w:r>
          </w:p>
          <w:p w14:paraId="6FC9FDA9">
            <w:pPr>
              <w:bidi w:val="0"/>
              <w:rPr>
                <w:rFonts w:hint="eastAsia" w:eastAsia="宋体"/>
                <w:b w:val="0"/>
                <w:bCs w:val="0"/>
                <w:color w:val="auto"/>
                <w:lang w:val="en-US" w:eastAsia="zh-CN"/>
              </w:rPr>
            </w:pPr>
            <w:r>
              <w:rPr>
                <w:rFonts w:hint="eastAsia" w:eastAsia="宋体"/>
                <w:b w:val="0"/>
                <w:bCs w:val="0"/>
                <w:color w:val="auto"/>
                <w:lang w:val="en-US" w:eastAsia="zh-CN"/>
              </w:rPr>
              <w:t>本项目焊管生产线使用高频焊接，焊接时需要进行水冷却，</w:t>
            </w:r>
            <w:r>
              <w:rPr>
                <w:rFonts w:hint="eastAsia"/>
                <w:b w:val="0"/>
                <w:bCs w:val="0"/>
                <w:color w:val="auto"/>
                <w:lang w:val="en-US" w:eastAsia="zh-CN"/>
              </w:rPr>
              <w:t>本项目共设置8条生产线，每条生产线产能不同，冷却水用量也不相同，</w:t>
            </w:r>
            <w:r>
              <w:rPr>
                <w:rFonts w:hint="eastAsia" w:eastAsia="宋体"/>
                <w:b w:val="0"/>
                <w:bCs w:val="0"/>
                <w:color w:val="auto"/>
                <w:lang w:val="en-US" w:eastAsia="zh-CN"/>
              </w:rPr>
              <w:t>根据企业提供的技术资料，</w:t>
            </w:r>
            <w:r>
              <w:rPr>
                <w:rFonts w:hint="eastAsia"/>
                <w:b w:val="0"/>
                <w:bCs w:val="0"/>
                <w:color w:val="auto"/>
                <w:lang w:val="en-US" w:eastAsia="zh-CN"/>
              </w:rPr>
              <w:t>1#生产线</w:t>
            </w:r>
            <w:r>
              <w:rPr>
                <w:rFonts w:hint="eastAsia" w:eastAsia="宋体"/>
                <w:b w:val="0"/>
                <w:bCs w:val="0"/>
                <w:color w:val="auto"/>
                <w:lang w:val="en-US" w:eastAsia="zh-CN"/>
              </w:rPr>
              <w:t>冷却水量为</w:t>
            </w:r>
            <w:r>
              <w:rPr>
                <w:rFonts w:hint="eastAsia"/>
                <w:b w:val="0"/>
                <w:bCs w:val="0"/>
                <w:color w:val="auto"/>
                <w:lang w:val="en-US" w:eastAsia="zh-CN"/>
              </w:rPr>
              <w:t>4</w:t>
            </w:r>
            <w:r>
              <w:rPr>
                <w:rFonts w:hint="eastAsia" w:eastAsia="宋体"/>
                <w:b w:val="0"/>
                <w:bCs w:val="0"/>
                <w:color w:val="auto"/>
                <w:lang w:val="en-US" w:eastAsia="zh-CN"/>
              </w:rPr>
              <w:t>m</w:t>
            </w:r>
            <w:r>
              <w:rPr>
                <w:rFonts w:hint="eastAsia" w:eastAsia="宋体"/>
                <w:b w:val="0"/>
                <w:bCs w:val="0"/>
                <w:color w:val="auto"/>
                <w:vertAlign w:val="superscript"/>
                <w:lang w:val="en-US" w:eastAsia="zh-CN"/>
              </w:rPr>
              <w:t>3</w:t>
            </w:r>
            <w:r>
              <w:rPr>
                <w:rFonts w:hint="eastAsia" w:eastAsia="宋体"/>
                <w:b w:val="0"/>
                <w:bCs w:val="0"/>
                <w:color w:val="auto"/>
                <w:lang w:val="en-US" w:eastAsia="zh-CN"/>
              </w:rPr>
              <w:t>/h，</w:t>
            </w:r>
            <w:r>
              <w:rPr>
                <w:rFonts w:hint="eastAsia"/>
                <w:b w:val="0"/>
                <w:bCs w:val="0"/>
                <w:color w:val="auto"/>
                <w:lang w:val="en-US" w:eastAsia="zh-CN"/>
              </w:rPr>
              <w:t>2#、3#、4#生产线产能相同，冷却水量均为2.2m</w:t>
            </w:r>
            <w:r>
              <w:rPr>
                <w:rFonts w:hint="eastAsia"/>
                <w:b w:val="0"/>
                <w:bCs w:val="0"/>
                <w:color w:val="auto"/>
                <w:vertAlign w:val="superscript"/>
                <w:lang w:val="en-US" w:eastAsia="zh-CN"/>
              </w:rPr>
              <w:t>3</w:t>
            </w:r>
            <w:r>
              <w:rPr>
                <w:rFonts w:hint="eastAsia"/>
                <w:b w:val="0"/>
                <w:bCs w:val="0"/>
                <w:color w:val="auto"/>
                <w:lang w:val="en-US" w:eastAsia="zh-CN"/>
              </w:rPr>
              <w:t>/h，5#生产线</w:t>
            </w:r>
            <w:r>
              <w:rPr>
                <w:rFonts w:hint="eastAsia" w:eastAsia="宋体"/>
                <w:b w:val="0"/>
                <w:bCs w:val="0"/>
                <w:color w:val="auto"/>
                <w:lang w:val="en-US" w:eastAsia="zh-CN"/>
              </w:rPr>
              <w:t>冷却水量为2.4m</w:t>
            </w:r>
            <w:r>
              <w:rPr>
                <w:rFonts w:hint="eastAsia" w:eastAsia="宋体"/>
                <w:b w:val="0"/>
                <w:bCs w:val="0"/>
                <w:color w:val="auto"/>
                <w:vertAlign w:val="superscript"/>
                <w:lang w:val="en-US" w:eastAsia="zh-CN"/>
              </w:rPr>
              <w:t>3</w:t>
            </w:r>
            <w:r>
              <w:rPr>
                <w:rFonts w:hint="eastAsia" w:eastAsia="宋体"/>
                <w:b w:val="0"/>
                <w:bCs w:val="0"/>
                <w:color w:val="auto"/>
                <w:lang w:val="en-US" w:eastAsia="zh-CN"/>
              </w:rPr>
              <w:t>/h，6#、7#生产线产能相同，</w:t>
            </w:r>
            <w:r>
              <w:rPr>
                <w:rFonts w:hint="eastAsia"/>
                <w:b w:val="0"/>
                <w:bCs w:val="0"/>
                <w:color w:val="auto"/>
                <w:lang w:val="en-US" w:eastAsia="zh-CN"/>
              </w:rPr>
              <w:t>冷却水量均为2m</w:t>
            </w:r>
            <w:r>
              <w:rPr>
                <w:rFonts w:hint="eastAsia"/>
                <w:b w:val="0"/>
                <w:bCs w:val="0"/>
                <w:color w:val="auto"/>
                <w:vertAlign w:val="superscript"/>
                <w:lang w:val="en-US" w:eastAsia="zh-CN"/>
              </w:rPr>
              <w:t>3</w:t>
            </w:r>
            <w:r>
              <w:rPr>
                <w:rFonts w:hint="eastAsia"/>
                <w:b w:val="0"/>
                <w:bCs w:val="0"/>
                <w:color w:val="auto"/>
                <w:lang w:val="en-US" w:eastAsia="zh-CN"/>
              </w:rPr>
              <w:t>/h，8#生产线</w:t>
            </w:r>
            <w:r>
              <w:rPr>
                <w:rFonts w:hint="eastAsia" w:eastAsia="宋体"/>
                <w:b w:val="0"/>
                <w:bCs w:val="0"/>
                <w:color w:val="auto"/>
                <w:lang w:val="en-US" w:eastAsia="zh-CN"/>
              </w:rPr>
              <w:t>冷却水量为3m</w:t>
            </w:r>
            <w:r>
              <w:rPr>
                <w:rFonts w:hint="eastAsia" w:eastAsia="宋体"/>
                <w:b w:val="0"/>
                <w:bCs w:val="0"/>
                <w:color w:val="auto"/>
                <w:vertAlign w:val="superscript"/>
                <w:lang w:val="en-US" w:eastAsia="zh-CN"/>
              </w:rPr>
              <w:t>3</w:t>
            </w:r>
            <w:r>
              <w:rPr>
                <w:rFonts w:hint="eastAsia" w:eastAsia="宋体"/>
                <w:b w:val="0"/>
                <w:bCs w:val="0"/>
                <w:color w:val="auto"/>
                <w:lang w:val="en-US" w:eastAsia="zh-CN"/>
              </w:rPr>
              <w:t>/h，则8条生产线冷却水</w:t>
            </w:r>
            <w:r>
              <w:rPr>
                <w:rFonts w:hint="eastAsia"/>
                <w:b w:val="0"/>
                <w:bCs w:val="0"/>
                <w:color w:val="auto"/>
                <w:lang w:val="en-US" w:eastAsia="zh-CN"/>
              </w:rPr>
              <w:t>总</w:t>
            </w:r>
            <w:r>
              <w:rPr>
                <w:rFonts w:hint="eastAsia" w:eastAsia="宋体"/>
                <w:b w:val="0"/>
                <w:bCs w:val="0"/>
                <w:color w:val="auto"/>
                <w:lang w:val="en-US" w:eastAsia="zh-CN"/>
              </w:rPr>
              <w:t>用量为</w:t>
            </w:r>
            <w:r>
              <w:rPr>
                <w:rFonts w:hint="eastAsia"/>
                <w:b w:val="0"/>
                <w:bCs w:val="0"/>
                <w:color w:val="auto"/>
                <w:lang w:val="en-US" w:eastAsia="zh-CN"/>
              </w:rPr>
              <w:t>20</w:t>
            </w:r>
            <w:r>
              <w:rPr>
                <w:rFonts w:hint="eastAsia" w:eastAsia="宋体"/>
                <w:b w:val="0"/>
                <w:bCs w:val="0"/>
                <w:color w:val="auto"/>
                <w:lang w:val="en-US" w:eastAsia="zh-CN"/>
              </w:rPr>
              <w:t>m</w:t>
            </w:r>
            <w:r>
              <w:rPr>
                <w:rFonts w:hint="eastAsia" w:eastAsia="宋体"/>
                <w:b w:val="0"/>
                <w:bCs w:val="0"/>
                <w:color w:val="auto"/>
                <w:vertAlign w:val="superscript"/>
                <w:lang w:val="en-US" w:eastAsia="zh-CN"/>
              </w:rPr>
              <w:t>3</w:t>
            </w:r>
            <w:r>
              <w:rPr>
                <w:rFonts w:hint="eastAsia" w:eastAsia="宋体"/>
                <w:b w:val="0"/>
                <w:bCs w:val="0"/>
                <w:color w:val="auto"/>
                <w:lang w:val="en-US" w:eastAsia="zh-CN"/>
              </w:rPr>
              <w:t>/h，</w:t>
            </w:r>
            <w:r>
              <w:rPr>
                <w:rFonts w:hint="eastAsia"/>
                <w:b w:val="0"/>
                <w:bCs w:val="0"/>
                <w:color w:val="auto"/>
                <w:lang w:val="en-US" w:eastAsia="zh-CN"/>
              </w:rPr>
              <w:t>160</w:t>
            </w:r>
            <w:r>
              <w:rPr>
                <w:rFonts w:hint="eastAsia" w:eastAsia="宋体"/>
                <w:b w:val="0"/>
                <w:bCs w:val="0"/>
                <w:color w:val="auto"/>
                <w:lang w:val="en-US" w:eastAsia="zh-CN"/>
              </w:rPr>
              <w:t>m</w:t>
            </w:r>
            <w:r>
              <w:rPr>
                <w:rFonts w:hint="eastAsia" w:eastAsia="宋体"/>
                <w:b w:val="0"/>
                <w:bCs w:val="0"/>
                <w:color w:val="auto"/>
                <w:vertAlign w:val="superscript"/>
                <w:lang w:val="en-US" w:eastAsia="zh-CN"/>
              </w:rPr>
              <w:t>3</w:t>
            </w:r>
            <w:r>
              <w:rPr>
                <w:rFonts w:hint="eastAsia" w:eastAsia="宋体"/>
                <w:b w:val="0"/>
                <w:bCs w:val="0"/>
                <w:color w:val="auto"/>
                <w:lang w:val="en-US" w:eastAsia="zh-CN"/>
              </w:rPr>
              <w:t>/d。直接冷却水主要是对焊管进行冷却，与物料直接接触，为直接冷却水，通过生产线下方排水沟引入浊循环水池，焊管直接冷却水经沉淀、冷却后循环利用，不足时定期补充，不外排。冷却水损失量总用水量为5%，故每天补充</w:t>
            </w:r>
            <w:r>
              <w:rPr>
                <w:rFonts w:hint="eastAsia"/>
                <w:b w:val="0"/>
                <w:bCs w:val="0"/>
                <w:color w:val="auto"/>
                <w:lang w:val="en-US" w:eastAsia="zh-CN"/>
              </w:rPr>
              <w:t>8</w:t>
            </w:r>
            <w:r>
              <w:rPr>
                <w:rFonts w:hint="eastAsia" w:eastAsia="宋体"/>
                <w:b w:val="0"/>
                <w:bCs w:val="0"/>
                <w:color w:val="auto"/>
                <w:lang w:val="en-US" w:eastAsia="zh-CN"/>
              </w:rPr>
              <w:t>m</w:t>
            </w:r>
            <w:r>
              <w:rPr>
                <w:rFonts w:hint="eastAsia" w:eastAsia="宋体"/>
                <w:b w:val="0"/>
                <w:bCs w:val="0"/>
                <w:color w:val="auto"/>
                <w:vertAlign w:val="superscript"/>
                <w:lang w:val="en-US" w:eastAsia="zh-CN"/>
              </w:rPr>
              <w:t>3</w:t>
            </w:r>
            <w:r>
              <w:rPr>
                <w:rFonts w:hint="eastAsia" w:eastAsia="宋体"/>
                <w:b w:val="0"/>
                <w:bCs w:val="0"/>
                <w:color w:val="auto"/>
                <w:lang w:val="en-US" w:eastAsia="zh-CN"/>
              </w:rPr>
              <w:t>。</w:t>
            </w:r>
          </w:p>
          <w:p w14:paraId="0910C46F">
            <w:pPr>
              <w:bidi w:val="0"/>
              <w:rPr>
                <w:rFonts w:hint="eastAsia" w:eastAsia="宋体"/>
                <w:b w:val="0"/>
                <w:bCs w:val="0"/>
                <w:color w:val="auto"/>
                <w:lang w:val="en-US" w:eastAsia="zh-CN"/>
              </w:rPr>
            </w:pPr>
            <w:r>
              <w:rPr>
                <w:rFonts w:hint="eastAsia" w:eastAsia="宋体"/>
                <w:b w:val="0"/>
                <w:bCs w:val="0"/>
                <w:color w:val="auto"/>
                <w:lang w:val="en-US" w:eastAsia="zh-CN"/>
              </w:rPr>
              <w:t>②员工生活用排水</w:t>
            </w:r>
          </w:p>
          <w:p w14:paraId="3F4C421C">
            <w:pPr>
              <w:bidi w:val="0"/>
              <w:rPr>
                <w:rFonts w:hint="eastAsia" w:eastAsia="宋体"/>
                <w:b w:val="0"/>
                <w:bCs w:val="0"/>
                <w:color w:val="auto"/>
                <w:lang w:val="en-US" w:eastAsia="zh-CN"/>
              </w:rPr>
            </w:pPr>
            <w:r>
              <w:rPr>
                <w:rFonts w:hint="eastAsia" w:eastAsia="宋体"/>
                <w:b w:val="0"/>
                <w:bCs w:val="0"/>
                <w:color w:val="auto"/>
                <w:lang w:val="en-US" w:eastAsia="zh-CN"/>
              </w:rPr>
              <w:t>项目劳动定员38人，厂区内不提供饮食和住宿。员工生活用水主要是洗手冲厕用水，</w:t>
            </w:r>
            <w:r>
              <w:rPr>
                <w:rFonts w:hint="eastAsia"/>
                <w:b w:val="0"/>
                <w:bCs w:val="0"/>
                <w:color w:val="auto"/>
                <w:lang w:val="en-US" w:eastAsia="zh-CN"/>
              </w:rPr>
              <w:t>根据</w:t>
            </w:r>
            <w:r>
              <w:rPr>
                <w:rFonts w:hint="eastAsia" w:eastAsia="宋体"/>
                <w:b w:val="0"/>
                <w:bCs w:val="0"/>
                <w:color w:val="auto"/>
                <w:lang w:val="en-US" w:eastAsia="zh-CN"/>
              </w:rPr>
              <w:t>《云南省用水定额标准》（DB53/T168-2026）</w:t>
            </w:r>
            <w:r>
              <w:rPr>
                <w:rFonts w:hint="eastAsia"/>
                <w:b w:val="0"/>
                <w:bCs w:val="0"/>
                <w:color w:val="auto"/>
                <w:lang w:val="en-US" w:eastAsia="zh-CN"/>
              </w:rPr>
              <w:t>，结合本项目所在地生活用水实际情况，项目生活办公用水用水量按30 L/人·d计，</w:t>
            </w:r>
            <w:r>
              <w:rPr>
                <w:rFonts w:hint="eastAsia" w:eastAsia="宋体"/>
                <w:b w:val="0"/>
                <w:bCs w:val="0"/>
                <w:color w:val="auto"/>
                <w:lang w:val="en-US" w:eastAsia="zh-CN"/>
              </w:rPr>
              <w:t>则本项目员工用水量为1.14m</w:t>
            </w:r>
            <w:r>
              <w:rPr>
                <w:rFonts w:hint="eastAsia" w:eastAsia="宋体"/>
                <w:b w:val="0"/>
                <w:bCs w:val="0"/>
                <w:color w:val="auto"/>
                <w:vertAlign w:val="superscript"/>
                <w:lang w:val="en-US" w:eastAsia="zh-CN"/>
              </w:rPr>
              <w:t>3</w:t>
            </w:r>
            <w:r>
              <w:rPr>
                <w:rFonts w:hint="eastAsia" w:eastAsia="宋体"/>
                <w:b w:val="0"/>
                <w:bCs w:val="0"/>
                <w:color w:val="auto"/>
                <w:lang w:val="en-US" w:eastAsia="zh-CN"/>
              </w:rPr>
              <w:t>/d，342m</w:t>
            </w:r>
            <w:r>
              <w:rPr>
                <w:rFonts w:hint="eastAsia" w:eastAsia="宋体"/>
                <w:b w:val="0"/>
                <w:bCs w:val="0"/>
                <w:color w:val="auto"/>
                <w:vertAlign w:val="superscript"/>
                <w:lang w:val="en-US" w:eastAsia="zh-CN"/>
              </w:rPr>
              <w:t>3</w:t>
            </w:r>
            <w:r>
              <w:rPr>
                <w:rFonts w:hint="eastAsia" w:eastAsia="宋体"/>
                <w:b w:val="0"/>
                <w:bCs w:val="0"/>
                <w:color w:val="auto"/>
                <w:lang w:val="en-US" w:eastAsia="zh-CN"/>
              </w:rPr>
              <w:t>/a，产污系数按0.8计，则生活污水产生量为0.912m</w:t>
            </w:r>
            <w:r>
              <w:rPr>
                <w:rFonts w:hint="eastAsia" w:eastAsia="宋体"/>
                <w:b w:val="0"/>
                <w:bCs w:val="0"/>
                <w:color w:val="auto"/>
                <w:vertAlign w:val="superscript"/>
                <w:lang w:val="en-US" w:eastAsia="zh-CN"/>
              </w:rPr>
              <w:t>3</w:t>
            </w:r>
            <w:r>
              <w:rPr>
                <w:rFonts w:hint="eastAsia" w:eastAsia="宋体"/>
                <w:b w:val="0"/>
                <w:bCs w:val="0"/>
                <w:color w:val="auto"/>
                <w:lang w:val="en-US" w:eastAsia="zh-CN"/>
              </w:rPr>
              <w:t>/d（273.6t/a），将化粪池预处理后进入自建一体化污水处理站处理达标后回用于厂区绿化及道路空地浇洒，不外排。</w:t>
            </w:r>
          </w:p>
          <w:p w14:paraId="595A0FFB">
            <w:pPr>
              <w:bidi w:val="0"/>
              <w:rPr>
                <w:rFonts w:hint="default" w:eastAsia="宋体"/>
                <w:b w:val="0"/>
                <w:bCs w:val="0"/>
                <w:color w:val="auto"/>
                <w:lang w:val="en-US" w:eastAsia="zh-CN"/>
              </w:rPr>
            </w:pPr>
            <w:r>
              <w:rPr>
                <w:rFonts w:hint="eastAsia" w:eastAsia="宋体"/>
                <w:b w:val="0"/>
                <w:bCs w:val="0"/>
                <w:color w:val="auto"/>
                <w:lang w:val="en-US" w:eastAsia="zh-CN"/>
              </w:rPr>
              <w:t>③初期雨水</w:t>
            </w:r>
          </w:p>
          <w:p w14:paraId="1E6F5223">
            <w:pPr>
              <w:bidi w:val="0"/>
              <w:rPr>
                <w:rFonts w:hint="eastAsia" w:eastAsia="宋体"/>
                <w:b w:val="0"/>
                <w:bCs w:val="0"/>
                <w:color w:val="auto"/>
                <w:lang w:val="en-US" w:eastAsia="zh-CN"/>
              </w:rPr>
            </w:pPr>
            <w:r>
              <w:rPr>
                <w:rFonts w:hint="eastAsia" w:eastAsia="宋体"/>
                <w:b w:val="0"/>
                <w:bCs w:val="0"/>
                <w:color w:val="auto"/>
                <w:lang w:val="en-US" w:eastAsia="zh-CN"/>
              </w:rPr>
              <w:t>本项目运营过程中，遇降雨天气，受到自然降雨的影响，形成雨污水。取一次暴雨前15min的降水量，经雨水冲洗的地面排水含有少量悬浮物等污染物，如果直接排入水体，将造成一定的污染。本次环评提出对初期雨水进行收集，初期雨水地表径流中含有的主要成分为SS，经初期雨水收集池沉淀处理后用于厂区洒水降尘。</w:t>
            </w:r>
          </w:p>
          <w:p w14:paraId="27BB0755">
            <w:pPr>
              <w:bidi w:val="0"/>
              <w:rPr>
                <w:rFonts w:hint="eastAsia" w:eastAsia="宋体"/>
                <w:b w:val="0"/>
                <w:bCs w:val="0"/>
                <w:color w:val="auto"/>
                <w:lang w:val="en-US" w:eastAsia="zh-CN"/>
              </w:rPr>
            </w:pPr>
            <w:r>
              <w:rPr>
                <w:rFonts w:hint="eastAsia" w:eastAsia="宋体"/>
                <w:b w:val="0"/>
                <w:bCs w:val="0"/>
                <w:color w:val="auto"/>
                <w:lang w:val="en-US" w:eastAsia="zh-CN"/>
              </w:rPr>
              <w:t>采用最大降水量法来计算厂区初期雨水收集池所需设计容积，确保遇最大暴雨时，初期雨水收集池能收集产生的初期雨水，计算公式为：</w:t>
            </w:r>
          </w:p>
          <w:p w14:paraId="2B9F8CDC">
            <w:pPr>
              <w:bidi w:val="0"/>
              <w:rPr>
                <w:rFonts w:hint="eastAsia" w:eastAsia="宋体"/>
                <w:b w:val="0"/>
                <w:bCs w:val="0"/>
                <w:color w:val="auto"/>
                <w:lang w:val="en-US" w:eastAsia="zh-CN"/>
              </w:rPr>
            </w:pPr>
            <w:r>
              <w:rPr>
                <w:rFonts w:hint="eastAsia" w:ascii="Times New Roman" w:hAnsi="Times New Roman" w:cs="Times New Roman"/>
                <w:snapToGrid w:val="0"/>
                <w:color w:val="auto"/>
                <w:position w:val="-10"/>
                <w:sz w:val="24"/>
                <w:szCs w:val="24"/>
                <w:highlight w:val="none"/>
                <w:lang w:val="en-US" w:eastAsia="zh-CN"/>
              </w:rPr>
              <w:object>
                <v:shape id="_x0000_i1025" o:spt="75" type="#_x0000_t75" style="height:22.8pt;width:95.45pt;" o:ole="t" filled="f" o:preferrelative="t" stroked="f" coordsize="21600,21600">
                  <v:path/>
                  <v:fill on="f" focussize="0,0"/>
                  <v:stroke on="f"/>
                  <v:imagedata r:id="rId14" o:title=""/>
                  <o:lock v:ext="edit" aspectratio="t"/>
                  <w10:wrap type="none"/>
                  <w10:anchorlock/>
                </v:shape>
                <o:OLEObject Type="Embed" ProgID="Equation.KSEE3" ShapeID="_x0000_i1025" DrawAspect="Content" ObjectID="_1468075725" r:id="rId13">
                  <o:LockedField>false</o:LockedField>
                </o:OLEObject>
              </w:object>
            </w:r>
          </w:p>
          <w:p w14:paraId="66C46100">
            <w:pPr>
              <w:bidi w:val="0"/>
              <w:rPr>
                <w:rFonts w:hint="eastAsia" w:eastAsia="宋体"/>
                <w:b w:val="0"/>
                <w:bCs w:val="0"/>
                <w:color w:val="auto"/>
                <w:lang w:val="en-US" w:eastAsia="zh-CN"/>
              </w:rPr>
            </w:pPr>
            <w:r>
              <w:rPr>
                <w:rFonts w:hint="eastAsia" w:eastAsia="宋体"/>
                <w:b w:val="0"/>
                <w:bCs w:val="0"/>
                <w:color w:val="auto"/>
                <w:lang w:val="en-US" w:eastAsia="zh-CN"/>
              </w:rPr>
              <w:t>式中：Q—雨水流量，L/s；</w:t>
            </w:r>
          </w:p>
          <w:p w14:paraId="04C873D0">
            <w:pPr>
              <w:bidi w:val="0"/>
              <w:rPr>
                <w:rFonts w:hint="eastAsia" w:eastAsia="宋体"/>
                <w:b w:val="0"/>
                <w:bCs w:val="0"/>
                <w:color w:val="auto"/>
                <w:lang w:val="en-US" w:eastAsia="zh-CN"/>
              </w:rPr>
            </w:pPr>
            <w:r>
              <w:rPr>
                <w:rFonts w:hint="eastAsia" w:eastAsia="宋体"/>
                <w:b w:val="0"/>
                <w:bCs w:val="0"/>
                <w:color w:val="auto"/>
                <w:lang w:val="en-US" w:eastAsia="zh-CN"/>
              </w:rPr>
              <w:t>q—设计暴雨强度，L/s•hm</w:t>
            </w:r>
            <w:r>
              <w:rPr>
                <w:rFonts w:hint="eastAsia" w:eastAsia="宋体"/>
                <w:b w:val="0"/>
                <w:bCs w:val="0"/>
                <w:color w:val="auto"/>
                <w:vertAlign w:val="superscript"/>
                <w:lang w:val="en-US" w:eastAsia="zh-CN"/>
              </w:rPr>
              <w:t>3</w:t>
            </w:r>
            <w:r>
              <w:rPr>
                <w:rFonts w:hint="eastAsia" w:eastAsia="宋体"/>
                <w:b w:val="0"/>
                <w:bCs w:val="0"/>
                <w:color w:val="auto"/>
                <w:lang w:val="en-US" w:eastAsia="zh-CN"/>
              </w:rPr>
              <w:t>；</w:t>
            </w:r>
          </w:p>
          <w:p w14:paraId="300D0F7A">
            <w:pPr>
              <w:bidi w:val="0"/>
              <w:rPr>
                <w:rFonts w:hint="eastAsia" w:eastAsia="宋体"/>
                <w:b w:val="0"/>
                <w:bCs w:val="0"/>
                <w:color w:val="auto"/>
                <w:lang w:val="en-US" w:eastAsia="zh-CN"/>
              </w:rPr>
            </w:pPr>
            <w:r>
              <w:rPr>
                <w:rFonts w:hint="eastAsia" w:eastAsia="宋体"/>
                <w:b w:val="0"/>
                <w:bCs w:val="0"/>
                <w:color w:val="auto"/>
                <w:lang w:val="en-US" w:eastAsia="zh-CN"/>
              </w:rPr>
              <w:t>F—汇水面积（m</w:t>
            </w:r>
            <w:r>
              <w:rPr>
                <w:rFonts w:hint="eastAsia" w:eastAsia="宋体"/>
                <w:b w:val="0"/>
                <w:bCs w:val="0"/>
                <w:color w:val="auto"/>
                <w:vertAlign w:val="superscript"/>
                <w:lang w:val="en-US" w:eastAsia="zh-CN"/>
              </w:rPr>
              <w:t>2</w:t>
            </w:r>
            <w:r>
              <w:rPr>
                <w:rFonts w:hint="eastAsia" w:eastAsia="宋体"/>
                <w:b w:val="0"/>
                <w:bCs w:val="0"/>
                <w:color w:val="auto"/>
                <w:lang w:val="en-US" w:eastAsia="zh-CN"/>
              </w:rPr>
              <w:t>），本项目主要收集生产区的初期雨水，占地面积约</w:t>
            </w:r>
            <w:r>
              <w:rPr>
                <w:rFonts w:hint="eastAsia"/>
                <w:b w:val="0"/>
                <w:bCs w:val="0"/>
                <w:color w:val="auto"/>
                <w:lang w:val="en-US" w:eastAsia="zh-CN"/>
              </w:rPr>
              <w:t>1.146</w:t>
            </w:r>
            <w:r>
              <w:rPr>
                <w:rFonts w:hint="eastAsia" w:eastAsia="宋体"/>
                <w:b w:val="0"/>
                <w:bCs w:val="0"/>
                <w:color w:val="auto"/>
                <w:lang w:val="en-US" w:eastAsia="zh-CN"/>
              </w:rPr>
              <w:t>hm</w:t>
            </w:r>
            <w:r>
              <w:rPr>
                <w:rFonts w:hint="eastAsia" w:eastAsia="宋体"/>
                <w:b w:val="0"/>
                <w:bCs w:val="0"/>
                <w:color w:val="auto"/>
                <w:vertAlign w:val="superscript"/>
                <w:lang w:val="en-US" w:eastAsia="zh-CN"/>
              </w:rPr>
              <w:t>2</w:t>
            </w:r>
            <w:r>
              <w:rPr>
                <w:rFonts w:hint="eastAsia" w:eastAsia="宋体"/>
                <w:b w:val="0"/>
                <w:bCs w:val="0"/>
                <w:color w:val="auto"/>
                <w:lang w:val="en-US" w:eastAsia="zh-CN"/>
              </w:rPr>
              <w:t>；</w:t>
            </w:r>
          </w:p>
          <w:p w14:paraId="4C08AA9A">
            <w:pPr>
              <w:bidi w:val="0"/>
              <w:rPr>
                <w:rFonts w:hint="eastAsia" w:eastAsia="宋体"/>
                <w:b w:val="0"/>
                <w:bCs w:val="0"/>
                <w:color w:val="auto"/>
                <w:lang w:val="en-US" w:eastAsia="zh-CN"/>
              </w:rPr>
            </w:pPr>
            <w:r>
              <w:rPr>
                <w:rFonts w:hint="eastAsia" w:eastAsia="宋体"/>
                <w:b w:val="0"/>
                <w:bCs w:val="0"/>
                <w:color w:val="auto"/>
                <w:lang w:val="en-US" w:eastAsia="zh-CN"/>
              </w:rPr>
              <w:t>Ψ—径流系数，0.15~0.9，考虑项目区的坡度及场地硬化等因素，径流系数取0.5。</w:t>
            </w:r>
          </w:p>
          <w:p w14:paraId="27B88EF6">
            <w:pPr>
              <w:bidi w:val="0"/>
              <w:rPr>
                <w:rFonts w:hint="eastAsia" w:eastAsia="宋体"/>
                <w:b w:val="0"/>
                <w:bCs w:val="0"/>
                <w:color w:val="auto"/>
                <w:lang w:val="en-US" w:eastAsia="zh-CN"/>
              </w:rPr>
            </w:pPr>
            <w:r>
              <w:rPr>
                <w:rFonts w:hint="eastAsia" w:eastAsia="宋体"/>
                <w:b w:val="0"/>
                <w:bCs w:val="0"/>
                <w:color w:val="auto"/>
                <w:lang w:val="en-US" w:eastAsia="zh-CN"/>
              </w:rPr>
              <w:t>玉溪市暴雨强度计算公式：</w:t>
            </w:r>
          </w:p>
          <w:p w14:paraId="1E107779">
            <w:pPr>
              <w:bidi w:val="0"/>
              <w:rPr>
                <w:rFonts w:hint="eastAsia" w:eastAsia="宋体"/>
                <w:b w:val="0"/>
                <w:bCs w:val="0"/>
                <w:color w:val="auto"/>
                <w:lang w:val="en-US" w:eastAsia="zh-CN"/>
              </w:rPr>
            </w:pPr>
            <w:r>
              <w:rPr>
                <w:rFonts w:hint="eastAsia" w:ascii="Times New Roman" w:hAnsi="Times New Roman" w:eastAsia="宋体" w:cs="Times New Roman"/>
                <w:bCs/>
                <w:color w:val="auto"/>
                <w:position w:val="-30"/>
                <w:szCs w:val="24"/>
                <w:highlight w:val="none"/>
                <w:lang w:eastAsia="zh-CN"/>
              </w:rPr>
              <w:object>
                <v:shape id="_x0000_i1026" o:spt="75" type="#_x0000_t75" style="height:37.5pt;width:163.75pt;" o:ole="t" filled="f" o:preferrelative="t" stroked="f" coordsize="21600,21600">
                  <v:path/>
                  <v:fill on="f" focussize="0,0"/>
                  <v:stroke on="f"/>
                  <v:imagedata r:id="rId16" o:title=""/>
                  <o:lock v:ext="edit" aspectratio="t"/>
                  <w10:wrap type="none"/>
                  <w10:anchorlock/>
                </v:shape>
                <o:OLEObject Type="Embed" ProgID="Equation.KSEE3" ShapeID="_x0000_i1026" DrawAspect="Content" ObjectID="_1468075726" r:id="rId15">
                  <o:LockedField>false</o:LockedField>
                </o:OLEObject>
              </w:object>
            </w:r>
          </w:p>
          <w:p w14:paraId="0A9B3B31">
            <w:pPr>
              <w:pStyle w:val="30"/>
              <w:adjustRightInd w:val="0"/>
              <w:snapToGrid w:val="0"/>
              <w:spacing w:line="360" w:lineRule="auto"/>
              <w:ind w:firstLine="480"/>
              <w:rPr>
                <w:rFonts w:hint="eastAsia" w:cs="Times New Roman"/>
                <w:snapToGrid w:val="0"/>
                <w:color w:val="auto"/>
                <w:sz w:val="24"/>
                <w:szCs w:val="24"/>
                <w:highlight w:val="none"/>
                <w:lang w:val="en-US" w:eastAsia="zh-CN"/>
              </w:rPr>
            </w:pPr>
            <w:r>
              <w:rPr>
                <w:rFonts w:hint="eastAsia" w:cs="Times New Roman"/>
                <w:snapToGrid w:val="0"/>
                <w:color w:val="auto"/>
                <w:sz w:val="24"/>
                <w:szCs w:val="24"/>
                <w:highlight w:val="none"/>
                <w:lang w:val="en-US" w:eastAsia="zh-CN"/>
              </w:rPr>
              <w:t>式中：P—设计降雨重现期1a；</w:t>
            </w:r>
          </w:p>
          <w:p w14:paraId="755F9BC9">
            <w:pPr>
              <w:pStyle w:val="30"/>
              <w:adjustRightInd w:val="0"/>
              <w:snapToGrid w:val="0"/>
              <w:spacing w:line="360" w:lineRule="auto"/>
              <w:ind w:firstLine="1200" w:firstLineChars="500"/>
              <w:rPr>
                <w:rFonts w:hint="default" w:cs="Times New Roman"/>
                <w:snapToGrid w:val="0"/>
                <w:color w:val="auto"/>
                <w:sz w:val="24"/>
                <w:szCs w:val="24"/>
                <w:highlight w:val="none"/>
                <w:lang w:val="en-US" w:eastAsia="zh-CN"/>
              </w:rPr>
            </w:pPr>
            <w:r>
              <w:rPr>
                <w:rFonts w:hint="eastAsia" w:cs="Times New Roman"/>
                <w:snapToGrid w:val="0"/>
                <w:color w:val="auto"/>
                <w:sz w:val="24"/>
                <w:szCs w:val="24"/>
                <w:highlight w:val="none"/>
                <w:lang w:val="en-US" w:eastAsia="zh-CN"/>
              </w:rPr>
              <w:t>t—降雨历时（取15min）。</w:t>
            </w:r>
          </w:p>
          <w:p w14:paraId="71A27637">
            <w:pPr>
              <w:bidi w:val="0"/>
              <w:rPr>
                <w:rFonts w:hint="eastAsia" w:cs="Times New Roman"/>
                <w:snapToGrid w:val="0"/>
                <w:color w:val="auto"/>
                <w:sz w:val="24"/>
                <w:szCs w:val="24"/>
                <w:highlight w:val="none"/>
                <w:lang w:val="en-US" w:eastAsia="zh-CN"/>
              </w:rPr>
            </w:pPr>
            <w:r>
              <w:rPr>
                <w:rFonts w:hint="eastAsia" w:ascii="Times New Roman" w:hAnsi="Times New Roman" w:cs="Times New Roman"/>
                <w:snapToGrid w:val="0"/>
                <w:color w:val="auto"/>
                <w:sz w:val="24"/>
                <w:szCs w:val="24"/>
                <w:highlight w:val="none"/>
                <w:lang w:val="en-US" w:eastAsia="zh-CN"/>
              </w:rPr>
              <w:t>按照上述公式计算，拟建项目区的暴雨强度为178.96L/</w:t>
            </w:r>
            <w:r>
              <w:rPr>
                <w:rFonts w:hint="eastAsia" w:cs="Times New Roman"/>
                <w:snapToGrid w:val="0"/>
                <w:color w:val="auto"/>
                <w:sz w:val="24"/>
                <w:szCs w:val="24"/>
                <w:highlight w:val="none"/>
                <w:lang w:val="en-US" w:eastAsia="zh-CN"/>
              </w:rPr>
              <w:t>s</w:t>
            </w:r>
            <w:r>
              <w:rPr>
                <w:rFonts w:hint="eastAsia" w:ascii="Times New Roman" w:hAnsi="Times New Roman" w:cs="Times New Roman"/>
                <w:snapToGrid w:val="0"/>
                <w:color w:val="auto"/>
                <w:sz w:val="24"/>
                <w:szCs w:val="24"/>
                <w:highlight w:val="none"/>
                <w:lang w:val="en-US" w:eastAsia="zh-CN"/>
              </w:rPr>
              <w:t>•hm</w:t>
            </w:r>
            <w:r>
              <w:rPr>
                <w:rFonts w:hint="eastAsia" w:ascii="Times New Roman" w:hAnsi="Times New Roman" w:cs="Times New Roman"/>
                <w:snapToGrid w:val="0"/>
                <w:color w:val="auto"/>
                <w:sz w:val="24"/>
                <w:szCs w:val="24"/>
                <w:highlight w:val="none"/>
                <w:vertAlign w:val="superscript"/>
                <w:lang w:val="en-US" w:eastAsia="zh-CN"/>
              </w:rPr>
              <w:t>2</w:t>
            </w:r>
            <w:r>
              <w:rPr>
                <w:rFonts w:hint="eastAsia" w:ascii="Times New Roman" w:hAnsi="Times New Roman" w:cs="Times New Roman"/>
                <w:snapToGrid w:val="0"/>
                <w:color w:val="auto"/>
                <w:sz w:val="24"/>
                <w:szCs w:val="24"/>
                <w:highlight w:val="none"/>
                <w:lang w:val="en-US" w:eastAsia="zh-CN"/>
              </w:rPr>
              <w:t>。项目区雨水流量为</w:t>
            </w:r>
            <w:r>
              <w:rPr>
                <w:rFonts w:hint="eastAsia" w:cs="Times New Roman"/>
                <w:snapToGrid w:val="0"/>
                <w:color w:val="auto"/>
                <w:sz w:val="24"/>
                <w:szCs w:val="24"/>
                <w:highlight w:val="none"/>
                <w:lang w:val="en-US" w:eastAsia="zh-CN"/>
              </w:rPr>
              <w:t>102.544L/s。降雨前15min初期雨水产生量为92.29m</w:t>
            </w:r>
            <w:r>
              <w:rPr>
                <w:rFonts w:hint="eastAsia" w:cs="Times New Roman"/>
                <w:snapToGrid w:val="0"/>
                <w:color w:val="auto"/>
                <w:sz w:val="24"/>
                <w:szCs w:val="24"/>
                <w:highlight w:val="none"/>
                <w:vertAlign w:val="superscript"/>
                <w:lang w:val="en-US" w:eastAsia="zh-CN"/>
              </w:rPr>
              <w:t>3</w:t>
            </w:r>
            <w:r>
              <w:rPr>
                <w:rFonts w:hint="eastAsia" w:cs="Times New Roman"/>
                <w:snapToGrid w:val="0"/>
                <w:color w:val="auto"/>
                <w:sz w:val="24"/>
                <w:szCs w:val="24"/>
                <w:highlight w:val="none"/>
                <w:lang w:val="en-US" w:eastAsia="zh-CN"/>
              </w:rPr>
              <w:t>/次。初期雨水主要污染物为SS，因冲刷道路表面，从而带入较多粉尘，经初期雨水收集池沉淀处理后晴天回用于厂区洒水降尘。</w:t>
            </w:r>
          </w:p>
          <w:p w14:paraId="76F08653">
            <w:pPr>
              <w:bidi w:val="0"/>
              <w:rPr>
                <w:rFonts w:hint="default" w:ascii="Times New Roman" w:hAnsi="Times New Roman" w:cs="Times New Roman"/>
                <w:snapToGrid w:val="0"/>
                <w:color w:val="auto"/>
                <w:sz w:val="24"/>
                <w:szCs w:val="24"/>
                <w:highlight w:val="none"/>
                <w:lang w:val="en-US" w:eastAsia="zh-CN"/>
              </w:rPr>
            </w:pPr>
            <w:r>
              <w:rPr>
                <w:rFonts w:hint="eastAsia" w:ascii="Times New Roman" w:hAnsi="Times New Roman" w:cs="Times New Roman"/>
                <w:snapToGrid w:val="0"/>
                <w:color w:val="auto"/>
                <w:sz w:val="24"/>
                <w:szCs w:val="24"/>
                <w:highlight w:val="none"/>
                <w:lang w:val="en-US" w:eastAsia="zh-CN"/>
              </w:rPr>
              <w:t>④</w:t>
            </w:r>
            <w:r>
              <w:rPr>
                <w:rFonts w:hint="eastAsia" w:cs="Times New Roman"/>
                <w:snapToGrid w:val="0"/>
                <w:color w:val="auto"/>
                <w:sz w:val="24"/>
                <w:szCs w:val="24"/>
                <w:highlight w:val="none"/>
                <w:lang w:val="en-US" w:eastAsia="zh-CN"/>
              </w:rPr>
              <w:t>绿化用水</w:t>
            </w:r>
          </w:p>
          <w:p w14:paraId="51CD84C5">
            <w:pPr>
              <w:bidi w:val="0"/>
              <w:rPr>
                <w:rFonts w:hint="eastAsia" w:ascii="Times New Roman" w:hAnsi="Times New Roman" w:cs="Times New Roman"/>
                <w:snapToGrid w:val="0"/>
                <w:color w:val="auto"/>
                <w:sz w:val="24"/>
                <w:szCs w:val="24"/>
                <w:highlight w:val="none"/>
                <w:lang w:val="en-US" w:eastAsia="zh-CN"/>
              </w:rPr>
            </w:pPr>
            <w:r>
              <w:rPr>
                <w:rFonts w:hint="eastAsia"/>
                <w:color w:val="auto"/>
              </w:rPr>
              <w:t>项目绿化面积</w:t>
            </w:r>
            <w:r>
              <w:rPr>
                <w:rFonts w:hint="eastAsia"/>
                <w:color w:val="auto"/>
                <w:lang w:val="en-US" w:eastAsia="zh-CN"/>
              </w:rPr>
              <w:t>100</w:t>
            </w:r>
            <w:r>
              <w:rPr>
                <w:rFonts w:hint="eastAsia"/>
                <w:color w:val="auto"/>
              </w:rPr>
              <w:t>m</w:t>
            </w:r>
            <w:r>
              <w:rPr>
                <w:rFonts w:hint="eastAsia"/>
                <w:color w:val="auto"/>
                <w:vertAlign w:val="superscript"/>
              </w:rPr>
              <w:t>2</w:t>
            </w:r>
            <w:r>
              <w:rPr>
                <w:rFonts w:hint="eastAsia"/>
                <w:color w:val="auto"/>
              </w:rPr>
              <w:t>，</w:t>
            </w:r>
            <w:r>
              <w:rPr>
                <w:color w:val="auto"/>
              </w:rPr>
              <w:t>依据</w:t>
            </w:r>
            <w:r>
              <w:rPr>
                <w:rFonts w:hint="eastAsia" w:eastAsia="宋体"/>
                <w:b w:val="0"/>
                <w:bCs w:val="0"/>
                <w:color w:val="auto"/>
                <w:lang w:val="en-US" w:eastAsia="zh-CN"/>
              </w:rPr>
              <w:t>《云南省用水定额标准》</w:t>
            </w:r>
            <w:r>
              <w:rPr>
                <w:color w:val="auto"/>
              </w:rPr>
              <w:t>（DB53/T168-20</w:t>
            </w:r>
            <w:r>
              <w:rPr>
                <w:rFonts w:hint="eastAsia"/>
                <w:color w:val="auto"/>
              </w:rPr>
              <w:t>26</w:t>
            </w:r>
            <w:r>
              <w:rPr>
                <w:color w:val="auto"/>
              </w:rPr>
              <w:t>）标准，绿化用水按3L/m</w:t>
            </w:r>
            <w:r>
              <w:rPr>
                <w:color w:val="auto"/>
                <w:vertAlign w:val="superscript"/>
              </w:rPr>
              <w:t>2</w:t>
            </w:r>
            <w:r>
              <w:rPr>
                <w:color w:val="auto"/>
              </w:rPr>
              <w:t>·次计，用水时间扣除下雨天，按200d计，则绿化用水量为</w:t>
            </w:r>
            <w:r>
              <w:rPr>
                <w:rFonts w:hint="eastAsia"/>
                <w:color w:val="auto"/>
              </w:rPr>
              <w:t>0.</w:t>
            </w:r>
            <w:r>
              <w:rPr>
                <w:rFonts w:hint="eastAsia"/>
                <w:color w:val="auto"/>
                <w:lang w:val="en-US" w:eastAsia="zh-CN"/>
              </w:rPr>
              <w:t>3</w:t>
            </w:r>
            <w:r>
              <w:rPr>
                <w:color w:val="auto"/>
              </w:rPr>
              <w:t>m</w:t>
            </w:r>
            <w:r>
              <w:rPr>
                <w:rFonts w:hint="eastAsia"/>
                <w:color w:val="auto"/>
                <w:vertAlign w:val="superscript"/>
                <w:lang w:val="en-US" w:eastAsia="zh-CN"/>
              </w:rPr>
              <w:t>3</w:t>
            </w:r>
            <w:r>
              <w:rPr>
                <w:color w:val="auto"/>
              </w:rPr>
              <w:t>/d</w:t>
            </w:r>
            <w:r>
              <w:rPr>
                <w:rFonts w:hint="eastAsia"/>
                <w:color w:val="auto"/>
              </w:rPr>
              <w:t>、</w:t>
            </w:r>
            <w:r>
              <w:rPr>
                <w:rFonts w:hint="eastAsia"/>
                <w:color w:val="auto"/>
                <w:lang w:val="en-US" w:eastAsia="zh-CN"/>
              </w:rPr>
              <w:t>60</w:t>
            </w:r>
            <w:r>
              <w:rPr>
                <w:color w:val="auto"/>
              </w:rPr>
              <w:t>m</w:t>
            </w:r>
            <w:r>
              <w:rPr>
                <w:rFonts w:hint="eastAsia"/>
                <w:color w:val="auto"/>
                <w:vertAlign w:val="superscript"/>
                <w:lang w:val="en-US" w:eastAsia="zh-CN"/>
              </w:rPr>
              <w:t>3</w:t>
            </w:r>
            <w:r>
              <w:rPr>
                <w:color w:val="auto"/>
              </w:rPr>
              <w:t>/a。</w:t>
            </w:r>
          </w:p>
          <w:p w14:paraId="437D2BD6">
            <w:pPr>
              <w:bidi w:val="0"/>
              <w:rPr>
                <w:rFonts w:hint="default" w:eastAsia="宋体"/>
                <w:b w:val="0"/>
                <w:bCs w:val="0"/>
                <w:color w:val="auto"/>
                <w:lang w:val="en-US" w:eastAsia="zh-CN"/>
              </w:rPr>
            </w:pPr>
            <w:r>
              <w:rPr>
                <w:rFonts w:hint="eastAsia" w:eastAsia="宋体"/>
                <w:b w:val="0"/>
                <w:bCs w:val="0"/>
                <w:color w:val="auto"/>
                <w:lang w:val="en-US" w:eastAsia="zh-CN"/>
              </w:rPr>
              <w:t>⑤项目水平衡</w:t>
            </w:r>
          </w:p>
          <w:p w14:paraId="26B9288E">
            <w:pPr>
              <w:bidi w:val="0"/>
              <w:rPr>
                <w:rFonts w:hint="eastAsia" w:eastAsia="宋体"/>
                <w:b w:val="0"/>
                <w:bCs w:val="0"/>
                <w:color w:val="auto"/>
                <w:lang w:val="en-US" w:eastAsia="zh-CN"/>
              </w:rPr>
            </w:pPr>
            <w:r>
              <w:rPr>
                <w:rFonts w:hint="eastAsia" w:eastAsia="宋体"/>
                <w:b w:val="0"/>
                <w:bCs w:val="0"/>
                <w:color w:val="auto"/>
                <w:lang w:val="en-US" w:eastAsia="zh-CN"/>
              </w:rPr>
              <w:t>根据上述核算，项目用排水情况如下表。</w:t>
            </w:r>
          </w:p>
          <w:p w14:paraId="33F1968F">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表2-6  项目给排水情况一览表</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96"/>
              <w:gridCol w:w="1065"/>
              <w:gridCol w:w="917"/>
              <w:gridCol w:w="1649"/>
              <w:gridCol w:w="825"/>
              <w:gridCol w:w="3035"/>
            </w:tblGrid>
            <w:tr w14:paraId="0BFE9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38" w:type="pct"/>
                  <w:vMerge w:val="restart"/>
                  <w:shd w:val="clear" w:color="auto" w:fill="auto"/>
                  <w:noWrap w:val="0"/>
                  <w:vAlign w:val="center"/>
                </w:tcPr>
                <w:p w14:paraId="5ED94B82">
                  <w:pPr>
                    <w:pStyle w:val="54"/>
                    <w:spacing w:line="240" w:lineRule="auto"/>
                    <w:ind w:firstLine="0" w:firstLineChars="0"/>
                    <w:jc w:val="center"/>
                    <w:rPr>
                      <w:rFonts w:hint="eastAsia" w:ascii="Times New Roman" w:hAnsi="Times New Roman" w:eastAsia="宋体"/>
                      <w:color w:val="auto"/>
                      <w:sz w:val="21"/>
                      <w:szCs w:val="21"/>
                    </w:rPr>
                  </w:pPr>
                  <w:r>
                    <w:rPr>
                      <w:rFonts w:hint="eastAsia" w:ascii="Times New Roman" w:hAnsi="Times New Roman" w:eastAsia="宋体"/>
                      <w:color w:val="auto"/>
                      <w:sz w:val="21"/>
                      <w:szCs w:val="21"/>
                    </w:rPr>
                    <w:t>用水对象</w:t>
                  </w:r>
                </w:p>
              </w:tc>
              <w:tc>
                <w:tcPr>
                  <w:tcW w:w="1154" w:type="pct"/>
                  <w:gridSpan w:val="2"/>
                  <w:shd w:val="clear" w:color="auto" w:fill="auto"/>
                  <w:noWrap w:val="0"/>
                  <w:vAlign w:val="center"/>
                </w:tcPr>
                <w:p w14:paraId="308A5E02">
                  <w:pPr>
                    <w:pStyle w:val="54"/>
                    <w:spacing w:line="240" w:lineRule="auto"/>
                    <w:ind w:firstLine="0" w:firstLineChars="0"/>
                    <w:jc w:val="center"/>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新鲜</w:t>
                  </w:r>
                  <w:r>
                    <w:rPr>
                      <w:rFonts w:hint="eastAsia" w:ascii="Times New Roman" w:hAnsi="Times New Roman" w:eastAsia="宋体"/>
                      <w:color w:val="auto"/>
                      <w:sz w:val="21"/>
                      <w:szCs w:val="21"/>
                    </w:rPr>
                    <w:t>用水量</w:t>
                  </w:r>
                </w:p>
              </w:tc>
              <w:tc>
                <w:tcPr>
                  <w:tcW w:w="1440" w:type="pct"/>
                  <w:gridSpan w:val="2"/>
                  <w:shd w:val="clear" w:color="auto" w:fill="auto"/>
                  <w:noWrap w:val="0"/>
                  <w:vAlign w:val="center"/>
                </w:tcPr>
                <w:p w14:paraId="2C5A9365">
                  <w:pPr>
                    <w:pStyle w:val="54"/>
                    <w:spacing w:line="240" w:lineRule="auto"/>
                    <w:ind w:firstLine="0" w:firstLineChars="0"/>
                    <w:jc w:val="center"/>
                    <w:rPr>
                      <w:rFonts w:hint="eastAsia" w:ascii="Times New Roman" w:hAnsi="Times New Roman" w:eastAsia="宋体"/>
                      <w:color w:val="auto"/>
                      <w:sz w:val="21"/>
                      <w:szCs w:val="21"/>
                    </w:rPr>
                  </w:pPr>
                  <w:r>
                    <w:rPr>
                      <w:rFonts w:hint="eastAsia" w:ascii="Times New Roman" w:hAnsi="Times New Roman" w:eastAsia="宋体"/>
                      <w:color w:val="auto"/>
                      <w:sz w:val="21"/>
                      <w:szCs w:val="21"/>
                    </w:rPr>
                    <w:t>废水产生量</w:t>
                  </w:r>
                </w:p>
              </w:tc>
              <w:tc>
                <w:tcPr>
                  <w:tcW w:w="1767" w:type="pct"/>
                  <w:vMerge w:val="restart"/>
                  <w:shd w:val="clear" w:color="auto" w:fill="auto"/>
                  <w:noWrap w:val="0"/>
                  <w:vAlign w:val="center"/>
                </w:tcPr>
                <w:p w14:paraId="4F705B16">
                  <w:pPr>
                    <w:pStyle w:val="54"/>
                    <w:spacing w:line="240" w:lineRule="auto"/>
                    <w:ind w:firstLine="0" w:firstLineChars="0"/>
                    <w:jc w:val="center"/>
                    <w:rPr>
                      <w:rFonts w:hint="eastAsia" w:ascii="Times New Roman" w:hAnsi="Times New Roman" w:eastAsia="宋体"/>
                      <w:color w:val="auto"/>
                      <w:sz w:val="21"/>
                      <w:szCs w:val="21"/>
                    </w:rPr>
                  </w:pPr>
                  <w:r>
                    <w:rPr>
                      <w:rFonts w:hint="eastAsia" w:ascii="Times New Roman" w:hAnsi="Times New Roman" w:eastAsia="宋体"/>
                      <w:color w:val="auto"/>
                      <w:sz w:val="21"/>
                      <w:szCs w:val="21"/>
                    </w:rPr>
                    <w:t>排放情况</w:t>
                  </w:r>
                </w:p>
              </w:tc>
            </w:tr>
            <w:tr w14:paraId="05CF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38" w:type="pct"/>
                  <w:vMerge w:val="continue"/>
                  <w:shd w:val="clear" w:color="auto" w:fill="auto"/>
                  <w:noWrap w:val="0"/>
                  <w:vAlign w:val="center"/>
                </w:tcPr>
                <w:p w14:paraId="00BCCB55">
                  <w:pPr>
                    <w:pStyle w:val="54"/>
                    <w:spacing w:line="240" w:lineRule="auto"/>
                    <w:ind w:firstLine="0" w:firstLineChars="0"/>
                    <w:jc w:val="center"/>
                    <w:rPr>
                      <w:rFonts w:hint="eastAsia" w:ascii="Times New Roman" w:hAnsi="Times New Roman" w:eastAsia="宋体"/>
                      <w:color w:val="auto"/>
                      <w:sz w:val="21"/>
                      <w:szCs w:val="21"/>
                    </w:rPr>
                  </w:pPr>
                </w:p>
              </w:tc>
              <w:tc>
                <w:tcPr>
                  <w:tcW w:w="620" w:type="pct"/>
                  <w:shd w:val="clear" w:color="auto" w:fill="auto"/>
                  <w:noWrap w:val="0"/>
                  <w:vAlign w:val="center"/>
                </w:tcPr>
                <w:p w14:paraId="22DF71C5">
                  <w:pPr>
                    <w:pStyle w:val="54"/>
                    <w:spacing w:line="240" w:lineRule="auto"/>
                    <w:ind w:firstLine="0" w:firstLineChars="0"/>
                    <w:jc w:val="center"/>
                    <w:rPr>
                      <w:rFonts w:hint="eastAsia" w:ascii="Times New Roman" w:hAnsi="Times New Roman" w:eastAsia="宋体"/>
                      <w:color w:val="auto"/>
                      <w:sz w:val="21"/>
                      <w:szCs w:val="21"/>
                    </w:rPr>
                  </w:pPr>
                  <w:r>
                    <w:rPr>
                      <w:rFonts w:hint="eastAsia" w:ascii="Times New Roman" w:hAnsi="Times New Roman" w:eastAsia="宋体"/>
                      <w:color w:val="auto"/>
                      <w:sz w:val="21"/>
                      <w:szCs w:val="21"/>
                    </w:rPr>
                    <w:t>m</w:t>
                  </w:r>
                  <w:r>
                    <w:rPr>
                      <w:rFonts w:ascii="Times New Roman" w:hAnsi="Times New Roman" w:eastAsia="宋体"/>
                      <w:color w:val="auto"/>
                      <w:sz w:val="21"/>
                      <w:szCs w:val="21"/>
                      <w:vertAlign w:val="superscript"/>
                    </w:rPr>
                    <w:t>3</w:t>
                  </w:r>
                  <w:r>
                    <w:rPr>
                      <w:rFonts w:ascii="Times New Roman" w:hAnsi="Times New Roman" w:eastAsia="宋体"/>
                      <w:color w:val="auto"/>
                      <w:sz w:val="21"/>
                      <w:szCs w:val="21"/>
                    </w:rPr>
                    <w:t>/d</w:t>
                  </w:r>
                </w:p>
              </w:tc>
              <w:tc>
                <w:tcPr>
                  <w:tcW w:w="533" w:type="pct"/>
                  <w:shd w:val="clear" w:color="auto" w:fill="auto"/>
                  <w:noWrap w:val="0"/>
                  <w:vAlign w:val="center"/>
                </w:tcPr>
                <w:p w14:paraId="7CAD701D">
                  <w:pPr>
                    <w:pStyle w:val="54"/>
                    <w:spacing w:line="240" w:lineRule="auto"/>
                    <w:ind w:firstLine="0" w:firstLineChars="0"/>
                    <w:jc w:val="center"/>
                    <w:rPr>
                      <w:rFonts w:hint="eastAsia" w:ascii="Times New Roman" w:hAnsi="Times New Roman" w:eastAsia="宋体"/>
                      <w:color w:val="auto"/>
                      <w:sz w:val="21"/>
                      <w:szCs w:val="21"/>
                    </w:rPr>
                  </w:pPr>
                  <w:r>
                    <w:rPr>
                      <w:rFonts w:hint="eastAsia" w:ascii="Times New Roman" w:hAnsi="Times New Roman" w:eastAsia="宋体"/>
                      <w:color w:val="auto"/>
                      <w:sz w:val="21"/>
                      <w:szCs w:val="21"/>
                    </w:rPr>
                    <w:t>m</w:t>
                  </w:r>
                  <w:r>
                    <w:rPr>
                      <w:rFonts w:ascii="Times New Roman" w:hAnsi="Times New Roman" w:eastAsia="宋体"/>
                      <w:color w:val="auto"/>
                      <w:sz w:val="21"/>
                      <w:szCs w:val="21"/>
                      <w:vertAlign w:val="superscript"/>
                    </w:rPr>
                    <w:t>3</w:t>
                  </w:r>
                  <w:r>
                    <w:rPr>
                      <w:rFonts w:ascii="Times New Roman" w:hAnsi="Times New Roman" w:eastAsia="宋体"/>
                      <w:color w:val="auto"/>
                      <w:sz w:val="21"/>
                      <w:szCs w:val="21"/>
                    </w:rPr>
                    <w:t>/a</w:t>
                  </w:r>
                </w:p>
              </w:tc>
              <w:tc>
                <w:tcPr>
                  <w:tcW w:w="960" w:type="pct"/>
                  <w:shd w:val="clear" w:color="auto" w:fill="auto"/>
                  <w:noWrap w:val="0"/>
                  <w:vAlign w:val="center"/>
                </w:tcPr>
                <w:p w14:paraId="24E2B501">
                  <w:pPr>
                    <w:pStyle w:val="54"/>
                    <w:spacing w:line="240" w:lineRule="auto"/>
                    <w:ind w:firstLine="0" w:firstLineChars="0"/>
                    <w:jc w:val="center"/>
                    <w:rPr>
                      <w:rFonts w:hint="eastAsia" w:ascii="Times New Roman" w:hAnsi="Times New Roman" w:eastAsia="宋体"/>
                      <w:color w:val="auto"/>
                      <w:sz w:val="21"/>
                      <w:szCs w:val="21"/>
                    </w:rPr>
                  </w:pPr>
                  <w:r>
                    <w:rPr>
                      <w:rFonts w:hint="eastAsia" w:ascii="Times New Roman" w:hAnsi="Times New Roman" w:eastAsia="宋体"/>
                      <w:color w:val="auto"/>
                      <w:sz w:val="21"/>
                      <w:szCs w:val="21"/>
                    </w:rPr>
                    <w:t>m</w:t>
                  </w:r>
                  <w:r>
                    <w:rPr>
                      <w:rFonts w:ascii="Times New Roman" w:hAnsi="Times New Roman" w:eastAsia="宋体"/>
                      <w:color w:val="auto"/>
                      <w:sz w:val="21"/>
                      <w:szCs w:val="21"/>
                      <w:vertAlign w:val="superscript"/>
                    </w:rPr>
                    <w:t>3</w:t>
                  </w:r>
                  <w:r>
                    <w:rPr>
                      <w:rFonts w:ascii="Times New Roman" w:hAnsi="Times New Roman" w:eastAsia="宋体"/>
                      <w:color w:val="auto"/>
                      <w:sz w:val="21"/>
                      <w:szCs w:val="21"/>
                    </w:rPr>
                    <w:t>/d</w:t>
                  </w:r>
                </w:p>
              </w:tc>
              <w:tc>
                <w:tcPr>
                  <w:tcW w:w="480" w:type="pct"/>
                  <w:shd w:val="clear" w:color="auto" w:fill="auto"/>
                  <w:noWrap w:val="0"/>
                  <w:vAlign w:val="center"/>
                </w:tcPr>
                <w:p w14:paraId="6D16E37F">
                  <w:pPr>
                    <w:pStyle w:val="54"/>
                    <w:spacing w:line="240" w:lineRule="auto"/>
                    <w:ind w:firstLine="0" w:firstLineChars="0"/>
                    <w:jc w:val="center"/>
                    <w:rPr>
                      <w:rFonts w:hint="eastAsia" w:ascii="Times New Roman" w:hAnsi="Times New Roman" w:eastAsia="宋体"/>
                      <w:color w:val="auto"/>
                      <w:sz w:val="21"/>
                      <w:szCs w:val="21"/>
                    </w:rPr>
                  </w:pPr>
                  <w:r>
                    <w:rPr>
                      <w:rFonts w:hint="eastAsia" w:ascii="Times New Roman" w:hAnsi="Times New Roman" w:eastAsia="宋体"/>
                      <w:color w:val="auto"/>
                      <w:sz w:val="21"/>
                      <w:szCs w:val="21"/>
                    </w:rPr>
                    <w:t>m</w:t>
                  </w:r>
                  <w:r>
                    <w:rPr>
                      <w:rFonts w:ascii="Times New Roman" w:hAnsi="Times New Roman" w:eastAsia="宋体"/>
                      <w:color w:val="auto"/>
                      <w:sz w:val="21"/>
                      <w:szCs w:val="21"/>
                      <w:vertAlign w:val="superscript"/>
                    </w:rPr>
                    <w:t>3</w:t>
                  </w:r>
                  <w:r>
                    <w:rPr>
                      <w:rFonts w:ascii="Times New Roman" w:hAnsi="Times New Roman" w:eastAsia="宋体"/>
                      <w:color w:val="auto"/>
                      <w:sz w:val="21"/>
                      <w:szCs w:val="21"/>
                    </w:rPr>
                    <w:t>/a</w:t>
                  </w:r>
                </w:p>
              </w:tc>
              <w:tc>
                <w:tcPr>
                  <w:tcW w:w="1767" w:type="pct"/>
                  <w:vMerge w:val="continue"/>
                  <w:shd w:val="clear" w:color="auto" w:fill="auto"/>
                  <w:noWrap w:val="0"/>
                  <w:vAlign w:val="center"/>
                </w:tcPr>
                <w:p w14:paraId="6DD69030">
                  <w:pPr>
                    <w:pStyle w:val="54"/>
                    <w:spacing w:line="240" w:lineRule="auto"/>
                    <w:ind w:firstLine="0" w:firstLineChars="0"/>
                    <w:jc w:val="center"/>
                    <w:rPr>
                      <w:rFonts w:hint="eastAsia" w:ascii="Times New Roman" w:hAnsi="Times New Roman" w:eastAsia="宋体"/>
                      <w:color w:val="auto"/>
                      <w:sz w:val="21"/>
                      <w:szCs w:val="21"/>
                    </w:rPr>
                  </w:pPr>
                </w:p>
              </w:tc>
            </w:tr>
            <w:tr w14:paraId="0D516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pct"/>
                  <w:shd w:val="clear" w:color="auto" w:fill="auto"/>
                  <w:noWrap w:val="0"/>
                  <w:vAlign w:val="center"/>
                </w:tcPr>
                <w:p w14:paraId="7736C910">
                  <w:pPr>
                    <w:pStyle w:val="54"/>
                    <w:spacing w:line="240" w:lineRule="auto"/>
                    <w:ind w:firstLine="0" w:firstLineChars="0"/>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高频焊接冷却水</w:t>
                  </w:r>
                </w:p>
              </w:tc>
              <w:tc>
                <w:tcPr>
                  <w:tcW w:w="620" w:type="pct"/>
                  <w:shd w:val="clear" w:color="auto" w:fill="auto"/>
                  <w:noWrap w:val="0"/>
                  <w:vAlign w:val="center"/>
                </w:tcPr>
                <w:p w14:paraId="0FB40574">
                  <w:pPr>
                    <w:pStyle w:val="54"/>
                    <w:spacing w:line="240" w:lineRule="auto"/>
                    <w:ind w:firstLine="0" w:firstLineChars="0"/>
                    <w:jc w:val="center"/>
                    <w:rPr>
                      <w:rFonts w:hint="default" w:ascii="Times New Roman" w:hAnsi="Times New Roman" w:eastAsia="宋体"/>
                      <w:color w:val="auto"/>
                      <w:sz w:val="21"/>
                      <w:szCs w:val="21"/>
                      <w:lang w:val="en-US" w:eastAsia="zh-CN"/>
                    </w:rPr>
                  </w:pPr>
                  <w:r>
                    <w:rPr>
                      <w:rFonts w:hint="eastAsia" w:eastAsia="宋体"/>
                      <w:color w:val="auto"/>
                      <w:sz w:val="21"/>
                      <w:szCs w:val="21"/>
                      <w:lang w:val="en-US" w:eastAsia="zh-CN"/>
                    </w:rPr>
                    <w:t>8</w:t>
                  </w:r>
                </w:p>
              </w:tc>
              <w:tc>
                <w:tcPr>
                  <w:tcW w:w="533" w:type="pct"/>
                  <w:shd w:val="clear" w:color="auto" w:fill="auto"/>
                  <w:noWrap w:val="0"/>
                  <w:vAlign w:val="center"/>
                </w:tcPr>
                <w:p w14:paraId="13005803">
                  <w:pPr>
                    <w:pStyle w:val="54"/>
                    <w:spacing w:line="240" w:lineRule="auto"/>
                    <w:ind w:firstLine="0" w:firstLineChars="0"/>
                    <w:jc w:val="center"/>
                    <w:rPr>
                      <w:rFonts w:hint="default" w:ascii="Times New Roman" w:hAnsi="Times New Roman" w:eastAsia="宋体"/>
                      <w:color w:val="auto"/>
                      <w:sz w:val="21"/>
                      <w:szCs w:val="21"/>
                      <w:lang w:val="en-US" w:eastAsia="zh-CN"/>
                    </w:rPr>
                  </w:pPr>
                  <w:r>
                    <w:rPr>
                      <w:rFonts w:hint="eastAsia" w:eastAsia="宋体"/>
                      <w:color w:val="auto"/>
                      <w:sz w:val="21"/>
                      <w:szCs w:val="21"/>
                      <w:lang w:val="en-US" w:eastAsia="zh-CN"/>
                    </w:rPr>
                    <w:t>2400</w:t>
                  </w:r>
                </w:p>
              </w:tc>
              <w:tc>
                <w:tcPr>
                  <w:tcW w:w="960" w:type="pct"/>
                  <w:shd w:val="clear" w:color="auto" w:fill="auto"/>
                  <w:noWrap w:val="0"/>
                  <w:vAlign w:val="center"/>
                </w:tcPr>
                <w:p w14:paraId="33128567">
                  <w:pPr>
                    <w:pStyle w:val="54"/>
                    <w:spacing w:line="240" w:lineRule="auto"/>
                    <w:ind w:firstLine="0" w:firstLineChars="0"/>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p>
              </w:tc>
              <w:tc>
                <w:tcPr>
                  <w:tcW w:w="480" w:type="pct"/>
                  <w:shd w:val="clear" w:color="auto" w:fill="auto"/>
                  <w:noWrap w:val="0"/>
                  <w:vAlign w:val="center"/>
                </w:tcPr>
                <w:p w14:paraId="6613303C">
                  <w:pPr>
                    <w:pStyle w:val="54"/>
                    <w:spacing w:line="240" w:lineRule="auto"/>
                    <w:ind w:firstLine="0" w:firstLineChars="0"/>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p>
              </w:tc>
              <w:tc>
                <w:tcPr>
                  <w:tcW w:w="1767" w:type="pct"/>
                  <w:shd w:val="clear" w:color="auto" w:fill="auto"/>
                  <w:noWrap w:val="0"/>
                  <w:vAlign w:val="center"/>
                </w:tcPr>
                <w:p w14:paraId="4D57F3AD">
                  <w:pPr>
                    <w:pStyle w:val="54"/>
                    <w:spacing w:line="240" w:lineRule="auto"/>
                    <w:ind w:firstLine="0" w:firstLineChars="0"/>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循环使用，不外排</w:t>
                  </w:r>
                </w:p>
              </w:tc>
            </w:tr>
            <w:tr w14:paraId="05B77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4" w:hRule="atLeast"/>
              </w:trPr>
              <w:tc>
                <w:tcPr>
                  <w:tcW w:w="638" w:type="pct"/>
                  <w:shd w:val="clear" w:color="auto" w:fill="auto"/>
                  <w:noWrap w:val="0"/>
                  <w:vAlign w:val="center"/>
                </w:tcPr>
                <w:p w14:paraId="318377EE">
                  <w:pPr>
                    <w:pStyle w:val="54"/>
                    <w:spacing w:line="240" w:lineRule="auto"/>
                    <w:ind w:firstLine="0" w:firstLineChars="0"/>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员工</w:t>
                  </w:r>
                </w:p>
              </w:tc>
              <w:tc>
                <w:tcPr>
                  <w:tcW w:w="620" w:type="pct"/>
                  <w:shd w:val="clear" w:color="auto" w:fill="auto"/>
                  <w:noWrap w:val="0"/>
                  <w:vAlign w:val="center"/>
                </w:tcPr>
                <w:p w14:paraId="09413DB8">
                  <w:pPr>
                    <w:pStyle w:val="54"/>
                    <w:spacing w:line="240" w:lineRule="auto"/>
                    <w:ind w:firstLine="0" w:firstLineChars="0"/>
                    <w:jc w:val="center"/>
                    <w:rPr>
                      <w:rFonts w:hint="default" w:ascii="Times New Roman" w:hAnsi="Times New Roman" w:eastAsia="宋体"/>
                      <w:color w:val="auto"/>
                      <w:sz w:val="21"/>
                      <w:szCs w:val="21"/>
                      <w:lang w:val="en-US" w:eastAsia="zh-CN"/>
                    </w:rPr>
                  </w:pPr>
                  <w:r>
                    <w:rPr>
                      <w:rFonts w:hint="eastAsia" w:eastAsia="宋体"/>
                      <w:color w:val="auto"/>
                      <w:sz w:val="21"/>
                      <w:szCs w:val="21"/>
                      <w:lang w:val="en-US" w:eastAsia="zh-CN"/>
                    </w:rPr>
                    <w:t>1.14</w:t>
                  </w:r>
                </w:p>
              </w:tc>
              <w:tc>
                <w:tcPr>
                  <w:tcW w:w="533" w:type="pct"/>
                  <w:shd w:val="clear" w:color="auto" w:fill="auto"/>
                  <w:noWrap w:val="0"/>
                  <w:vAlign w:val="center"/>
                </w:tcPr>
                <w:p w14:paraId="14DCB34E">
                  <w:pPr>
                    <w:pStyle w:val="54"/>
                    <w:spacing w:line="240" w:lineRule="auto"/>
                    <w:ind w:firstLine="0" w:firstLineChars="0"/>
                    <w:jc w:val="center"/>
                    <w:rPr>
                      <w:rFonts w:hint="default" w:ascii="Times New Roman" w:hAnsi="Times New Roman" w:eastAsia="宋体"/>
                      <w:color w:val="auto"/>
                      <w:sz w:val="21"/>
                      <w:szCs w:val="21"/>
                      <w:lang w:val="en-US" w:eastAsia="zh-CN"/>
                    </w:rPr>
                  </w:pPr>
                  <w:r>
                    <w:rPr>
                      <w:rFonts w:hint="default" w:ascii="Times New Roman" w:hAnsi="Times New Roman" w:eastAsia="宋体"/>
                      <w:color w:val="auto"/>
                      <w:sz w:val="21"/>
                      <w:szCs w:val="21"/>
                      <w:lang w:val="en-US" w:eastAsia="zh-CN"/>
                    </w:rPr>
                    <w:t>342</w:t>
                  </w:r>
                </w:p>
              </w:tc>
              <w:tc>
                <w:tcPr>
                  <w:tcW w:w="960" w:type="pct"/>
                  <w:shd w:val="clear" w:color="auto" w:fill="auto"/>
                  <w:noWrap w:val="0"/>
                  <w:vAlign w:val="center"/>
                </w:tcPr>
                <w:p w14:paraId="798596FB">
                  <w:pPr>
                    <w:pStyle w:val="54"/>
                    <w:spacing w:line="240" w:lineRule="auto"/>
                    <w:ind w:firstLine="0" w:firstLineChars="0"/>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0.912</w:t>
                  </w:r>
                </w:p>
              </w:tc>
              <w:tc>
                <w:tcPr>
                  <w:tcW w:w="480" w:type="pct"/>
                  <w:shd w:val="clear" w:color="auto" w:fill="auto"/>
                  <w:noWrap w:val="0"/>
                  <w:vAlign w:val="center"/>
                </w:tcPr>
                <w:p w14:paraId="33A9A40B">
                  <w:pPr>
                    <w:pStyle w:val="54"/>
                    <w:spacing w:line="240" w:lineRule="auto"/>
                    <w:ind w:firstLine="0" w:firstLineChars="0"/>
                    <w:jc w:val="center"/>
                    <w:rPr>
                      <w:rFonts w:hint="default" w:ascii="Times New Roman" w:hAnsi="Times New Roman" w:eastAsia="宋体"/>
                      <w:color w:val="auto"/>
                      <w:sz w:val="21"/>
                      <w:szCs w:val="21"/>
                      <w:lang w:val="en-US" w:eastAsia="zh-CN"/>
                    </w:rPr>
                  </w:pPr>
                  <w:r>
                    <w:rPr>
                      <w:rFonts w:hint="default" w:ascii="Times New Roman" w:hAnsi="Times New Roman" w:eastAsia="宋体"/>
                      <w:color w:val="auto"/>
                      <w:sz w:val="21"/>
                      <w:szCs w:val="21"/>
                      <w:lang w:val="en-US" w:eastAsia="zh-CN"/>
                    </w:rPr>
                    <w:t>273.6</w:t>
                  </w:r>
                </w:p>
              </w:tc>
              <w:tc>
                <w:tcPr>
                  <w:tcW w:w="1767" w:type="pct"/>
                  <w:shd w:val="clear" w:color="auto" w:fill="auto"/>
                  <w:noWrap w:val="0"/>
                  <w:vAlign w:val="center"/>
                </w:tcPr>
                <w:p w14:paraId="1D047609">
                  <w:pPr>
                    <w:pStyle w:val="54"/>
                    <w:spacing w:line="240" w:lineRule="auto"/>
                    <w:ind w:firstLine="0" w:firstLineChars="0"/>
                    <w:jc w:val="center"/>
                    <w:rPr>
                      <w:rFonts w:hint="default" w:ascii="Times New Roman" w:hAnsi="Times New Roman" w:eastAsia="宋体"/>
                      <w:color w:val="auto"/>
                      <w:sz w:val="21"/>
                      <w:szCs w:val="21"/>
                      <w:lang w:val="en-US" w:eastAsia="zh-CN"/>
                    </w:rPr>
                  </w:pPr>
                  <w:r>
                    <w:rPr>
                      <w:rFonts w:hint="eastAsia" w:eastAsia="宋体"/>
                      <w:color w:val="auto"/>
                      <w:sz w:val="21"/>
                      <w:szCs w:val="21"/>
                      <w:lang w:val="en-US" w:eastAsia="zh-CN"/>
                    </w:rPr>
                    <w:t>经</w:t>
                  </w:r>
                  <w:r>
                    <w:rPr>
                      <w:rFonts w:hint="eastAsia" w:ascii="Times New Roman" w:hAnsi="Times New Roman" w:eastAsia="宋体"/>
                      <w:color w:val="auto"/>
                      <w:sz w:val="21"/>
                      <w:szCs w:val="21"/>
                      <w:lang w:val="en-US" w:eastAsia="zh-CN"/>
                    </w:rPr>
                    <w:t>化粪池</w:t>
                  </w:r>
                  <w:r>
                    <w:rPr>
                      <w:rFonts w:hint="eastAsia" w:eastAsia="宋体"/>
                      <w:color w:val="auto"/>
                      <w:sz w:val="21"/>
                      <w:szCs w:val="21"/>
                      <w:lang w:val="en-US" w:eastAsia="zh-CN"/>
                    </w:rPr>
                    <w:t>预</w:t>
                  </w:r>
                  <w:r>
                    <w:rPr>
                      <w:rFonts w:hint="eastAsia" w:ascii="Times New Roman" w:hAnsi="Times New Roman" w:eastAsia="宋体"/>
                      <w:color w:val="auto"/>
                      <w:sz w:val="21"/>
                      <w:szCs w:val="21"/>
                      <w:lang w:val="en-US" w:eastAsia="zh-CN"/>
                    </w:rPr>
                    <w:t>处理</w:t>
                  </w:r>
                  <w:r>
                    <w:rPr>
                      <w:rFonts w:hint="eastAsia" w:eastAsia="宋体"/>
                      <w:color w:val="auto"/>
                      <w:sz w:val="21"/>
                      <w:szCs w:val="21"/>
                      <w:lang w:val="en-US" w:eastAsia="zh-CN"/>
                    </w:rPr>
                    <w:t>后进入自建一体化污水处理设备处理达标后暂存于中水池，回用于厂区绿化及道路空地浇洒</w:t>
                  </w:r>
                  <w:r>
                    <w:rPr>
                      <w:rFonts w:hint="eastAsia" w:ascii="Times New Roman" w:hAnsi="Times New Roman" w:eastAsia="宋体"/>
                      <w:color w:val="auto"/>
                      <w:sz w:val="21"/>
                      <w:szCs w:val="21"/>
                      <w:lang w:val="en-US" w:eastAsia="zh-CN"/>
                    </w:rPr>
                    <w:t>，</w:t>
                  </w:r>
                  <w:r>
                    <w:rPr>
                      <w:rFonts w:hint="eastAsia" w:eastAsia="宋体"/>
                      <w:color w:val="auto"/>
                      <w:sz w:val="21"/>
                      <w:szCs w:val="21"/>
                      <w:lang w:val="en-US" w:eastAsia="zh-CN"/>
                    </w:rPr>
                    <w:t>不外排。</w:t>
                  </w:r>
                </w:p>
              </w:tc>
            </w:tr>
            <w:tr w14:paraId="7F41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4" w:hRule="atLeast"/>
              </w:trPr>
              <w:tc>
                <w:tcPr>
                  <w:tcW w:w="638" w:type="pct"/>
                  <w:shd w:val="clear" w:color="auto" w:fill="auto"/>
                  <w:noWrap w:val="0"/>
                  <w:vAlign w:val="center"/>
                </w:tcPr>
                <w:p w14:paraId="68575D2F">
                  <w:pPr>
                    <w:pStyle w:val="54"/>
                    <w:spacing w:line="240" w:lineRule="auto"/>
                    <w:ind w:firstLine="0" w:firstLineChars="0"/>
                    <w:jc w:val="center"/>
                    <w:rPr>
                      <w:rFonts w:hint="default" w:ascii="Times New Roman" w:hAnsi="Times New Roman" w:eastAsia="宋体"/>
                      <w:color w:val="auto"/>
                      <w:sz w:val="21"/>
                      <w:szCs w:val="21"/>
                      <w:lang w:val="en-US" w:eastAsia="zh-CN"/>
                    </w:rPr>
                  </w:pPr>
                  <w:r>
                    <w:rPr>
                      <w:rFonts w:hint="eastAsia" w:eastAsia="宋体"/>
                      <w:color w:val="auto"/>
                      <w:sz w:val="21"/>
                      <w:szCs w:val="21"/>
                      <w:lang w:val="en-US" w:eastAsia="zh-CN"/>
                    </w:rPr>
                    <w:t>初期雨水</w:t>
                  </w:r>
                </w:p>
              </w:tc>
              <w:tc>
                <w:tcPr>
                  <w:tcW w:w="620" w:type="pct"/>
                  <w:shd w:val="clear" w:color="auto" w:fill="auto"/>
                  <w:noWrap w:val="0"/>
                  <w:vAlign w:val="center"/>
                </w:tcPr>
                <w:p w14:paraId="1CDC0BFA">
                  <w:pPr>
                    <w:pStyle w:val="54"/>
                    <w:spacing w:line="240" w:lineRule="auto"/>
                    <w:ind w:firstLine="0" w:firstLineChars="0"/>
                    <w:jc w:val="center"/>
                    <w:rPr>
                      <w:rFonts w:hint="default" w:eastAsia="宋体"/>
                      <w:color w:val="auto"/>
                      <w:sz w:val="21"/>
                      <w:szCs w:val="21"/>
                      <w:lang w:val="en-US" w:eastAsia="zh-CN"/>
                    </w:rPr>
                  </w:pPr>
                  <w:r>
                    <w:rPr>
                      <w:rFonts w:hint="eastAsia" w:eastAsia="宋体"/>
                      <w:color w:val="auto"/>
                      <w:sz w:val="21"/>
                      <w:szCs w:val="21"/>
                      <w:lang w:val="en-US" w:eastAsia="zh-CN"/>
                    </w:rPr>
                    <w:t>/</w:t>
                  </w:r>
                </w:p>
              </w:tc>
              <w:tc>
                <w:tcPr>
                  <w:tcW w:w="533" w:type="pct"/>
                  <w:shd w:val="clear" w:color="auto" w:fill="auto"/>
                  <w:noWrap w:val="0"/>
                  <w:vAlign w:val="center"/>
                </w:tcPr>
                <w:p w14:paraId="509A6A17">
                  <w:pPr>
                    <w:pStyle w:val="54"/>
                    <w:spacing w:line="240" w:lineRule="auto"/>
                    <w:ind w:firstLine="0" w:firstLineChars="0"/>
                    <w:jc w:val="center"/>
                    <w:rPr>
                      <w:rFonts w:hint="default" w:ascii="Times New Roman" w:hAnsi="Times New Roman" w:eastAsia="宋体"/>
                      <w:color w:val="auto"/>
                      <w:sz w:val="21"/>
                      <w:szCs w:val="21"/>
                      <w:lang w:val="en-US" w:eastAsia="zh-CN"/>
                    </w:rPr>
                  </w:pPr>
                  <w:r>
                    <w:rPr>
                      <w:rFonts w:hint="eastAsia" w:eastAsia="宋体"/>
                      <w:color w:val="auto"/>
                      <w:sz w:val="21"/>
                      <w:szCs w:val="21"/>
                      <w:lang w:val="en-US" w:eastAsia="zh-CN"/>
                    </w:rPr>
                    <w:t>/</w:t>
                  </w:r>
                </w:p>
              </w:tc>
              <w:tc>
                <w:tcPr>
                  <w:tcW w:w="960" w:type="pct"/>
                  <w:shd w:val="clear" w:color="auto" w:fill="auto"/>
                  <w:noWrap w:val="0"/>
                  <w:vAlign w:val="center"/>
                </w:tcPr>
                <w:p w14:paraId="7216E5A1">
                  <w:pPr>
                    <w:pStyle w:val="54"/>
                    <w:spacing w:line="240" w:lineRule="auto"/>
                    <w:ind w:firstLine="0" w:firstLineChars="0"/>
                    <w:jc w:val="center"/>
                    <w:rPr>
                      <w:rFonts w:hint="eastAsia" w:ascii="Times New Roman" w:hAnsi="Times New Roman" w:eastAsia="宋体"/>
                      <w:color w:val="auto"/>
                      <w:sz w:val="21"/>
                      <w:szCs w:val="21"/>
                      <w:lang w:val="en-US" w:eastAsia="zh-CN"/>
                    </w:rPr>
                  </w:pPr>
                  <w:r>
                    <w:rPr>
                      <w:rFonts w:hint="eastAsia" w:eastAsia="宋体"/>
                      <w:color w:val="auto"/>
                      <w:sz w:val="21"/>
                      <w:szCs w:val="21"/>
                      <w:lang w:val="en-US" w:eastAsia="zh-CN"/>
                    </w:rPr>
                    <w:t>92.298</w:t>
                  </w:r>
                  <w:r>
                    <w:rPr>
                      <w:rFonts w:hint="eastAsia" w:ascii="Times New Roman" w:hAnsi="Times New Roman" w:eastAsia="宋体"/>
                      <w:color w:val="auto"/>
                      <w:sz w:val="21"/>
                      <w:szCs w:val="21"/>
                      <w:lang w:val="en-US" w:eastAsia="zh-CN"/>
                    </w:rPr>
                    <w:t>m</w:t>
                  </w:r>
                  <w:r>
                    <w:rPr>
                      <w:rFonts w:hint="eastAsia" w:eastAsia="宋体"/>
                      <w:color w:val="auto"/>
                      <w:sz w:val="21"/>
                      <w:szCs w:val="21"/>
                      <w:vertAlign w:val="superscript"/>
                      <w:lang w:val="en-US" w:eastAsia="zh-CN"/>
                    </w:rPr>
                    <w:t>3</w:t>
                  </w:r>
                  <w:r>
                    <w:rPr>
                      <w:rFonts w:hint="eastAsia" w:ascii="Times New Roman" w:hAnsi="Times New Roman" w:eastAsia="宋体"/>
                      <w:color w:val="auto"/>
                      <w:sz w:val="21"/>
                      <w:szCs w:val="21"/>
                      <w:lang w:val="en-US" w:eastAsia="zh-CN"/>
                    </w:rPr>
                    <w:t>/次</w:t>
                  </w:r>
                </w:p>
              </w:tc>
              <w:tc>
                <w:tcPr>
                  <w:tcW w:w="480" w:type="pct"/>
                  <w:shd w:val="clear" w:color="auto" w:fill="auto"/>
                  <w:noWrap w:val="0"/>
                  <w:vAlign w:val="center"/>
                </w:tcPr>
                <w:p w14:paraId="7BC95E26">
                  <w:pPr>
                    <w:pStyle w:val="54"/>
                    <w:spacing w:line="240" w:lineRule="auto"/>
                    <w:ind w:firstLine="0" w:firstLineChars="0"/>
                    <w:jc w:val="center"/>
                    <w:rPr>
                      <w:rFonts w:hint="default" w:ascii="Times New Roman" w:hAnsi="Times New Roman" w:eastAsia="宋体"/>
                      <w:color w:val="auto"/>
                      <w:sz w:val="21"/>
                      <w:szCs w:val="21"/>
                      <w:lang w:val="en-US" w:eastAsia="zh-CN"/>
                    </w:rPr>
                  </w:pPr>
                  <w:r>
                    <w:rPr>
                      <w:rFonts w:hint="eastAsia" w:eastAsia="宋体"/>
                      <w:color w:val="auto"/>
                      <w:sz w:val="21"/>
                      <w:szCs w:val="21"/>
                      <w:lang w:val="en-US" w:eastAsia="zh-CN"/>
                    </w:rPr>
                    <w:t>/</w:t>
                  </w:r>
                </w:p>
              </w:tc>
              <w:tc>
                <w:tcPr>
                  <w:tcW w:w="1767" w:type="pct"/>
                  <w:shd w:val="clear" w:color="auto" w:fill="auto"/>
                  <w:noWrap w:val="0"/>
                  <w:vAlign w:val="center"/>
                </w:tcPr>
                <w:p w14:paraId="5C1C099E">
                  <w:pPr>
                    <w:pStyle w:val="54"/>
                    <w:spacing w:line="240" w:lineRule="auto"/>
                    <w:ind w:firstLine="0" w:firstLineChars="0"/>
                    <w:jc w:val="center"/>
                    <w:rPr>
                      <w:rFonts w:hint="default" w:eastAsia="宋体"/>
                      <w:color w:val="auto"/>
                      <w:sz w:val="21"/>
                      <w:szCs w:val="21"/>
                      <w:lang w:val="en-US" w:eastAsia="zh-CN"/>
                    </w:rPr>
                  </w:pPr>
                  <w:r>
                    <w:rPr>
                      <w:rFonts w:hint="default" w:eastAsia="宋体"/>
                      <w:color w:val="auto"/>
                      <w:sz w:val="21"/>
                      <w:szCs w:val="21"/>
                      <w:lang w:val="en-US" w:eastAsia="zh-CN"/>
                    </w:rPr>
                    <w:t>经初期雨水收集池沉淀处理后晴天回用于厂区洒水降尘。</w:t>
                  </w:r>
                </w:p>
              </w:tc>
            </w:tr>
            <w:tr w14:paraId="2D353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trPr>
              <w:tc>
                <w:tcPr>
                  <w:tcW w:w="638" w:type="pct"/>
                  <w:shd w:val="clear" w:color="auto" w:fill="auto"/>
                  <w:noWrap w:val="0"/>
                  <w:vAlign w:val="center"/>
                </w:tcPr>
                <w:p w14:paraId="58A03245">
                  <w:pPr>
                    <w:pStyle w:val="54"/>
                    <w:spacing w:line="240" w:lineRule="auto"/>
                    <w:ind w:firstLine="0" w:firstLineChars="0"/>
                    <w:jc w:val="center"/>
                    <w:rPr>
                      <w:rFonts w:hint="default" w:eastAsia="宋体"/>
                      <w:color w:val="auto"/>
                      <w:sz w:val="21"/>
                      <w:szCs w:val="21"/>
                      <w:lang w:val="en-US" w:eastAsia="zh-CN"/>
                    </w:rPr>
                  </w:pPr>
                  <w:r>
                    <w:rPr>
                      <w:rFonts w:hint="eastAsia" w:eastAsia="宋体"/>
                      <w:color w:val="auto"/>
                      <w:sz w:val="21"/>
                      <w:szCs w:val="21"/>
                      <w:lang w:val="en-US" w:eastAsia="zh-CN"/>
                    </w:rPr>
                    <w:t>绿化用水</w:t>
                  </w:r>
                </w:p>
              </w:tc>
              <w:tc>
                <w:tcPr>
                  <w:tcW w:w="620" w:type="pct"/>
                  <w:shd w:val="clear" w:color="auto" w:fill="auto"/>
                  <w:noWrap w:val="0"/>
                  <w:vAlign w:val="center"/>
                </w:tcPr>
                <w:p w14:paraId="5A2B60D0">
                  <w:pPr>
                    <w:pStyle w:val="54"/>
                    <w:spacing w:line="240" w:lineRule="auto"/>
                    <w:ind w:firstLine="0" w:firstLineChars="0"/>
                    <w:jc w:val="center"/>
                    <w:rPr>
                      <w:rFonts w:hint="default" w:eastAsia="宋体"/>
                      <w:color w:val="auto"/>
                      <w:sz w:val="21"/>
                      <w:szCs w:val="21"/>
                      <w:lang w:val="en-US" w:eastAsia="zh-CN"/>
                    </w:rPr>
                  </w:pPr>
                  <w:r>
                    <w:rPr>
                      <w:rFonts w:hint="eastAsia" w:eastAsia="宋体"/>
                      <w:color w:val="auto"/>
                      <w:sz w:val="21"/>
                      <w:szCs w:val="21"/>
                      <w:lang w:val="en-US" w:eastAsia="zh-CN"/>
                    </w:rPr>
                    <w:t>0.3</w:t>
                  </w:r>
                </w:p>
              </w:tc>
              <w:tc>
                <w:tcPr>
                  <w:tcW w:w="533" w:type="pct"/>
                  <w:shd w:val="clear" w:color="auto" w:fill="auto"/>
                  <w:noWrap w:val="0"/>
                  <w:vAlign w:val="center"/>
                </w:tcPr>
                <w:p w14:paraId="27AAC65F">
                  <w:pPr>
                    <w:pStyle w:val="54"/>
                    <w:spacing w:line="240" w:lineRule="auto"/>
                    <w:ind w:firstLine="0" w:firstLineChars="0"/>
                    <w:jc w:val="center"/>
                    <w:rPr>
                      <w:rFonts w:hint="default" w:eastAsia="宋体"/>
                      <w:color w:val="auto"/>
                      <w:sz w:val="21"/>
                      <w:szCs w:val="21"/>
                      <w:lang w:val="en-US" w:eastAsia="zh-CN"/>
                    </w:rPr>
                  </w:pPr>
                  <w:r>
                    <w:rPr>
                      <w:rFonts w:hint="eastAsia" w:eastAsia="宋体"/>
                      <w:color w:val="auto"/>
                      <w:sz w:val="21"/>
                      <w:szCs w:val="21"/>
                      <w:lang w:val="en-US" w:eastAsia="zh-CN"/>
                    </w:rPr>
                    <w:t>60</w:t>
                  </w:r>
                </w:p>
              </w:tc>
              <w:tc>
                <w:tcPr>
                  <w:tcW w:w="960" w:type="pct"/>
                  <w:shd w:val="clear" w:color="auto" w:fill="auto"/>
                  <w:noWrap w:val="0"/>
                  <w:vAlign w:val="center"/>
                </w:tcPr>
                <w:p w14:paraId="3244B684">
                  <w:pPr>
                    <w:pStyle w:val="54"/>
                    <w:spacing w:line="240" w:lineRule="auto"/>
                    <w:ind w:firstLine="0" w:firstLineChars="0"/>
                    <w:jc w:val="center"/>
                    <w:rPr>
                      <w:rFonts w:hint="default" w:eastAsia="宋体"/>
                      <w:color w:val="auto"/>
                      <w:sz w:val="21"/>
                      <w:szCs w:val="21"/>
                      <w:lang w:val="en-US" w:eastAsia="zh-CN"/>
                    </w:rPr>
                  </w:pPr>
                  <w:r>
                    <w:rPr>
                      <w:rFonts w:hint="eastAsia" w:eastAsia="宋体"/>
                      <w:color w:val="auto"/>
                      <w:sz w:val="21"/>
                      <w:szCs w:val="21"/>
                      <w:lang w:val="en-US" w:eastAsia="zh-CN"/>
                    </w:rPr>
                    <w:t>0</w:t>
                  </w:r>
                </w:p>
              </w:tc>
              <w:tc>
                <w:tcPr>
                  <w:tcW w:w="480" w:type="pct"/>
                  <w:shd w:val="clear" w:color="auto" w:fill="auto"/>
                  <w:noWrap w:val="0"/>
                  <w:vAlign w:val="center"/>
                </w:tcPr>
                <w:p w14:paraId="077E3EA0">
                  <w:pPr>
                    <w:pStyle w:val="54"/>
                    <w:spacing w:line="240" w:lineRule="auto"/>
                    <w:ind w:firstLine="0" w:firstLineChars="0"/>
                    <w:jc w:val="center"/>
                    <w:rPr>
                      <w:rFonts w:hint="default" w:eastAsia="宋体"/>
                      <w:color w:val="auto"/>
                      <w:sz w:val="21"/>
                      <w:szCs w:val="21"/>
                      <w:lang w:val="en-US" w:eastAsia="zh-CN"/>
                    </w:rPr>
                  </w:pPr>
                  <w:r>
                    <w:rPr>
                      <w:rFonts w:hint="eastAsia" w:eastAsia="宋体"/>
                      <w:color w:val="auto"/>
                      <w:sz w:val="21"/>
                      <w:szCs w:val="21"/>
                      <w:lang w:val="en-US" w:eastAsia="zh-CN"/>
                    </w:rPr>
                    <w:t>0</w:t>
                  </w:r>
                </w:p>
              </w:tc>
              <w:tc>
                <w:tcPr>
                  <w:tcW w:w="1767" w:type="pct"/>
                  <w:shd w:val="clear" w:color="auto" w:fill="auto"/>
                  <w:noWrap w:val="0"/>
                  <w:vAlign w:val="center"/>
                </w:tcPr>
                <w:p w14:paraId="7523883C">
                  <w:pPr>
                    <w:pStyle w:val="54"/>
                    <w:spacing w:line="240" w:lineRule="auto"/>
                    <w:ind w:firstLine="0" w:firstLineChars="0"/>
                    <w:jc w:val="center"/>
                    <w:rPr>
                      <w:rFonts w:hint="default" w:eastAsia="宋体"/>
                      <w:color w:val="auto"/>
                      <w:sz w:val="21"/>
                      <w:szCs w:val="21"/>
                      <w:lang w:val="en-US" w:eastAsia="zh-CN"/>
                    </w:rPr>
                  </w:pPr>
                  <w:r>
                    <w:rPr>
                      <w:rFonts w:hint="eastAsia" w:eastAsia="宋体"/>
                      <w:color w:val="auto"/>
                      <w:sz w:val="21"/>
                      <w:szCs w:val="21"/>
                      <w:lang w:val="en-US" w:eastAsia="zh-CN"/>
                    </w:rPr>
                    <w:t>植物吸收或蒸发</w:t>
                  </w:r>
                </w:p>
              </w:tc>
            </w:tr>
            <w:tr w14:paraId="3ADA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38" w:type="pct"/>
                  <w:shd w:val="clear" w:color="auto" w:fill="auto"/>
                  <w:noWrap w:val="0"/>
                  <w:vAlign w:val="center"/>
                </w:tcPr>
                <w:p w14:paraId="43B18D43">
                  <w:pPr>
                    <w:pStyle w:val="54"/>
                    <w:spacing w:line="240" w:lineRule="auto"/>
                    <w:ind w:firstLine="0" w:firstLineChars="0"/>
                    <w:jc w:val="center"/>
                    <w:rPr>
                      <w:rFonts w:hint="eastAsia" w:ascii="Times New Roman" w:hAnsi="Times New Roman" w:eastAsia="宋体"/>
                      <w:color w:val="auto"/>
                      <w:sz w:val="21"/>
                      <w:szCs w:val="21"/>
                    </w:rPr>
                  </w:pPr>
                  <w:r>
                    <w:rPr>
                      <w:rFonts w:hint="eastAsia" w:ascii="Times New Roman" w:hAnsi="Times New Roman" w:eastAsia="宋体"/>
                      <w:color w:val="auto"/>
                      <w:sz w:val="21"/>
                      <w:szCs w:val="21"/>
                    </w:rPr>
                    <w:t>合计</w:t>
                  </w:r>
                </w:p>
              </w:tc>
              <w:tc>
                <w:tcPr>
                  <w:tcW w:w="620" w:type="pct"/>
                  <w:shd w:val="clear" w:color="auto" w:fill="auto"/>
                  <w:noWrap w:val="0"/>
                  <w:vAlign w:val="center"/>
                </w:tcPr>
                <w:p w14:paraId="0AEEEBC7">
                  <w:pPr>
                    <w:pStyle w:val="54"/>
                    <w:spacing w:line="240" w:lineRule="auto"/>
                    <w:ind w:firstLine="0" w:firstLineChars="0"/>
                    <w:jc w:val="center"/>
                    <w:rPr>
                      <w:rFonts w:hint="default" w:ascii="Times New Roman" w:hAnsi="Times New Roman" w:eastAsia="宋体"/>
                      <w:color w:val="auto"/>
                      <w:sz w:val="21"/>
                      <w:szCs w:val="21"/>
                      <w:lang w:val="en-US" w:eastAsia="zh-CN"/>
                    </w:rPr>
                  </w:pPr>
                  <w:r>
                    <w:rPr>
                      <w:rFonts w:hint="eastAsia" w:eastAsia="宋体"/>
                      <w:color w:val="auto"/>
                      <w:sz w:val="21"/>
                      <w:szCs w:val="21"/>
                      <w:lang w:val="en-US" w:eastAsia="zh-CN"/>
                    </w:rPr>
                    <w:t>9.44</w:t>
                  </w:r>
                </w:p>
              </w:tc>
              <w:tc>
                <w:tcPr>
                  <w:tcW w:w="533" w:type="pct"/>
                  <w:shd w:val="clear" w:color="auto" w:fill="auto"/>
                  <w:noWrap w:val="0"/>
                  <w:vAlign w:val="center"/>
                </w:tcPr>
                <w:p w14:paraId="3AC66E91">
                  <w:pPr>
                    <w:pStyle w:val="54"/>
                    <w:spacing w:line="240" w:lineRule="auto"/>
                    <w:ind w:firstLine="0" w:firstLineChars="0"/>
                    <w:jc w:val="center"/>
                    <w:rPr>
                      <w:rFonts w:hint="default" w:ascii="Times New Roman" w:hAnsi="Times New Roman" w:eastAsia="宋体"/>
                      <w:color w:val="auto"/>
                      <w:sz w:val="21"/>
                      <w:szCs w:val="21"/>
                      <w:lang w:val="en-US" w:eastAsia="zh-CN"/>
                    </w:rPr>
                  </w:pPr>
                  <w:r>
                    <w:rPr>
                      <w:rFonts w:hint="eastAsia" w:eastAsia="宋体"/>
                      <w:color w:val="auto"/>
                      <w:sz w:val="21"/>
                      <w:szCs w:val="21"/>
                      <w:lang w:val="en-US" w:eastAsia="zh-CN"/>
                    </w:rPr>
                    <w:t>2802</w:t>
                  </w:r>
                </w:p>
              </w:tc>
              <w:tc>
                <w:tcPr>
                  <w:tcW w:w="960" w:type="pct"/>
                  <w:shd w:val="clear" w:color="auto" w:fill="auto"/>
                  <w:noWrap w:val="0"/>
                  <w:vAlign w:val="center"/>
                </w:tcPr>
                <w:p w14:paraId="5DC2525C">
                  <w:pPr>
                    <w:pStyle w:val="54"/>
                    <w:spacing w:line="240" w:lineRule="auto"/>
                    <w:ind w:firstLine="0" w:firstLineChars="0"/>
                    <w:jc w:val="center"/>
                    <w:rPr>
                      <w:rFonts w:hint="default" w:ascii="Times New Roman" w:hAnsi="Times New Roman" w:eastAsia="宋体"/>
                      <w:color w:val="auto"/>
                      <w:sz w:val="21"/>
                      <w:szCs w:val="21"/>
                      <w:lang w:val="en-US" w:eastAsia="zh-CN"/>
                    </w:rPr>
                  </w:pPr>
                  <w:r>
                    <w:rPr>
                      <w:rFonts w:hint="default" w:ascii="Times New Roman" w:hAnsi="Times New Roman" w:eastAsia="宋体"/>
                      <w:color w:val="auto"/>
                      <w:sz w:val="21"/>
                      <w:szCs w:val="21"/>
                      <w:lang w:val="en-US" w:eastAsia="zh-CN"/>
                    </w:rPr>
                    <w:t>0.912</w:t>
                  </w:r>
                  <w:r>
                    <w:rPr>
                      <w:rFonts w:hint="eastAsia" w:eastAsia="宋体"/>
                      <w:color w:val="auto"/>
                      <w:sz w:val="21"/>
                      <w:szCs w:val="21"/>
                      <w:lang w:val="en-US" w:eastAsia="zh-CN"/>
                    </w:rPr>
                    <w:t>（晴天）；93.202（雨天）</w:t>
                  </w:r>
                </w:p>
              </w:tc>
              <w:tc>
                <w:tcPr>
                  <w:tcW w:w="480" w:type="pct"/>
                  <w:shd w:val="clear" w:color="auto" w:fill="auto"/>
                  <w:noWrap w:val="0"/>
                  <w:vAlign w:val="center"/>
                </w:tcPr>
                <w:p w14:paraId="0BD36D2D">
                  <w:pPr>
                    <w:pStyle w:val="54"/>
                    <w:spacing w:line="240" w:lineRule="auto"/>
                    <w:ind w:firstLine="0" w:firstLineChars="0"/>
                    <w:jc w:val="center"/>
                    <w:rPr>
                      <w:rFonts w:hint="default" w:ascii="Times New Roman" w:hAnsi="Times New Roman" w:eastAsia="宋体"/>
                      <w:color w:val="auto"/>
                      <w:sz w:val="21"/>
                      <w:szCs w:val="21"/>
                      <w:lang w:val="en-US" w:eastAsia="zh-CN"/>
                    </w:rPr>
                  </w:pPr>
                  <w:r>
                    <w:rPr>
                      <w:rFonts w:hint="default" w:ascii="Times New Roman" w:hAnsi="Times New Roman" w:eastAsia="宋体"/>
                      <w:color w:val="auto"/>
                      <w:sz w:val="21"/>
                      <w:szCs w:val="21"/>
                      <w:lang w:val="en-US" w:eastAsia="zh-CN"/>
                    </w:rPr>
                    <w:t>273.6</w:t>
                  </w:r>
                </w:p>
              </w:tc>
              <w:tc>
                <w:tcPr>
                  <w:tcW w:w="1767" w:type="pct"/>
                  <w:shd w:val="clear" w:color="auto" w:fill="auto"/>
                  <w:noWrap w:val="0"/>
                  <w:vAlign w:val="center"/>
                </w:tcPr>
                <w:p w14:paraId="59714A68">
                  <w:pPr>
                    <w:pStyle w:val="54"/>
                    <w:spacing w:line="240" w:lineRule="auto"/>
                    <w:ind w:firstLine="0" w:firstLineChars="0"/>
                    <w:jc w:val="center"/>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w:t>
                  </w:r>
                </w:p>
              </w:tc>
            </w:tr>
          </w:tbl>
          <w:p w14:paraId="3520EEAA">
            <w:pPr>
              <w:bidi w:val="0"/>
              <w:ind w:left="0" w:leftChars="0" w:firstLine="0" w:firstLineChars="0"/>
              <w:rPr>
                <w:rFonts w:hint="eastAsia" w:eastAsia="宋体"/>
                <w:b w:val="0"/>
                <w:bCs w:val="0"/>
                <w:color w:val="auto"/>
                <w:lang w:val="en-US" w:eastAsia="zh-CN"/>
              </w:rPr>
            </w:pPr>
          </w:p>
          <w:p w14:paraId="6A60FF49">
            <w:pPr>
              <w:bidi w:val="0"/>
              <w:ind w:left="0" w:leftChars="0" w:firstLine="0" w:firstLineChars="0"/>
              <w:jc w:val="both"/>
              <w:rPr>
                <w:rFonts w:hint="eastAsia" w:eastAsia="宋体"/>
                <w:b/>
                <w:bCs/>
                <w:color w:val="auto"/>
                <w:lang w:val="en-US" w:eastAsia="zh-CN"/>
              </w:rPr>
            </w:pPr>
            <w:r>
              <w:rPr>
                <w:rFonts w:hint="eastAsia" w:eastAsia="宋体"/>
                <w:b w:val="0"/>
                <w:bCs w:val="0"/>
                <w:color w:val="auto"/>
                <w:lang w:val="en-US" w:eastAsia="zh-CN"/>
              </w:rPr>
              <w:drawing>
                <wp:inline distT="0" distB="0" distL="114300" distR="114300">
                  <wp:extent cx="5474335" cy="2670810"/>
                  <wp:effectExtent l="0" t="0" r="12065" b="15240"/>
                  <wp:docPr id="3" name="F360BE8B-6686-4F3D-AEAF-501FE73E4058-1" descr="C:/Users/ASUS/AppData/Local/Temp/绘图1(9).png绘图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360BE8B-6686-4F3D-AEAF-501FE73E4058-1" descr="C:/Users/ASUS/AppData/Local/Temp/绘图1(9).png绘图1(9)"/>
                          <pic:cNvPicPr>
                            <a:picLocks noChangeAspect="1"/>
                          </pic:cNvPicPr>
                        </pic:nvPicPr>
                        <pic:blipFill>
                          <a:blip r:embed="rId17"/>
                          <a:stretch>
                            <a:fillRect/>
                          </a:stretch>
                        </pic:blipFill>
                        <pic:spPr>
                          <a:xfrm>
                            <a:off x="0" y="0"/>
                            <a:ext cx="5474335" cy="2670810"/>
                          </a:xfrm>
                          <a:prstGeom prst="rect">
                            <a:avLst/>
                          </a:prstGeom>
                        </pic:spPr>
                      </pic:pic>
                    </a:graphicData>
                  </a:graphic>
                </wp:inline>
              </w:drawing>
            </w:r>
          </w:p>
          <w:p w14:paraId="1901E199">
            <w:pPr>
              <w:bidi w:val="0"/>
              <w:jc w:val="center"/>
              <w:rPr>
                <w:rFonts w:hint="eastAsia" w:eastAsia="宋体"/>
                <w:b/>
                <w:bCs/>
                <w:color w:val="auto"/>
                <w:lang w:val="en-US" w:eastAsia="zh-CN"/>
              </w:rPr>
            </w:pPr>
            <w:r>
              <w:rPr>
                <w:rFonts w:hint="eastAsia" w:eastAsia="宋体"/>
                <w:b/>
                <w:bCs/>
                <w:color w:val="auto"/>
                <w:lang w:val="en-US" w:eastAsia="zh-CN"/>
              </w:rPr>
              <w:t>图2-1  项目运营期</w:t>
            </w:r>
            <w:r>
              <w:rPr>
                <w:rFonts w:hint="eastAsia"/>
                <w:b/>
                <w:bCs/>
                <w:color w:val="auto"/>
                <w:lang w:val="en-US" w:eastAsia="zh-CN"/>
              </w:rPr>
              <w:t>全厂</w:t>
            </w:r>
            <w:r>
              <w:rPr>
                <w:rFonts w:hint="eastAsia" w:eastAsia="宋体"/>
                <w:b/>
                <w:bCs/>
                <w:color w:val="auto"/>
                <w:lang w:val="en-US" w:eastAsia="zh-CN"/>
              </w:rPr>
              <w:t>水平衡图（晴天）  单位：m</w:t>
            </w:r>
            <w:r>
              <w:rPr>
                <w:rFonts w:hint="eastAsia" w:eastAsia="宋体"/>
                <w:b/>
                <w:bCs/>
                <w:color w:val="auto"/>
                <w:vertAlign w:val="superscript"/>
                <w:lang w:val="en-US" w:eastAsia="zh-CN"/>
              </w:rPr>
              <w:t>3</w:t>
            </w:r>
            <w:r>
              <w:rPr>
                <w:rFonts w:hint="eastAsia" w:eastAsia="宋体"/>
                <w:b/>
                <w:bCs/>
                <w:color w:val="auto"/>
                <w:lang w:val="en-US" w:eastAsia="zh-CN"/>
              </w:rPr>
              <w:t>/d</w:t>
            </w:r>
          </w:p>
          <w:p w14:paraId="1788FAF3">
            <w:pPr>
              <w:pStyle w:val="2"/>
              <w:rPr>
                <w:rFonts w:hint="eastAsia" w:eastAsia="宋体"/>
                <w:b/>
                <w:bCs/>
                <w:color w:val="auto"/>
                <w:lang w:val="en-US" w:eastAsia="zh-CN"/>
              </w:rPr>
            </w:pPr>
          </w:p>
          <w:p w14:paraId="01610F64">
            <w:pPr>
              <w:rPr>
                <w:rFonts w:hint="eastAsia" w:eastAsia="宋体"/>
                <w:b/>
                <w:bCs/>
                <w:color w:val="auto"/>
                <w:lang w:val="en-US" w:eastAsia="zh-CN"/>
              </w:rPr>
            </w:pPr>
          </w:p>
          <w:p w14:paraId="725097CE">
            <w:pPr>
              <w:pStyle w:val="2"/>
              <w:rPr>
                <w:rFonts w:hint="eastAsia" w:eastAsia="宋体"/>
                <w:b/>
                <w:bCs/>
                <w:color w:val="auto"/>
                <w:lang w:val="en-US" w:eastAsia="zh-CN"/>
              </w:rPr>
            </w:pPr>
          </w:p>
          <w:p w14:paraId="41DE777A">
            <w:pPr>
              <w:rPr>
                <w:rFonts w:hint="eastAsia"/>
                <w:color w:val="auto"/>
                <w:lang w:val="en-US" w:eastAsia="zh-CN"/>
              </w:rPr>
            </w:pPr>
          </w:p>
          <w:p w14:paraId="2C3BCEDC">
            <w:pPr>
              <w:bidi w:val="0"/>
              <w:ind w:left="0" w:leftChars="0" w:firstLine="0" w:firstLineChars="0"/>
              <w:jc w:val="both"/>
              <w:rPr>
                <w:rFonts w:hint="eastAsia" w:eastAsia="宋体"/>
                <w:b/>
                <w:bCs/>
                <w:color w:val="auto"/>
                <w:lang w:val="en-US" w:eastAsia="zh-CN"/>
              </w:rPr>
            </w:pPr>
            <w:r>
              <w:rPr>
                <w:rFonts w:hint="eastAsia" w:eastAsia="宋体"/>
                <w:b w:val="0"/>
                <w:bCs w:val="0"/>
                <w:color w:val="auto"/>
                <w:lang w:val="en-US" w:eastAsia="zh-CN"/>
              </w:rPr>
              <w:drawing>
                <wp:inline distT="0" distB="0" distL="114300" distR="114300">
                  <wp:extent cx="5396865" cy="2828925"/>
                  <wp:effectExtent l="0" t="0" r="13335" b="9525"/>
                  <wp:docPr id="5" name="F360BE8B-6686-4F3D-AEAF-501FE73E4058-2" descr="C:/Users/ASUS/AppData/Local/Temp/绘图1(45).png绘图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360BE8B-6686-4F3D-AEAF-501FE73E4058-2" descr="C:/Users/ASUS/AppData/Local/Temp/绘图1(45).png绘图1(45)"/>
                          <pic:cNvPicPr>
                            <a:picLocks noChangeAspect="1"/>
                          </pic:cNvPicPr>
                        </pic:nvPicPr>
                        <pic:blipFill>
                          <a:blip r:embed="rId18"/>
                          <a:stretch>
                            <a:fillRect/>
                          </a:stretch>
                        </pic:blipFill>
                        <pic:spPr>
                          <a:xfrm>
                            <a:off x="0" y="0"/>
                            <a:ext cx="5396865" cy="2828925"/>
                          </a:xfrm>
                          <a:prstGeom prst="rect">
                            <a:avLst/>
                          </a:prstGeom>
                        </pic:spPr>
                      </pic:pic>
                    </a:graphicData>
                  </a:graphic>
                </wp:inline>
              </w:drawing>
            </w:r>
          </w:p>
          <w:p w14:paraId="4F31EE77">
            <w:pPr>
              <w:bidi w:val="0"/>
              <w:jc w:val="center"/>
              <w:rPr>
                <w:rFonts w:hint="default" w:eastAsia="宋体"/>
                <w:b/>
                <w:bCs/>
                <w:color w:val="auto"/>
                <w:lang w:val="en-US" w:eastAsia="zh-CN"/>
              </w:rPr>
            </w:pPr>
            <w:r>
              <w:rPr>
                <w:rFonts w:hint="eastAsia"/>
                <w:b/>
                <w:bCs/>
                <w:color w:val="auto"/>
                <w:lang w:val="en-US" w:eastAsia="zh-CN"/>
              </w:rPr>
              <w:t xml:space="preserve">图2-2  </w:t>
            </w:r>
            <w:r>
              <w:rPr>
                <w:rFonts w:hint="eastAsia" w:eastAsia="宋体"/>
                <w:b/>
                <w:bCs/>
                <w:color w:val="auto"/>
                <w:lang w:val="en-US" w:eastAsia="zh-CN"/>
              </w:rPr>
              <w:t>项目运营期</w:t>
            </w:r>
            <w:r>
              <w:rPr>
                <w:rFonts w:hint="eastAsia"/>
                <w:b/>
                <w:bCs/>
                <w:color w:val="auto"/>
                <w:lang w:val="en-US" w:eastAsia="zh-CN"/>
              </w:rPr>
              <w:t>全厂</w:t>
            </w:r>
            <w:r>
              <w:rPr>
                <w:rFonts w:hint="eastAsia" w:eastAsia="宋体"/>
                <w:b/>
                <w:bCs/>
                <w:color w:val="auto"/>
                <w:lang w:val="en-US" w:eastAsia="zh-CN"/>
              </w:rPr>
              <w:t>水平衡图（雨天）  单位：m</w:t>
            </w:r>
            <w:r>
              <w:rPr>
                <w:rFonts w:hint="eastAsia" w:eastAsia="宋体"/>
                <w:b/>
                <w:bCs/>
                <w:color w:val="auto"/>
                <w:vertAlign w:val="superscript"/>
                <w:lang w:val="en-US" w:eastAsia="zh-CN"/>
              </w:rPr>
              <w:t>3</w:t>
            </w:r>
            <w:r>
              <w:rPr>
                <w:rFonts w:hint="eastAsia" w:eastAsia="宋体"/>
                <w:b/>
                <w:bCs/>
                <w:color w:val="auto"/>
                <w:lang w:val="en-US" w:eastAsia="zh-CN"/>
              </w:rPr>
              <w:t>/d</w:t>
            </w:r>
          </w:p>
          <w:p w14:paraId="0E77BB48">
            <w:pPr>
              <w:pStyle w:val="40"/>
              <w:rPr>
                <w:rFonts w:hint="eastAsia" w:eastAsia="宋体"/>
                <w:bCs/>
                <w:color w:val="auto"/>
                <w:highlight w:val="none"/>
                <w:lang w:eastAsia="zh-CN"/>
              </w:rPr>
            </w:pPr>
            <w:r>
              <w:rPr>
                <w:rFonts w:hint="eastAsia"/>
                <w:color w:val="auto"/>
                <w:highlight w:val="none"/>
                <w:lang w:val="en-US" w:eastAsia="zh-CN"/>
              </w:rPr>
              <w:t>八</w:t>
            </w:r>
            <w:r>
              <w:rPr>
                <w:rFonts w:hint="eastAsia"/>
                <w:color w:val="auto"/>
                <w:highlight w:val="none"/>
                <w:lang w:eastAsia="zh-CN"/>
              </w:rPr>
              <w:t>、</w:t>
            </w:r>
            <w:r>
              <w:rPr>
                <w:rFonts w:hint="eastAsia"/>
                <w:color w:val="auto"/>
                <w:highlight w:val="none"/>
                <w:lang w:val="en-US" w:eastAsia="zh-CN"/>
              </w:rPr>
              <w:t>物料</w:t>
            </w:r>
            <w:r>
              <w:rPr>
                <w:bCs/>
                <w:color w:val="auto"/>
                <w:highlight w:val="none"/>
              </w:rPr>
              <w:t>平衡</w:t>
            </w:r>
            <w:r>
              <w:rPr>
                <w:rFonts w:hint="eastAsia" w:eastAsia="宋体"/>
                <w:bCs/>
                <w:color w:val="auto"/>
                <w:highlight w:val="none"/>
                <w:lang w:eastAsia="zh-CN"/>
              </w:rPr>
              <w:t>分析</w:t>
            </w:r>
          </w:p>
          <w:p w14:paraId="124165A5">
            <w:pPr>
              <w:bidi w:val="0"/>
              <w:rPr>
                <w:rFonts w:hint="eastAsia"/>
                <w:color w:val="auto"/>
                <w:lang w:eastAsia="zh-CN"/>
              </w:rPr>
            </w:pPr>
            <w:r>
              <w:rPr>
                <w:rFonts w:hint="eastAsia"/>
                <w:color w:val="auto"/>
                <w:lang w:eastAsia="zh-CN"/>
              </w:rPr>
              <w:t>项目物料平衡表见表</w:t>
            </w:r>
            <w:r>
              <w:rPr>
                <w:rFonts w:hint="eastAsia"/>
                <w:color w:val="auto"/>
                <w:lang w:val="en-US" w:eastAsia="zh-CN"/>
              </w:rPr>
              <w:t>2-5</w:t>
            </w:r>
            <w:r>
              <w:rPr>
                <w:rFonts w:hint="eastAsia"/>
                <w:color w:val="auto"/>
                <w:lang w:eastAsia="zh-CN"/>
              </w:rPr>
              <w:t>。</w:t>
            </w:r>
          </w:p>
          <w:p w14:paraId="067E329C">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olor w:val="auto"/>
                <w:sz w:val="24"/>
                <w:szCs w:val="24"/>
                <w:highlight w:val="none"/>
                <w:lang w:val="en-US" w:eastAsia="zh-CN"/>
              </w:rPr>
            </w:pPr>
            <w:r>
              <w:rPr>
                <w:rFonts w:hint="eastAsia" w:ascii="Times New Roman" w:hAnsi="Times New Roman" w:eastAsia="宋体"/>
                <w:color w:val="auto"/>
                <w:sz w:val="24"/>
                <w:szCs w:val="24"/>
                <w:highlight w:val="none"/>
                <w:lang w:val="en-US" w:eastAsia="zh-CN"/>
              </w:rPr>
              <w:t>表2-5 物料收支平衡（单位：t/a）</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2"/>
              <w:gridCol w:w="1579"/>
              <w:gridCol w:w="2529"/>
              <w:gridCol w:w="2530"/>
            </w:tblGrid>
            <w:tr w14:paraId="7E83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 w:hRule="atLeast"/>
                <w:jc w:val="center"/>
              </w:trPr>
              <w:tc>
                <w:tcPr>
                  <w:tcW w:w="2055" w:type="pct"/>
                  <w:gridSpan w:val="2"/>
                  <w:vAlign w:val="center"/>
                </w:tcPr>
                <w:p w14:paraId="19A0137B">
                  <w:pPr>
                    <w:pStyle w:val="31"/>
                    <w:bidi w:val="0"/>
                    <w:jc w:val="center"/>
                    <w:rPr>
                      <w:color w:val="auto"/>
                    </w:rPr>
                  </w:pPr>
                  <w:r>
                    <w:rPr>
                      <w:color w:val="auto"/>
                    </w:rPr>
                    <w:t>物料投入情况</w:t>
                  </w:r>
                </w:p>
              </w:tc>
              <w:tc>
                <w:tcPr>
                  <w:tcW w:w="2944" w:type="pct"/>
                  <w:gridSpan w:val="2"/>
                  <w:tcMar>
                    <w:left w:w="28" w:type="dxa"/>
                    <w:right w:w="28" w:type="dxa"/>
                  </w:tcMar>
                  <w:vAlign w:val="center"/>
                </w:tcPr>
                <w:p w14:paraId="036C2640">
                  <w:pPr>
                    <w:pStyle w:val="31"/>
                    <w:bidi w:val="0"/>
                    <w:jc w:val="center"/>
                    <w:rPr>
                      <w:color w:val="auto"/>
                    </w:rPr>
                  </w:pPr>
                  <w:r>
                    <w:rPr>
                      <w:color w:val="auto"/>
                    </w:rPr>
                    <w:t>物料产出情况</w:t>
                  </w:r>
                </w:p>
              </w:tc>
            </w:tr>
            <w:tr w14:paraId="48DE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 w:hRule="atLeast"/>
                <w:jc w:val="center"/>
              </w:trPr>
              <w:tc>
                <w:tcPr>
                  <w:tcW w:w="1136" w:type="pct"/>
                  <w:vAlign w:val="center"/>
                </w:tcPr>
                <w:p w14:paraId="5D05AD14">
                  <w:pPr>
                    <w:pStyle w:val="31"/>
                    <w:bidi w:val="0"/>
                    <w:jc w:val="center"/>
                    <w:rPr>
                      <w:rFonts w:hint="eastAsia" w:ascii="Times New Roman" w:hAnsi="Times New Roman" w:eastAsia="宋体"/>
                      <w:color w:val="auto"/>
                      <w:lang w:val="en-US" w:eastAsia="zh-CN"/>
                    </w:rPr>
                  </w:pPr>
                  <w:r>
                    <w:rPr>
                      <w:rFonts w:hint="default" w:ascii="Times New Roman" w:hAnsi="Times New Roman" w:eastAsia="宋体"/>
                      <w:color w:val="auto"/>
                      <w:lang w:val="en-US" w:eastAsia="zh-CN"/>
                    </w:rPr>
                    <w:t>原料名称</w:t>
                  </w:r>
                </w:p>
              </w:tc>
              <w:tc>
                <w:tcPr>
                  <w:tcW w:w="919" w:type="pct"/>
                  <w:vAlign w:val="center"/>
                </w:tcPr>
                <w:p w14:paraId="6C717B17">
                  <w:pPr>
                    <w:pStyle w:val="31"/>
                    <w:bidi w:val="0"/>
                    <w:jc w:val="center"/>
                    <w:rPr>
                      <w:rFonts w:hint="eastAsia" w:ascii="Times New Roman" w:hAnsi="Times New Roman" w:eastAsia="宋体"/>
                      <w:color w:val="auto"/>
                      <w:lang w:val="en-US" w:eastAsia="zh-CN"/>
                    </w:rPr>
                  </w:pPr>
                  <w:r>
                    <w:rPr>
                      <w:rFonts w:hint="default" w:ascii="Times New Roman" w:hAnsi="Times New Roman" w:eastAsia="宋体"/>
                      <w:color w:val="auto"/>
                      <w:lang w:val="en-US" w:eastAsia="zh-CN"/>
                    </w:rPr>
                    <w:t>使用量（t/a）</w:t>
                  </w:r>
                </w:p>
              </w:tc>
              <w:tc>
                <w:tcPr>
                  <w:tcW w:w="1472" w:type="pct"/>
                  <w:tcMar>
                    <w:left w:w="28" w:type="dxa"/>
                    <w:right w:w="28" w:type="dxa"/>
                  </w:tcMar>
                  <w:vAlign w:val="center"/>
                </w:tcPr>
                <w:p w14:paraId="0D0851FD">
                  <w:pPr>
                    <w:pStyle w:val="31"/>
                    <w:bidi w:val="0"/>
                    <w:jc w:val="center"/>
                    <w:rPr>
                      <w:rFonts w:hint="eastAsia" w:ascii="Times New Roman" w:hAnsi="Times New Roman" w:eastAsia="宋体"/>
                      <w:color w:val="auto"/>
                      <w:lang w:val="en-US" w:eastAsia="zh-CN"/>
                    </w:rPr>
                  </w:pPr>
                  <w:r>
                    <w:rPr>
                      <w:rFonts w:hint="default" w:ascii="Times New Roman" w:hAnsi="Times New Roman" w:eastAsia="宋体"/>
                      <w:color w:val="auto"/>
                      <w:lang w:val="en-US" w:eastAsia="zh-CN"/>
                    </w:rPr>
                    <w:t>名称</w:t>
                  </w:r>
                </w:p>
              </w:tc>
              <w:tc>
                <w:tcPr>
                  <w:tcW w:w="1472" w:type="pct"/>
                  <w:tcMar>
                    <w:left w:w="28" w:type="dxa"/>
                    <w:right w:w="28" w:type="dxa"/>
                  </w:tcMar>
                  <w:vAlign w:val="center"/>
                </w:tcPr>
                <w:p w14:paraId="0596D03E">
                  <w:pPr>
                    <w:pStyle w:val="31"/>
                    <w:bidi w:val="0"/>
                    <w:jc w:val="center"/>
                    <w:rPr>
                      <w:rFonts w:hint="eastAsia" w:ascii="Times New Roman" w:hAnsi="Times New Roman" w:eastAsia="宋体"/>
                      <w:color w:val="auto"/>
                      <w:lang w:val="en-US" w:eastAsia="zh-CN"/>
                    </w:rPr>
                  </w:pPr>
                  <w:r>
                    <w:rPr>
                      <w:rFonts w:hint="default" w:ascii="Times New Roman" w:hAnsi="Times New Roman" w:eastAsia="宋体"/>
                      <w:color w:val="auto"/>
                      <w:lang w:val="en-US" w:eastAsia="zh-CN"/>
                    </w:rPr>
                    <w:t>产出量（t/a）</w:t>
                  </w:r>
                </w:p>
              </w:tc>
            </w:tr>
            <w:tr w14:paraId="60D0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36" w:type="pct"/>
                  <w:shd w:val="clear" w:color="auto" w:fill="auto"/>
                  <w:vAlign w:val="center"/>
                </w:tcPr>
                <w:p w14:paraId="5391294F">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ascii="Times New Roman" w:hAnsi="Times New Roman" w:eastAsia="宋体"/>
                      <w:color w:val="auto"/>
                      <w:lang w:val="en-US" w:eastAsia="zh-CN"/>
                    </w:rPr>
                    <w:t>镀锌钢带</w:t>
                  </w:r>
                </w:p>
              </w:tc>
              <w:tc>
                <w:tcPr>
                  <w:tcW w:w="919" w:type="pct"/>
                  <w:shd w:val="clear" w:color="auto" w:fill="auto"/>
                  <w:tcMar>
                    <w:left w:w="0" w:type="dxa"/>
                    <w:right w:w="0" w:type="dxa"/>
                  </w:tcMar>
                  <w:vAlign w:val="center"/>
                </w:tcPr>
                <w:p w14:paraId="1FB5E9D2">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default" w:ascii="Times New Roman" w:hAnsi="Times New Roman" w:eastAsia="宋体" w:cs="黑体"/>
                      <w:b w:val="0"/>
                      <w:color w:val="auto"/>
                      <w:kern w:val="2"/>
                      <w:sz w:val="21"/>
                      <w:szCs w:val="24"/>
                      <w:lang w:val="en-US" w:eastAsia="zh-CN" w:bidi="ar-SA"/>
                    </w:rPr>
                    <w:t>100500</w:t>
                  </w:r>
                </w:p>
              </w:tc>
              <w:tc>
                <w:tcPr>
                  <w:tcW w:w="1472" w:type="pct"/>
                  <w:tcMar>
                    <w:left w:w="28" w:type="dxa"/>
                    <w:right w:w="28" w:type="dxa"/>
                  </w:tcMar>
                  <w:vAlign w:val="center"/>
                </w:tcPr>
                <w:p w14:paraId="0A682C4E">
                  <w:pPr>
                    <w:pStyle w:val="31"/>
                    <w:bidi w:val="0"/>
                    <w:jc w:val="center"/>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高频直缝焊管</w:t>
                  </w:r>
                </w:p>
              </w:tc>
              <w:tc>
                <w:tcPr>
                  <w:tcW w:w="1472" w:type="pct"/>
                  <w:vAlign w:val="center"/>
                </w:tcPr>
                <w:p w14:paraId="11403A76">
                  <w:pPr>
                    <w:pStyle w:val="31"/>
                    <w:bidi w:val="0"/>
                    <w:jc w:val="center"/>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100000</w:t>
                  </w:r>
                </w:p>
              </w:tc>
            </w:tr>
            <w:tr w14:paraId="3D7B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atLeast"/>
                <w:jc w:val="center"/>
              </w:trPr>
              <w:tc>
                <w:tcPr>
                  <w:tcW w:w="1136" w:type="pct"/>
                  <w:shd w:val="clear" w:color="auto" w:fill="auto"/>
                  <w:vAlign w:val="center"/>
                </w:tcPr>
                <w:p w14:paraId="087416C8">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ascii="Times New Roman" w:hAnsi="Times New Roman" w:eastAsia="宋体"/>
                      <w:color w:val="auto"/>
                      <w:lang w:val="en-US" w:eastAsia="zh-CN"/>
                    </w:rPr>
                    <w:t>锌丝</w:t>
                  </w:r>
                </w:p>
              </w:tc>
              <w:tc>
                <w:tcPr>
                  <w:tcW w:w="919" w:type="pct"/>
                  <w:shd w:val="clear" w:color="auto" w:fill="auto"/>
                  <w:tcMar>
                    <w:left w:w="0" w:type="dxa"/>
                    <w:right w:w="0" w:type="dxa"/>
                  </w:tcMar>
                  <w:vAlign w:val="center"/>
                </w:tcPr>
                <w:p w14:paraId="27D6A5A0">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4</w:t>
                  </w:r>
                </w:p>
              </w:tc>
              <w:tc>
                <w:tcPr>
                  <w:tcW w:w="1472" w:type="pct"/>
                  <w:tcMar>
                    <w:left w:w="28" w:type="dxa"/>
                    <w:right w:w="28" w:type="dxa"/>
                  </w:tcMar>
                  <w:vAlign w:val="center"/>
                </w:tcPr>
                <w:p w14:paraId="1354A562">
                  <w:pPr>
                    <w:pStyle w:val="31"/>
                    <w:bidi w:val="0"/>
                    <w:jc w:val="center"/>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焊渣</w:t>
                  </w:r>
                </w:p>
              </w:tc>
              <w:tc>
                <w:tcPr>
                  <w:tcW w:w="1472" w:type="pct"/>
                  <w:vAlign w:val="center"/>
                </w:tcPr>
                <w:p w14:paraId="3C24D91B">
                  <w:pPr>
                    <w:pStyle w:val="31"/>
                    <w:bidi w:val="0"/>
                    <w:jc w:val="center"/>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50</w:t>
                  </w:r>
                </w:p>
              </w:tc>
            </w:tr>
            <w:tr w14:paraId="4C1D6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atLeast"/>
                <w:jc w:val="center"/>
              </w:trPr>
              <w:tc>
                <w:tcPr>
                  <w:tcW w:w="1136" w:type="pct"/>
                  <w:shd w:val="clear" w:color="auto" w:fill="auto"/>
                  <w:vAlign w:val="center"/>
                </w:tcPr>
                <w:p w14:paraId="01C1ED29">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ascii="Times New Roman" w:hAnsi="Times New Roman" w:eastAsia="宋体"/>
                      <w:color w:val="auto"/>
                      <w:lang w:val="en-US" w:eastAsia="zh-CN"/>
                    </w:rPr>
                    <w:t>铝丝</w:t>
                  </w:r>
                </w:p>
              </w:tc>
              <w:tc>
                <w:tcPr>
                  <w:tcW w:w="919" w:type="pct"/>
                  <w:shd w:val="clear" w:color="auto" w:fill="auto"/>
                  <w:tcMar>
                    <w:left w:w="0" w:type="dxa"/>
                    <w:right w:w="0" w:type="dxa"/>
                  </w:tcMar>
                  <w:vAlign w:val="center"/>
                </w:tcPr>
                <w:p w14:paraId="2E4B9D59">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4</w:t>
                  </w:r>
                </w:p>
              </w:tc>
              <w:tc>
                <w:tcPr>
                  <w:tcW w:w="1472" w:type="pct"/>
                  <w:tcMar>
                    <w:left w:w="28" w:type="dxa"/>
                    <w:right w:w="28" w:type="dxa"/>
                  </w:tcMar>
                  <w:vAlign w:val="center"/>
                </w:tcPr>
                <w:p w14:paraId="5A70BEAF">
                  <w:pPr>
                    <w:pStyle w:val="31"/>
                    <w:bidi w:val="0"/>
                    <w:jc w:val="center"/>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循环水池沉渣</w:t>
                  </w:r>
                </w:p>
              </w:tc>
              <w:tc>
                <w:tcPr>
                  <w:tcW w:w="1472" w:type="pct"/>
                  <w:vAlign w:val="center"/>
                </w:tcPr>
                <w:p w14:paraId="50CB38CE">
                  <w:pPr>
                    <w:pStyle w:val="31"/>
                    <w:bidi w:val="0"/>
                    <w:jc w:val="center"/>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10</w:t>
                  </w:r>
                </w:p>
              </w:tc>
            </w:tr>
            <w:tr w14:paraId="769C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atLeast"/>
                <w:jc w:val="center"/>
              </w:trPr>
              <w:tc>
                <w:tcPr>
                  <w:tcW w:w="1136" w:type="pct"/>
                  <w:vAlign w:val="center"/>
                </w:tcPr>
                <w:p w14:paraId="3C9E56E4">
                  <w:pPr>
                    <w:pStyle w:val="31"/>
                    <w:bidi w:val="0"/>
                    <w:jc w:val="center"/>
                    <w:rPr>
                      <w:rFonts w:hint="eastAsia" w:ascii="Times New Roman" w:hAnsi="Times New Roman" w:eastAsia="宋体"/>
                      <w:color w:val="auto"/>
                      <w:lang w:val="en-US" w:eastAsia="zh-CN"/>
                    </w:rPr>
                  </w:pPr>
                </w:p>
              </w:tc>
              <w:tc>
                <w:tcPr>
                  <w:tcW w:w="919" w:type="pct"/>
                  <w:tcMar>
                    <w:left w:w="0" w:type="dxa"/>
                    <w:right w:w="0" w:type="dxa"/>
                  </w:tcMar>
                  <w:vAlign w:val="center"/>
                </w:tcPr>
                <w:p w14:paraId="159BAF9F">
                  <w:pPr>
                    <w:pStyle w:val="31"/>
                    <w:bidi w:val="0"/>
                    <w:jc w:val="center"/>
                    <w:rPr>
                      <w:rFonts w:hint="default" w:ascii="Times New Roman" w:hAnsi="Times New Roman" w:eastAsia="宋体"/>
                      <w:color w:val="auto"/>
                      <w:lang w:val="en-US" w:eastAsia="zh-CN"/>
                    </w:rPr>
                  </w:pPr>
                </w:p>
              </w:tc>
              <w:tc>
                <w:tcPr>
                  <w:tcW w:w="1472" w:type="pct"/>
                  <w:tcMar>
                    <w:left w:w="28" w:type="dxa"/>
                    <w:right w:w="28" w:type="dxa"/>
                  </w:tcMar>
                  <w:vAlign w:val="center"/>
                </w:tcPr>
                <w:p w14:paraId="64BA2CBA">
                  <w:pPr>
                    <w:pStyle w:val="31"/>
                    <w:bidi w:val="0"/>
                    <w:jc w:val="center"/>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边角废料及切割碎屑</w:t>
                  </w:r>
                </w:p>
              </w:tc>
              <w:tc>
                <w:tcPr>
                  <w:tcW w:w="1472" w:type="pct"/>
                  <w:vAlign w:val="center"/>
                </w:tcPr>
                <w:p w14:paraId="7FB9D681">
                  <w:pPr>
                    <w:pStyle w:val="31"/>
                    <w:bidi w:val="0"/>
                    <w:jc w:val="center"/>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446.78</w:t>
                  </w:r>
                  <w:r>
                    <w:rPr>
                      <w:rFonts w:hint="eastAsia"/>
                      <w:color w:val="auto"/>
                      <w:lang w:val="en-US" w:eastAsia="zh-CN"/>
                    </w:rPr>
                    <w:t>3</w:t>
                  </w:r>
                </w:p>
              </w:tc>
            </w:tr>
            <w:tr w14:paraId="070FC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atLeast"/>
                <w:jc w:val="center"/>
              </w:trPr>
              <w:tc>
                <w:tcPr>
                  <w:tcW w:w="1136" w:type="pct"/>
                  <w:vAlign w:val="center"/>
                </w:tcPr>
                <w:p w14:paraId="1CB365B1">
                  <w:pPr>
                    <w:pStyle w:val="31"/>
                    <w:bidi w:val="0"/>
                    <w:jc w:val="center"/>
                    <w:rPr>
                      <w:rFonts w:hint="eastAsia" w:ascii="Times New Roman" w:hAnsi="Times New Roman" w:eastAsia="宋体"/>
                      <w:color w:val="auto"/>
                      <w:lang w:val="en-US" w:eastAsia="zh-CN"/>
                    </w:rPr>
                  </w:pPr>
                </w:p>
              </w:tc>
              <w:tc>
                <w:tcPr>
                  <w:tcW w:w="919" w:type="pct"/>
                  <w:tcMar>
                    <w:left w:w="0" w:type="dxa"/>
                    <w:right w:w="0" w:type="dxa"/>
                  </w:tcMar>
                  <w:vAlign w:val="center"/>
                </w:tcPr>
                <w:p w14:paraId="58C99DC7">
                  <w:pPr>
                    <w:pStyle w:val="31"/>
                    <w:bidi w:val="0"/>
                    <w:jc w:val="center"/>
                    <w:rPr>
                      <w:rFonts w:hint="default" w:ascii="Times New Roman" w:hAnsi="Times New Roman" w:eastAsia="宋体"/>
                      <w:color w:val="auto"/>
                      <w:lang w:val="en-US" w:eastAsia="zh-CN"/>
                    </w:rPr>
                  </w:pPr>
                </w:p>
              </w:tc>
              <w:tc>
                <w:tcPr>
                  <w:tcW w:w="1472" w:type="pct"/>
                  <w:tcMar>
                    <w:left w:w="28" w:type="dxa"/>
                    <w:right w:w="28" w:type="dxa"/>
                  </w:tcMar>
                  <w:vAlign w:val="center"/>
                </w:tcPr>
                <w:p w14:paraId="7A208AE4">
                  <w:pPr>
                    <w:pStyle w:val="31"/>
                    <w:bidi w:val="0"/>
                    <w:jc w:val="center"/>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除尘灰</w:t>
                  </w:r>
                </w:p>
              </w:tc>
              <w:tc>
                <w:tcPr>
                  <w:tcW w:w="1472" w:type="pct"/>
                  <w:vAlign w:val="center"/>
                </w:tcPr>
                <w:p w14:paraId="6621B2A0">
                  <w:pPr>
                    <w:pStyle w:val="31"/>
                    <w:bidi w:val="0"/>
                    <w:jc w:val="center"/>
                    <w:rPr>
                      <w:rFonts w:hint="default" w:ascii="Times New Roman" w:hAnsi="Times New Roman" w:eastAsia="宋体"/>
                      <w:color w:val="auto"/>
                      <w:lang w:val="en-US" w:eastAsia="zh-CN"/>
                    </w:rPr>
                  </w:pPr>
                  <w:r>
                    <w:rPr>
                      <w:rFonts w:hint="eastAsia"/>
                      <w:color w:val="auto"/>
                      <w:lang w:val="en-US" w:eastAsia="zh-CN"/>
                    </w:rPr>
                    <w:t>0.841</w:t>
                  </w:r>
                </w:p>
              </w:tc>
            </w:tr>
            <w:tr w14:paraId="068D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36" w:type="pct"/>
                  <w:vAlign w:val="center"/>
                </w:tcPr>
                <w:p w14:paraId="0BD82A6D">
                  <w:pPr>
                    <w:pStyle w:val="31"/>
                    <w:bidi w:val="0"/>
                    <w:jc w:val="center"/>
                    <w:rPr>
                      <w:rFonts w:hint="eastAsia" w:ascii="Times New Roman" w:hAnsi="Times New Roman" w:eastAsia="宋体"/>
                      <w:color w:val="auto"/>
                      <w:lang w:val="en-US" w:eastAsia="zh-CN"/>
                    </w:rPr>
                  </w:pPr>
                </w:p>
              </w:tc>
              <w:tc>
                <w:tcPr>
                  <w:tcW w:w="919" w:type="pct"/>
                  <w:tcMar>
                    <w:left w:w="0" w:type="dxa"/>
                    <w:right w:w="0" w:type="dxa"/>
                  </w:tcMar>
                  <w:vAlign w:val="center"/>
                </w:tcPr>
                <w:p w14:paraId="1E086619">
                  <w:pPr>
                    <w:pStyle w:val="31"/>
                    <w:bidi w:val="0"/>
                    <w:jc w:val="center"/>
                    <w:rPr>
                      <w:rFonts w:hint="default" w:ascii="Times New Roman" w:hAnsi="Times New Roman" w:eastAsia="宋体"/>
                      <w:color w:val="auto"/>
                      <w:lang w:val="en-US" w:eastAsia="zh-CN"/>
                    </w:rPr>
                  </w:pPr>
                </w:p>
              </w:tc>
              <w:tc>
                <w:tcPr>
                  <w:tcW w:w="1472" w:type="pct"/>
                  <w:tcMar>
                    <w:left w:w="28" w:type="dxa"/>
                    <w:right w:w="28" w:type="dxa"/>
                  </w:tcMar>
                  <w:vAlign w:val="center"/>
                </w:tcPr>
                <w:p w14:paraId="5EC03789">
                  <w:pPr>
                    <w:pStyle w:val="31"/>
                    <w:bidi w:val="0"/>
                    <w:jc w:val="center"/>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有组织颗粒物</w:t>
                  </w:r>
                </w:p>
              </w:tc>
              <w:tc>
                <w:tcPr>
                  <w:tcW w:w="2530" w:type="dxa"/>
                  <w:vAlign w:val="center"/>
                </w:tcPr>
                <w:p w14:paraId="03E2BD3D">
                  <w:pPr>
                    <w:pStyle w:val="31"/>
                    <w:bidi w:val="0"/>
                    <w:ind w:firstLine="0" w:firstLineChars="0"/>
                    <w:jc w:val="center"/>
                    <w:rPr>
                      <w:rFonts w:hint="default" w:ascii="Times New Roman" w:hAnsi="Times New Roman" w:eastAsia="宋体"/>
                      <w:color w:val="auto"/>
                      <w:lang w:val="en-US" w:eastAsia="zh-CN"/>
                    </w:rPr>
                  </w:pPr>
                  <w:r>
                    <w:rPr>
                      <w:rFonts w:hint="eastAsia"/>
                      <w:color w:val="auto"/>
                      <w:lang w:val="en-US" w:eastAsia="zh-CN"/>
                    </w:rPr>
                    <w:t>0.044</w:t>
                  </w:r>
                </w:p>
              </w:tc>
            </w:tr>
            <w:tr w14:paraId="5F15D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36" w:type="pct"/>
                  <w:vAlign w:val="center"/>
                </w:tcPr>
                <w:p w14:paraId="2F13BC3E">
                  <w:pPr>
                    <w:pStyle w:val="31"/>
                    <w:bidi w:val="0"/>
                    <w:jc w:val="center"/>
                    <w:rPr>
                      <w:rFonts w:hint="eastAsia" w:ascii="Times New Roman" w:hAnsi="Times New Roman" w:eastAsia="宋体"/>
                      <w:color w:val="auto"/>
                      <w:lang w:val="en-US" w:eastAsia="zh-CN"/>
                    </w:rPr>
                  </w:pPr>
                </w:p>
              </w:tc>
              <w:tc>
                <w:tcPr>
                  <w:tcW w:w="919" w:type="pct"/>
                  <w:tcMar>
                    <w:left w:w="0" w:type="dxa"/>
                    <w:right w:w="0" w:type="dxa"/>
                  </w:tcMar>
                  <w:vAlign w:val="center"/>
                </w:tcPr>
                <w:p w14:paraId="22EDF5D0">
                  <w:pPr>
                    <w:pStyle w:val="31"/>
                    <w:bidi w:val="0"/>
                    <w:jc w:val="center"/>
                    <w:rPr>
                      <w:rFonts w:hint="default" w:ascii="Times New Roman" w:hAnsi="Times New Roman" w:eastAsia="宋体"/>
                      <w:color w:val="auto"/>
                      <w:lang w:val="en-US" w:eastAsia="zh-CN"/>
                    </w:rPr>
                  </w:pPr>
                </w:p>
              </w:tc>
              <w:tc>
                <w:tcPr>
                  <w:tcW w:w="1472" w:type="pct"/>
                  <w:tcMar>
                    <w:left w:w="28" w:type="dxa"/>
                    <w:right w:w="28" w:type="dxa"/>
                  </w:tcMar>
                  <w:vAlign w:val="center"/>
                </w:tcPr>
                <w:p w14:paraId="0015A2EF">
                  <w:pPr>
                    <w:pStyle w:val="31"/>
                    <w:bidi w:val="0"/>
                    <w:jc w:val="center"/>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无组织颗粒物</w:t>
                  </w:r>
                </w:p>
              </w:tc>
              <w:tc>
                <w:tcPr>
                  <w:tcW w:w="2530" w:type="dxa"/>
                  <w:vAlign w:val="center"/>
                </w:tcPr>
                <w:p w14:paraId="13298135">
                  <w:pPr>
                    <w:pStyle w:val="31"/>
                    <w:bidi w:val="0"/>
                    <w:ind w:firstLine="0" w:firstLineChars="0"/>
                    <w:jc w:val="center"/>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0.33</w:t>
                  </w:r>
                  <w:r>
                    <w:rPr>
                      <w:rFonts w:hint="eastAsia"/>
                      <w:color w:val="auto"/>
                      <w:lang w:val="en-US" w:eastAsia="zh-CN"/>
                    </w:rPr>
                    <w:t>2</w:t>
                  </w:r>
                </w:p>
              </w:tc>
            </w:tr>
            <w:tr w14:paraId="01C4C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jc w:val="center"/>
              </w:trPr>
              <w:tc>
                <w:tcPr>
                  <w:tcW w:w="1136" w:type="pct"/>
                  <w:vAlign w:val="center"/>
                </w:tcPr>
                <w:p w14:paraId="0F67E0D5">
                  <w:pPr>
                    <w:pStyle w:val="31"/>
                    <w:bidi w:val="0"/>
                    <w:jc w:val="center"/>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合计</w:t>
                  </w:r>
                </w:p>
              </w:tc>
              <w:tc>
                <w:tcPr>
                  <w:tcW w:w="919" w:type="pct"/>
                  <w:tcMar>
                    <w:left w:w="0" w:type="dxa"/>
                    <w:right w:w="0" w:type="dxa"/>
                  </w:tcMar>
                  <w:vAlign w:val="center"/>
                </w:tcPr>
                <w:p w14:paraId="3F11EE94">
                  <w:pPr>
                    <w:pStyle w:val="31"/>
                    <w:bidi w:val="0"/>
                    <w:jc w:val="cente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100508</w:t>
                  </w:r>
                </w:p>
              </w:tc>
              <w:tc>
                <w:tcPr>
                  <w:tcW w:w="1472" w:type="pct"/>
                  <w:tcMar>
                    <w:left w:w="28" w:type="dxa"/>
                    <w:right w:w="28" w:type="dxa"/>
                  </w:tcMar>
                  <w:vAlign w:val="center"/>
                </w:tcPr>
                <w:p w14:paraId="468B8C64">
                  <w:pPr>
                    <w:pStyle w:val="31"/>
                    <w:bidi w:val="0"/>
                    <w:jc w:val="center"/>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合计</w:t>
                  </w:r>
                </w:p>
              </w:tc>
              <w:tc>
                <w:tcPr>
                  <w:tcW w:w="1472" w:type="pct"/>
                  <w:vAlign w:val="center"/>
                </w:tcPr>
                <w:p w14:paraId="01DC0E40">
                  <w:pPr>
                    <w:pStyle w:val="31"/>
                    <w:bidi w:val="0"/>
                    <w:jc w:val="cente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100508</w:t>
                  </w:r>
                </w:p>
              </w:tc>
            </w:tr>
          </w:tbl>
          <w:p w14:paraId="5BEE804A">
            <w:pPr>
              <w:pStyle w:val="40"/>
              <w:rPr>
                <w:rFonts w:hint="default"/>
                <w:color w:val="auto"/>
              </w:rPr>
            </w:pPr>
            <w:r>
              <w:rPr>
                <w:rFonts w:hint="eastAsia"/>
                <w:color w:val="auto"/>
                <w:lang w:eastAsia="zh-CN"/>
              </w:rPr>
              <w:t>九、</w:t>
            </w:r>
            <w:r>
              <w:rPr>
                <w:color w:val="auto"/>
              </w:rPr>
              <w:t>厂区平面布置</w:t>
            </w:r>
          </w:p>
          <w:p w14:paraId="6A25B49D">
            <w:pPr>
              <w:ind w:firstLine="480"/>
              <w:rPr>
                <w:color w:val="auto"/>
              </w:rPr>
            </w:pPr>
            <w:r>
              <w:rPr>
                <w:rFonts w:hint="eastAsia"/>
                <w:color w:val="auto"/>
              </w:rPr>
              <w:t>根据总平面布置原则，结合厂址自然条件，</w:t>
            </w:r>
            <w:r>
              <w:rPr>
                <w:rFonts w:hint="eastAsia" w:ascii="Times New Roman" w:hAnsi="Times New Roman" w:eastAsia="宋体" w:cs="Times New Roman"/>
                <w:color w:val="auto"/>
                <w:kern w:val="0"/>
                <w:szCs w:val="20"/>
              </w:rPr>
              <w:t>厂区平面布置大体为：</w:t>
            </w:r>
            <w:r>
              <w:rPr>
                <w:rFonts w:hint="eastAsia"/>
                <w:color w:val="auto"/>
              </w:rPr>
              <w:t>厂区西北侧为进出口紧邻乡道，交通便利，进厂口</w:t>
            </w:r>
            <w:r>
              <w:rPr>
                <w:rFonts w:hint="eastAsia"/>
                <w:color w:val="auto"/>
                <w:lang w:val="en-US" w:eastAsia="zh-CN"/>
              </w:rPr>
              <w:t>南侧</w:t>
            </w:r>
            <w:r>
              <w:rPr>
                <w:rFonts w:hint="eastAsia"/>
                <w:color w:val="auto"/>
              </w:rPr>
              <w:t>设置生活办公区，成品仓库布置于厂区西侧，1#焊管车间布置于厂区南侧，2#焊管车间布置于厂区</w:t>
            </w:r>
            <w:r>
              <w:rPr>
                <w:rFonts w:hint="eastAsia"/>
                <w:color w:val="auto"/>
                <w:lang w:val="en-US" w:eastAsia="zh-CN"/>
              </w:rPr>
              <w:t>中部</w:t>
            </w:r>
            <w:r>
              <w:rPr>
                <w:rFonts w:hint="eastAsia"/>
                <w:color w:val="auto"/>
              </w:rPr>
              <w:t>，3#、4#焊管车间均布置于厂区北侧，原料库布置于厂区东北侧，剪切库布置于厂区东侧，废料打包库布置于厂区东南侧，检修车间布置于厂区西南侧，紧邻1#焊管车间，危废暂存间布置于检修车间</w:t>
            </w:r>
            <w:r>
              <w:rPr>
                <w:rFonts w:hint="eastAsia"/>
                <w:color w:val="auto"/>
                <w:lang w:val="en-US" w:eastAsia="zh-CN"/>
              </w:rPr>
              <w:t>内</w:t>
            </w:r>
            <w:r>
              <w:rPr>
                <w:rFonts w:hint="eastAsia"/>
                <w:color w:val="auto"/>
              </w:rPr>
              <w:t>，紧邻2#焊管车间，整个厂区由北向南呈线性分布，</w:t>
            </w:r>
            <w:r>
              <w:rPr>
                <w:rFonts w:hint="eastAsia"/>
                <w:color w:val="auto"/>
                <w:lang w:val="en-US" w:eastAsia="zh-CN"/>
              </w:rPr>
              <w:t>生产区与办公区分区布置</w:t>
            </w:r>
            <w:r>
              <w:rPr>
                <w:rFonts w:hint="eastAsia"/>
                <w:color w:val="auto"/>
              </w:rPr>
              <w:t>。</w:t>
            </w:r>
          </w:p>
          <w:p w14:paraId="52F7EF57">
            <w:pPr>
              <w:ind w:firstLine="480"/>
              <w:rPr>
                <w:rFonts w:ascii="Times New Roman" w:hAnsi="Times New Roman" w:eastAsia="宋体" w:cs="Times New Roman"/>
                <w:color w:val="auto"/>
                <w:kern w:val="0"/>
                <w:szCs w:val="20"/>
              </w:rPr>
            </w:pPr>
            <w:r>
              <w:rPr>
                <w:rFonts w:hint="eastAsia" w:ascii="Times New Roman" w:hAnsi="Times New Roman" w:eastAsia="宋体" w:cs="Times New Roman"/>
                <w:color w:val="auto"/>
                <w:kern w:val="0"/>
                <w:szCs w:val="20"/>
              </w:rPr>
              <w:t>本项目总体布局合理，全厂平面布置层次分明，动静分区、物流畅通，整个厂区平面布置合理。</w:t>
            </w:r>
          </w:p>
          <w:p w14:paraId="73A2C549">
            <w:pPr>
              <w:ind w:firstLine="480"/>
              <w:rPr>
                <w:color w:val="auto"/>
              </w:rPr>
            </w:pPr>
            <w:r>
              <w:rPr>
                <w:rFonts w:hint="eastAsia"/>
                <w:color w:val="auto"/>
              </w:rPr>
              <w:t>本项目平面布置示意图见附图3。</w:t>
            </w:r>
          </w:p>
          <w:p w14:paraId="10106EEC">
            <w:pPr>
              <w:tabs>
                <w:tab w:val="left" w:pos="932"/>
                <w:tab w:val="center" w:pos="4535"/>
              </w:tabs>
              <w:ind w:firstLine="0" w:firstLineChars="0"/>
              <w:rPr>
                <w:b/>
                <w:bCs/>
                <w:color w:val="auto"/>
              </w:rPr>
            </w:pPr>
            <w:r>
              <w:rPr>
                <w:rFonts w:hint="eastAsia"/>
                <w:b/>
                <w:bCs/>
                <w:color w:val="auto"/>
                <w:lang w:val="en-US" w:eastAsia="zh-CN"/>
              </w:rPr>
              <w:t>十</w:t>
            </w:r>
            <w:r>
              <w:rPr>
                <w:rFonts w:hint="eastAsia"/>
                <w:b/>
                <w:bCs/>
                <w:color w:val="auto"/>
                <w:lang w:eastAsia="zh-CN"/>
              </w:rPr>
              <w:t>、</w:t>
            </w:r>
            <w:r>
              <w:rPr>
                <w:b/>
                <w:bCs/>
                <w:color w:val="auto"/>
              </w:rPr>
              <w:t>环保投资</w:t>
            </w:r>
          </w:p>
          <w:p w14:paraId="1228CF03">
            <w:pPr>
              <w:tabs>
                <w:tab w:val="left" w:pos="932"/>
                <w:tab w:val="center" w:pos="4535"/>
              </w:tabs>
              <w:ind w:firstLine="480"/>
              <w:rPr>
                <w:bCs/>
                <w:color w:val="auto"/>
              </w:rPr>
            </w:pPr>
            <w:r>
              <w:rPr>
                <w:bCs/>
                <w:color w:val="auto"/>
              </w:rPr>
              <w:t>本项目总投资</w:t>
            </w:r>
            <w:r>
              <w:rPr>
                <w:rFonts w:hint="eastAsia"/>
                <w:bCs/>
                <w:color w:val="auto"/>
                <w:lang w:val="en-US" w:eastAsia="zh-CN"/>
              </w:rPr>
              <w:t>1400</w:t>
            </w:r>
            <w:r>
              <w:rPr>
                <w:bCs/>
                <w:color w:val="auto"/>
              </w:rPr>
              <w:t>万元，其中环保投资估算为</w:t>
            </w:r>
            <w:r>
              <w:rPr>
                <w:rFonts w:hint="eastAsia"/>
                <w:bCs/>
                <w:color w:val="auto"/>
                <w:lang w:val="en-US" w:eastAsia="zh-CN"/>
              </w:rPr>
              <w:t>51</w:t>
            </w:r>
            <w:r>
              <w:rPr>
                <w:bCs/>
                <w:color w:val="auto"/>
              </w:rPr>
              <w:t>万元，占总投资</w:t>
            </w:r>
            <w:r>
              <w:rPr>
                <w:rFonts w:hint="eastAsia"/>
                <w:bCs/>
                <w:color w:val="auto"/>
                <w:lang w:val="en-US" w:eastAsia="zh-CN"/>
              </w:rPr>
              <w:t>3.643</w:t>
            </w:r>
            <w:r>
              <w:rPr>
                <w:bCs/>
                <w:color w:val="auto"/>
              </w:rPr>
              <w:t>%，具体见下表</w:t>
            </w:r>
            <w:r>
              <w:rPr>
                <w:rFonts w:hint="eastAsia"/>
                <w:bCs/>
                <w:color w:val="auto"/>
              </w:rPr>
              <w:t>2-</w:t>
            </w:r>
            <w:r>
              <w:rPr>
                <w:rFonts w:hint="eastAsia"/>
                <w:bCs/>
                <w:color w:val="auto"/>
                <w:lang w:val="en-US" w:eastAsia="zh-CN"/>
              </w:rPr>
              <w:t>6</w:t>
            </w:r>
            <w:r>
              <w:rPr>
                <w:bCs/>
                <w:color w:val="auto"/>
              </w:rPr>
              <w:t>。</w:t>
            </w:r>
          </w:p>
          <w:p w14:paraId="7BAFBA75">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表2</w:t>
            </w:r>
            <w:r>
              <w:rPr>
                <w:rFonts w:hint="default" w:ascii="Times New Roman" w:hAnsi="Times New Roman" w:eastAsia="宋体"/>
                <w:color w:val="auto"/>
                <w:sz w:val="24"/>
                <w:szCs w:val="24"/>
                <w:lang w:val="en-US" w:eastAsia="zh-CN"/>
              </w:rPr>
              <w:t>-</w:t>
            </w:r>
            <w:r>
              <w:rPr>
                <w:rFonts w:hint="eastAsia" w:ascii="Times New Roman" w:hAnsi="Times New Roman" w:eastAsia="宋体"/>
                <w:color w:val="auto"/>
                <w:sz w:val="24"/>
                <w:szCs w:val="24"/>
                <w:lang w:val="en-US" w:eastAsia="zh-CN"/>
              </w:rPr>
              <w:t>6 环保投资估算表</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758"/>
              <w:gridCol w:w="1443"/>
              <w:gridCol w:w="3772"/>
              <w:gridCol w:w="1182"/>
              <w:gridCol w:w="1005"/>
            </w:tblGrid>
            <w:tr w14:paraId="0B991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8" w:type="pct"/>
                  <w:tcBorders>
                    <w:tl2br w:val="nil"/>
                    <w:tr2bl w:val="nil"/>
                  </w:tcBorders>
                  <w:noWrap w:val="0"/>
                  <w:vAlign w:val="center"/>
                </w:tcPr>
                <w:p w14:paraId="287EF9C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时期</w:t>
                  </w:r>
                </w:p>
              </w:tc>
              <w:tc>
                <w:tcPr>
                  <w:tcW w:w="441" w:type="pct"/>
                  <w:tcBorders>
                    <w:tl2br w:val="nil"/>
                    <w:tr2bl w:val="nil"/>
                  </w:tcBorders>
                  <w:noWrap w:val="0"/>
                  <w:vAlign w:val="center"/>
                </w:tcPr>
                <w:p w14:paraId="337588F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类别</w:t>
                  </w:r>
                </w:p>
              </w:tc>
              <w:tc>
                <w:tcPr>
                  <w:tcW w:w="3036" w:type="pct"/>
                  <w:gridSpan w:val="2"/>
                  <w:tcBorders>
                    <w:tl2br w:val="nil"/>
                    <w:tr2bl w:val="nil"/>
                  </w:tcBorders>
                  <w:noWrap w:val="0"/>
                  <w:vAlign w:val="center"/>
                </w:tcPr>
                <w:p w14:paraId="294EF03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项目</w:t>
                  </w:r>
                </w:p>
              </w:tc>
              <w:tc>
                <w:tcPr>
                  <w:tcW w:w="688" w:type="pct"/>
                  <w:tcBorders>
                    <w:tl2br w:val="nil"/>
                    <w:tr2bl w:val="nil"/>
                  </w:tcBorders>
                  <w:noWrap w:val="0"/>
                  <w:vAlign w:val="center"/>
                </w:tcPr>
                <w:p w14:paraId="46173E7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合计（万元）</w:t>
                  </w:r>
                </w:p>
              </w:tc>
              <w:tc>
                <w:tcPr>
                  <w:tcW w:w="585" w:type="pct"/>
                  <w:tcBorders>
                    <w:tl2br w:val="nil"/>
                    <w:tr2bl w:val="nil"/>
                  </w:tcBorders>
                  <w:noWrap w:val="0"/>
                  <w:vAlign w:val="center"/>
                </w:tcPr>
                <w:p w14:paraId="37072C1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备注</w:t>
                  </w:r>
                </w:p>
              </w:tc>
            </w:tr>
            <w:tr w14:paraId="1CB67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8" w:type="pct"/>
                  <w:vMerge w:val="restart"/>
                  <w:tcBorders>
                    <w:tl2br w:val="nil"/>
                    <w:tr2bl w:val="nil"/>
                  </w:tcBorders>
                  <w:noWrap w:val="0"/>
                  <w:vAlign w:val="center"/>
                </w:tcPr>
                <w:p w14:paraId="19B205F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施工期</w:t>
                  </w:r>
                </w:p>
              </w:tc>
              <w:tc>
                <w:tcPr>
                  <w:tcW w:w="441" w:type="pct"/>
                  <w:tcBorders>
                    <w:tl2br w:val="nil"/>
                    <w:tr2bl w:val="nil"/>
                  </w:tcBorders>
                  <w:noWrap w:val="0"/>
                  <w:vAlign w:val="center"/>
                </w:tcPr>
                <w:p w14:paraId="31C9058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bCs/>
                      <w:color w:val="auto"/>
                      <w:sz w:val="21"/>
                      <w:szCs w:val="21"/>
                      <w:highlight w:val="none"/>
                    </w:rPr>
                    <w:t>废气</w:t>
                  </w:r>
                </w:p>
              </w:tc>
              <w:tc>
                <w:tcPr>
                  <w:tcW w:w="840" w:type="pct"/>
                  <w:tcBorders>
                    <w:tl2br w:val="nil"/>
                    <w:tr2bl w:val="nil"/>
                  </w:tcBorders>
                  <w:noWrap w:val="0"/>
                  <w:vAlign w:val="center"/>
                </w:tcPr>
                <w:p w14:paraId="4604800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bCs/>
                      <w:color w:val="auto"/>
                      <w:sz w:val="21"/>
                      <w:szCs w:val="21"/>
                      <w:highlight w:val="none"/>
                    </w:rPr>
                    <w:t>扬尘</w:t>
                  </w:r>
                </w:p>
              </w:tc>
              <w:tc>
                <w:tcPr>
                  <w:tcW w:w="2196" w:type="pct"/>
                  <w:tcBorders>
                    <w:tl2br w:val="nil"/>
                    <w:tr2bl w:val="nil"/>
                  </w:tcBorders>
                  <w:noWrap w:val="0"/>
                  <w:vAlign w:val="center"/>
                </w:tcPr>
                <w:p w14:paraId="2F0EBD2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bCs/>
                      <w:color w:val="auto"/>
                      <w:sz w:val="21"/>
                      <w:szCs w:val="21"/>
                      <w:highlight w:val="none"/>
                    </w:rPr>
                    <w:t>洒水抑尘</w:t>
                  </w:r>
                </w:p>
              </w:tc>
              <w:tc>
                <w:tcPr>
                  <w:tcW w:w="688" w:type="pct"/>
                  <w:tcBorders>
                    <w:tl2br w:val="nil"/>
                    <w:tr2bl w:val="nil"/>
                  </w:tcBorders>
                  <w:noWrap w:val="0"/>
                  <w:vAlign w:val="center"/>
                </w:tcPr>
                <w:p w14:paraId="7EDBA48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0.2</w:t>
                  </w:r>
                </w:p>
              </w:tc>
              <w:tc>
                <w:tcPr>
                  <w:tcW w:w="585" w:type="pct"/>
                  <w:tcBorders>
                    <w:tl2br w:val="nil"/>
                    <w:tr2bl w:val="nil"/>
                  </w:tcBorders>
                  <w:noWrap w:val="0"/>
                  <w:vAlign w:val="center"/>
                </w:tcPr>
                <w:p w14:paraId="0959DBD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新建</w:t>
                  </w:r>
                </w:p>
              </w:tc>
            </w:tr>
            <w:tr w14:paraId="12B0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8" w:type="pct"/>
                  <w:vMerge w:val="continue"/>
                  <w:tcBorders>
                    <w:tl2br w:val="nil"/>
                    <w:tr2bl w:val="nil"/>
                  </w:tcBorders>
                  <w:noWrap w:val="0"/>
                  <w:vAlign w:val="center"/>
                </w:tcPr>
                <w:p w14:paraId="37202B2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p>
              </w:tc>
              <w:tc>
                <w:tcPr>
                  <w:tcW w:w="441" w:type="pct"/>
                  <w:tcBorders>
                    <w:tl2br w:val="nil"/>
                    <w:tr2bl w:val="nil"/>
                  </w:tcBorders>
                  <w:noWrap w:val="0"/>
                  <w:vAlign w:val="center"/>
                </w:tcPr>
                <w:p w14:paraId="0F0746C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bCs/>
                      <w:color w:val="auto"/>
                      <w:sz w:val="21"/>
                      <w:szCs w:val="21"/>
                      <w:highlight w:val="none"/>
                    </w:rPr>
                    <w:t>噪声</w:t>
                  </w:r>
                </w:p>
              </w:tc>
              <w:tc>
                <w:tcPr>
                  <w:tcW w:w="840" w:type="pct"/>
                  <w:tcBorders>
                    <w:tl2br w:val="nil"/>
                    <w:tr2bl w:val="nil"/>
                  </w:tcBorders>
                  <w:noWrap w:val="0"/>
                  <w:vAlign w:val="center"/>
                </w:tcPr>
                <w:p w14:paraId="0B51994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bCs/>
                      <w:color w:val="auto"/>
                      <w:sz w:val="21"/>
                      <w:szCs w:val="21"/>
                      <w:highlight w:val="none"/>
                    </w:rPr>
                    <w:t>施工机械设备</w:t>
                  </w:r>
                </w:p>
              </w:tc>
              <w:tc>
                <w:tcPr>
                  <w:tcW w:w="2196" w:type="pct"/>
                  <w:tcBorders>
                    <w:tl2br w:val="nil"/>
                    <w:tr2bl w:val="nil"/>
                  </w:tcBorders>
                  <w:noWrap w:val="0"/>
                  <w:vAlign w:val="center"/>
                </w:tcPr>
                <w:p w14:paraId="5A591E1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bCs/>
                      <w:color w:val="auto"/>
                      <w:sz w:val="21"/>
                      <w:szCs w:val="21"/>
                      <w:highlight w:val="none"/>
                    </w:rPr>
                    <w:t>减振降噪、加强对施工机械的保养、维护和管理等方面来降低噪声源声压级</w:t>
                  </w:r>
                </w:p>
              </w:tc>
              <w:tc>
                <w:tcPr>
                  <w:tcW w:w="688" w:type="pct"/>
                  <w:tcBorders>
                    <w:tl2br w:val="nil"/>
                    <w:tr2bl w:val="nil"/>
                  </w:tcBorders>
                  <w:noWrap w:val="0"/>
                  <w:vAlign w:val="center"/>
                </w:tcPr>
                <w:p w14:paraId="0D47F66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0.5</w:t>
                  </w:r>
                </w:p>
              </w:tc>
              <w:tc>
                <w:tcPr>
                  <w:tcW w:w="585" w:type="pct"/>
                  <w:tcBorders>
                    <w:tl2br w:val="nil"/>
                    <w:tr2bl w:val="nil"/>
                  </w:tcBorders>
                  <w:noWrap w:val="0"/>
                  <w:vAlign w:val="center"/>
                </w:tcPr>
                <w:p w14:paraId="1EAF6CB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新建</w:t>
                  </w:r>
                </w:p>
              </w:tc>
            </w:tr>
            <w:tr w14:paraId="31121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8" w:type="pct"/>
                  <w:vMerge w:val="continue"/>
                  <w:tcBorders>
                    <w:tl2br w:val="nil"/>
                    <w:tr2bl w:val="nil"/>
                  </w:tcBorders>
                  <w:noWrap w:val="0"/>
                  <w:vAlign w:val="center"/>
                </w:tcPr>
                <w:p w14:paraId="08E6CD3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p>
              </w:tc>
              <w:tc>
                <w:tcPr>
                  <w:tcW w:w="441" w:type="pct"/>
                  <w:tcBorders>
                    <w:tl2br w:val="nil"/>
                    <w:tr2bl w:val="nil"/>
                  </w:tcBorders>
                  <w:noWrap w:val="0"/>
                  <w:vAlign w:val="center"/>
                </w:tcPr>
                <w:p w14:paraId="504D5C6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固废</w:t>
                  </w:r>
                </w:p>
              </w:tc>
              <w:tc>
                <w:tcPr>
                  <w:tcW w:w="840" w:type="pct"/>
                  <w:tcBorders>
                    <w:tl2br w:val="nil"/>
                    <w:tr2bl w:val="nil"/>
                  </w:tcBorders>
                  <w:noWrap w:val="0"/>
                  <w:vAlign w:val="center"/>
                </w:tcPr>
                <w:p w14:paraId="1F2B222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施工垃圾</w:t>
                  </w:r>
                </w:p>
              </w:tc>
              <w:tc>
                <w:tcPr>
                  <w:tcW w:w="2196" w:type="pct"/>
                  <w:tcBorders>
                    <w:tl2br w:val="nil"/>
                    <w:tr2bl w:val="nil"/>
                  </w:tcBorders>
                  <w:noWrap w:val="0"/>
                  <w:vAlign w:val="center"/>
                </w:tcPr>
                <w:p w14:paraId="4EA89E9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施工垃圾清运处置</w:t>
                  </w:r>
                </w:p>
              </w:tc>
              <w:tc>
                <w:tcPr>
                  <w:tcW w:w="688" w:type="pct"/>
                  <w:tcBorders>
                    <w:tl2br w:val="nil"/>
                    <w:tr2bl w:val="nil"/>
                  </w:tcBorders>
                  <w:noWrap w:val="0"/>
                  <w:vAlign w:val="center"/>
                </w:tcPr>
                <w:p w14:paraId="46A762D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r>
                    <w:rPr>
                      <w:rFonts w:hint="eastAsia" w:ascii="Times New Roman" w:hAnsi="Times New Roman" w:cs="Times New Roman"/>
                      <w:color w:val="auto"/>
                      <w:sz w:val="21"/>
                      <w:szCs w:val="21"/>
                      <w:highlight w:val="none"/>
                      <w:lang w:val="en-US" w:eastAsia="zh-CN"/>
                    </w:rPr>
                    <w:t>5</w:t>
                  </w:r>
                </w:p>
              </w:tc>
              <w:tc>
                <w:tcPr>
                  <w:tcW w:w="585" w:type="pct"/>
                  <w:tcBorders>
                    <w:tl2br w:val="nil"/>
                    <w:tr2bl w:val="nil"/>
                  </w:tcBorders>
                  <w:noWrap w:val="0"/>
                  <w:vAlign w:val="center"/>
                </w:tcPr>
                <w:p w14:paraId="2AF107E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新建</w:t>
                  </w:r>
                </w:p>
              </w:tc>
            </w:tr>
            <w:tr w14:paraId="24940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8" w:type="pct"/>
                  <w:vMerge w:val="continue"/>
                  <w:tcBorders>
                    <w:tl2br w:val="nil"/>
                    <w:tr2bl w:val="nil"/>
                  </w:tcBorders>
                  <w:noWrap w:val="0"/>
                  <w:vAlign w:val="center"/>
                </w:tcPr>
                <w:p w14:paraId="71E1C56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p>
              </w:tc>
              <w:tc>
                <w:tcPr>
                  <w:tcW w:w="3477" w:type="pct"/>
                  <w:gridSpan w:val="3"/>
                  <w:tcBorders>
                    <w:tl2br w:val="nil"/>
                    <w:tr2bl w:val="nil"/>
                  </w:tcBorders>
                  <w:noWrap w:val="0"/>
                  <w:vAlign w:val="center"/>
                </w:tcPr>
                <w:p w14:paraId="47CE5AE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val="0"/>
                      <w:color w:val="auto"/>
                      <w:sz w:val="21"/>
                      <w:szCs w:val="21"/>
                      <w:highlight w:val="none"/>
                      <w:lang w:eastAsia="zh-CN"/>
                    </w:rPr>
                  </w:pPr>
                  <w:r>
                    <w:rPr>
                      <w:rFonts w:hint="default" w:ascii="Times New Roman" w:hAnsi="Times New Roman" w:cs="Times New Roman"/>
                      <w:b/>
                      <w:bCs w:val="0"/>
                      <w:color w:val="auto"/>
                      <w:sz w:val="21"/>
                      <w:szCs w:val="21"/>
                      <w:highlight w:val="none"/>
                      <w:lang w:val="en-US" w:eastAsia="zh-CN"/>
                    </w:rPr>
                    <w:t>小</w:t>
                  </w:r>
                  <w:r>
                    <w:rPr>
                      <w:rFonts w:hint="default" w:ascii="Times New Roman" w:hAnsi="Times New Roman" w:cs="Times New Roman"/>
                      <w:b/>
                      <w:bCs w:val="0"/>
                      <w:color w:val="auto"/>
                      <w:sz w:val="21"/>
                      <w:szCs w:val="21"/>
                      <w:highlight w:val="none"/>
                      <w:lang w:eastAsia="zh-CN"/>
                    </w:rPr>
                    <w:t>计</w:t>
                  </w:r>
                </w:p>
              </w:tc>
              <w:tc>
                <w:tcPr>
                  <w:tcW w:w="688" w:type="pct"/>
                  <w:tcBorders>
                    <w:tl2br w:val="nil"/>
                    <w:tr2bl w:val="nil"/>
                  </w:tcBorders>
                  <w:noWrap w:val="0"/>
                  <w:vAlign w:val="center"/>
                </w:tcPr>
                <w:p w14:paraId="061C90F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val="0"/>
                      <w:color w:val="auto"/>
                      <w:sz w:val="21"/>
                      <w:szCs w:val="21"/>
                      <w:highlight w:val="none"/>
                      <w:lang w:val="en-US" w:eastAsia="zh-CN"/>
                    </w:rPr>
                  </w:pPr>
                  <w:r>
                    <w:rPr>
                      <w:rFonts w:hint="eastAsia" w:ascii="Times New Roman" w:hAnsi="Times New Roman" w:cs="Times New Roman"/>
                      <w:b/>
                      <w:bCs w:val="0"/>
                      <w:color w:val="auto"/>
                      <w:sz w:val="21"/>
                      <w:szCs w:val="21"/>
                      <w:highlight w:val="none"/>
                      <w:lang w:val="en-US" w:eastAsia="zh-CN"/>
                    </w:rPr>
                    <w:t>1.2</w:t>
                  </w:r>
                </w:p>
              </w:tc>
              <w:tc>
                <w:tcPr>
                  <w:tcW w:w="585" w:type="pct"/>
                  <w:tcBorders>
                    <w:tl2br w:val="nil"/>
                    <w:tr2bl w:val="nil"/>
                  </w:tcBorders>
                  <w:noWrap w:val="0"/>
                  <w:vAlign w:val="center"/>
                </w:tcPr>
                <w:p w14:paraId="2C50486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p>
              </w:tc>
            </w:tr>
            <w:tr w14:paraId="1D67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8" w:type="pct"/>
                  <w:vMerge w:val="restart"/>
                  <w:tcBorders>
                    <w:tl2br w:val="nil"/>
                    <w:tr2bl w:val="nil"/>
                  </w:tcBorders>
                  <w:noWrap w:val="0"/>
                  <w:vAlign w:val="center"/>
                </w:tcPr>
                <w:p w14:paraId="040F0C4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运营期</w:t>
                  </w:r>
                </w:p>
              </w:tc>
              <w:tc>
                <w:tcPr>
                  <w:tcW w:w="441" w:type="pct"/>
                  <w:vMerge w:val="restart"/>
                  <w:tcBorders>
                    <w:tl2br w:val="nil"/>
                    <w:tr2bl w:val="nil"/>
                  </w:tcBorders>
                  <w:noWrap w:val="0"/>
                  <w:vAlign w:val="center"/>
                </w:tcPr>
                <w:p w14:paraId="3904569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废气</w:t>
                  </w:r>
                </w:p>
              </w:tc>
              <w:tc>
                <w:tcPr>
                  <w:tcW w:w="840" w:type="pct"/>
                  <w:vMerge w:val="restart"/>
                  <w:tcBorders>
                    <w:tl2br w:val="nil"/>
                    <w:tr2bl w:val="nil"/>
                  </w:tcBorders>
                  <w:noWrap w:val="0"/>
                  <w:vAlign w:val="center"/>
                </w:tcPr>
                <w:p w14:paraId="4AC1E43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焊接烟尘</w:t>
                  </w:r>
                </w:p>
              </w:tc>
              <w:tc>
                <w:tcPr>
                  <w:tcW w:w="2196" w:type="pct"/>
                  <w:tcBorders>
                    <w:tl2br w:val="nil"/>
                    <w:tr2bl w:val="nil"/>
                  </w:tcBorders>
                  <w:noWrap w:val="0"/>
                  <w:vAlign w:val="center"/>
                </w:tcPr>
                <w:p w14:paraId="66897D2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1#、2#、3#、4#高频焊管生产线焊接</w:t>
                  </w:r>
                  <w:r>
                    <w:rPr>
                      <w:rFonts w:hint="eastAsia" w:cs="Times New Roman"/>
                      <w:bCs/>
                      <w:color w:val="auto"/>
                      <w:sz w:val="21"/>
                      <w:szCs w:val="21"/>
                      <w:highlight w:val="none"/>
                      <w:lang w:val="en-US" w:eastAsia="zh-CN"/>
                    </w:rPr>
                    <w:t>、补锌</w:t>
                  </w:r>
                  <w:r>
                    <w:rPr>
                      <w:rFonts w:hint="eastAsia" w:ascii="Times New Roman" w:hAnsi="Times New Roman" w:cs="Times New Roman"/>
                      <w:bCs/>
                      <w:color w:val="auto"/>
                      <w:sz w:val="21"/>
                      <w:szCs w:val="21"/>
                      <w:highlight w:val="none"/>
                      <w:lang w:val="en-US" w:eastAsia="zh-CN"/>
                    </w:rPr>
                    <w:t>烟尘采用</w:t>
                  </w:r>
                  <w:r>
                    <w:rPr>
                      <w:rFonts w:hint="default" w:ascii="Times New Roman" w:hAnsi="Times New Roman" w:eastAsia="宋体" w:cs="Times New Roman"/>
                      <w:bCs/>
                      <w:color w:val="auto"/>
                      <w:sz w:val="21"/>
                      <w:szCs w:val="21"/>
                      <w:highlight w:val="none"/>
                      <w:lang w:val="en-US" w:eastAsia="zh-CN"/>
                    </w:rPr>
                    <w:t>集气罩（</w:t>
                  </w:r>
                  <w:r>
                    <w:rPr>
                      <w:rFonts w:hint="eastAsia" w:ascii="Times New Roman" w:hAnsi="Times New Roman" w:cs="Times New Roman"/>
                      <w:bCs/>
                      <w:color w:val="auto"/>
                      <w:sz w:val="21"/>
                      <w:szCs w:val="21"/>
                      <w:highlight w:val="none"/>
                      <w:lang w:val="en-US" w:eastAsia="zh-CN"/>
                    </w:rPr>
                    <w:t>4</w:t>
                  </w:r>
                  <w:r>
                    <w:rPr>
                      <w:rFonts w:hint="default" w:ascii="Times New Roman" w:hAnsi="Times New Roman" w:eastAsia="宋体" w:cs="Times New Roman"/>
                      <w:bCs/>
                      <w:color w:val="auto"/>
                      <w:sz w:val="21"/>
                      <w:szCs w:val="21"/>
                      <w:highlight w:val="none"/>
                      <w:lang w:val="en-US" w:eastAsia="zh-CN"/>
                    </w:rPr>
                    <w:t>个）+布袋除尘器</w:t>
                  </w:r>
                  <w:r>
                    <w:rPr>
                      <w:rFonts w:hint="eastAsia" w:cs="Times New Roman"/>
                      <w:bCs/>
                      <w:color w:val="auto"/>
                      <w:sz w:val="21"/>
                      <w:szCs w:val="21"/>
                      <w:highlight w:val="none"/>
                      <w:lang w:val="en-US" w:eastAsia="zh-CN"/>
                    </w:rPr>
                    <w:t>（TA001）</w:t>
                  </w:r>
                  <w:r>
                    <w:rPr>
                      <w:rFonts w:hint="default" w:ascii="Times New Roman" w:hAnsi="Times New Roman" w:eastAsia="宋体" w:cs="Times New Roman"/>
                      <w:bCs/>
                      <w:color w:val="auto"/>
                      <w:sz w:val="21"/>
                      <w:szCs w:val="21"/>
                      <w:highlight w:val="none"/>
                      <w:lang w:val="en-US" w:eastAsia="zh-CN"/>
                    </w:rPr>
                    <w:t>+15m高排气筒（DA001）排放</w:t>
                  </w:r>
                </w:p>
              </w:tc>
              <w:tc>
                <w:tcPr>
                  <w:tcW w:w="688" w:type="pct"/>
                  <w:tcBorders>
                    <w:tl2br w:val="nil"/>
                    <w:tr2bl w:val="nil"/>
                  </w:tcBorders>
                  <w:noWrap w:val="0"/>
                  <w:vAlign w:val="center"/>
                </w:tcPr>
                <w:p w14:paraId="63B98A5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15</w:t>
                  </w:r>
                </w:p>
              </w:tc>
              <w:tc>
                <w:tcPr>
                  <w:tcW w:w="585" w:type="pct"/>
                  <w:tcBorders>
                    <w:tl2br w:val="nil"/>
                    <w:tr2bl w:val="nil"/>
                  </w:tcBorders>
                  <w:noWrap w:val="0"/>
                  <w:vAlign w:val="center"/>
                </w:tcPr>
                <w:p w14:paraId="026DCA4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新建</w:t>
                  </w:r>
                </w:p>
              </w:tc>
            </w:tr>
            <w:tr w14:paraId="3C2A5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8" w:type="pct"/>
                  <w:vMerge w:val="continue"/>
                  <w:tcBorders>
                    <w:tl2br w:val="nil"/>
                    <w:tr2bl w:val="nil"/>
                  </w:tcBorders>
                  <w:noWrap w:val="0"/>
                  <w:vAlign w:val="center"/>
                </w:tcPr>
                <w:p w14:paraId="18D99E6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lang w:eastAsia="zh-CN"/>
                    </w:rPr>
                  </w:pPr>
                </w:p>
              </w:tc>
              <w:tc>
                <w:tcPr>
                  <w:tcW w:w="441" w:type="pct"/>
                  <w:vMerge w:val="continue"/>
                  <w:tcBorders>
                    <w:tl2br w:val="nil"/>
                    <w:tr2bl w:val="nil"/>
                  </w:tcBorders>
                  <w:noWrap w:val="0"/>
                  <w:vAlign w:val="center"/>
                </w:tcPr>
                <w:p w14:paraId="0D92122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highlight w:val="none"/>
                    </w:rPr>
                  </w:pPr>
                </w:p>
              </w:tc>
              <w:tc>
                <w:tcPr>
                  <w:tcW w:w="840" w:type="pct"/>
                  <w:vMerge w:val="continue"/>
                  <w:tcBorders>
                    <w:tl2br w:val="nil"/>
                    <w:tr2bl w:val="nil"/>
                  </w:tcBorders>
                  <w:noWrap w:val="0"/>
                  <w:vAlign w:val="center"/>
                </w:tcPr>
                <w:p w14:paraId="1204CE1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Cs/>
                      <w:color w:val="auto"/>
                      <w:kern w:val="2"/>
                      <w:sz w:val="21"/>
                      <w:szCs w:val="21"/>
                      <w:highlight w:val="none"/>
                      <w:lang w:val="en-US" w:eastAsia="zh-CN" w:bidi="ar-SA"/>
                    </w:rPr>
                  </w:pPr>
                </w:p>
              </w:tc>
              <w:tc>
                <w:tcPr>
                  <w:tcW w:w="2196" w:type="pct"/>
                  <w:tcBorders>
                    <w:tl2br w:val="nil"/>
                    <w:tr2bl w:val="nil"/>
                  </w:tcBorders>
                  <w:noWrap w:val="0"/>
                  <w:vAlign w:val="center"/>
                </w:tcPr>
                <w:p w14:paraId="2E4E657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5#、6#、7#、8#高频焊管生产线焊接</w:t>
                  </w:r>
                  <w:r>
                    <w:rPr>
                      <w:rFonts w:hint="eastAsia" w:cs="Times New Roman"/>
                      <w:bCs/>
                      <w:color w:val="auto"/>
                      <w:sz w:val="21"/>
                      <w:szCs w:val="21"/>
                      <w:highlight w:val="none"/>
                      <w:lang w:val="en-US" w:eastAsia="zh-CN"/>
                    </w:rPr>
                    <w:t>、补锌</w:t>
                  </w:r>
                  <w:r>
                    <w:rPr>
                      <w:rFonts w:hint="eastAsia" w:ascii="Times New Roman" w:hAnsi="Times New Roman" w:cs="Times New Roman"/>
                      <w:bCs/>
                      <w:color w:val="auto"/>
                      <w:sz w:val="21"/>
                      <w:szCs w:val="21"/>
                      <w:highlight w:val="none"/>
                      <w:lang w:val="en-US" w:eastAsia="zh-CN"/>
                    </w:rPr>
                    <w:t>烟尘采用</w:t>
                  </w:r>
                  <w:r>
                    <w:rPr>
                      <w:rFonts w:hint="default" w:ascii="Times New Roman" w:hAnsi="Times New Roman" w:eastAsia="宋体" w:cs="Times New Roman"/>
                      <w:bCs/>
                      <w:color w:val="auto"/>
                      <w:sz w:val="21"/>
                      <w:szCs w:val="21"/>
                      <w:highlight w:val="none"/>
                      <w:lang w:val="en-US" w:eastAsia="zh-CN"/>
                    </w:rPr>
                    <w:t>集气罩（</w:t>
                  </w:r>
                  <w:r>
                    <w:rPr>
                      <w:rFonts w:hint="eastAsia" w:ascii="Times New Roman" w:hAnsi="Times New Roman" w:cs="Times New Roman"/>
                      <w:bCs/>
                      <w:color w:val="auto"/>
                      <w:sz w:val="21"/>
                      <w:szCs w:val="21"/>
                      <w:highlight w:val="none"/>
                      <w:lang w:val="en-US" w:eastAsia="zh-CN"/>
                    </w:rPr>
                    <w:t>4</w:t>
                  </w:r>
                  <w:r>
                    <w:rPr>
                      <w:rFonts w:hint="default" w:ascii="Times New Roman" w:hAnsi="Times New Roman" w:eastAsia="宋体" w:cs="Times New Roman"/>
                      <w:bCs/>
                      <w:color w:val="auto"/>
                      <w:sz w:val="21"/>
                      <w:szCs w:val="21"/>
                      <w:highlight w:val="none"/>
                      <w:lang w:val="en-US" w:eastAsia="zh-CN"/>
                    </w:rPr>
                    <w:t>个）+布袋除尘器</w:t>
                  </w:r>
                  <w:r>
                    <w:rPr>
                      <w:rFonts w:hint="eastAsia" w:cs="Times New Roman"/>
                      <w:bCs/>
                      <w:color w:val="auto"/>
                      <w:sz w:val="21"/>
                      <w:szCs w:val="21"/>
                      <w:highlight w:val="none"/>
                      <w:lang w:val="en-US" w:eastAsia="zh-CN"/>
                    </w:rPr>
                    <w:t>（TA002）</w:t>
                  </w:r>
                  <w:r>
                    <w:rPr>
                      <w:rFonts w:hint="default" w:ascii="Times New Roman" w:hAnsi="Times New Roman" w:eastAsia="宋体" w:cs="Times New Roman"/>
                      <w:bCs/>
                      <w:color w:val="auto"/>
                      <w:sz w:val="21"/>
                      <w:szCs w:val="21"/>
                      <w:highlight w:val="none"/>
                      <w:lang w:val="en-US" w:eastAsia="zh-CN"/>
                    </w:rPr>
                    <w:t>+15m高排气筒（DA002）排放</w:t>
                  </w:r>
                </w:p>
              </w:tc>
              <w:tc>
                <w:tcPr>
                  <w:tcW w:w="688" w:type="pct"/>
                  <w:tcBorders>
                    <w:tl2br w:val="nil"/>
                    <w:tr2bl w:val="nil"/>
                  </w:tcBorders>
                  <w:noWrap w:val="0"/>
                  <w:vAlign w:val="center"/>
                </w:tcPr>
                <w:p w14:paraId="13C9CC9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15</w:t>
                  </w:r>
                </w:p>
              </w:tc>
              <w:tc>
                <w:tcPr>
                  <w:tcW w:w="585" w:type="pct"/>
                  <w:tcBorders>
                    <w:tl2br w:val="nil"/>
                    <w:tr2bl w:val="nil"/>
                  </w:tcBorders>
                  <w:noWrap w:val="0"/>
                  <w:vAlign w:val="center"/>
                </w:tcPr>
                <w:p w14:paraId="7251B7D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新建</w:t>
                  </w:r>
                </w:p>
              </w:tc>
            </w:tr>
            <w:tr w14:paraId="6D22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8" w:type="pct"/>
                  <w:vMerge w:val="continue"/>
                  <w:tcBorders>
                    <w:tl2br w:val="nil"/>
                    <w:tr2bl w:val="nil"/>
                  </w:tcBorders>
                  <w:noWrap w:val="0"/>
                  <w:vAlign w:val="center"/>
                </w:tcPr>
                <w:p w14:paraId="4A4E013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p>
              </w:tc>
              <w:tc>
                <w:tcPr>
                  <w:tcW w:w="441" w:type="pct"/>
                  <w:vMerge w:val="restart"/>
                  <w:tcBorders>
                    <w:tl2br w:val="nil"/>
                    <w:tr2bl w:val="nil"/>
                  </w:tcBorders>
                  <w:noWrap w:val="0"/>
                  <w:vAlign w:val="center"/>
                </w:tcPr>
                <w:p w14:paraId="5F82476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highlight w:val="none"/>
                      <w:lang w:eastAsia="zh-CN"/>
                    </w:rPr>
                    <w:t>废水</w:t>
                  </w:r>
                </w:p>
              </w:tc>
              <w:tc>
                <w:tcPr>
                  <w:tcW w:w="840" w:type="pct"/>
                  <w:vMerge w:val="restart"/>
                  <w:tcBorders>
                    <w:tl2br w:val="nil"/>
                    <w:tr2bl w:val="nil"/>
                  </w:tcBorders>
                  <w:noWrap w:val="0"/>
                  <w:vAlign w:val="center"/>
                </w:tcPr>
                <w:p w14:paraId="13DE081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highlight w:val="none"/>
                      <w:lang w:eastAsia="zh-CN"/>
                    </w:rPr>
                    <w:t>生活污水</w:t>
                  </w:r>
                </w:p>
              </w:tc>
              <w:tc>
                <w:tcPr>
                  <w:tcW w:w="2196" w:type="pct"/>
                  <w:tcBorders>
                    <w:tl2br w:val="nil"/>
                    <w:tr2bl w:val="nil"/>
                  </w:tcBorders>
                  <w:noWrap w:val="0"/>
                  <w:vAlign w:val="center"/>
                </w:tcPr>
                <w:p w14:paraId="6B68774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1个化粪池（</w:t>
                  </w:r>
                  <w:r>
                    <w:rPr>
                      <w:rFonts w:hint="eastAsia" w:cs="Times New Roman"/>
                      <w:bCs/>
                      <w:color w:val="auto"/>
                      <w:sz w:val="21"/>
                      <w:szCs w:val="21"/>
                      <w:highlight w:val="none"/>
                      <w:lang w:val="en-US" w:eastAsia="zh-CN"/>
                    </w:rPr>
                    <w:t>TW001，</w:t>
                  </w:r>
                  <w:r>
                    <w:rPr>
                      <w:rFonts w:hint="default" w:ascii="Times New Roman" w:hAnsi="Times New Roman" w:eastAsia="宋体" w:cs="Times New Roman"/>
                      <w:bCs/>
                      <w:color w:val="auto"/>
                      <w:sz w:val="21"/>
                      <w:szCs w:val="21"/>
                      <w:highlight w:val="none"/>
                      <w:lang w:val="en-US" w:eastAsia="zh-CN"/>
                    </w:rPr>
                    <w:t>容积为</w:t>
                  </w:r>
                  <w:r>
                    <w:rPr>
                      <w:rFonts w:hint="eastAsia" w:cs="Times New Roman"/>
                      <w:bCs/>
                      <w:color w:val="auto"/>
                      <w:sz w:val="21"/>
                      <w:szCs w:val="21"/>
                      <w:highlight w:val="none"/>
                      <w:lang w:val="en-US" w:eastAsia="zh-CN"/>
                    </w:rPr>
                    <w:t>3</w:t>
                  </w:r>
                  <w:r>
                    <w:rPr>
                      <w:rFonts w:hint="default" w:ascii="Times New Roman" w:hAnsi="Times New Roman" w:eastAsia="宋体" w:cs="Times New Roman"/>
                      <w:bCs/>
                      <w:color w:val="auto"/>
                      <w:sz w:val="21"/>
                      <w:szCs w:val="21"/>
                      <w:highlight w:val="none"/>
                      <w:lang w:val="en-US" w:eastAsia="zh-CN"/>
                    </w:rPr>
                    <w:t>m</w:t>
                  </w:r>
                  <w:r>
                    <w:rPr>
                      <w:rFonts w:hint="default" w:ascii="Times New Roman" w:hAnsi="Times New Roman" w:eastAsia="宋体" w:cs="Times New Roman"/>
                      <w:bCs/>
                      <w:color w:val="auto"/>
                      <w:sz w:val="21"/>
                      <w:szCs w:val="21"/>
                      <w:highlight w:val="none"/>
                      <w:vertAlign w:val="superscript"/>
                      <w:lang w:val="en-US" w:eastAsia="zh-CN"/>
                    </w:rPr>
                    <w:t>3</w:t>
                  </w:r>
                  <w:r>
                    <w:rPr>
                      <w:rFonts w:hint="default" w:ascii="Times New Roman" w:hAnsi="Times New Roman" w:eastAsia="宋体" w:cs="Times New Roman"/>
                      <w:bCs/>
                      <w:color w:val="auto"/>
                      <w:sz w:val="21"/>
                      <w:szCs w:val="21"/>
                      <w:highlight w:val="none"/>
                      <w:lang w:val="en-US" w:eastAsia="zh-CN"/>
                    </w:rPr>
                    <w:t>）</w:t>
                  </w:r>
                </w:p>
              </w:tc>
              <w:tc>
                <w:tcPr>
                  <w:tcW w:w="688" w:type="pct"/>
                  <w:tcBorders>
                    <w:tl2br w:val="nil"/>
                    <w:tr2bl w:val="nil"/>
                  </w:tcBorders>
                  <w:noWrap w:val="0"/>
                  <w:vAlign w:val="center"/>
                </w:tcPr>
                <w:p w14:paraId="1C5BDE2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p>
              </w:tc>
              <w:tc>
                <w:tcPr>
                  <w:tcW w:w="585" w:type="pct"/>
                  <w:tcBorders>
                    <w:tl2br w:val="nil"/>
                    <w:tr2bl w:val="nil"/>
                  </w:tcBorders>
                  <w:noWrap w:val="0"/>
                  <w:vAlign w:val="center"/>
                </w:tcPr>
                <w:p w14:paraId="3239EA7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依托已建</w:t>
                  </w:r>
                </w:p>
              </w:tc>
            </w:tr>
            <w:tr w14:paraId="2B49F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8" w:type="pct"/>
                  <w:vMerge w:val="continue"/>
                  <w:tcBorders>
                    <w:tl2br w:val="nil"/>
                    <w:tr2bl w:val="nil"/>
                  </w:tcBorders>
                  <w:noWrap w:val="0"/>
                  <w:vAlign w:val="center"/>
                </w:tcPr>
                <w:p w14:paraId="5A5129B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p>
              </w:tc>
              <w:tc>
                <w:tcPr>
                  <w:tcW w:w="441" w:type="pct"/>
                  <w:vMerge w:val="continue"/>
                  <w:tcBorders>
                    <w:tl2br w:val="nil"/>
                    <w:tr2bl w:val="nil"/>
                  </w:tcBorders>
                  <w:noWrap w:val="0"/>
                  <w:vAlign w:val="center"/>
                </w:tcPr>
                <w:p w14:paraId="16259C4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highlight w:val="none"/>
                      <w:lang w:eastAsia="zh-CN"/>
                    </w:rPr>
                  </w:pPr>
                </w:p>
              </w:tc>
              <w:tc>
                <w:tcPr>
                  <w:tcW w:w="840" w:type="pct"/>
                  <w:vMerge w:val="continue"/>
                  <w:tcBorders>
                    <w:tl2br w:val="nil"/>
                    <w:tr2bl w:val="nil"/>
                  </w:tcBorders>
                  <w:noWrap w:val="0"/>
                  <w:vAlign w:val="center"/>
                </w:tcPr>
                <w:p w14:paraId="6C1073D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highlight w:val="none"/>
                      <w:lang w:eastAsia="zh-CN"/>
                    </w:rPr>
                  </w:pPr>
                </w:p>
              </w:tc>
              <w:tc>
                <w:tcPr>
                  <w:tcW w:w="2196" w:type="pct"/>
                  <w:tcBorders>
                    <w:tl2br w:val="nil"/>
                    <w:tr2bl w:val="nil"/>
                  </w:tcBorders>
                  <w:noWrap w:val="0"/>
                  <w:vAlign w:val="center"/>
                </w:tcPr>
                <w:p w14:paraId="0A55626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1个中水池（TW002，容积为7m</w:t>
                  </w:r>
                  <w:r>
                    <w:rPr>
                      <w:rFonts w:hint="eastAsia" w:cs="Times New Roman"/>
                      <w:bCs/>
                      <w:color w:val="auto"/>
                      <w:sz w:val="21"/>
                      <w:szCs w:val="21"/>
                      <w:highlight w:val="none"/>
                      <w:vertAlign w:val="superscript"/>
                      <w:lang w:val="en-US" w:eastAsia="zh-CN"/>
                    </w:rPr>
                    <w:t>3</w:t>
                  </w:r>
                  <w:r>
                    <w:rPr>
                      <w:rFonts w:hint="eastAsia" w:cs="Times New Roman"/>
                      <w:bCs/>
                      <w:color w:val="auto"/>
                      <w:sz w:val="21"/>
                      <w:szCs w:val="21"/>
                      <w:highlight w:val="none"/>
                      <w:lang w:val="en-US" w:eastAsia="zh-CN"/>
                    </w:rPr>
                    <w:t>）</w:t>
                  </w:r>
                </w:p>
              </w:tc>
              <w:tc>
                <w:tcPr>
                  <w:tcW w:w="688" w:type="pct"/>
                  <w:tcBorders>
                    <w:tl2br w:val="nil"/>
                    <w:tr2bl w:val="nil"/>
                  </w:tcBorders>
                  <w:noWrap w:val="0"/>
                  <w:vAlign w:val="center"/>
                </w:tcPr>
                <w:p w14:paraId="549B6EC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0.8</w:t>
                  </w:r>
                </w:p>
              </w:tc>
              <w:tc>
                <w:tcPr>
                  <w:tcW w:w="585" w:type="pct"/>
                  <w:tcBorders>
                    <w:tl2br w:val="nil"/>
                    <w:tr2bl w:val="nil"/>
                  </w:tcBorders>
                  <w:noWrap w:val="0"/>
                  <w:vAlign w:val="center"/>
                </w:tcPr>
                <w:p w14:paraId="1C069AE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r>
            <w:tr w14:paraId="42E2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8" w:type="pct"/>
                  <w:vMerge w:val="continue"/>
                  <w:tcBorders>
                    <w:tl2br w:val="nil"/>
                    <w:tr2bl w:val="nil"/>
                  </w:tcBorders>
                  <w:noWrap w:val="0"/>
                  <w:vAlign w:val="center"/>
                </w:tcPr>
                <w:p w14:paraId="69CC806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p>
              </w:tc>
              <w:tc>
                <w:tcPr>
                  <w:tcW w:w="441" w:type="pct"/>
                  <w:vMerge w:val="continue"/>
                  <w:tcBorders>
                    <w:tl2br w:val="nil"/>
                    <w:tr2bl w:val="nil"/>
                  </w:tcBorders>
                  <w:noWrap w:val="0"/>
                  <w:vAlign w:val="center"/>
                </w:tcPr>
                <w:p w14:paraId="2A01381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highlight w:val="none"/>
                      <w:lang w:eastAsia="zh-CN"/>
                    </w:rPr>
                  </w:pPr>
                </w:p>
              </w:tc>
              <w:tc>
                <w:tcPr>
                  <w:tcW w:w="840" w:type="pct"/>
                  <w:vMerge w:val="continue"/>
                  <w:tcBorders>
                    <w:tl2br w:val="nil"/>
                    <w:tr2bl w:val="nil"/>
                  </w:tcBorders>
                  <w:noWrap w:val="0"/>
                  <w:vAlign w:val="center"/>
                </w:tcPr>
                <w:p w14:paraId="23EBC78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highlight w:val="none"/>
                      <w:lang w:eastAsia="zh-CN"/>
                    </w:rPr>
                  </w:pPr>
                </w:p>
              </w:tc>
              <w:tc>
                <w:tcPr>
                  <w:tcW w:w="2196" w:type="pct"/>
                  <w:tcBorders>
                    <w:tl2br w:val="nil"/>
                    <w:tr2bl w:val="nil"/>
                  </w:tcBorders>
                  <w:noWrap w:val="0"/>
                  <w:vAlign w:val="center"/>
                </w:tcPr>
                <w:p w14:paraId="357D0E6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1套处理规模为</w:t>
                  </w:r>
                  <w:r>
                    <w:rPr>
                      <w:rFonts w:hint="eastAsia" w:ascii="Times New Roman" w:hAnsi="Times New Roman" w:cs="Times New Roman"/>
                      <w:bCs/>
                      <w:color w:val="auto"/>
                      <w:sz w:val="21"/>
                      <w:szCs w:val="21"/>
                      <w:highlight w:val="none"/>
                      <w:lang w:val="en-US" w:eastAsia="zh-CN"/>
                    </w:rPr>
                    <w:t>2</w:t>
                  </w:r>
                  <w:r>
                    <w:rPr>
                      <w:rFonts w:hint="default" w:ascii="Times New Roman" w:hAnsi="Times New Roman" w:cs="Times New Roman"/>
                      <w:bCs/>
                      <w:color w:val="auto"/>
                      <w:sz w:val="21"/>
                      <w:szCs w:val="21"/>
                      <w:highlight w:val="none"/>
                      <w:lang w:val="en-US" w:eastAsia="zh-CN"/>
                    </w:rPr>
                    <w:t>m</w:t>
                  </w:r>
                  <w:r>
                    <w:rPr>
                      <w:rFonts w:hint="default" w:ascii="Times New Roman" w:hAnsi="Times New Roman" w:cs="Times New Roman"/>
                      <w:bCs/>
                      <w:color w:val="auto"/>
                      <w:sz w:val="21"/>
                      <w:szCs w:val="21"/>
                      <w:highlight w:val="none"/>
                      <w:vertAlign w:val="superscript"/>
                      <w:lang w:val="en-US" w:eastAsia="zh-CN"/>
                    </w:rPr>
                    <w:t>3</w:t>
                  </w:r>
                  <w:r>
                    <w:rPr>
                      <w:rFonts w:hint="default" w:ascii="Times New Roman" w:hAnsi="Times New Roman" w:cs="Times New Roman"/>
                      <w:bCs/>
                      <w:color w:val="auto"/>
                      <w:sz w:val="21"/>
                      <w:szCs w:val="21"/>
                      <w:highlight w:val="none"/>
                      <w:lang w:val="en-US" w:eastAsia="zh-CN"/>
                    </w:rPr>
                    <w:t>/d的一体化污水处理设施</w:t>
                  </w:r>
                  <w:r>
                    <w:rPr>
                      <w:rFonts w:hint="eastAsia" w:cs="Times New Roman"/>
                      <w:bCs/>
                      <w:color w:val="auto"/>
                      <w:sz w:val="21"/>
                      <w:szCs w:val="21"/>
                      <w:highlight w:val="none"/>
                      <w:lang w:val="en-US" w:eastAsia="zh-CN"/>
                    </w:rPr>
                    <w:t>（TW003）</w:t>
                  </w:r>
                </w:p>
              </w:tc>
              <w:tc>
                <w:tcPr>
                  <w:tcW w:w="688" w:type="pct"/>
                  <w:tcBorders>
                    <w:tl2br w:val="nil"/>
                    <w:tr2bl w:val="nil"/>
                  </w:tcBorders>
                  <w:noWrap w:val="0"/>
                  <w:vAlign w:val="center"/>
                </w:tcPr>
                <w:p w14:paraId="2D95AB6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w:t>
                  </w:r>
                </w:p>
              </w:tc>
              <w:tc>
                <w:tcPr>
                  <w:tcW w:w="585" w:type="pct"/>
                  <w:tcBorders>
                    <w:tl2br w:val="nil"/>
                    <w:tr2bl w:val="nil"/>
                  </w:tcBorders>
                  <w:noWrap w:val="0"/>
                  <w:vAlign w:val="center"/>
                </w:tcPr>
                <w:p w14:paraId="1EB4C5E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新建</w:t>
                  </w:r>
                </w:p>
              </w:tc>
            </w:tr>
            <w:tr w14:paraId="6F77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8" w:type="pct"/>
                  <w:vMerge w:val="continue"/>
                  <w:tcBorders>
                    <w:tl2br w:val="nil"/>
                    <w:tr2bl w:val="nil"/>
                  </w:tcBorders>
                  <w:noWrap w:val="0"/>
                  <w:vAlign w:val="center"/>
                </w:tcPr>
                <w:p w14:paraId="271D1B1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p>
              </w:tc>
              <w:tc>
                <w:tcPr>
                  <w:tcW w:w="441" w:type="pct"/>
                  <w:vMerge w:val="continue"/>
                  <w:tcBorders>
                    <w:tl2br w:val="nil"/>
                    <w:tr2bl w:val="nil"/>
                  </w:tcBorders>
                  <w:noWrap w:val="0"/>
                  <w:vAlign w:val="center"/>
                </w:tcPr>
                <w:p w14:paraId="169AEAB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highlight w:val="none"/>
                      <w:lang w:eastAsia="zh-CN"/>
                    </w:rPr>
                  </w:pPr>
                </w:p>
              </w:tc>
              <w:tc>
                <w:tcPr>
                  <w:tcW w:w="840" w:type="pct"/>
                  <w:tcBorders>
                    <w:tl2br w:val="nil"/>
                    <w:tr2bl w:val="nil"/>
                  </w:tcBorders>
                  <w:noWrap w:val="0"/>
                  <w:vAlign w:val="center"/>
                </w:tcPr>
                <w:p w14:paraId="7F71767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冷却水</w:t>
                  </w:r>
                </w:p>
              </w:tc>
              <w:tc>
                <w:tcPr>
                  <w:tcW w:w="2196" w:type="pct"/>
                  <w:tcBorders>
                    <w:tl2br w:val="nil"/>
                    <w:tr2bl w:val="nil"/>
                  </w:tcBorders>
                  <w:noWrap w:val="0"/>
                  <w:vAlign w:val="center"/>
                </w:tcPr>
                <w:p w14:paraId="60F528D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2个容积为30m</w:t>
                  </w:r>
                  <w:r>
                    <w:rPr>
                      <w:rFonts w:hint="eastAsia" w:ascii="Times New Roman" w:hAnsi="Times New Roman" w:cs="Times New Roman"/>
                      <w:bCs/>
                      <w:color w:val="auto"/>
                      <w:sz w:val="21"/>
                      <w:szCs w:val="21"/>
                      <w:highlight w:val="none"/>
                      <w:vertAlign w:val="superscript"/>
                      <w:lang w:val="en-US" w:eastAsia="zh-CN"/>
                    </w:rPr>
                    <w:t>3</w:t>
                  </w:r>
                  <w:r>
                    <w:rPr>
                      <w:rFonts w:hint="eastAsia" w:ascii="Times New Roman" w:hAnsi="Times New Roman" w:cs="Times New Roman"/>
                      <w:bCs/>
                      <w:color w:val="auto"/>
                      <w:sz w:val="21"/>
                      <w:szCs w:val="21"/>
                      <w:highlight w:val="none"/>
                      <w:lang w:val="en-US" w:eastAsia="zh-CN"/>
                    </w:rPr>
                    <w:t>的循环冷却池，1个容积为15m</w:t>
                  </w:r>
                  <w:r>
                    <w:rPr>
                      <w:rFonts w:hint="eastAsia" w:ascii="Times New Roman" w:hAnsi="Times New Roman" w:cs="Times New Roman"/>
                      <w:bCs/>
                      <w:color w:val="auto"/>
                      <w:sz w:val="21"/>
                      <w:szCs w:val="21"/>
                      <w:highlight w:val="none"/>
                      <w:vertAlign w:val="superscript"/>
                      <w:lang w:val="en-US" w:eastAsia="zh-CN"/>
                    </w:rPr>
                    <w:t>3</w:t>
                  </w:r>
                  <w:r>
                    <w:rPr>
                      <w:rFonts w:hint="eastAsia" w:ascii="Times New Roman" w:hAnsi="Times New Roman" w:cs="Times New Roman"/>
                      <w:bCs/>
                      <w:color w:val="auto"/>
                      <w:sz w:val="21"/>
                      <w:szCs w:val="21"/>
                      <w:highlight w:val="none"/>
                      <w:lang w:val="en-US" w:eastAsia="zh-CN"/>
                    </w:rPr>
                    <w:t>的循环冷却水池，1个10m</w:t>
                  </w:r>
                  <w:r>
                    <w:rPr>
                      <w:rFonts w:hint="eastAsia" w:ascii="Times New Roman" w:hAnsi="Times New Roman" w:cs="Times New Roman"/>
                      <w:bCs/>
                      <w:color w:val="auto"/>
                      <w:sz w:val="21"/>
                      <w:szCs w:val="21"/>
                      <w:highlight w:val="none"/>
                      <w:vertAlign w:val="superscript"/>
                      <w:lang w:val="en-US" w:eastAsia="zh-CN"/>
                    </w:rPr>
                    <w:t>3</w:t>
                  </w:r>
                  <w:r>
                    <w:rPr>
                      <w:rFonts w:hint="eastAsia" w:ascii="Times New Roman" w:hAnsi="Times New Roman" w:cs="Times New Roman"/>
                      <w:bCs/>
                      <w:color w:val="auto"/>
                      <w:sz w:val="21"/>
                      <w:szCs w:val="21"/>
                      <w:highlight w:val="none"/>
                      <w:lang w:val="en-US" w:eastAsia="zh-CN"/>
                    </w:rPr>
                    <w:t>的循环冷却水池，4个容积均为20m</w:t>
                  </w:r>
                  <w:r>
                    <w:rPr>
                      <w:rFonts w:hint="eastAsia" w:ascii="Times New Roman" w:hAnsi="Times New Roman" w:cs="Times New Roman"/>
                      <w:bCs/>
                      <w:color w:val="auto"/>
                      <w:sz w:val="21"/>
                      <w:szCs w:val="21"/>
                      <w:highlight w:val="none"/>
                      <w:vertAlign w:val="superscript"/>
                      <w:lang w:val="en-US" w:eastAsia="zh-CN"/>
                    </w:rPr>
                    <w:t>3</w:t>
                  </w:r>
                  <w:r>
                    <w:rPr>
                      <w:rFonts w:hint="eastAsia" w:ascii="Times New Roman" w:hAnsi="Times New Roman" w:cs="Times New Roman"/>
                      <w:bCs/>
                      <w:color w:val="auto"/>
                      <w:sz w:val="21"/>
                      <w:szCs w:val="21"/>
                      <w:highlight w:val="none"/>
                      <w:lang w:val="en-US" w:eastAsia="zh-CN"/>
                    </w:rPr>
                    <w:t>的循环冷却池。</w:t>
                  </w:r>
                </w:p>
              </w:tc>
              <w:tc>
                <w:tcPr>
                  <w:tcW w:w="688" w:type="pct"/>
                  <w:tcBorders>
                    <w:tl2br w:val="nil"/>
                    <w:tr2bl w:val="nil"/>
                  </w:tcBorders>
                  <w:noWrap w:val="0"/>
                  <w:vAlign w:val="center"/>
                </w:tcPr>
                <w:p w14:paraId="07E39B8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w:t>
                  </w:r>
                </w:p>
              </w:tc>
              <w:tc>
                <w:tcPr>
                  <w:tcW w:w="585" w:type="pct"/>
                  <w:tcBorders>
                    <w:tl2br w:val="nil"/>
                    <w:tr2bl w:val="nil"/>
                  </w:tcBorders>
                  <w:noWrap w:val="0"/>
                  <w:vAlign w:val="center"/>
                </w:tcPr>
                <w:p w14:paraId="3034012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依托已建</w:t>
                  </w:r>
                </w:p>
              </w:tc>
            </w:tr>
            <w:tr w14:paraId="438E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8" w:type="pct"/>
                  <w:vMerge w:val="continue"/>
                  <w:tcBorders>
                    <w:tl2br w:val="nil"/>
                    <w:tr2bl w:val="nil"/>
                  </w:tcBorders>
                  <w:noWrap w:val="0"/>
                  <w:vAlign w:val="center"/>
                </w:tcPr>
                <w:p w14:paraId="24FA0D2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p>
              </w:tc>
              <w:tc>
                <w:tcPr>
                  <w:tcW w:w="441" w:type="pct"/>
                  <w:vMerge w:val="continue"/>
                  <w:tcBorders>
                    <w:tl2br w:val="nil"/>
                    <w:tr2bl w:val="nil"/>
                  </w:tcBorders>
                  <w:noWrap w:val="0"/>
                  <w:vAlign w:val="center"/>
                </w:tcPr>
                <w:p w14:paraId="2483CC7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highlight w:val="none"/>
                      <w:lang w:eastAsia="zh-CN"/>
                    </w:rPr>
                  </w:pPr>
                </w:p>
              </w:tc>
              <w:tc>
                <w:tcPr>
                  <w:tcW w:w="840" w:type="pct"/>
                  <w:tcBorders>
                    <w:tl2br w:val="nil"/>
                    <w:tr2bl w:val="nil"/>
                  </w:tcBorders>
                  <w:noWrap w:val="0"/>
                  <w:vAlign w:val="center"/>
                </w:tcPr>
                <w:p w14:paraId="661D77E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highlight w:val="none"/>
                      <w:lang w:val="en-US" w:eastAsia="zh-CN"/>
                    </w:rPr>
                  </w:pPr>
                  <w:r>
                    <w:rPr>
                      <w:rFonts w:hint="eastAsia" w:cs="Times New Roman"/>
                      <w:bCs/>
                      <w:color w:val="auto"/>
                      <w:sz w:val="21"/>
                      <w:szCs w:val="21"/>
                      <w:highlight w:val="none"/>
                      <w:lang w:val="en-US" w:eastAsia="zh-CN"/>
                    </w:rPr>
                    <w:t>初期雨水</w:t>
                  </w:r>
                </w:p>
              </w:tc>
              <w:tc>
                <w:tcPr>
                  <w:tcW w:w="2196" w:type="pct"/>
                  <w:tcBorders>
                    <w:tl2br w:val="nil"/>
                    <w:tr2bl w:val="nil"/>
                  </w:tcBorders>
                  <w:noWrap w:val="0"/>
                  <w:vAlign w:val="center"/>
                </w:tcPr>
                <w:p w14:paraId="7CEB514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highlight w:val="none"/>
                      <w:lang w:val="en-US" w:eastAsia="zh-CN"/>
                    </w:rPr>
                  </w:pPr>
                  <w:r>
                    <w:rPr>
                      <w:rFonts w:hint="eastAsia" w:cs="Times New Roman"/>
                      <w:bCs/>
                      <w:color w:val="auto"/>
                      <w:sz w:val="21"/>
                      <w:szCs w:val="21"/>
                      <w:highlight w:val="none"/>
                      <w:lang w:val="en-US" w:eastAsia="zh-CN"/>
                    </w:rPr>
                    <w:t>1个容积为100m</w:t>
                  </w:r>
                  <w:r>
                    <w:rPr>
                      <w:rFonts w:hint="eastAsia" w:cs="Times New Roman"/>
                      <w:bCs/>
                      <w:color w:val="auto"/>
                      <w:sz w:val="21"/>
                      <w:szCs w:val="21"/>
                      <w:highlight w:val="none"/>
                      <w:vertAlign w:val="superscript"/>
                      <w:lang w:val="en-US" w:eastAsia="zh-CN"/>
                    </w:rPr>
                    <w:t>3</w:t>
                  </w:r>
                  <w:r>
                    <w:rPr>
                      <w:rFonts w:hint="eastAsia" w:cs="Times New Roman"/>
                      <w:bCs/>
                      <w:color w:val="auto"/>
                      <w:sz w:val="21"/>
                      <w:szCs w:val="21"/>
                      <w:highlight w:val="none"/>
                      <w:lang w:val="en-US" w:eastAsia="zh-CN"/>
                    </w:rPr>
                    <w:t>的初期雨水收集池</w:t>
                  </w:r>
                </w:p>
              </w:tc>
              <w:tc>
                <w:tcPr>
                  <w:tcW w:w="688" w:type="pct"/>
                  <w:tcBorders>
                    <w:tl2br w:val="nil"/>
                    <w:tr2bl w:val="nil"/>
                  </w:tcBorders>
                  <w:noWrap w:val="0"/>
                  <w:vAlign w:val="center"/>
                </w:tcPr>
                <w:p w14:paraId="414B23B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10</w:t>
                  </w:r>
                </w:p>
              </w:tc>
              <w:tc>
                <w:tcPr>
                  <w:tcW w:w="585" w:type="pct"/>
                  <w:tcBorders>
                    <w:tl2br w:val="nil"/>
                    <w:tr2bl w:val="nil"/>
                  </w:tcBorders>
                  <w:noWrap w:val="0"/>
                  <w:vAlign w:val="center"/>
                </w:tcPr>
                <w:p w14:paraId="59D455A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r>
            <w:tr w14:paraId="101A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8" w:type="pct"/>
                  <w:vMerge w:val="continue"/>
                  <w:tcBorders>
                    <w:tl2br w:val="nil"/>
                    <w:tr2bl w:val="nil"/>
                  </w:tcBorders>
                  <w:noWrap w:val="0"/>
                  <w:vAlign w:val="center"/>
                </w:tcPr>
                <w:p w14:paraId="7EC1911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p>
              </w:tc>
              <w:tc>
                <w:tcPr>
                  <w:tcW w:w="441" w:type="pct"/>
                  <w:vMerge w:val="continue"/>
                  <w:tcBorders>
                    <w:tl2br w:val="nil"/>
                    <w:tr2bl w:val="nil"/>
                  </w:tcBorders>
                  <w:noWrap w:val="0"/>
                  <w:vAlign w:val="center"/>
                </w:tcPr>
                <w:p w14:paraId="57FFB9D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highlight w:val="none"/>
                      <w:lang w:eastAsia="zh-CN"/>
                    </w:rPr>
                  </w:pPr>
                </w:p>
              </w:tc>
              <w:tc>
                <w:tcPr>
                  <w:tcW w:w="840" w:type="pct"/>
                  <w:tcBorders>
                    <w:tl2br w:val="nil"/>
                    <w:tr2bl w:val="nil"/>
                  </w:tcBorders>
                  <w:noWrap w:val="0"/>
                  <w:vAlign w:val="center"/>
                </w:tcPr>
                <w:p w14:paraId="120A478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事故池</w:t>
                  </w:r>
                </w:p>
              </w:tc>
              <w:tc>
                <w:tcPr>
                  <w:tcW w:w="2196" w:type="pct"/>
                  <w:tcBorders>
                    <w:tl2br w:val="nil"/>
                    <w:tr2bl w:val="nil"/>
                  </w:tcBorders>
                  <w:noWrap w:val="0"/>
                  <w:vAlign w:val="center"/>
                </w:tcPr>
                <w:p w14:paraId="25D874F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1个容积为30m</w:t>
                  </w:r>
                  <w:r>
                    <w:rPr>
                      <w:rFonts w:hint="eastAsia" w:cs="Times New Roman"/>
                      <w:bCs/>
                      <w:color w:val="auto"/>
                      <w:sz w:val="21"/>
                      <w:szCs w:val="21"/>
                      <w:highlight w:val="none"/>
                      <w:vertAlign w:val="superscript"/>
                      <w:lang w:val="en-US" w:eastAsia="zh-CN"/>
                    </w:rPr>
                    <w:t>3</w:t>
                  </w:r>
                  <w:r>
                    <w:rPr>
                      <w:rFonts w:hint="eastAsia" w:cs="Times New Roman"/>
                      <w:bCs/>
                      <w:color w:val="auto"/>
                      <w:sz w:val="21"/>
                      <w:szCs w:val="21"/>
                      <w:highlight w:val="none"/>
                      <w:lang w:val="en-US" w:eastAsia="zh-CN"/>
                    </w:rPr>
                    <w:t>的事故池</w:t>
                  </w:r>
                </w:p>
              </w:tc>
              <w:tc>
                <w:tcPr>
                  <w:tcW w:w="688" w:type="pct"/>
                  <w:tcBorders>
                    <w:tl2br w:val="nil"/>
                    <w:tr2bl w:val="nil"/>
                  </w:tcBorders>
                  <w:noWrap w:val="0"/>
                  <w:vAlign w:val="center"/>
                </w:tcPr>
                <w:p w14:paraId="7028408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c>
                <w:tcPr>
                  <w:tcW w:w="585" w:type="pct"/>
                  <w:tcBorders>
                    <w:tl2br w:val="nil"/>
                    <w:tr2bl w:val="nil"/>
                  </w:tcBorders>
                  <w:noWrap w:val="0"/>
                  <w:vAlign w:val="center"/>
                </w:tcPr>
                <w:p w14:paraId="4D3B9D9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r>
            <w:tr w14:paraId="04D2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8" w:type="pct"/>
                  <w:vMerge w:val="continue"/>
                  <w:tcBorders>
                    <w:tl2br w:val="nil"/>
                    <w:tr2bl w:val="nil"/>
                  </w:tcBorders>
                  <w:noWrap w:val="0"/>
                  <w:vAlign w:val="center"/>
                </w:tcPr>
                <w:p w14:paraId="0723E37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p>
              </w:tc>
              <w:tc>
                <w:tcPr>
                  <w:tcW w:w="441" w:type="pct"/>
                  <w:tcBorders>
                    <w:tl2br w:val="nil"/>
                    <w:tr2bl w:val="nil"/>
                  </w:tcBorders>
                  <w:noWrap w:val="0"/>
                  <w:vAlign w:val="center"/>
                </w:tcPr>
                <w:p w14:paraId="6B6BA15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噪声</w:t>
                  </w:r>
                </w:p>
              </w:tc>
              <w:tc>
                <w:tcPr>
                  <w:tcW w:w="840" w:type="pct"/>
                  <w:tcBorders>
                    <w:tl2br w:val="nil"/>
                    <w:tr2bl w:val="nil"/>
                  </w:tcBorders>
                  <w:noWrap w:val="0"/>
                  <w:vAlign w:val="center"/>
                </w:tcPr>
                <w:p w14:paraId="324EE64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生产设备</w:t>
                  </w:r>
                </w:p>
              </w:tc>
              <w:tc>
                <w:tcPr>
                  <w:tcW w:w="2196" w:type="pct"/>
                  <w:tcBorders>
                    <w:tl2br w:val="nil"/>
                    <w:tr2bl w:val="nil"/>
                  </w:tcBorders>
                  <w:noWrap w:val="0"/>
                  <w:vAlign w:val="center"/>
                </w:tcPr>
                <w:p w14:paraId="4D3E320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设备基础减振、风机加装消声器等</w:t>
                  </w:r>
                </w:p>
              </w:tc>
              <w:tc>
                <w:tcPr>
                  <w:tcW w:w="688" w:type="pct"/>
                  <w:tcBorders>
                    <w:tl2br w:val="nil"/>
                    <w:tr2bl w:val="nil"/>
                  </w:tcBorders>
                  <w:noWrap w:val="0"/>
                  <w:vAlign w:val="center"/>
                </w:tcPr>
                <w:p w14:paraId="03E8C2B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w:t>
                  </w:r>
                </w:p>
              </w:tc>
              <w:tc>
                <w:tcPr>
                  <w:tcW w:w="585" w:type="pct"/>
                  <w:tcBorders>
                    <w:tl2br w:val="nil"/>
                    <w:tr2bl w:val="nil"/>
                  </w:tcBorders>
                  <w:noWrap w:val="0"/>
                  <w:vAlign w:val="center"/>
                </w:tcPr>
                <w:p w14:paraId="6BFDACF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新建</w:t>
                  </w:r>
                </w:p>
              </w:tc>
            </w:tr>
            <w:tr w14:paraId="7B86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8" w:type="pct"/>
                  <w:vMerge w:val="continue"/>
                  <w:tcBorders>
                    <w:tl2br w:val="nil"/>
                    <w:tr2bl w:val="nil"/>
                  </w:tcBorders>
                  <w:noWrap w:val="0"/>
                  <w:vAlign w:val="center"/>
                </w:tcPr>
                <w:p w14:paraId="1D30B8C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p>
              </w:tc>
              <w:tc>
                <w:tcPr>
                  <w:tcW w:w="441" w:type="pct"/>
                  <w:vMerge w:val="restart"/>
                  <w:tcBorders>
                    <w:tl2br w:val="nil"/>
                    <w:tr2bl w:val="nil"/>
                  </w:tcBorders>
                  <w:noWrap w:val="0"/>
                  <w:vAlign w:val="center"/>
                </w:tcPr>
                <w:p w14:paraId="65FF821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rPr>
                    <w:t>固废</w:t>
                  </w:r>
                </w:p>
              </w:tc>
              <w:tc>
                <w:tcPr>
                  <w:tcW w:w="840" w:type="pct"/>
                  <w:tcBorders>
                    <w:tl2br w:val="nil"/>
                    <w:tr2bl w:val="nil"/>
                  </w:tcBorders>
                  <w:noWrap w:val="0"/>
                  <w:vAlign w:val="center"/>
                </w:tcPr>
                <w:p w14:paraId="50582CA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生活垃圾</w:t>
                  </w:r>
                </w:p>
              </w:tc>
              <w:tc>
                <w:tcPr>
                  <w:tcW w:w="2196" w:type="pct"/>
                  <w:tcBorders>
                    <w:tl2br w:val="nil"/>
                    <w:tr2bl w:val="nil"/>
                  </w:tcBorders>
                  <w:noWrap w:val="0"/>
                  <w:vAlign w:val="center"/>
                </w:tcPr>
                <w:p w14:paraId="70E9FC5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垃圾桶</w:t>
                  </w:r>
                </w:p>
              </w:tc>
              <w:tc>
                <w:tcPr>
                  <w:tcW w:w="688" w:type="pct"/>
                  <w:tcBorders>
                    <w:tl2br w:val="nil"/>
                    <w:tr2bl w:val="nil"/>
                  </w:tcBorders>
                  <w:noWrap w:val="0"/>
                  <w:vAlign w:val="center"/>
                </w:tcPr>
                <w:p w14:paraId="20FB0CE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0</w:t>
                  </w:r>
                </w:p>
              </w:tc>
              <w:tc>
                <w:tcPr>
                  <w:tcW w:w="585" w:type="pct"/>
                  <w:tcBorders>
                    <w:tl2br w:val="nil"/>
                    <w:tr2bl w:val="nil"/>
                  </w:tcBorders>
                  <w:noWrap w:val="0"/>
                  <w:vAlign w:val="center"/>
                </w:tcPr>
                <w:p w14:paraId="4782BA7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依托已建</w:t>
                  </w:r>
                </w:p>
              </w:tc>
            </w:tr>
            <w:tr w14:paraId="01D9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8" w:type="pct"/>
                  <w:vMerge w:val="continue"/>
                  <w:tcBorders>
                    <w:tl2br w:val="nil"/>
                    <w:tr2bl w:val="nil"/>
                  </w:tcBorders>
                  <w:noWrap w:val="0"/>
                  <w:vAlign w:val="center"/>
                </w:tcPr>
                <w:p w14:paraId="7D8019B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p>
              </w:tc>
              <w:tc>
                <w:tcPr>
                  <w:tcW w:w="441" w:type="pct"/>
                  <w:vMerge w:val="continue"/>
                  <w:tcBorders>
                    <w:tl2br w:val="nil"/>
                    <w:tr2bl w:val="nil"/>
                  </w:tcBorders>
                  <w:noWrap w:val="0"/>
                  <w:vAlign w:val="center"/>
                </w:tcPr>
                <w:p w14:paraId="77E7ECB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highlight w:val="none"/>
                    </w:rPr>
                  </w:pPr>
                </w:p>
              </w:tc>
              <w:tc>
                <w:tcPr>
                  <w:tcW w:w="840" w:type="pct"/>
                  <w:tcBorders>
                    <w:tl2br w:val="nil"/>
                    <w:tr2bl w:val="nil"/>
                  </w:tcBorders>
                  <w:noWrap w:val="0"/>
                  <w:vAlign w:val="center"/>
                </w:tcPr>
                <w:p w14:paraId="06EBDC5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危险废物</w:t>
                  </w:r>
                </w:p>
              </w:tc>
              <w:tc>
                <w:tcPr>
                  <w:tcW w:w="2196" w:type="pct"/>
                  <w:tcBorders>
                    <w:tl2br w:val="nil"/>
                    <w:tr2bl w:val="nil"/>
                  </w:tcBorders>
                  <w:noWrap w:val="0"/>
                  <w:vAlign w:val="center"/>
                </w:tcPr>
                <w:p w14:paraId="2F7EC03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lang w:val="en-US" w:eastAsia="zh-CN"/>
                    </w:rPr>
                    <w:t>1间危废暂存间，占地面积</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2</w:t>
                  </w:r>
                </w:p>
              </w:tc>
              <w:tc>
                <w:tcPr>
                  <w:tcW w:w="688" w:type="pct"/>
                  <w:tcBorders>
                    <w:tl2br w:val="nil"/>
                    <w:tr2bl w:val="nil"/>
                  </w:tcBorders>
                  <w:noWrap w:val="0"/>
                  <w:vAlign w:val="center"/>
                </w:tcPr>
                <w:p w14:paraId="08CDD17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w:t>
                  </w:r>
                </w:p>
              </w:tc>
              <w:tc>
                <w:tcPr>
                  <w:tcW w:w="585" w:type="pct"/>
                  <w:tcBorders>
                    <w:tl2br w:val="nil"/>
                    <w:tr2bl w:val="nil"/>
                  </w:tcBorders>
                  <w:noWrap w:val="0"/>
                  <w:vAlign w:val="center"/>
                </w:tcPr>
                <w:p w14:paraId="1E93838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新建</w:t>
                  </w:r>
                </w:p>
              </w:tc>
            </w:tr>
            <w:tr w14:paraId="4398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8" w:type="pct"/>
                  <w:vMerge w:val="continue"/>
                  <w:tcBorders>
                    <w:tl2br w:val="nil"/>
                    <w:tr2bl w:val="nil"/>
                  </w:tcBorders>
                  <w:noWrap w:val="0"/>
                  <w:vAlign w:val="center"/>
                </w:tcPr>
                <w:p w14:paraId="4174688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p>
              </w:tc>
              <w:tc>
                <w:tcPr>
                  <w:tcW w:w="1281" w:type="pct"/>
                  <w:gridSpan w:val="2"/>
                  <w:tcBorders>
                    <w:tl2br w:val="nil"/>
                    <w:tr2bl w:val="nil"/>
                  </w:tcBorders>
                  <w:noWrap w:val="0"/>
                  <w:vAlign w:val="center"/>
                </w:tcPr>
                <w:p w14:paraId="6240629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eastAsia" w:cs="Times New Roman"/>
                      <w:bCs/>
                      <w:color w:val="auto"/>
                      <w:sz w:val="21"/>
                      <w:szCs w:val="21"/>
                      <w:highlight w:val="none"/>
                      <w:lang w:val="en-US" w:eastAsia="zh-CN"/>
                    </w:rPr>
                    <w:t>其他</w:t>
                  </w:r>
                </w:p>
              </w:tc>
              <w:tc>
                <w:tcPr>
                  <w:tcW w:w="2196" w:type="pct"/>
                  <w:tcBorders>
                    <w:tl2br w:val="nil"/>
                    <w:tr2bl w:val="nil"/>
                  </w:tcBorders>
                  <w:noWrap w:val="0"/>
                  <w:vAlign w:val="center"/>
                </w:tcPr>
                <w:p w14:paraId="796E8B9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绿化面积100m</w:t>
                  </w:r>
                  <w:r>
                    <w:rPr>
                      <w:rFonts w:hint="eastAsia" w:cs="Times New Roman"/>
                      <w:color w:val="auto"/>
                      <w:sz w:val="21"/>
                      <w:szCs w:val="21"/>
                      <w:highlight w:val="none"/>
                      <w:vertAlign w:val="superscript"/>
                      <w:lang w:val="en-US" w:eastAsia="zh-CN"/>
                    </w:rPr>
                    <w:t>2</w:t>
                  </w:r>
                </w:p>
              </w:tc>
              <w:tc>
                <w:tcPr>
                  <w:tcW w:w="688" w:type="pct"/>
                  <w:tcBorders>
                    <w:tl2br w:val="nil"/>
                    <w:tr2bl w:val="nil"/>
                  </w:tcBorders>
                  <w:noWrap w:val="0"/>
                  <w:vAlign w:val="center"/>
                </w:tcPr>
                <w:p w14:paraId="6CF8B76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585" w:type="pct"/>
                  <w:tcBorders>
                    <w:tl2br w:val="nil"/>
                    <w:tr2bl w:val="nil"/>
                  </w:tcBorders>
                  <w:noWrap w:val="0"/>
                  <w:vAlign w:val="center"/>
                </w:tcPr>
                <w:p w14:paraId="0AE30DA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已建</w:t>
                  </w:r>
                </w:p>
              </w:tc>
            </w:tr>
            <w:tr w14:paraId="5909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8" w:type="pct"/>
                  <w:vMerge w:val="continue"/>
                  <w:tcBorders>
                    <w:tl2br w:val="nil"/>
                    <w:tr2bl w:val="nil"/>
                  </w:tcBorders>
                  <w:noWrap w:val="0"/>
                  <w:vAlign w:val="center"/>
                </w:tcPr>
                <w:p w14:paraId="7FE81A3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p>
              </w:tc>
              <w:tc>
                <w:tcPr>
                  <w:tcW w:w="3477" w:type="pct"/>
                  <w:gridSpan w:val="3"/>
                  <w:tcBorders>
                    <w:tl2br w:val="nil"/>
                    <w:tr2bl w:val="nil"/>
                  </w:tcBorders>
                  <w:noWrap w:val="0"/>
                  <w:vAlign w:val="center"/>
                </w:tcPr>
                <w:p w14:paraId="2A8ABAB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小计</w:t>
                  </w:r>
                </w:p>
              </w:tc>
              <w:tc>
                <w:tcPr>
                  <w:tcW w:w="688" w:type="pct"/>
                  <w:tcBorders>
                    <w:tl2br w:val="nil"/>
                    <w:tr2bl w:val="nil"/>
                  </w:tcBorders>
                  <w:noWrap w:val="0"/>
                  <w:vAlign w:val="center"/>
                </w:tcPr>
                <w:p w14:paraId="5211A0B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val="0"/>
                      <w:color w:val="auto"/>
                      <w:sz w:val="21"/>
                      <w:szCs w:val="21"/>
                      <w:highlight w:val="none"/>
                      <w:lang w:val="en-US" w:eastAsia="zh-CN"/>
                    </w:rPr>
                  </w:pPr>
                  <w:r>
                    <w:rPr>
                      <w:rFonts w:hint="eastAsia" w:cs="Times New Roman"/>
                      <w:b/>
                      <w:bCs w:val="0"/>
                      <w:color w:val="auto"/>
                      <w:sz w:val="21"/>
                      <w:szCs w:val="21"/>
                      <w:highlight w:val="none"/>
                      <w:lang w:val="en-US" w:eastAsia="zh-CN"/>
                    </w:rPr>
                    <w:t>49.8</w:t>
                  </w:r>
                </w:p>
              </w:tc>
              <w:tc>
                <w:tcPr>
                  <w:tcW w:w="585" w:type="pct"/>
                  <w:tcBorders>
                    <w:tl2br w:val="nil"/>
                    <w:tr2bl w:val="nil"/>
                  </w:tcBorders>
                  <w:noWrap w:val="0"/>
                  <w:vAlign w:val="center"/>
                </w:tcPr>
                <w:p w14:paraId="4527BE8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14:paraId="6BAB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26" w:type="pct"/>
                  <w:gridSpan w:val="4"/>
                  <w:tcBorders>
                    <w:tl2br w:val="nil"/>
                    <w:tr2bl w:val="nil"/>
                  </w:tcBorders>
                  <w:noWrap w:val="0"/>
                  <w:vAlign w:val="center"/>
                </w:tcPr>
                <w:p w14:paraId="533669D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合计</w:t>
                  </w:r>
                </w:p>
              </w:tc>
              <w:tc>
                <w:tcPr>
                  <w:tcW w:w="688" w:type="pct"/>
                  <w:tcBorders>
                    <w:tl2br w:val="nil"/>
                    <w:tr2bl w:val="nil"/>
                  </w:tcBorders>
                  <w:noWrap w:val="0"/>
                  <w:vAlign w:val="center"/>
                </w:tcPr>
                <w:p w14:paraId="17A2218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val="0"/>
                      <w:color w:val="auto"/>
                      <w:sz w:val="21"/>
                      <w:szCs w:val="21"/>
                      <w:highlight w:val="none"/>
                      <w:lang w:val="en-US" w:eastAsia="zh-CN"/>
                    </w:rPr>
                  </w:pPr>
                  <w:r>
                    <w:rPr>
                      <w:rFonts w:hint="eastAsia" w:cs="Times New Roman"/>
                      <w:b/>
                      <w:bCs w:val="0"/>
                      <w:color w:val="auto"/>
                      <w:sz w:val="21"/>
                      <w:szCs w:val="21"/>
                      <w:highlight w:val="none"/>
                      <w:lang w:val="en-US" w:eastAsia="zh-CN"/>
                    </w:rPr>
                    <w:t>51</w:t>
                  </w:r>
                </w:p>
              </w:tc>
              <w:tc>
                <w:tcPr>
                  <w:tcW w:w="585" w:type="pct"/>
                  <w:tcBorders>
                    <w:tl2br w:val="nil"/>
                    <w:tr2bl w:val="nil"/>
                  </w:tcBorders>
                  <w:noWrap w:val="0"/>
                  <w:vAlign w:val="center"/>
                </w:tcPr>
                <w:p w14:paraId="7ECE801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bl>
          <w:p w14:paraId="02F6F5FA">
            <w:pPr>
              <w:ind w:left="0" w:leftChars="0" w:firstLine="0" w:firstLineChars="0"/>
              <w:rPr>
                <w:rFonts w:hint="default" w:eastAsia="宋体"/>
                <w:color w:val="auto"/>
                <w:vertAlign w:val="baseline"/>
                <w:lang w:val="en-US" w:eastAsia="zh-CN"/>
              </w:rPr>
            </w:pPr>
          </w:p>
        </w:tc>
      </w:tr>
      <w:tr w14:paraId="55A5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6" w:type="dxa"/>
            <w:vAlign w:val="center"/>
          </w:tcPr>
          <w:p w14:paraId="67D3519F">
            <w:pPr>
              <w:ind w:left="0" w:leftChars="0" w:firstLine="0" w:firstLineChars="0"/>
              <w:rPr>
                <w:rFonts w:hint="default" w:eastAsia="宋体"/>
                <w:color w:val="auto"/>
                <w:vertAlign w:val="baseline"/>
                <w:lang w:val="en-US" w:eastAsia="zh-CN"/>
              </w:rPr>
            </w:pPr>
            <w:r>
              <w:rPr>
                <w:rFonts w:hint="eastAsia"/>
                <w:color w:val="auto"/>
              </w:rPr>
              <w:t>工艺流程和产污环节</w:t>
            </w:r>
          </w:p>
        </w:tc>
        <w:tc>
          <w:tcPr>
            <w:tcW w:w="8816" w:type="dxa"/>
            <w:vAlign w:val="center"/>
          </w:tcPr>
          <w:p w14:paraId="7202B10C">
            <w:pPr>
              <w:numPr>
                <w:ilvl w:val="0"/>
                <w:numId w:val="0"/>
              </w:numPr>
              <w:rPr>
                <w:b/>
                <w:bCs/>
                <w:color w:val="auto"/>
              </w:rPr>
            </w:pPr>
            <w:r>
              <w:rPr>
                <w:rFonts w:hint="eastAsia"/>
                <w:b/>
                <w:bCs/>
                <w:color w:val="auto"/>
                <w:lang w:val="en-US" w:eastAsia="zh-CN"/>
              </w:rPr>
              <w:t>十一、</w:t>
            </w:r>
            <w:r>
              <w:rPr>
                <w:rFonts w:hint="eastAsia"/>
                <w:b/>
                <w:bCs/>
                <w:color w:val="auto"/>
                <w:lang w:eastAsia="zh-CN"/>
              </w:rPr>
              <w:t>施工期</w:t>
            </w:r>
            <w:r>
              <w:rPr>
                <w:b/>
                <w:bCs/>
                <w:color w:val="auto"/>
              </w:rPr>
              <w:t>工艺流程</w:t>
            </w:r>
            <w:r>
              <w:rPr>
                <w:rFonts w:hint="eastAsia"/>
                <w:b/>
                <w:bCs/>
                <w:color w:val="auto"/>
                <w:lang w:eastAsia="zh-CN"/>
              </w:rPr>
              <w:t>及产污节点</w:t>
            </w:r>
            <w:r>
              <w:rPr>
                <w:b/>
                <w:bCs/>
                <w:color w:val="auto"/>
              </w:rPr>
              <w:t>：</w:t>
            </w:r>
          </w:p>
          <w:p w14:paraId="084AC390">
            <w:pPr>
              <w:bidi w:val="0"/>
              <w:rPr>
                <w:rFonts w:hint="eastAsia"/>
                <w:color w:val="auto"/>
                <w:sz w:val="24"/>
                <w:szCs w:val="24"/>
                <w:lang w:eastAsia="zh-CN"/>
              </w:rPr>
            </w:pPr>
            <w:r>
              <w:rPr>
                <w:rFonts w:hint="eastAsia"/>
                <w:color w:val="auto"/>
                <w:lang w:eastAsia="zh-CN"/>
              </w:rPr>
              <w:t>本项目施工期主要包括</w:t>
            </w:r>
            <w:r>
              <w:rPr>
                <w:rFonts w:hint="eastAsia" w:eastAsia="宋体"/>
                <w:color w:val="auto"/>
                <w:sz w:val="24"/>
                <w:szCs w:val="24"/>
              </w:rPr>
              <w:t>生产车间修缮</w:t>
            </w:r>
            <w:r>
              <w:rPr>
                <w:rFonts w:hint="eastAsia"/>
                <w:color w:val="auto"/>
                <w:sz w:val="24"/>
                <w:szCs w:val="24"/>
                <w:lang w:eastAsia="zh-CN"/>
              </w:rPr>
              <w:t>、</w:t>
            </w:r>
            <w:r>
              <w:rPr>
                <w:rFonts w:hint="eastAsia"/>
                <w:color w:val="auto"/>
                <w:sz w:val="24"/>
                <w:szCs w:val="24"/>
                <w:lang w:val="en-US" w:eastAsia="zh-CN"/>
              </w:rPr>
              <w:t>污染治理设施建设及安装</w:t>
            </w:r>
            <w:r>
              <w:rPr>
                <w:rFonts w:hint="eastAsia"/>
                <w:color w:val="auto"/>
                <w:sz w:val="24"/>
                <w:szCs w:val="24"/>
                <w:lang w:eastAsia="zh-CN"/>
              </w:rPr>
              <w:t>。本项目施工期基本工艺流程及产污环节详见下图。</w:t>
            </w:r>
          </w:p>
          <w:p w14:paraId="004B161B">
            <w:pPr>
              <w:bidi w:val="0"/>
              <w:rPr>
                <w:rFonts w:hint="eastAsia"/>
                <w:color w:val="auto"/>
                <w:sz w:val="24"/>
                <w:szCs w:val="24"/>
                <w:lang w:eastAsia="zh-CN"/>
              </w:rPr>
            </w:pPr>
            <w:r>
              <w:rPr>
                <w:rFonts w:hint="eastAsia"/>
                <w:color w:val="auto"/>
                <w:sz w:val="24"/>
                <w:szCs w:val="24"/>
                <w:lang w:eastAsia="zh-CN"/>
              </w:rPr>
              <w:drawing>
                <wp:inline distT="0" distB="0" distL="114300" distR="114300">
                  <wp:extent cx="4096385" cy="1619885"/>
                  <wp:effectExtent l="0" t="0" r="18415" b="18415"/>
                  <wp:docPr id="4" name="F360BE8B-6686-4F3D-AEAF-501FE73E4058-3" descr="绘图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360BE8B-6686-4F3D-AEAF-501FE73E4058-3" descr="绘图1(9)"/>
                          <pic:cNvPicPr>
                            <a:picLocks noChangeAspect="1"/>
                          </pic:cNvPicPr>
                        </pic:nvPicPr>
                        <pic:blipFill>
                          <a:blip r:embed="rId19"/>
                          <a:stretch>
                            <a:fillRect/>
                          </a:stretch>
                        </pic:blipFill>
                        <pic:spPr>
                          <a:xfrm>
                            <a:off x="0" y="0"/>
                            <a:ext cx="4096385" cy="1619885"/>
                          </a:xfrm>
                          <a:prstGeom prst="rect">
                            <a:avLst/>
                          </a:prstGeom>
                        </pic:spPr>
                      </pic:pic>
                    </a:graphicData>
                  </a:graphic>
                </wp:inline>
              </w:drawing>
            </w:r>
          </w:p>
          <w:p w14:paraId="7731DDC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b/>
                <w:bCs/>
                <w:color w:val="auto"/>
                <w:sz w:val="24"/>
                <w:szCs w:val="24"/>
                <w:lang w:eastAsia="zh-CN"/>
              </w:rPr>
            </w:pPr>
            <w:r>
              <w:rPr>
                <w:rFonts w:hint="eastAsia"/>
                <w:b/>
                <w:bCs/>
                <w:color w:val="auto"/>
                <w:sz w:val="24"/>
                <w:szCs w:val="24"/>
                <w:lang w:eastAsia="zh-CN"/>
              </w:rPr>
              <w:t>图</w:t>
            </w:r>
            <w:r>
              <w:rPr>
                <w:rFonts w:hint="eastAsia"/>
                <w:b/>
                <w:bCs/>
                <w:color w:val="auto"/>
                <w:sz w:val="24"/>
                <w:szCs w:val="24"/>
                <w:lang w:val="en-US" w:eastAsia="zh-CN"/>
              </w:rPr>
              <w:t>2-3</w:t>
            </w:r>
            <w:r>
              <w:rPr>
                <w:rFonts w:hint="eastAsia"/>
                <w:b/>
                <w:bCs/>
                <w:color w:val="auto"/>
                <w:sz w:val="24"/>
                <w:szCs w:val="24"/>
                <w:lang w:eastAsia="zh-CN"/>
              </w:rPr>
              <w:t xml:space="preserve">  施工期工程工艺流程及产污环节图</w:t>
            </w:r>
          </w:p>
          <w:p w14:paraId="2184E725">
            <w:pPr>
              <w:bidi w:val="0"/>
              <w:rPr>
                <w:rFonts w:hint="eastAsia"/>
                <w:b/>
                <w:bCs/>
                <w:color w:val="auto"/>
                <w:lang w:val="en-US" w:eastAsia="zh-CN"/>
              </w:rPr>
            </w:pPr>
            <w:r>
              <w:rPr>
                <w:rFonts w:hint="eastAsia"/>
                <w:b/>
                <w:bCs/>
                <w:color w:val="auto"/>
                <w:lang w:val="en-US" w:eastAsia="zh-CN"/>
              </w:rPr>
              <w:t>施工工艺流程如下：</w:t>
            </w:r>
          </w:p>
          <w:p w14:paraId="61135153">
            <w:pPr>
              <w:bidi w:val="0"/>
              <w:rPr>
                <w:rFonts w:hint="default"/>
                <w:b w:val="0"/>
                <w:bCs w:val="0"/>
                <w:color w:val="auto"/>
                <w:lang w:val="en-US" w:eastAsia="zh-CN"/>
              </w:rPr>
            </w:pPr>
            <w:r>
              <w:rPr>
                <w:rFonts w:hint="eastAsia"/>
                <w:b w:val="0"/>
                <w:bCs w:val="0"/>
                <w:color w:val="auto"/>
                <w:lang w:val="en-US" w:eastAsia="zh-CN"/>
              </w:rPr>
              <w:t>本项目生产车间和生产线均已建成，本次环评施工阶段主要是对已建生产车间破损部分进行修缮、部分污染处理设施的建设安装，施工期主要环境污染问题是：施工扬尘、施工噪声、施工人员生活污水、施工垃圾等，贯穿于整个施工过程，但不同污染因子在不同施工时段污染强度不同，对环境的影响随施工期的内容不同而有所变化，随着施工期的结束对环境的影响也随之结束。</w:t>
            </w:r>
          </w:p>
          <w:p w14:paraId="73C021A4">
            <w:pPr>
              <w:bidi w:val="0"/>
              <w:rPr>
                <w:rFonts w:hint="eastAsia"/>
                <w:b/>
                <w:bCs/>
                <w:color w:val="auto"/>
                <w:lang w:eastAsia="zh-CN"/>
              </w:rPr>
            </w:pPr>
            <w:r>
              <w:rPr>
                <w:rFonts w:hint="eastAsia"/>
                <w:b/>
                <w:bCs/>
                <w:color w:val="auto"/>
                <w:lang w:eastAsia="zh-CN"/>
              </w:rPr>
              <w:t>（</w:t>
            </w:r>
            <w:r>
              <w:rPr>
                <w:rFonts w:hint="eastAsia"/>
                <w:b/>
                <w:bCs/>
                <w:color w:val="auto"/>
                <w:lang w:val="en-US" w:eastAsia="zh-CN"/>
              </w:rPr>
              <w:t>1</w:t>
            </w:r>
            <w:r>
              <w:rPr>
                <w:rFonts w:hint="eastAsia"/>
                <w:b/>
                <w:bCs/>
                <w:color w:val="auto"/>
                <w:lang w:eastAsia="zh-CN"/>
              </w:rPr>
              <w:t>）厂房修缮</w:t>
            </w:r>
          </w:p>
          <w:p w14:paraId="5A3AF42D">
            <w:pPr>
              <w:bidi w:val="0"/>
              <w:rPr>
                <w:rFonts w:hint="eastAsia"/>
                <w:color w:val="auto"/>
                <w:lang w:eastAsia="zh-CN"/>
              </w:rPr>
            </w:pPr>
            <w:r>
              <w:rPr>
                <w:rFonts w:hint="eastAsia"/>
                <w:color w:val="auto"/>
                <w:lang w:eastAsia="zh-CN"/>
              </w:rPr>
              <w:t>本项目对原有生产车间进行修缮，该阶段产生的污染物主要为粉尘、施工机械</w:t>
            </w:r>
            <w:r>
              <w:rPr>
                <w:rFonts w:hint="eastAsia"/>
                <w:color w:val="auto"/>
                <w:lang w:val="en-US" w:eastAsia="zh-CN"/>
              </w:rPr>
              <w:t>废气</w:t>
            </w:r>
            <w:r>
              <w:rPr>
                <w:rFonts w:hint="eastAsia"/>
                <w:color w:val="auto"/>
                <w:lang w:eastAsia="zh-CN"/>
              </w:rPr>
              <w:t>、</w:t>
            </w:r>
            <w:r>
              <w:rPr>
                <w:rFonts w:hint="eastAsia"/>
                <w:color w:val="auto"/>
                <w:lang w:val="en-US" w:eastAsia="zh-CN"/>
              </w:rPr>
              <w:t>施工</w:t>
            </w:r>
            <w:r>
              <w:rPr>
                <w:rFonts w:hint="eastAsia"/>
                <w:color w:val="auto"/>
                <w:lang w:eastAsia="zh-CN"/>
              </w:rPr>
              <w:t>噪声。</w:t>
            </w:r>
          </w:p>
          <w:p w14:paraId="0BC943E0">
            <w:pPr>
              <w:bidi w:val="0"/>
              <w:rPr>
                <w:rFonts w:hint="eastAsia"/>
                <w:b/>
                <w:bCs/>
                <w:color w:val="auto"/>
                <w:lang w:eastAsia="zh-CN"/>
              </w:rPr>
            </w:pPr>
            <w:r>
              <w:rPr>
                <w:rFonts w:hint="eastAsia"/>
                <w:b/>
                <w:bCs/>
                <w:color w:val="auto"/>
                <w:lang w:eastAsia="zh-CN"/>
              </w:rPr>
              <w:t>（</w:t>
            </w:r>
            <w:r>
              <w:rPr>
                <w:rFonts w:hint="eastAsia"/>
                <w:b/>
                <w:bCs/>
                <w:color w:val="auto"/>
                <w:lang w:val="en-US" w:eastAsia="zh-CN"/>
              </w:rPr>
              <w:t>2</w:t>
            </w:r>
            <w:r>
              <w:rPr>
                <w:rFonts w:hint="eastAsia"/>
                <w:b/>
                <w:bCs/>
                <w:color w:val="auto"/>
                <w:lang w:eastAsia="zh-CN"/>
              </w:rPr>
              <w:t>）设备安装</w:t>
            </w:r>
          </w:p>
          <w:p w14:paraId="24E6511F">
            <w:pPr>
              <w:bidi w:val="0"/>
              <w:rPr>
                <w:rFonts w:hint="eastAsia"/>
                <w:color w:val="auto"/>
                <w:lang w:eastAsia="zh-CN"/>
              </w:rPr>
            </w:pPr>
            <w:r>
              <w:rPr>
                <w:rFonts w:hint="eastAsia"/>
                <w:color w:val="auto"/>
                <w:lang w:eastAsia="zh-CN"/>
              </w:rPr>
              <w:t>项目车间修缮完毕后，进行设备安装调试后投入使用，该阶段产生的污染物主要为</w:t>
            </w:r>
            <w:r>
              <w:rPr>
                <w:rFonts w:hint="eastAsia"/>
                <w:color w:val="auto"/>
                <w:lang w:val="en-US" w:eastAsia="zh-CN"/>
              </w:rPr>
              <w:t>废气、</w:t>
            </w:r>
            <w:r>
              <w:rPr>
                <w:rFonts w:hint="eastAsia"/>
                <w:color w:val="auto"/>
                <w:lang w:eastAsia="zh-CN"/>
              </w:rPr>
              <w:t>噪声、固体废物。</w:t>
            </w:r>
          </w:p>
          <w:p w14:paraId="04C68AF8">
            <w:pPr>
              <w:numPr>
                <w:ilvl w:val="0"/>
                <w:numId w:val="0"/>
              </w:numPr>
              <w:rPr>
                <w:b/>
                <w:bCs/>
                <w:color w:val="auto"/>
              </w:rPr>
            </w:pPr>
            <w:r>
              <w:rPr>
                <w:rFonts w:hint="eastAsia"/>
                <w:b/>
                <w:bCs/>
                <w:color w:val="auto"/>
                <w:lang w:val="en-US" w:eastAsia="zh-CN"/>
              </w:rPr>
              <w:t>十二、</w:t>
            </w:r>
            <w:r>
              <w:rPr>
                <w:rFonts w:hint="eastAsia"/>
                <w:b/>
                <w:bCs/>
                <w:color w:val="auto"/>
                <w:lang w:eastAsia="zh-CN"/>
              </w:rPr>
              <w:t>运营期工艺流程及产污节点：</w:t>
            </w:r>
          </w:p>
          <w:p w14:paraId="480C0A0C">
            <w:pPr>
              <w:ind w:firstLine="480"/>
              <w:rPr>
                <w:rFonts w:hint="eastAsia"/>
                <w:color w:val="auto"/>
              </w:rPr>
            </w:pPr>
            <w:r>
              <w:rPr>
                <w:rFonts w:hint="eastAsia"/>
                <w:color w:val="auto"/>
              </w:rPr>
              <w:t>本项目生产工艺主要是：原料</w:t>
            </w:r>
            <w:r>
              <w:rPr>
                <w:rFonts w:hint="eastAsia" w:ascii="Times New Roman" w:hAnsi="Times New Roman" w:eastAsia="宋体" w:cs="Times New Roman"/>
                <w:color w:val="auto"/>
                <w:kern w:val="0"/>
                <w:szCs w:val="20"/>
                <w:lang w:eastAsia="zh-CN"/>
              </w:rPr>
              <w:t>入场</w:t>
            </w:r>
            <w:r>
              <w:rPr>
                <w:rFonts w:hint="eastAsia"/>
                <w:color w:val="auto"/>
              </w:rPr>
              <w:t>——</w:t>
            </w:r>
            <w:r>
              <w:rPr>
                <w:rFonts w:hint="eastAsia"/>
                <w:color w:val="auto"/>
                <w:lang w:eastAsia="zh-CN"/>
              </w:rPr>
              <w:t>开卷</w:t>
            </w:r>
            <w:r>
              <w:rPr>
                <w:rFonts w:hint="eastAsia" w:eastAsia="宋体"/>
                <w:color w:val="auto"/>
                <w:lang w:eastAsia="zh-CN"/>
              </w:rPr>
              <w:t>——</w:t>
            </w:r>
            <w:r>
              <w:rPr>
                <w:rFonts w:hint="eastAsia"/>
                <w:color w:val="auto"/>
                <w:lang w:eastAsia="zh-CN"/>
              </w:rPr>
              <w:t>裁剪分条</w:t>
            </w:r>
            <w:r>
              <w:rPr>
                <w:rFonts w:hint="eastAsia"/>
                <w:color w:val="auto"/>
              </w:rPr>
              <w:t>——</w:t>
            </w:r>
            <w:r>
              <w:rPr>
                <w:rFonts w:hint="eastAsia"/>
                <w:color w:val="auto"/>
                <w:lang w:eastAsia="zh-CN"/>
              </w:rPr>
              <w:t>弯曲成型——高频焊接、刮疤</w:t>
            </w:r>
            <w:r>
              <w:rPr>
                <w:rFonts w:hint="eastAsia"/>
                <w:color w:val="auto"/>
              </w:rPr>
              <w:t>——</w:t>
            </w:r>
            <w:r>
              <w:rPr>
                <w:rFonts w:hint="eastAsia"/>
                <w:color w:val="auto"/>
                <w:lang w:eastAsia="zh-CN"/>
              </w:rPr>
              <w:t>焊缝补锌</w:t>
            </w:r>
            <w:r>
              <w:rPr>
                <w:rFonts w:hint="eastAsia"/>
                <w:color w:val="auto"/>
              </w:rPr>
              <w:t>——</w:t>
            </w:r>
            <w:r>
              <w:rPr>
                <w:rFonts w:hint="eastAsia"/>
                <w:color w:val="auto"/>
                <w:lang w:eastAsia="zh-CN"/>
              </w:rPr>
              <w:t>较直、切割</w:t>
            </w:r>
            <w:r>
              <w:rPr>
                <w:rFonts w:hint="eastAsia"/>
                <w:color w:val="auto"/>
              </w:rPr>
              <w:t>——</w:t>
            </w:r>
            <w:r>
              <w:rPr>
                <w:rFonts w:hint="eastAsia"/>
                <w:color w:val="auto"/>
                <w:lang w:eastAsia="zh-CN"/>
              </w:rPr>
              <w:t>质检、打包</w:t>
            </w:r>
            <w:r>
              <w:rPr>
                <w:rFonts w:hint="eastAsia"/>
                <w:color w:val="auto"/>
              </w:rPr>
              <w:t>——成品。项目生产工艺流程及产污节点见下图。</w:t>
            </w:r>
          </w:p>
          <w:p w14:paraId="030502A2">
            <w:pPr>
              <w:ind w:firstLine="480"/>
              <w:rPr>
                <w:rFonts w:hint="eastAsia"/>
                <w:color w:val="auto"/>
              </w:rPr>
            </w:pPr>
          </w:p>
          <w:p w14:paraId="24395C8F">
            <w:pPr>
              <w:ind w:left="0" w:leftChars="0" w:firstLine="0" w:firstLineChars="0"/>
              <w:rPr>
                <w:rFonts w:hint="eastAsia" w:eastAsia="宋体"/>
                <w:color w:val="auto"/>
                <w:lang w:eastAsia="zh-CN"/>
              </w:rPr>
            </w:pPr>
            <w:r>
              <w:rPr>
                <w:rFonts w:hint="eastAsia" w:eastAsia="宋体"/>
                <w:color w:val="auto"/>
                <w:lang w:eastAsia="zh-CN"/>
              </w:rPr>
              <w:drawing>
                <wp:inline distT="0" distB="0" distL="114300" distR="114300">
                  <wp:extent cx="5447665" cy="6085840"/>
                  <wp:effectExtent l="0" t="0" r="635" b="10160"/>
                  <wp:docPr id="6" name="F360BE8B-6686-4F3D-AEAF-501FE73E4058-4" descr="C:/Users/ASUS/AppData/Local/Temp/绘图1(10).png绘图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360BE8B-6686-4F3D-AEAF-501FE73E4058-4" descr="C:/Users/ASUS/AppData/Local/Temp/绘图1(10).png绘图1(10)"/>
                          <pic:cNvPicPr>
                            <a:picLocks noChangeAspect="1"/>
                          </pic:cNvPicPr>
                        </pic:nvPicPr>
                        <pic:blipFill>
                          <a:blip r:embed="rId20"/>
                          <a:stretch>
                            <a:fillRect/>
                          </a:stretch>
                        </pic:blipFill>
                        <pic:spPr>
                          <a:xfrm>
                            <a:off x="0" y="0"/>
                            <a:ext cx="5447665" cy="6085840"/>
                          </a:xfrm>
                          <a:prstGeom prst="rect">
                            <a:avLst/>
                          </a:prstGeom>
                        </pic:spPr>
                      </pic:pic>
                    </a:graphicData>
                  </a:graphic>
                </wp:inline>
              </w:drawing>
            </w:r>
          </w:p>
          <w:p w14:paraId="1DCB103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b/>
                <w:bCs/>
                <w:color w:val="auto"/>
              </w:rPr>
            </w:pPr>
            <w:r>
              <w:rPr>
                <w:rFonts w:hint="eastAsia"/>
                <w:b/>
                <w:bCs/>
                <w:color w:val="auto"/>
              </w:rPr>
              <w:t>图2-</w:t>
            </w:r>
            <w:r>
              <w:rPr>
                <w:rFonts w:hint="eastAsia"/>
                <w:b/>
                <w:bCs/>
                <w:color w:val="auto"/>
                <w:lang w:val="en-US" w:eastAsia="zh-CN"/>
              </w:rPr>
              <w:t xml:space="preserve">4 </w:t>
            </w:r>
            <w:r>
              <w:rPr>
                <w:rFonts w:hint="eastAsia"/>
                <w:b/>
                <w:bCs/>
                <w:color w:val="auto"/>
              </w:rPr>
              <w:t xml:space="preserve"> 运营期工艺流程及产污节点图</w:t>
            </w:r>
          </w:p>
          <w:p w14:paraId="5190928C">
            <w:pPr>
              <w:ind w:firstLine="482"/>
              <w:rPr>
                <w:b/>
                <w:color w:val="auto"/>
              </w:rPr>
            </w:pPr>
            <w:r>
              <w:rPr>
                <w:rFonts w:hint="eastAsia"/>
                <w:b/>
                <w:color w:val="auto"/>
                <w:lang w:val="en-US" w:eastAsia="zh-CN"/>
              </w:rPr>
              <w:t>（1）生产工艺简述</w:t>
            </w:r>
            <w:r>
              <w:rPr>
                <w:rFonts w:hint="eastAsia"/>
                <w:b/>
                <w:color w:val="auto"/>
              </w:rPr>
              <w:t>：</w:t>
            </w:r>
          </w:p>
          <w:p w14:paraId="434E116F">
            <w:pPr>
              <w:ind w:firstLine="480"/>
              <w:rPr>
                <w:rFonts w:hint="eastAsia" w:eastAsia="宋体"/>
                <w:bCs/>
                <w:color w:val="auto"/>
                <w:lang w:eastAsia="zh-CN"/>
              </w:rPr>
            </w:pPr>
            <w:r>
              <w:rPr>
                <w:rFonts w:hint="eastAsia"/>
                <w:b/>
                <w:bCs w:val="0"/>
                <w:color w:val="auto"/>
                <w:lang w:eastAsia="zh-CN"/>
              </w:rPr>
              <w:t>①</w:t>
            </w:r>
            <w:r>
              <w:rPr>
                <w:rFonts w:hint="eastAsia"/>
                <w:b/>
                <w:bCs w:val="0"/>
                <w:color w:val="auto"/>
              </w:rPr>
              <w:t>原料</w:t>
            </w:r>
            <w:r>
              <w:rPr>
                <w:rFonts w:hint="eastAsia" w:ascii="Times New Roman" w:hAnsi="Times New Roman" w:eastAsia="宋体" w:cs="Times New Roman"/>
                <w:b/>
                <w:bCs w:val="0"/>
                <w:color w:val="auto"/>
                <w:kern w:val="0"/>
                <w:szCs w:val="20"/>
                <w:lang w:eastAsia="zh-CN"/>
              </w:rPr>
              <w:t>入场</w:t>
            </w:r>
          </w:p>
          <w:p w14:paraId="623BB695">
            <w:pPr>
              <w:ind w:firstLine="480"/>
              <w:rPr>
                <w:rFonts w:hint="eastAsia" w:ascii="Times New Roman" w:hAnsi="Times New Roman" w:eastAsia="宋体" w:cs="Times New Roman"/>
                <w:color w:val="auto"/>
                <w:kern w:val="0"/>
                <w:szCs w:val="20"/>
                <w:lang w:val="en-US" w:eastAsia="zh-CN"/>
              </w:rPr>
            </w:pPr>
            <w:r>
              <w:rPr>
                <w:rFonts w:hint="eastAsia"/>
                <w:bCs/>
                <w:color w:val="auto"/>
              </w:rPr>
              <w:t>本项目生产的产品原料是</w:t>
            </w:r>
            <w:r>
              <w:rPr>
                <w:rFonts w:hint="eastAsia"/>
                <w:bCs/>
                <w:color w:val="auto"/>
                <w:lang w:eastAsia="zh-CN"/>
              </w:rPr>
              <w:t>向周边外购的钢带（冷连轧钢带、热连轧钢带、镀锌钢带）</w:t>
            </w:r>
            <w:r>
              <w:rPr>
                <w:rFonts w:hint="eastAsia"/>
                <w:bCs/>
                <w:color w:val="auto"/>
              </w:rPr>
              <w:t>。</w:t>
            </w:r>
            <w:r>
              <w:rPr>
                <w:rFonts w:hint="eastAsia"/>
                <w:bCs/>
                <w:color w:val="auto"/>
                <w:lang w:eastAsia="zh-CN"/>
              </w:rPr>
              <w:t>项目钢带由原料库运出，钢带由入口钢卷小车将钢卷运往开卷机。</w:t>
            </w:r>
          </w:p>
          <w:p w14:paraId="629D242F">
            <w:pPr>
              <w:ind w:firstLine="480"/>
              <w:rPr>
                <w:rFonts w:hint="eastAsia" w:ascii="Times New Roman" w:hAnsi="Times New Roman" w:eastAsia="宋体"/>
                <w:b/>
                <w:bCs w:val="0"/>
                <w:color w:val="auto"/>
                <w:lang w:val="en-US" w:eastAsia="zh-CN"/>
              </w:rPr>
            </w:pPr>
            <w:r>
              <w:rPr>
                <w:rFonts w:hint="eastAsia" w:ascii="Times New Roman" w:hAnsi="Times New Roman" w:eastAsia="宋体"/>
                <w:b/>
                <w:bCs w:val="0"/>
                <w:color w:val="auto"/>
                <w:lang w:val="en-US" w:eastAsia="zh-CN"/>
              </w:rPr>
              <w:t>②开卷</w:t>
            </w:r>
          </w:p>
          <w:p w14:paraId="78E1417B">
            <w:pPr>
              <w:bidi w:val="0"/>
              <w:rPr>
                <w:rFonts w:hint="eastAsia"/>
                <w:color w:val="auto"/>
                <w:lang w:val="en-US" w:eastAsia="zh-CN"/>
              </w:rPr>
            </w:pPr>
            <w:r>
              <w:rPr>
                <w:rFonts w:hint="eastAsia"/>
                <w:color w:val="auto"/>
                <w:lang w:val="en-US" w:eastAsia="zh-CN"/>
              </w:rPr>
              <w:t>镀锌钢带经过钢卷自动测宽、测外径系统保证钢卷对中的装在开卷机卷筒上。开卷的过程中会有一定的噪声产生。</w:t>
            </w:r>
          </w:p>
          <w:p w14:paraId="2B5D3F9B">
            <w:pPr>
              <w:bidi w:val="0"/>
              <w:rPr>
                <w:rFonts w:hint="eastAsia"/>
                <w:b/>
                <w:bCs/>
                <w:color w:val="auto"/>
                <w:lang w:val="en-US" w:eastAsia="zh-CN"/>
              </w:rPr>
            </w:pPr>
            <w:r>
              <w:rPr>
                <w:rFonts w:hint="eastAsia"/>
                <w:b/>
                <w:bCs/>
                <w:color w:val="auto"/>
                <w:lang w:val="en-US" w:eastAsia="zh-CN"/>
              </w:rPr>
              <w:t>③裁剪分条</w:t>
            </w:r>
          </w:p>
          <w:p w14:paraId="26937357">
            <w:pPr>
              <w:bidi w:val="0"/>
              <w:rPr>
                <w:rFonts w:hint="eastAsia"/>
                <w:color w:val="auto"/>
                <w:lang w:val="en-US" w:eastAsia="zh-CN"/>
              </w:rPr>
            </w:pPr>
            <w:r>
              <w:rPr>
                <w:rFonts w:hint="eastAsia"/>
                <w:color w:val="auto"/>
                <w:lang w:val="en-US" w:eastAsia="zh-CN"/>
              </w:rPr>
              <w:t>钢带开卷后进行分条，此过程中会产生噪声和少量废料产生。</w:t>
            </w:r>
          </w:p>
          <w:p w14:paraId="4447E061">
            <w:pPr>
              <w:bidi w:val="0"/>
              <w:rPr>
                <w:rFonts w:hint="eastAsia"/>
                <w:b/>
                <w:bCs/>
                <w:color w:val="auto"/>
                <w:lang w:val="en-US" w:eastAsia="zh-CN"/>
              </w:rPr>
            </w:pPr>
            <w:r>
              <w:rPr>
                <w:rFonts w:hint="eastAsia"/>
                <w:b/>
                <w:bCs/>
                <w:color w:val="auto"/>
                <w:lang w:val="en-US" w:eastAsia="zh-CN"/>
              </w:rPr>
              <w:t>④弯曲成型</w:t>
            </w:r>
          </w:p>
          <w:p w14:paraId="14B43C02">
            <w:pPr>
              <w:bidi w:val="0"/>
              <w:rPr>
                <w:rFonts w:hint="eastAsia"/>
                <w:color w:val="auto"/>
                <w:lang w:val="en-US" w:eastAsia="zh-CN"/>
              </w:rPr>
            </w:pPr>
            <w:r>
              <w:rPr>
                <w:rFonts w:hint="eastAsia"/>
                <w:color w:val="auto"/>
                <w:lang w:val="en-US" w:eastAsia="zh-CN"/>
              </w:rPr>
              <w:t>分好后的带钢进入半成型架，将带钢弯曲成管状。在钢带弯曲过程中会产生噪声。</w:t>
            </w:r>
          </w:p>
          <w:p w14:paraId="19B3AEA9">
            <w:pPr>
              <w:bidi w:val="0"/>
              <w:rPr>
                <w:rFonts w:hint="eastAsia"/>
                <w:b/>
                <w:bCs/>
                <w:color w:val="auto"/>
                <w:lang w:val="en-US" w:eastAsia="zh-CN"/>
              </w:rPr>
            </w:pPr>
            <w:r>
              <w:rPr>
                <w:rFonts w:hint="eastAsia"/>
                <w:b/>
                <w:bCs/>
                <w:color w:val="auto"/>
                <w:lang w:val="en-US" w:eastAsia="zh-CN"/>
              </w:rPr>
              <w:t>⑤高频焊接、刮疤</w:t>
            </w:r>
          </w:p>
          <w:p w14:paraId="150A465C">
            <w:pPr>
              <w:bidi w:val="0"/>
              <w:rPr>
                <w:rFonts w:hint="eastAsia"/>
                <w:color w:val="auto"/>
                <w:lang w:val="en-US" w:eastAsia="zh-CN"/>
              </w:rPr>
            </w:pPr>
            <w:r>
              <w:rPr>
                <w:rFonts w:hint="eastAsia"/>
                <w:color w:val="auto"/>
                <w:lang w:val="en-US" w:eastAsia="zh-CN"/>
              </w:rPr>
              <w:t>将初步成型的钢管送入高频焊机对钢管的缝隙进行焊接、刮疤，高频焊机利用电流的集肤效应和邻近效应将直缝两端边缘加热融化，并在挤压辊的作用下进行焊接，将钢带的两端完全熔合。经过焊接的焊管表面会产生少量焊疤，利用焊机自带的刮疤刀具刮去焊管表面的凸起，使得焊管表面平整光滑。在此工段需用水冷却焊接的焊管，焊接过程为一边焊接一边冷却，直接冷却水进入冷却循环水池循环使用不外排，焊机的间接冷却水进入净循环水池循环使用不外排，并产生机械噪声及焊接烟尘。</w:t>
            </w:r>
          </w:p>
          <w:p w14:paraId="7653C2D1">
            <w:pPr>
              <w:bidi w:val="0"/>
              <w:rPr>
                <w:rFonts w:hint="eastAsia"/>
                <w:b/>
                <w:bCs/>
                <w:color w:val="auto"/>
                <w:lang w:val="en-US" w:eastAsia="zh-CN"/>
              </w:rPr>
            </w:pPr>
            <w:r>
              <w:rPr>
                <w:rFonts w:hint="eastAsia"/>
                <w:b/>
                <w:bCs/>
                <w:color w:val="auto"/>
                <w:lang w:val="en-US" w:eastAsia="zh-CN"/>
              </w:rPr>
              <w:t>⑥焊缝补锌</w:t>
            </w:r>
          </w:p>
          <w:p w14:paraId="29730C0A">
            <w:pPr>
              <w:bidi w:val="0"/>
              <w:rPr>
                <w:rFonts w:hint="eastAsia"/>
                <w:color w:val="auto"/>
                <w:lang w:val="en-US" w:eastAsia="zh-CN"/>
              </w:rPr>
            </w:pPr>
            <w:r>
              <w:rPr>
                <w:rFonts w:hint="eastAsia"/>
                <w:color w:val="auto"/>
                <w:lang w:val="en-US" w:eastAsia="zh-CN"/>
              </w:rPr>
              <w:t>20%的钢管会进行焊缝补锌，根据建设方提供资料：由于锌丝比较贵，为了节约成本，焊接时会添加铝丝，锌丝和铝丝1:1的比例混合后使用自动补锌装置利用空气压力将锌丝熔融后喷在焊缝表面再进行校直、切割，其余80%焊管直接进行校直、切割。</w:t>
            </w:r>
          </w:p>
          <w:p w14:paraId="6E1FF779">
            <w:pPr>
              <w:bidi w:val="0"/>
              <w:rPr>
                <w:rFonts w:hint="eastAsia"/>
                <w:b/>
                <w:bCs/>
                <w:color w:val="auto"/>
                <w:lang w:val="en-US" w:eastAsia="zh-CN"/>
              </w:rPr>
            </w:pPr>
            <w:r>
              <w:rPr>
                <w:rFonts w:hint="eastAsia"/>
                <w:b/>
                <w:bCs/>
                <w:color w:val="auto"/>
                <w:lang w:val="en-US" w:eastAsia="zh-CN"/>
              </w:rPr>
              <w:t>⑦校直、切割</w:t>
            </w:r>
          </w:p>
          <w:p w14:paraId="3823127A">
            <w:pPr>
              <w:bidi w:val="0"/>
              <w:rPr>
                <w:rFonts w:hint="eastAsia"/>
                <w:color w:val="auto"/>
                <w:lang w:val="en-US" w:eastAsia="zh-CN"/>
              </w:rPr>
            </w:pPr>
            <w:r>
              <w:rPr>
                <w:rFonts w:hint="eastAsia"/>
                <w:color w:val="auto"/>
                <w:lang w:val="en-US" w:eastAsia="zh-CN"/>
              </w:rPr>
              <w:t>焊接后的焊管使用校直机进行校直，利用飞锯定尺切割机将钢管切割成国标尺寸或客户需求的定制尺寸，即为产品，此过程将产生噪声、边角废料。</w:t>
            </w:r>
          </w:p>
          <w:p w14:paraId="52B7C79E">
            <w:pPr>
              <w:bidi w:val="0"/>
              <w:rPr>
                <w:rFonts w:hint="eastAsia"/>
                <w:b/>
                <w:bCs/>
                <w:color w:val="auto"/>
                <w:lang w:val="en-US" w:eastAsia="zh-CN"/>
              </w:rPr>
            </w:pPr>
            <w:r>
              <w:rPr>
                <w:rFonts w:hint="eastAsia"/>
                <w:b/>
                <w:bCs/>
                <w:color w:val="auto"/>
                <w:lang w:val="en-US" w:eastAsia="zh-CN"/>
              </w:rPr>
              <w:t>⑧质检、打包入库</w:t>
            </w:r>
          </w:p>
          <w:p w14:paraId="78358C4E">
            <w:pPr>
              <w:bidi w:val="0"/>
              <w:rPr>
                <w:rFonts w:hint="eastAsia"/>
                <w:color w:val="auto"/>
                <w:lang w:val="en-US" w:eastAsia="zh-CN"/>
              </w:rPr>
            </w:pPr>
            <w:r>
              <w:rPr>
                <w:rFonts w:hint="eastAsia"/>
                <w:color w:val="auto"/>
                <w:lang w:val="en-US" w:eastAsia="zh-CN"/>
              </w:rPr>
              <w:t>质检合格的产品打包入库，不合格产品送入焊管次品补切车间进行重新切割，切割成短规格的产品，降低了次品率。此过程将产生噪声、边角废料。</w:t>
            </w:r>
          </w:p>
          <w:p w14:paraId="74B59B14">
            <w:pPr>
              <w:ind w:firstLine="480"/>
              <w:rPr>
                <w:rFonts w:hint="eastAsia" w:eastAsia="宋体"/>
                <w:b/>
                <w:bCs w:val="0"/>
                <w:color w:val="auto"/>
                <w:lang w:eastAsia="zh-CN"/>
              </w:rPr>
            </w:pPr>
            <w:r>
              <w:rPr>
                <w:rFonts w:hint="eastAsia"/>
                <w:b/>
                <w:bCs w:val="0"/>
                <w:color w:val="auto"/>
                <w:lang w:eastAsia="zh-CN"/>
              </w:rPr>
              <w:t>（</w:t>
            </w:r>
            <w:r>
              <w:rPr>
                <w:rFonts w:hint="eastAsia"/>
                <w:b/>
                <w:bCs w:val="0"/>
                <w:color w:val="auto"/>
                <w:lang w:val="en-US" w:eastAsia="zh-CN"/>
              </w:rPr>
              <w:t>2</w:t>
            </w:r>
            <w:r>
              <w:rPr>
                <w:rFonts w:hint="eastAsia"/>
                <w:b/>
                <w:bCs w:val="0"/>
                <w:color w:val="auto"/>
                <w:lang w:eastAsia="zh-CN"/>
              </w:rPr>
              <w:t>）产污节点统计</w:t>
            </w:r>
          </w:p>
          <w:p w14:paraId="7A1CC859">
            <w:pPr>
              <w:ind w:firstLine="480"/>
              <w:rPr>
                <w:bCs/>
                <w:color w:val="auto"/>
              </w:rPr>
            </w:pPr>
            <w:r>
              <w:rPr>
                <w:rFonts w:hint="eastAsia"/>
                <w:bCs/>
                <w:color w:val="auto"/>
              </w:rPr>
              <w:t>项目生产过程中生产的污染物主要为废气、设备噪声和</w:t>
            </w:r>
            <w:r>
              <w:rPr>
                <w:rFonts w:hint="eastAsia"/>
                <w:bCs/>
                <w:color w:val="auto"/>
                <w:lang w:val="en-US" w:eastAsia="zh-CN"/>
              </w:rPr>
              <w:t>固废</w:t>
            </w:r>
            <w:r>
              <w:rPr>
                <w:rFonts w:hint="eastAsia"/>
                <w:bCs/>
                <w:color w:val="auto"/>
              </w:rPr>
              <w:t>等，产污环节见下表。</w:t>
            </w:r>
          </w:p>
          <w:p w14:paraId="58AF766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eastAsia="宋体"/>
                <w:b/>
                <w:bCs w:val="0"/>
                <w:color w:val="auto"/>
                <w:lang w:val="en-US" w:eastAsia="zh-CN"/>
              </w:rPr>
            </w:pPr>
            <w:r>
              <w:rPr>
                <w:rFonts w:hint="eastAsia"/>
                <w:b/>
                <w:bCs w:val="0"/>
                <w:color w:val="auto"/>
                <w:lang w:val="en-US" w:eastAsia="zh-CN"/>
              </w:rPr>
              <w:t>表2-7  项目产污环节</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56"/>
              <w:gridCol w:w="1592"/>
              <w:gridCol w:w="1754"/>
              <w:gridCol w:w="1166"/>
              <w:gridCol w:w="428"/>
              <w:gridCol w:w="2391"/>
            </w:tblGrid>
            <w:tr w14:paraId="5A17B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731" w:type="pct"/>
                  <w:shd w:val="clear" w:color="auto" w:fill="auto"/>
                  <w:noWrap w:val="0"/>
                  <w:vAlign w:val="center"/>
                </w:tcPr>
                <w:p w14:paraId="186450DF">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污染类别</w:t>
                  </w:r>
                </w:p>
              </w:tc>
              <w:tc>
                <w:tcPr>
                  <w:tcW w:w="927" w:type="pct"/>
                  <w:shd w:val="clear" w:color="auto" w:fill="auto"/>
                  <w:noWrap w:val="0"/>
                  <w:vAlign w:val="center"/>
                </w:tcPr>
                <w:p w14:paraId="34113B08">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编号</w:t>
                  </w:r>
                </w:p>
              </w:tc>
              <w:tc>
                <w:tcPr>
                  <w:tcW w:w="1021" w:type="pct"/>
                  <w:shd w:val="clear" w:color="auto" w:fill="auto"/>
                  <w:noWrap w:val="0"/>
                  <w:vAlign w:val="center"/>
                </w:tcPr>
                <w:p w14:paraId="78E0E7F7">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产污节点</w:t>
                  </w:r>
                </w:p>
              </w:tc>
              <w:tc>
                <w:tcPr>
                  <w:tcW w:w="928" w:type="pct"/>
                  <w:gridSpan w:val="2"/>
                  <w:shd w:val="clear" w:color="auto" w:fill="auto"/>
                  <w:noWrap w:val="0"/>
                  <w:vAlign w:val="center"/>
                </w:tcPr>
                <w:p w14:paraId="52107467">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成分</w:t>
                  </w:r>
                </w:p>
              </w:tc>
              <w:tc>
                <w:tcPr>
                  <w:tcW w:w="1392" w:type="pct"/>
                  <w:shd w:val="clear" w:color="auto" w:fill="auto"/>
                  <w:noWrap w:val="0"/>
                  <w:vAlign w:val="center"/>
                </w:tcPr>
                <w:p w14:paraId="01D8A494">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主要污染物</w:t>
                  </w:r>
                </w:p>
              </w:tc>
            </w:tr>
            <w:tr w14:paraId="64B4C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1" w:type="pct"/>
                  <w:vMerge w:val="restart"/>
                  <w:shd w:val="clear" w:color="auto" w:fill="auto"/>
                  <w:noWrap w:val="0"/>
                  <w:vAlign w:val="center"/>
                </w:tcPr>
                <w:p w14:paraId="56AC151C">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rPr>
                  </w:pPr>
                  <w:r>
                    <w:rPr>
                      <w:rFonts w:hint="default" w:ascii="Times New Roman" w:hAnsi="Times New Roman" w:eastAsia="宋体" w:cs="Times New Roman"/>
                      <w:snapToGrid w:val="0"/>
                      <w:color w:val="auto"/>
                      <w:kern w:val="0"/>
                      <w:sz w:val="21"/>
                      <w:szCs w:val="21"/>
                    </w:rPr>
                    <w:t>废水</w:t>
                  </w:r>
                </w:p>
              </w:tc>
              <w:tc>
                <w:tcPr>
                  <w:tcW w:w="927" w:type="pct"/>
                  <w:shd w:val="clear" w:color="auto" w:fill="auto"/>
                  <w:noWrap w:val="0"/>
                  <w:vAlign w:val="center"/>
                </w:tcPr>
                <w:p w14:paraId="30DA57E3">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en-US" w:eastAsia="zh-CN"/>
                    </w:rPr>
                  </w:pPr>
                  <w:r>
                    <w:rPr>
                      <w:rFonts w:hint="default" w:ascii="Times New Roman" w:hAnsi="Times New Roman" w:eastAsia="宋体" w:cs="Times New Roman"/>
                      <w:snapToGrid w:val="0"/>
                      <w:color w:val="auto"/>
                      <w:kern w:val="0"/>
                      <w:sz w:val="21"/>
                      <w:szCs w:val="21"/>
                      <w:lang w:val="en-US" w:eastAsia="zh-CN"/>
                    </w:rPr>
                    <w:t>W1</w:t>
                  </w:r>
                </w:p>
              </w:tc>
              <w:tc>
                <w:tcPr>
                  <w:tcW w:w="1021" w:type="pct"/>
                  <w:shd w:val="clear" w:color="auto" w:fill="auto"/>
                  <w:noWrap w:val="0"/>
                  <w:vAlign w:val="center"/>
                </w:tcPr>
                <w:p w14:paraId="3C3A374F">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en-US" w:eastAsia="zh-CN"/>
                    </w:rPr>
                  </w:pPr>
                  <w:r>
                    <w:rPr>
                      <w:rFonts w:hint="default" w:ascii="Times New Roman" w:hAnsi="Times New Roman" w:eastAsia="宋体" w:cs="Times New Roman"/>
                      <w:snapToGrid w:val="0"/>
                      <w:color w:val="auto"/>
                      <w:kern w:val="0"/>
                      <w:sz w:val="21"/>
                      <w:szCs w:val="21"/>
                      <w:lang w:val="en-US" w:eastAsia="zh-CN"/>
                    </w:rPr>
                    <w:t>焊接冷却</w:t>
                  </w:r>
                </w:p>
              </w:tc>
              <w:tc>
                <w:tcPr>
                  <w:tcW w:w="928" w:type="pct"/>
                  <w:gridSpan w:val="2"/>
                  <w:shd w:val="clear" w:color="auto" w:fill="auto"/>
                  <w:noWrap w:val="0"/>
                  <w:vAlign w:val="center"/>
                </w:tcPr>
                <w:p w14:paraId="16D4E82E">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en-US" w:eastAsia="zh-CN"/>
                    </w:rPr>
                  </w:pPr>
                  <w:r>
                    <w:rPr>
                      <w:rFonts w:hint="default" w:ascii="Times New Roman" w:hAnsi="Times New Roman" w:eastAsia="宋体" w:cs="Times New Roman"/>
                      <w:snapToGrid w:val="0"/>
                      <w:color w:val="auto"/>
                      <w:kern w:val="0"/>
                      <w:sz w:val="21"/>
                      <w:szCs w:val="21"/>
                      <w:lang w:val="en-US" w:eastAsia="zh-CN"/>
                    </w:rPr>
                    <w:t>冷却水</w:t>
                  </w:r>
                </w:p>
              </w:tc>
              <w:tc>
                <w:tcPr>
                  <w:tcW w:w="1392" w:type="pct"/>
                  <w:shd w:val="clear" w:color="auto" w:fill="auto"/>
                  <w:noWrap w:val="0"/>
                  <w:vAlign w:val="center"/>
                </w:tcPr>
                <w:p w14:paraId="3E874474">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en-US" w:eastAsia="zh-CN"/>
                    </w:rPr>
                  </w:pPr>
                  <w:r>
                    <w:rPr>
                      <w:rFonts w:hint="default" w:ascii="Times New Roman" w:hAnsi="Times New Roman" w:eastAsia="宋体" w:cs="Times New Roman"/>
                      <w:snapToGrid w:val="0"/>
                      <w:color w:val="auto"/>
                      <w:kern w:val="0"/>
                      <w:sz w:val="21"/>
                      <w:szCs w:val="21"/>
                      <w:lang w:val="en-US" w:eastAsia="zh-CN"/>
                    </w:rPr>
                    <w:t>SS</w:t>
                  </w:r>
                </w:p>
              </w:tc>
            </w:tr>
            <w:tr w14:paraId="46EF6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731" w:type="pct"/>
                  <w:vMerge w:val="continue"/>
                  <w:shd w:val="clear" w:color="auto" w:fill="auto"/>
                  <w:noWrap w:val="0"/>
                  <w:vAlign w:val="center"/>
                </w:tcPr>
                <w:p w14:paraId="76C44BC5">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rPr>
                  </w:pPr>
                </w:p>
              </w:tc>
              <w:tc>
                <w:tcPr>
                  <w:tcW w:w="927" w:type="pct"/>
                  <w:shd w:val="clear" w:color="auto" w:fill="auto"/>
                  <w:noWrap w:val="0"/>
                  <w:vAlign w:val="center"/>
                </w:tcPr>
                <w:p w14:paraId="1EBAAD23">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w:t>
                  </w:r>
                </w:p>
              </w:tc>
              <w:tc>
                <w:tcPr>
                  <w:tcW w:w="1021" w:type="pct"/>
                  <w:shd w:val="clear" w:color="auto" w:fill="auto"/>
                  <w:noWrap w:val="0"/>
                  <w:vAlign w:val="center"/>
                </w:tcPr>
                <w:p w14:paraId="4FAD5BFF">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员工</w:t>
                  </w:r>
                </w:p>
              </w:tc>
              <w:tc>
                <w:tcPr>
                  <w:tcW w:w="928" w:type="pct"/>
                  <w:gridSpan w:val="2"/>
                  <w:shd w:val="clear" w:color="auto" w:fill="auto"/>
                  <w:noWrap w:val="0"/>
                  <w:vAlign w:val="center"/>
                </w:tcPr>
                <w:p w14:paraId="73065B24">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生活污水</w:t>
                  </w:r>
                </w:p>
              </w:tc>
              <w:tc>
                <w:tcPr>
                  <w:tcW w:w="1392" w:type="pct"/>
                  <w:shd w:val="clear" w:color="auto" w:fill="auto"/>
                  <w:noWrap w:val="0"/>
                  <w:vAlign w:val="center"/>
                </w:tcPr>
                <w:p w14:paraId="56B46B28">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COD、BOD</w:t>
                  </w:r>
                  <w:r>
                    <w:rPr>
                      <w:rFonts w:hint="default" w:ascii="Times New Roman" w:hAnsi="Times New Roman" w:eastAsia="宋体" w:cs="Times New Roman"/>
                      <w:snapToGrid w:val="0"/>
                      <w:color w:val="auto"/>
                      <w:kern w:val="0"/>
                      <w:sz w:val="21"/>
                      <w:szCs w:val="21"/>
                      <w:vertAlign w:val="subscript"/>
                      <w:lang w:val="zh-CN"/>
                    </w:rPr>
                    <w:t>5</w:t>
                  </w:r>
                  <w:r>
                    <w:rPr>
                      <w:rFonts w:hint="default" w:ascii="Times New Roman" w:hAnsi="Times New Roman" w:eastAsia="宋体" w:cs="Times New Roman"/>
                      <w:snapToGrid w:val="0"/>
                      <w:color w:val="auto"/>
                      <w:kern w:val="0"/>
                      <w:sz w:val="21"/>
                      <w:szCs w:val="21"/>
                      <w:lang w:val="zh-CN"/>
                    </w:rPr>
                    <w:t>、SS、NH</w:t>
                  </w:r>
                  <w:r>
                    <w:rPr>
                      <w:rFonts w:hint="default" w:ascii="Times New Roman" w:hAnsi="Times New Roman" w:eastAsia="宋体" w:cs="Times New Roman"/>
                      <w:snapToGrid w:val="0"/>
                      <w:color w:val="auto"/>
                      <w:kern w:val="0"/>
                      <w:sz w:val="21"/>
                      <w:szCs w:val="21"/>
                      <w:vertAlign w:val="subscript"/>
                      <w:lang w:val="zh-CN"/>
                    </w:rPr>
                    <w:t>3</w:t>
                  </w:r>
                  <w:r>
                    <w:rPr>
                      <w:rFonts w:hint="default" w:ascii="Times New Roman" w:hAnsi="Times New Roman" w:eastAsia="宋体" w:cs="Times New Roman"/>
                      <w:snapToGrid w:val="0"/>
                      <w:color w:val="auto"/>
                      <w:kern w:val="0"/>
                      <w:sz w:val="21"/>
                      <w:szCs w:val="21"/>
                      <w:lang w:val="zh-CN"/>
                    </w:rPr>
                    <w:t>-N、TP等</w:t>
                  </w:r>
                </w:p>
              </w:tc>
            </w:tr>
            <w:tr w14:paraId="7C409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731" w:type="pct"/>
                  <w:vMerge w:val="restart"/>
                  <w:shd w:val="clear" w:color="auto" w:fill="auto"/>
                  <w:noWrap w:val="0"/>
                  <w:vAlign w:val="center"/>
                </w:tcPr>
                <w:p w14:paraId="5BDA5CE6">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废气</w:t>
                  </w:r>
                </w:p>
              </w:tc>
              <w:tc>
                <w:tcPr>
                  <w:tcW w:w="927" w:type="pct"/>
                  <w:shd w:val="clear" w:color="auto" w:fill="auto"/>
                  <w:noWrap w:val="0"/>
                  <w:vAlign w:val="center"/>
                </w:tcPr>
                <w:p w14:paraId="543FBD5F">
                  <w:pPr>
                    <w:keepNext w:val="0"/>
                    <w:keepLines w:val="0"/>
                    <w:pageBreakBefore w:val="0"/>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G1</w:t>
                  </w:r>
                </w:p>
              </w:tc>
              <w:tc>
                <w:tcPr>
                  <w:tcW w:w="1021" w:type="pct"/>
                  <w:shd w:val="clear" w:color="auto" w:fill="auto"/>
                  <w:noWrap w:val="0"/>
                  <w:vAlign w:val="center"/>
                </w:tcPr>
                <w:p w14:paraId="67D81661">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eastAsia="zh-CN"/>
                    </w:rPr>
                  </w:pPr>
                  <w:r>
                    <w:rPr>
                      <w:rFonts w:hint="default" w:ascii="Times New Roman" w:hAnsi="Times New Roman" w:eastAsia="宋体" w:cs="Times New Roman"/>
                      <w:snapToGrid w:val="0"/>
                      <w:color w:val="auto"/>
                      <w:kern w:val="0"/>
                      <w:sz w:val="21"/>
                      <w:szCs w:val="21"/>
                      <w:lang w:val="en-US" w:eastAsia="zh-CN"/>
                    </w:rPr>
                    <w:t>焊接</w:t>
                  </w:r>
                </w:p>
              </w:tc>
              <w:tc>
                <w:tcPr>
                  <w:tcW w:w="928" w:type="pct"/>
                  <w:gridSpan w:val="2"/>
                  <w:shd w:val="clear" w:color="auto" w:fill="auto"/>
                  <w:noWrap w:val="0"/>
                  <w:vAlign w:val="center"/>
                </w:tcPr>
                <w:p w14:paraId="781AB6E8">
                  <w:pPr>
                    <w:keepNext w:val="0"/>
                    <w:keepLines w:val="0"/>
                    <w:pageBreakBefore w:val="0"/>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eastAsia="zh-CN"/>
                    </w:rPr>
                  </w:pPr>
                  <w:r>
                    <w:rPr>
                      <w:rFonts w:hint="default" w:ascii="Times New Roman" w:hAnsi="Times New Roman" w:eastAsia="宋体" w:cs="Times New Roman"/>
                      <w:snapToGrid w:val="0"/>
                      <w:color w:val="auto"/>
                      <w:kern w:val="0"/>
                      <w:sz w:val="21"/>
                      <w:szCs w:val="21"/>
                      <w:lang w:val="en-US" w:eastAsia="zh-CN"/>
                    </w:rPr>
                    <w:t>焊接</w:t>
                  </w:r>
                  <w:r>
                    <w:rPr>
                      <w:rFonts w:hint="eastAsia" w:cs="Times New Roman"/>
                      <w:snapToGrid w:val="0"/>
                      <w:color w:val="auto"/>
                      <w:kern w:val="0"/>
                      <w:sz w:val="21"/>
                      <w:szCs w:val="21"/>
                      <w:lang w:val="en-US" w:eastAsia="zh-CN"/>
                    </w:rPr>
                    <w:t>、补锌</w:t>
                  </w:r>
                  <w:r>
                    <w:rPr>
                      <w:rFonts w:hint="default" w:ascii="Times New Roman" w:hAnsi="Times New Roman" w:eastAsia="宋体" w:cs="Times New Roman"/>
                      <w:snapToGrid w:val="0"/>
                      <w:color w:val="auto"/>
                      <w:kern w:val="0"/>
                      <w:sz w:val="21"/>
                      <w:szCs w:val="21"/>
                      <w:lang w:val="en-US" w:eastAsia="zh-CN"/>
                    </w:rPr>
                    <w:t>烟尘</w:t>
                  </w:r>
                </w:p>
              </w:tc>
              <w:tc>
                <w:tcPr>
                  <w:tcW w:w="1392" w:type="pct"/>
                  <w:shd w:val="clear" w:color="auto" w:fill="auto"/>
                  <w:noWrap w:val="0"/>
                  <w:vAlign w:val="center"/>
                </w:tcPr>
                <w:p w14:paraId="6FE00A71">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颗粒物</w:t>
                  </w:r>
                </w:p>
              </w:tc>
            </w:tr>
            <w:tr w14:paraId="01E1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jc w:val="center"/>
              </w:trPr>
              <w:tc>
                <w:tcPr>
                  <w:tcW w:w="731" w:type="pct"/>
                  <w:vMerge w:val="continue"/>
                  <w:shd w:val="clear" w:color="auto" w:fill="auto"/>
                  <w:noWrap w:val="0"/>
                  <w:vAlign w:val="center"/>
                </w:tcPr>
                <w:p w14:paraId="00803E00">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p>
              </w:tc>
              <w:tc>
                <w:tcPr>
                  <w:tcW w:w="927" w:type="pct"/>
                  <w:shd w:val="clear" w:color="auto" w:fill="auto"/>
                  <w:noWrap w:val="0"/>
                  <w:vAlign w:val="center"/>
                </w:tcPr>
                <w:p w14:paraId="2B467FFC">
                  <w:pPr>
                    <w:keepNext w:val="0"/>
                    <w:keepLines w:val="0"/>
                    <w:pageBreakBefore w:val="0"/>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en-US" w:eastAsia="zh-CN"/>
                    </w:rPr>
                  </w:pPr>
                  <w:r>
                    <w:rPr>
                      <w:rFonts w:hint="default" w:ascii="Times New Roman" w:hAnsi="Times New Roman" w:eastAsia="宋体" w:cs="Times New Roman"/>
                      <w:snapToGrid w:val="0"/>
                      <w:color w:val="auto"/>
                      <w:kern w:val="0"/>
                      <w:sz w:val="21"/>
                      <w:szCs w:val="21"/>
                      <w:lang w:val="en-US" w:eastAsia="zh-CN"/>
                    </w:rPr>
                    <w:t>T</w:t>
                  </w:r>
                </w:p>
              </w:tc>
              <w:tc>
                <w:tcPr>
                  <w:tcW w:w="1021" w:type="pct"/>
                  <w:shd w:val="clear" w:color="auto" w:fill="auto"/>
                  <w:noWrap w:val="0"/>
                  <w:vAlign w:val="center"/>
                </w:tcPr>
                <w:p w14:paraId="7839F5DB">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en-US" w:eastAsia="zh-CN"/>
                    </w:rPr>
                  </w:pPr>
                  <w:r>
                    <w:rPr>
                      <w:rFonts w:hint="default" w:ascii="Times New Roman" w:hAnsi="Times New Roman" w:eastAsia="宋体" w:cs="Times New Roman"/>
                      <w:snapToGrid w:val="0"/>
                      <w:color w:val="auto"/>
                      <w:kern w:val="0"/>
                      <w:sz w:val="21"/>
                      <w:szCs w:val="21"/>
                      <w:lang w:val="en-US" w:eastAsia="zh-CN"/>
                    </w:rPr>
                    <w:t>切割</w:t>
                  </w:r>
                </w:p>
              </w:tc>
              <w:tc>
                <w:tcPr>
                  <w:tcW w:w="928" w:type="pct"/>
                  <w:gridSpan w:val="2"/>
                  <w:shd w:val="clear" w:color="auto" w:fill="auto"/>
                  <w:noWrap w:val="0"/>
                  <w:vAlign w:val="center"/>
                </w:tcPr>
                <w:p w14:paraId="572FB8A1">
                  <w:pPr>
                    <w:keepNext w:val="0"/>
                    <w:keepLines w:val="0"/>
                    <w:pageBreakBefore w:val="0"/>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en-US" w:eastAsia="zh-CN"/>
                    </w:rPr>
                    <w:t>切割粉尘</w:t>
                  </w:r>
                </w:p>
              </w:tc>
              <w:tc>
                <w:tcPr>
                  <w:tcW w:w="1392" w:type="pct"/>
                  <w:shd w:val="clear" w:color="auto" w:fill="auto"/>
                  <w:noWrap w:val="0"/>
                  <w:vAlign w:val="center"/>
                </w:tcPr>
                <w:p w14:paraId="6C595282">
                  <w:pPr>
                    <w:keepNext w:val="0"/>
                    <w:keepLines w:val="0"/>
                    <w:pageBreakBefore w:val="0"/>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颗粒物</w:t>
                  </w:r>
                </w:p>
              </w:tc>
            </w:tr>
            <w:tr w14:paraId="4702A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1" w:type="pct"/>
                  <w:vMerge w:val="restart"/>
                  <w:shd w:val="clear" w:color="auto" w:fill="auto"/>
                  <w:noWrap w:val="0"/>
                  <w:vAlign w:val="center"/>
                </w:tcPr>
                <w:p w14:paraId="774918A3">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固废</w:t>
                  </w:r>
                </w:p>
              </w:tc>
              <w:tc>
                <w:tcPr>
                  <w:tcW w:w="927" w:type="pct"/>
                  <w:shd w:val="clear" w:color="auto" w:fill="auto"/>
                  <w:noWrap w:val="0"/>
                  <w:vAlign w:val="center"/>
                </w:tcPr>
                <w:p w14:paraId="3D9E45F6">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S1</w:t>
                  </w:r>
                </w:p>
              </w:tc>
              <w:tc>
                <w:tcPr>
                  <w:tcW w:w="1021" w:type="pct"/>
                  <w:shd w:val="clear" w:color="auto" w:fill="auto"/>
                  <w:noWrap w:val="0"/>
                  <w:vAlign w:val="center"/>
                </w:tcPr>
                <w:p w14:paraId="49075884">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en-US" w:eastAsia="zh-CN"/>
                    </w:rPr>
                  </w:pPr>
                  <w:r>
                    <w:rPr>
                      <w:rFonts w:hint="eastAsia" w:ascii="Times New Roman" w:hAnsi="Times New Roman" w:eastAsia="宋体" w:cs="Times New Roman"/>
                      <w:snapToGrid w:val="0"/>
                      <w:color w:val="auto"/>
                      <w:kern w:val="0"/>
                      <w:sz w:val="21"/>
                      <w:szCs w:val="21"/>
                      <w:lang w:val="en-US" w:eastAsia="zh-CN"/>
                    </w:rPr>
                    <w:t>裁剪分条</w:t>
                  </w:r>
                </w:p>
              </w:tc>
              <w:tc>
                <w:tcPr>
                  <w:tcW w:w="2320" w:type="pct"/>
                  <w:gridSpan w:val="3"/>
                  <w:shd w:val="clear" w:color="auto" w:fill="auto"/>
                  <w:noWrap w:val="0"/>
                  <w:vAlign w:val="center"/>
                </w:tcPr>
                <w:p w14:paraId="2A047D62">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en-US" w:eastAsia="zh-CN"/>
                    </w:rPr>
                  </w:pPr>
                  <w:r>
                    <w:rPr>
                      <w:rFonts w:hint="default" w:ascii="Times New Roman" w:hAnsi="Times New Roman" w:eastAsia="宋体" w:cs="Times New Roman"/>
                      <w:snapToGrid w:val="0"/>
                      <w:color w:val="auto"/>
                      <w:kern w:val="0"/>
                      <w:sz w:val="21"/>
                      <w:szCs w:val="21"/>
                      <w:lang w:val="en-US" w:eastAsia="zh-CN"/>
                    </w:rPr>
                    <w:t>废弃边角料</w:t>
                  </w:r>
                </w:p>
              </w:tc>
            </w:tr>
            <w:tr w14:paraId="6BB8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1" w:type="pct"/>
                  <w:vMerge w:val="continue"/>
                  <w:shd w:val="clear" w:color="auto" w:fill="auto"/>
                  <w:noWrap w:val="0"/>
                  <w:vAlign w:val="center"/>
                </w:tcPr>
                <w:p w14:paraId="263A2C2A">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p>
              </w:tc>
              <w:tc>
                <w:tcPr>
                  <w:tcW w:w="927" w:type="pct"/>
                  <w:shd w:val="clear" w:color="auto" w:fill="auto"/>
                  <w:noWrap w:val="0"/>
                  <w:vAlign w:val="center"/>
                </w:tcPr>
                <w:p w14:paraId="1DCF0F9B">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en-US" w:eastAsia="zh-CN"/>
                    </w:rPr>
                    <w:t>S2</w:t>
                  </w:r>
                </w:p>
              </w:tc>
              <w:tc>
                <w:tcPr>
                  <w:tcW w:w="1021" w:type="pct"/>
                  <w:shd w:val="clear" w:color="auto" w:fill="auto"/>
                  <w:noWrap w:val="0"/>
                  <w:vAlign w:val="center"/>
                </w:tcPr>
                <w:p w14:paraId="3038DF75">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en-US" w:eastAsia="zh-CN"/>
                    </w:rPr>
                  </w:pPr>
                  <w:r>
                    <w:rPr>
                      <w:rFonts w:hint="default" w:ascii="Times New Roman" w:hAnsi="Times New Roman" w:eastAsia="宋体" w:cs="Times New Roman"/>
                      <w:snapToGrid w:val="0"/>
                      <w:color w:val="auto"/>
                      <w:kern w:val="0"/>
                      <w:sz w:val="21"/>
                      <w:szCs w:val="21"/>
                      <w:lang w:val="en-US" w:eastAsia="zh-CN"/>
                    </w:rPr>
                    <w:t>刮疤</w:t>
                  </w:r>
                </w:p>
              </w:tc>
              <w:tc>
                <w:tcPr>
                  <w:tcW w:w="2320" w:type="pct"/>
                  <w:gridSpan w:val="3"/>
                  <w:shd w:val="clear" w:color="auto" w:fill="auto"/>
                  <w:noWrap w:val="0"/>
                  <w:vAlign w:val="center"/>
                </w:tcPr>
                <w:p w14:paraId="36A76763">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en-US" w:eastAsia="zh-CN"/>
                    </w:rPr>
                  </w:pPr>
                  <w:r>
                    <w:rPr>
                      <w:rFonts w:hint="default" w:ascii="Times New Roman" w:hAnsi="Times New Roman" w:eastAsia="宋体" w:cs="Times New Roman"/>
                      <w:snapToGrid w:val="0"/>
                      <w:color w:val="auto"/>
                      <w:kern w:val="0"/>
                      <w:sz w:val="21"/>
                      <w:szCs w:val="21"/>
                      <w:lang w:val="en-US" w:eastAsia="zh-CN"/>
                    </w:rPr>
                    <w:t>废弃边角料</w:t>
                  </w:r>
                </w:p>
              </w:tc>
            </w:tr>
            <w:tr w14:paraId="2AF4A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1" w:type="pct"/>
                  <w:vMerge w:val="continue"/>
                  <w:shd w:val="clear" w:color="auto" w:fill="auto"/>
                  <w:noWrap w:val="0"/>
                  <w:vAlign w:val="center"/>
                </w:tcPr>
                <w:p w14:paraId="72C5E58D">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p>
              </w:tc>
              <w:tc>
                <w:tcPr>
                  <w:tcW w:w="927" w:type="pct"/>
                  <w:shd w:val="clear" w:color="auto" w:fill="auto"/>
                  <w:noWrap w:val="0"/>
                  <w:vAlign w:val="center"/>
                </w:tcPr>
                <w:p w14:paraId="5996293A">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en-US" w:eastAsia="zh-CN"/>
                    </w:rPr>
                  </w:pPr>
                  <w:r>
                    <w:rPr>
                      <w:rFonts w:hint="default" w:ascii="Times New Roman" w:hAnsi="Times New Roman" w:eastAsia="宋体" w:cs="Times New Roman"/>
                      <w:snapToGrid w:val="0"/>
                      <w:color w:val="auto"/>
                      <w:kern w:val="0"/>
                      <w:sz w:val="21"/>
                      <w:szCs w:val="21"/>
                      <w:lang w:val="en-US" w:eastAsia="zh-CN"/>
                    </w:rPr>
                    <w:t>S3</w:t>
                  </w:r>
                </w:p>
              </w:tc>
              <w:tc>
                <w:tcPr>
                  <w:tcW w:w="1021" w:type="pct"/>
                  <w:shd w:val="clear" w:color="auto" w:fill="auto"/>
                  <w:noWrap w:val="0"/>
                  <w:vAlign w:val="center"/>
                </w:tcPr>
                <w:p w14:paraId="0EDA40B4">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en-US" w:eastAsia="zh-CN"/>
                    </w:rPr>
                  </w:pPr>
                  <w:r>
                    <w:rPr>
                      <w:rFonts w:hint="eastAsia" w:ascii="Times New Roman" w:hAnsi="Times New Roman" w:eastAsia="宋体" w:cs="Times New Roman"/>
                      <w:snapToGrid w:val="0"/>
                      <w:color w:val="auto"/>
                      <w:kern w:val="0"/>
                      <w:sz w:val="21"/>
                      <w:szCs w:val="21"/>
                      <w:lang w:val="en-US" w:eastAsia="zh-CN"/>
                    </w:rPr>
                    <w:t>冷却循环水池</w:t>
                  </w:r>
                </w:p>
              </w:tc>
              <w:tc>
                <w:tcPr>
                  <w:tcW w:w="2320" w:type="pct"/>
                  <w:gridSpan w:val="3"/>
                  <w:shd w:val="clear" w:color="auto" w:fill="auto"/>
                  <w:noWrap w:val="0"/>
                  <w:vAlign w:val="center"/>
                </w:tcPr>
                <w:p w14:paraId="588CDC8F">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en-US" w:eastAsia="zh-CN"/>
                    </w:rPr>
                  </w:pPr>
                  <w:r>
                    <w:rPr>
                      <w:rFonts w:hint="eastAsia" w:ascii="Times New Roman" w:hAnsi="Times New Roman" w:eastAsia="宋体" w:cs="Times New Roman"/>
                      <w:snapToGrid w:val="0"/>
                      <w:color w:val="auto"/>
                      <w:kern w:val="0"/>
                      <w:sz w:val="21"/>
                      <w:szCs w:val="21"/>
                      <w:lang w:val="en-US" w:eastAsia="zh-CN"/>
                    </w:rPr>
                    <w:t>沉渣</w:t>
                  </w:r>
                </w:p>
              </w:tc>
            </w:tr>
            <w:tr w14:paraId="2997F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731" w:type="pct"/>
                  <w:vMerge w:val="continue"/>
                  <w:shd w:val="clear" w:color="auto" w:fill="auto"/>
                  <w:noWrap w:val="0"/>
                  <w:vAlign w:val="center"/>
                </w:tcPr>
                <w:p w14:paraId="132C3C7F">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p>
              </w:tc>
              <w:tc>
                <w:tcPr>
                  <w:tcW w:w="927" w:type="pct"/>
                  <w:shd w:val="clear" w:color="auto" w:fill="auto"/>
                  <w:noWrap w:val="0"/>
                  <w:vAlign w:val="center"/>
                </w:tcPr>
                <w:p w14:paraId="307A8063">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en-US" w:eastAsia="zh-CN"/>
                    </w:rPr>
                  </w:pPr>
                  <w:r>
                    <w:rPr>
                      <w:rFonts w:hint="default" w:ascii="Times New Roman" w:hAnsi="Times New Roman" w:eastAsia="宋体" w:cs="Times New Roman"/>
                      <w:snapToGrid w:val="0"/>
                      <w:color w:val="auto"/>
                      <w:kern w:val="0"/>
                      <w:sz w:val="21"/>
                      <w:szCs w:val="21"/>
                      <w:lang w:val="en-US" w:eastAsia="zh-CN"/>
                    </w:rPr>
                    <w:t>S4</w:t>
                  </w:r>
                </w:p>
              </w:tc>
              <w:tc>
                <w:tcPr>
                  <w:tcW w:w="1021" w:type="pct"/>
                  <w:shd w:val="clear" w:color="auto" w:fill="auto"/>
                  <w:noWrap w:val="0"/>
                  <w:vAlign w:val="center"/>
                </w:tcPr>
                <w:p w14:paraId="5C69F020">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en-US" w:eastAsia="zh-CN" w:bidi="ar-SA"/>
                    </w:rPr>
                  </w:pPr>
                  <w:r>
                    <w:rPr>
                      <w:rFonts w:hint="default" w:ascii="Times New Roman" w:hAnsi="Times New Roman" w:eastAsia="宋体" w:cs="Times New Roman"/>
                      <w:snapToGrid w:val="0"/>
                      <w:color w:val="auto"/>
                      <w:kern w:val="0"/>
                      <w:sz w:val="21"/>
                      <w:szCs w:val="21"/>
                      <w:lang w:val="en-US" w:eastAsia="zh-CN"/>
                    </w:rPr>
                    <w:t>切割</w:t>
                  </w:r>
                </w:p>
              </w:tc>
              <w:tc>
                <w:tcPr>
                  <w:tcW w:w="2320" w:type="pct"/>
                  <w:gridSpan w:val="3"/>
                  <w:shd w:val="clear" w:color="auto" w:fill="auto"/>
                  <w:noWrap w:val="0"/>
                  <w:vAlign w:val="center"/>
                </w:tcPr>
                <w:p w14:paraId="6C94EEB8">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en-US" w:eastAsia="zh-CN" w:bidi="ar-SA"/>
                    </w:rPr>
                  </w:pPr>
                  <w:r>
                    <w:rPr>
                      <w:rFonts w:hint="default" w:ascii="Times New Roman" w:hAnsi="Times New Roman" w:eastAsia="宋体" w:cs="Times New Roman"/>
                      <w:snapToGrid w:val="0"/>
                      <w:color w:val="auto"/>
                      <w:kern w:val="0"/>
                      <w:sz w:val="21"/>
                      <w:szCs w:val="21"/>
                      <w:lang w:val="en-US" w:eastAsia="zh-CN"/>
                    </w:rPr>
                    <w:t>切割碎屑</w:t>
                  </w:r>
                </w:p>
              </w:tc>
            </w:tr>
            <w:tr w14:paraId="60BCD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731" w:type="pct"/>
                  <w:vMerge w:val="continue"/>
                  <w:shd w:val="clear" w:color="auto" w:fill="auto"/>
                  <w:noWrap w:val="0"/>
                  <w:vAlign w:val="center"/>
                </w:tcPr>
                <w:p w14:paraId="3295E6FA">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p>
              </w:tc>
              <w:tc>
                <w:tcPr>
                  <w:tcW w:w="927" w:type="pct"/>
                  <w:shd w:val="clear" w:color="auto" w:fill="auto"/>
                  <w:noWrap w:val="0"/>
                  <w:vAlign w:val="center"/>
                </w:tcPr>
                <w:p w14:paraId="6E91C432">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w:t>
                  </w:r>
                </w:p>
              </w:tc>
              <w:tc>
                <w:tcPr>
                  <w:tcW w:w="1021" w:type="pct"/>
                  <w:shd w:val="clear" w:color="auto" w:fill="auto"/>
                  <w:noWrap w:val="0"/>
                  <w:vAlign w:val="center"/>
                </w:tcPr>
                <w:p w14:paraId="02701966">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en-US" w:eastAsia="zh-CN"/>
                    </w:rPr>
                  </w:pPr>
                  <w:r>
                    <w:rPr>
                      <w:rFonts w:hint="default" w:ascii="Times New Roman" w:hAnsi="Times New Roman" w:eastAsia="宋体" w:cs="Times New Roman"/>
                      <w:snapToGrid w:val="0"/>
                      <w:color w:val="auto"/>
                      <w:kern w:val="0"/>
                      <w:sz w:val="21"/>
                      <w:szCs w:val="21"/>
                      <w:lang w:val="en-US" w:eastAsia="zh-CN"/>
                    </w:rPr>
                    <w:t>设备维护</w:t>
                  </w:r>
                </w:p>
              </w:tc>
              <w:tc>
                <w:tcPr>
                  <w:tcW w:w="2320" w:type="pct"/>
                  <w:gridSpan w:val="3"/>
                  <w:shd w:val="clear" w:color="auto" w:fill="auto"/>
                  <w:noWrap w:val="0"/>
                  <w:vAlign w:val="center"/>
                </w:tcPr>
                <w:p w14:paraId="27D927A1">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en-US" w:eastAsia="zh-CN"/>
                    </w:rPr>
                  </w:pPr>
                  <w:r>
                    <w:rPr>
                      <w:rFonts w:hint="default" w:ascii="Times New Roman" w:hAnsi="Times New Roman" w:eastAsia="宋体" w:cs="Times New Roman"/>
                      <w:snapToGrid w:val="0"/>
                      <w:color w:val="auto"/>
                      <w:kern w:val="0"/>
                      <w:sz w:val="21"/>
                      <w:szCs w:val="21"/>
                      <w:lang w:val="en-US" w:eastAsia="zh-CN"/>
                    </w:rPr>
                    <w:t>废液压油</w:t>
                  </w:r>
                  <w:r>
                    <w:rPr>
                      <w:rFonts w:hint="eastAsia" w:ascii="Times New Roman" w:hAnsi="Times New Roman" w:eastAsia="宋体" w:cs="Times New Roman"/>
                      <w:snapToGrid w:val="0"/>
                      <w:color w:val="auto"/>
                      <w:kern w:val="0"/>
                      <w:sz w:val="21"/>
                      <w:szCs w:val="21"/>
                      <w:lang w:val="en-US" w:eastAsia="zh-CN"/>
                    </w:rPr>
                    <w:t>、废液压油桶</w:t>
                  </w:r>
                </w:p>
              </w:tc>
            </w:tr>
            <w:tr w14:paraId="74D56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1" w:type="pct"/>
                  <w:vMerge w:val="continue"/>
                  <w:shd w:val="clear" w:color="auto" w:fill="auto"/>
                  <w:noWrap w:val="0"/>
                  <w:vAlign w:val="center"/>
                </w:tcPr>
                <w:p w14:paraId="643309F0">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p>
              </w:tc>
              <w:tc>
                <w:tcPr>
                  <w:tcW w:w="927" w:type="pct"/>
                  <w:shd w:val="clear" w:color="auto" w:fill="auto"/>
                  <w:noWrap w:val="0"/>
                  <w:vAlign w:val="center"/>
                </w:tcPr>
                <w:p w14:paraId="145D89A9">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w:t>
                  </w:r>
                </w:p>
              </w:tc>
              <w:tc>
                <w:tcPr>
                  <w:tcW w:w="1021" w:type="pct"/>
                  <w:shd w:val="clear" w:color="auto" w:fill="auto"/>
                  <w:noWrap w:val="0"/>
                  <w:vAlign w:val="center"/>
                </w:tcPr>
                <w:p w14:paraId="75E6289C">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员工生活</w:t>
                  </w:r>
                </w:p>
              </w:tc>
              <w:tc>
                <w:tcPr>
                  <w:tcW w:w="2320" w:type="pct"/>
                  <w:gridSpan w:val="3"/>
                  <w:shd w:val="clear" w:color="auto" w:fill="auto"/>
                  <w:noWrap w:val="0"/>
                  <w:vAlign w:val="center"/>
                </w:tcPr>
                <w:p w14:paraId="3867D064">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生活垃圾</w:t>
                  </w:r>
                </w:p>
              </w:tc>
            </w:tr>
            <w:tr w14:paraId="1343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1" w:type="pct"/>
                  <w:vMerge w:val="continue"/>
                  <w:shd w:val="clear" w:color="auto" w:fill="auto"/>
                  <w:noWrap w:val="0"/>
                  <w:vAlign w:val="center"/>
                </w:tcPr>
                <w:p w14:paraId="5874364E">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p>
              </w:tc>
              <w:tc>
                <w:tcPr>
                  <w:tcW w:w="927" w:type="pct"/>
                  <w:shd w:val="clear" w:color="auto" w:fill="auto"/>
                  <w:noWrap w:val="0"/>
                  <w:vAlign w:val="center"/>
                </w:tcPr>
                <w:p w14:paraId="091A6D32">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w:t>
                  </w:r>
                </w:p>
              </w:tc>
              <w:tc>
                <w:tcPr>
                  <w:tcW w:w="1021" w:type="pct"/>
                  <w:shd w:val="clear" w:color="auto" w:fill="auto"/>
                  <w:noWrap w:val="0"/>
                  <w:vAlign w:val="center"/>
                </w:tcPr>
                <w:p w14:paraId="5B16FDD6">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化粪池</w:t>
                  </w:r>
                </w:p>
              </w:tc>
              <w:tc>
                <w:tcPr>
                  <w:tcW w:w="2320" w:type="pct"/>
                  <w:gridSpan w:val="3"/>
                  <w:shd w:val="clear" w:color="auto" w:fill="auto"/>
                  <w:noWrap w:val="0"/>
                  <w:vAlign w:val="center"/>
                </w:tcPr>
                <w:p w14:paraId="24E72C11">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化粪池污泥</w:t>
                  </w:r>
                </w:p>
              </w:tc>
            </w:tr>
            <w:tr w14:paraId="0D890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731" w:type="pct"/>
                  <w:shd w:val="clear" w:color="auto" w:fill="auto"/>
                  <w:noWrap w:val="0"/>
                  <w:vAlign w:val="center"/>
                </w:tcPr>
                <w:p w14:paraId="776D5F53">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噪声</w:t>
                  </w:r>
                </w:p>
              </w:tc>
              <w:tc>
                <w:tcPr>
                  <w:tcW w:w="927" w:type="pct"/>
                  <w:shd w:val="clear" w:color="auto" w:fill="auto"/>
                  <w:noWrap w:val="0"/>
                  <w:vAlign w:val="center"/>
                </w:tcPr>
                <w:p w14:paraId="024EDB45">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zh-CN"/>
                    </w:rPr>
                    <w:t>N</w:t>
                  </w:r>
                </w:p>
              </w:tc>
              <w:tc>
                <w:tcPr>
                  <w:tcW w:w="1021" w:type="pct"/>
                  <w:shd w:val="clear" w:color="auto" w:fill="auto"/>
                  <w:noWrap w:val="0"/>
                  <w:vAlign w:val="center"/>
                </w:tcPr>
                <w:p w14:paraId="505BEBFA">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生产加工设备</w:t>
                  </w:r>
                </w:p>
              </w:tc>
              <w:tc>
                <w:tcPr>
                  <w:tcW w:w="679" w:type="pct"/>
                  <w:shd w:val="clear" w:color="auto" w:fill="auto"/>
                  <w:noWrap w:val="0"/>
                  <w:vAlign w:val="center"/>
                </w:tcPr>
                <w:p w14:paraId="379B0F62">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设备噪声</w:t>
                  </w:r>
                </w:p>
              </w:tc>
              <w:tc>
                <w:tcPr>
                  <w:tcW w:w="1641" w:type="pct"/>
                  <w:gridSpan w:val="2"/>
                  <w:shd w:val="clear" w:color="auto" w:fill="auto"/>
                  <w:noWrap w:val="0"/>
                  <w:vAlign w:val="center"/>
                </w:tcPr>
                <w:p w14:paraId="4648573A">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lang w:val="zh-CN"/>
                    </w:rPr>
                  </w:pPr>
                  <w:r>
                    <w:rPr>
                      <w:rFonts w:hint="default" w:ascii="Times New Roman" w:hAnsi="Times New Roman" w:eastAsia="宋体" w:cs="Times New Roman"/>
                      <w:snapToGrid w:val="0"/>
                      <w:color w:val="auto"/>
                      <w:kern w:val="0"/>
                      <w:sz w:val="21"/>
                      <w:szCs w:val="21"/>
                      <w:lang w:val="zh-CN"/>
                    </w:rPr>
                    <w:t>LeqdB</w:t>
                  </w:r>
                  <w:r>
                    <w:rPr>
                      <w:rFonts w:hint="default" w:ascii="Times New Roman" w:hAnsi="Times New Roman" w:cs="Times New Roman"/>
                      <w:snapToGrid w:val="0"/>
                      <w:color w:val="auto"/>
                      <w:kern w:val="0"/>
                      <w:sz w:val="21"/>
                      <w:szCs w:val="21"/>
                      <w:lang w:val="zh-CN"/>
                    </w:rPr>
                    <w:t>(</w:t>
                  </w:r>
                  <w:r>
                    <w:rPr>
                      <w:rFonts w:hint="default" w:ascii="Times New Roman" w:hAnsi="Times New Roman" w:eastAsia="宋体" w:cs="Times New Roman"/>
                      <w:snapToGrid w:val="0"/>
                      <w:color w:val="auto"/>
                      <w:kern w:val="0"/>
                      <w:sz w:val="21"/>
                      <w:szCs w:val="21"/>
                      <w:lang w:val="zh-CN"/>
                    </w:rPr>
                    <w:t>A</w:t>
                  </w:r>
                  <w:r>
                    <w:rPr>
                      <w:rFonts w:hint="default" w:ascii="Times New Roman" w:hAnsi="Times New Roman" w:cs="Times New Roman"/>
                      <w:snapToGrid w:val="0"/>
                      <w:color w:val="auto"/>
                      <w:kern w:val="0"/>
                      <w:sz w:val="21"/>
                      <w:szCs w:val="21"/>
                      <w:lang w:val="zh-CN"/>
                    </w:rPr>
                    <w:t>)</w:t>
                  </w:r>
                </w:p>
              </w:tc>
            </w:tr>
          </w:tbl>
          <w:p w14:paraId="07EDBCE5">
            <w:pPr>
              <w:pStyle w:val="32"/>
              <w:bidi w:val="0"/>
              <w:jc w:val="both"/>
              <w:rPr>
                <w:rFonts w:hint="default" w:eastAsia="宋体"/>
                <w:color w:val="auto"/>
                <w:vertAlign w:val="baseline"/>
                <w:lang w:val="en-US" w:eastAsia="zh-CN"/>
              </w:rPr>
            </w:pPr>
          </w:p>
        </w:tc>
      </w:tr>
      <w:tr w14:paraId="0FE39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6" w:type="dxa"/>
            <w:vAlign w:val="center"/>
          </w:tcPr>
          <w:p w14:paraId="7B583FC3">
            <w:pPr>
              <w:ind w:left="0" w:leftChars="0" w:firstLine="0" w:firstLineChars="0"/>
              <w:rPr>
                <w:rFonts w:hint="eastAsia"/>
                <w:color w:val="auto"/>
              </w:rPr>
            </w:pPr>
            <w:r>
              <w:rPr>
                <w:rFonts w:hint="eastAsia"/>
                <w:color w:val="auto"/>
              </w:rPr>
              <w:t>与项目有关的原有环境污染问题</w:t>
            </w:r>
          </w:p>
        </w:tc>
        <w:tc>
          <w:tcPr>
            <w:tcW w:w="8816" w:type="dxa"/>
            <w:vAlign w:val="top"/>
          </w:tcPr>
          <w:p w14:paraId="51A69F4B">
            <w:pPr>
              <w:ind w:left="0" w:leftChars="0" w:firstLine="0" w:firstLineChars="0"/>
              <w:rPr>
                <w:rFonts w:hint="eastAsia"/>
                <w:b/>
                <w:bCs/>
                <w:color w:val="auto"/>
                <w:lang w:val="en-US" w:eastAsia="zh-CN"/>
              </w:rPr>
            </w:pPr>
            <w:r>
              <w:rPr>
                <w:rFonts w:hint="eastAsia"/>
                <w:b/>
                <w:bCs/>
                <w:color w:val="auto"/>
                <w:lang w:val="en-US" w:eastAsia="zh-CN"/>
              </w:rPr>
              <w:t>十三、原有项目概况</w:t>
            </w:r>
          </w:p>
          <w:p w14:paraId="7A0F0015">
            <w:pPr>
              <w:bidi w:val="0"/>
              <w:rPr>
                <w:rFonts w:hint="default"/>
                <w:color w:val="auto"/>
                <w:lang w:val="en-US" w:eastAsia="zh-CN"/>
              </w:rPr>
            </w:pPr>
            <w:r>
              <w:rPr>
                <w:rFonts w:hint="eastAsia"/>
                <w:color w:val="auto"/>
                <w:lang w:val="en-US" w:eastAsia="zh-CN"/>
              </w:rPr>
              <w:t>云南省通海胜宝工贸有限公司成立于1998年，位于云南省玉溪市通海县纳古镇，主要经营范围包括：生产销售；带钢、焊管、异型材料、五金；销售包括：建筑材料；货物进出口。该公司已建设8条高频焊管生产线，可实现年产7万吨焊管生产能力，因公司成立时间早，原有项目未办理过相关环保手续。2021年8月12日玉溪市生态环境局通海分局在对公司进行现场检查时发现公司未采取措施向外环境排放含热冷却水，玉溪市生态环境局通海分局已于2021年9月26日对该违法行为进行处罚（通环罚字〔2021〕26号），建设单位已按照处罚要求缴纳罚金，并整改完成。2021年10月9日，公司对原有8条生产线进行改建，改建完成后，形成“年生产10万吨焊管产能提升技术改造项目”，该项目已完成8条生产线的改建，仅剩部分污染治理设施未建成，玉溪市生态环境局已于2025年11月25日对本项目进行立案调查</w:t>
            </w:r>
            <w:r>
              <w:rPr>
                <w:rFonts w:hint="eastAsia" w:ascii="Times New Roman" w:hAnsi="Times New Roman" w:cs="Times New Roman"/>
                <w:color w:val="auto"/>
                <w:lang w:val="en-US" w:eastAsia="zh-CN"/>
              </w:rPr>
              <w:t>（详见附件10）</w:t>
            </w:r>
            <w:r>
              <w:rPr>
                <w:rFonts w:hint="eastAsia"/>
                <w:color w:val="auto"/>
                <w:lang w:val="en-US" w:eastAsia="zh-CN"/>
              </w:rPr>
              <w:t>，并已缴纳处罚金。</w:t>
            </w:r>
          </w:p>
          <w:p w14:paraId="68BDB40B">
            <w:pPr>
              <w:bidi w:val="0"/>
              <w:ind w:left="0" w:leftChars="0" w:firstLine="0" w:firstLineChars="0"/>
              <w:rPr>
                <w:rFonts w:hint="eastAsia"/>
                <w:b/>
                <w:bCs/>
                <w:color w:val="auto"/>
                <w:lang w:val="en-US" w:eastAsia="zh-CN"/>
              </w:rPr>
            </w:pPr>
            <w:r>
              <w:rPr>
                <w:rFonts w:hint="eastAsia"/>
                <w:b/>
                <w:bCs/>
                <w:color w:val="auto"/>
                <w:lang w:val="en-US" w:eastAsia="zh-CN"/>
              </w:rPr>
              <w:t>十四、原有项目相关环保手续</w:t>
            </w:r>
          </w:p>
          <w:p w14:paraId="442B5098">
            <w:pPr>
              <w:bidi w:val="0"/>
              <w:rPr>
                <w:rFonts w:hint="default"/>
                <w:color w:val="auto"/>
                <w:lang w:val="en-US" w:eastAsia="zh-CN"/>
              </w:rPr>
            </w:pPr>
            <w:r>
              <w:rPr>
                <w:rFonts w:hint="eastAsia"/>
                <w:color w:val="auto"/>
                <w:lang w:val="en-US" w:eastAsia="zh-CN"/>
              </w:rPr>
              <w:t>由于建厂时间较为悠久，历史遗留问题较多导致原项目没有相关环保手续。</w:t>
            </w:r>
          </w:p>
          <w:p w14:paraId="445E137C">
            <w:pPr>
              <w:bidi w:val="0"/>
              <w:ind w:left="0" w:leftChars="0" w:firstLine="0" w:firstLineChars="0"/>
              <w:rPr>
                <w:rFonts w:hint="eastAsia"/>
                <w:b/>
                <w:bCs/>
                <w:color w:val="auto"/>
                <w:lang w:val="en-US" w:eastAsia="zh-CN"/>
              </w:rPr>
            </w:pPr>
            <w:r>
              <w:rPr>
                <w:rFonts w:hint="eastAsia"/>
                <w:b/>
                <w:bCs/>
                <w:color w:val="auto"/>
                <w:lang w:val="en-US" w:eastAsia="zh-CN"/>
              </w:rPr>
              <w:t>十五、原有工程建设情况</w:t>
            </w:r>
          </w:p>
          <w:p w14:paraId="4F589447">
            <w:pPr>
              <w:bidi w:val="0"/>
              <w:rPr>
                <w:rFonts w:hint="eastAsia"/>
                <w:color w:val="auto"/>
                <w:lang w:val="en-US" w:eastAsia="zh-CN"/>
              </w:rPr>
            </w:pPr>
            <w:r>
              <w:rPr>
                <w:rFonts w:hint="eastAsia"/>
                <w:color w:val="auto"/>
                <w:lang w:val="en-US" w:eastAsia="zh-CN"/>
              </w:rPr>
              <w:t>现场踏勘时，现有项目其建设内容如下所示：</w:t>
            </w:r>
          </w:p>
          <w:p w14:paraId="0CA4E5B7">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color w:val="auto"/>
                <w:sz w:val="24"/>
                <w:szCs w:val="24"/>
                <w:lang w:eastAsia="zh-CN"/>
              </w:rPr>
            </w:pPr>
            <w:r>
              <w:rPr>
                <w:color w:val="auto"/>
                <w:sz w:val="24"/>
                <w:szCs w:val="24"/>
              </w:rPr>
              <w:t>表2-</w:t>
            </w:r>
            <w:r>
              <w:rPr>
                <w:rFonts w:hint="eastAsia"/>
                <w:color w:val="auto"/>
                <w:sz w:val="24"/>
                <w:szCs w:val="24"/>
                <w:lang w:val="en-US" w:eastAsia="zh-CN"/>
              </w:rPr>
              <w:t>8</w:t>
            </w:r>
            <w:r>
              <w:rPr>
                <w:color w:val="auto"/>
                <w:sz w:val="24"/>
                <w:szCs w:val="24"/>
              </w:rPr>
              <w:t xml:space="preserve">  项目建设内容及环保设施设置情况表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450"/>
              <w:gridCol w:w="875"/>
              <w:gridCol w:w="4406"/>
              <w:gridCol w:w="2138"/>
            </w:tblGrid>
            <w:tr w14:paraId="3B0F1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Align w:val="center"/>
                </w:tcPr>
                <w:p w14:paraId="26453A54">
                  <w:pPr>
                    <w:pStyle w:val="31"/>
                    <w:bidi w:val="0"/>
                    <w:rPr>
                      <w:rFonts w:hint="eastAsia"/>
                      <w:color w:val="auto"/>
                      <w:lang w:eastAsia="zh-CN"/>
                    </w:rPr>
                  </w:pPr>
                  <w:r>
                    <w:rPr>
                      <w:rFonts w:hint="eastAsia"/>
                      <w:color w:val="auto"/>
                      <w:lang w:eastAsia="zh-CN"/>
                    </w:rPr>
                    <w:t>工程内容</w:t>
                  </w:r>
                </w:p>
              </w:tc>
              <w:tc>
                <w:tcPr>
                  <w:tcW w:w="771" w:type="pct"/>
                  <w:gridSpan w:val="2"/>
                  <w:vAlign w:val="center"/>
                </w:tcPr>
                <w:p w14:paraId="59591F39">
                  <w:pPr>
                    <w:pStyle w:val="31"/>
                    <w:bidi w:val="0"/>
                    <w:rPr>
                      <w:rFonts w:hint="default" w:eastAsia="宋体"/>
                      <w:color w:val="auto"/>
                      <w:lang w:val="en-US" w:eastAsia="zh-CN"/>
                    </w:rPr>
                  </w:pPr>
                  <w:r>
                    <w:rPr>
                      <w:rFonts w:hint="eastAsia"/>
                      <w:color w:val="auto"/>
                      <w:lang w:val="en-US" w:eastAsia="zh-CN"/>
                    </w:rPr>
                    <w:t>名称</w:t>
                  </w:r>
                </w:p>
              </w:tc>
              <w:tc>
                <w:tcPr>
                  <w:tcW w:w="2564" w:type="pct"/>
                  <w:vAlign w:val="center"/>
                </w:tcPr>
                <w:p w14:paraId="00FEBC92">
                  <w:pPr>
                    <w:pStyle w:val="31"/>
                    <w:bidi w:val="0"/>
                    <w:rPr>
                      <w:rFonts w:hint="eastAsia" w:eastAsia="宋体"/>
                      <w:color w:val="auto"/>
                      <w:lang w:eastAsia="zh-CN"/>
                    </w:rPr>
                  </w:pPr>
                  <w:r>
                    <w:rPr>
                      <w:rFonts w:hint="eastAsia"/>
                      <w:color w:val="auto"/>
                      <w:lang w:eastAsia="zh-CN"/>
                    </w:rPr>
                    <w:t>主要建设内容</w:t>
                  </w:r>
                </w:p>
              </w:tc>
              <w:tc>
                <w:tcPr>
                  <w:tcW w:w="1244" w:type="pct"/>
                  <w:vAlign w:val="center"/>
                </w:tcPr>
                <w:p w14:paraId="550F6831">
                  <w:pPr>
                    <w:pStyle w:val="31"/>
                    <w:bidi w:val="0"/>
                    <w:rPr>
                      <w:rFonts w:hint="eastAsia" w:eastAsia="宋体"/>
                      <w:color w:val="auto"/>
                      <w:lang w:eastAsia="zh-CN"/>
                    </w:rPr>
                  </w:pPr>
                  <w:r>
                    <w:rPr>
                      <w:rFonts w:hint="eastAsia"/>
                      <w:color w:val="auto"/>
                      <w:lang w:eastAsia="zh-CN"/>
                    </w:rPr>
                    <w:t>备注</w:t>
                  </w:r>
                </w:p>
              </w:tc>
            </w:tr>
            <w:tr w14:paraId="724B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restart"/>
                  <w:vAlign w:val="center"/>
                </w:tcPr>
                <w:p w14:paraId="13646AFB">
                  <w:pPr>
                    <w:pStyle w:val="31"/>
                    <w:bidi w:val="0"/>
                    <w:rPr>
                      <w:rFonts w:hint="eastAsia" w:eastAsia="宋体"/>
                      <w:color w:val="auto"/>
                      <w:lang w:eastAsia="zh-CN"/>
                    </w:rPr>
                  </w:pPr>
                  <w:r>
                    <w:rPr>
                      <w:rFonts w:hint="eastAsia"/>
                      <w:color w:val="auto"/>
                      <w:lang w:eastAsia="zh-CN"/>
                    </w:rPr>
                    <w:t>主体工程</w:t>
                  </w:r>
                </w:p>
              </w:tc>
              <w:tc>
                <w:tcPr>
                  <w:tcW w:w="771" w:type="pct"/>
                  <w:gridSpan w:val="2"/>
                  <w:vAlign w:val="center"/>
                </w:tcPr>
                <w:p w14:paraId="403DE18F">
                  <w:pPr>
                    <w:pStyle w:val="31"/>
                    <w:bidi w:val="0"/>
                    <w:rPr>
                      <w:rFonts w:hint="default" w:eastAsia="宋体"/>
                      <w:color w:val="auto"/>
                      <w:lang w:val="en-US" w:eastAsia="zh-CN"/>
                    </w:rPr>
                  </w:pPr>
                  <w:r>
                    <w:rPr>
                      <w:rFonts w:hint="eastAsia"/>
                      <w:color w:val="auto"/>
                      <w:lang w:val="en-US" w:eastAsia="zh-CN"/>
                    </w:rPr>
                    <w:t>1#焊管车间</w:t>
                  </w:r>
                </w:p>
              </w:tc>
              <w:tc>
                <w:tcPr>
                  <w:tcW w:w="2564" w:type="pct"/>
                  <w:vAlign w:val="center"/>
                </w:tcPr>
                <w:p w14:paraId="52AC8E57">
                  <w:pPr>
                    <w:pStyle w:val="31"/>
                    <w:bidi w:val="0"/>
                    <w:jc w:val="left"/>
                    <w:rPr>
                      <w:color w:val="auto"/>
                    </w:rPr>
                  </w:pPr>
                  <w:r>
                    <w:rPr>
                      <w:rFonts w:hint="eastAsia"/>
                      <w:color w:val="auto"/>
                    </w:rPr>
                    <w:t>采用钢结构形式，彩钢瓦覆顶，占地面</w:t>
                  </w:r>
                  <w:r>
                    <w:rPr>
                      <w:rFonts w:hint="eastAsia"/>
                      <w:color w:val="auto"/>
                      <w:lang w:val="en-US" w:eastAsia="zh-CN"/>
                    </w:rPr>
                    <w:t>1251</w:t>
                  </w:r>
                  <w:r>
                    <w:rPr>
                      <w:rFonts w:hint="eastAsia"/>
                      <w:color w:val="auto"/>
                    </w:rPr>
                    <w:t>m</w:t>
                  </w:r>
                  <w:r>
                    <w:rPr>
                      <w:rFonts w:hint="eastAsia"/>
                      <w:color w:val="auto"/>
                      <w:vertAlign w:val="superscript"/>
                    </w:rPr>
                    <w:t>2</w:t>
                  </w:r>
                  <w:r>
                    <w:rPr>
                      <w:rFonts w:hint="eastAsia"/>
                      <w:color w:val="auto"/>
                    </w:rPr>
                    <w:t>，1层，建筑面积</w:t>
                  </w:r>
                  <w:r>
                    <w:rPr>
                      <w:rFonts w:hint="eastAsia"/>
                      <w:color w:val="auto"/>
                      <w:lang w:val="en-US" w:eastAsia="zh-CN"/>
                    </w:rPr>
                    <w:t>1251</w:t>
                  </w:r>
                  <w:r>
                    <w:rPr>
                      <w:rFonts w:hint="eastAsia"/>
                      <w:color w:val="auto"/>
                    </w:rPr>
                    <w:t>m</w:t>
                  </w:r>
                  <w:r>
                    <w:rPr>
                      <w:rFonts w:hint="eastAsia"/>
                      <w:color w:val="auto"/>
                      <w:vertAlign w:val="superscript"/>
                    </w:rPr>
                    <w:t>2</w:t>
                  </w:r>
                  <w:r>
                    <w:rPr>
                      <w:rFonts w:hint="eastAsia"/>
                      <w:color w:val="auto"/>
                    </w:rPr>
                    <w:t>，</w:t>
                  </w:r>
                  <w:r>
                    <w:rPr>
                      <w:rFonts w:hint="eastAsia" w:ascii="Times New Roman" w:hAnsi="Times New Roman" w:eastAsia="宋体"/>
                      <w:color w:val="auto"/>
                    </w:rPr>
                    <w:t>内设</w:t>
                  </w:r>
                  <w:r>
                    <w:rPr>
                      <w:rFonts w:hint="eastAsia"/>
                      <w:color w:val="auto"/>
                      <w:lang w:val="en-US" w:eastAsia="zh-CN"/>
                    </w:rPr>
                    <w:t>1</w:t>
                  </w:r>
                  <w:r>
                    <w:rPr>
                      <w:rFonts w:hint="eastAsia" w:ascii="Times New Roman" w:hAnsi="Times New Roman" w:eastAsia="宋体"/>
                      <w:color w:val="auto"/>
                    </w:rPr>
                    <w:t>条</w:t>
                  </w: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lang w:val="en-US" w:eastAsia="zh-CN"/>
                    </w:rPr>
                    <w:t>高频焊管生产线。</w:t>
                  </w:r>
                </w:p>
              </w:tc>
              <w:tc>
                <w:tcPr>
                  <w:tcW w:w="1244" w:type="pct"/>
                  <w:vAlign w:val="center"/>
                </w:tcPr>
                <w:p w14:paraId="66376289">
                  <w:pPr>
                    <w:pStyle w:val="31"/>
                    <w:bidi w:val="0"/>
                    <w:rPr>
                      <w:rFonts w:hint="eastAsia" w:eastAsia="宋体"/>
                      <w:color w:val="auto"/>
                      <w:lang w:val="en-US" w:eastAsia="zh-CN"/>
                    </w:rPr>
                  </w:pPr>
                  <w:r>
                    <w:rPr>
                      <w:rFonts w:hint="eastAsia" w:eastAsia="宋体"/>
                      <w:color w:val="auto"/>
                      <w:lang w:val="en-US" w:eastAsia="zh-CN"/>
                    </w:rPr>
                    <w:t>本次利旧</w:t>
                  </w:r>
                </w:p>
              </w:tc>
            </w:tr>
            <w:tr w14:paraId="41A4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continue"/>
                  <w:vAlign w:val="center"/>
                </w:tcPr>
                <w:p w14:paraId="411B31F3">
                  <w:pPr>
                    <w:pStyle w:val="31"/>
                    <w:bidi w:val="0"/>
                    <w:rPr>
                      <w:rFonts w:hint="eastAsia"/>
                      <w:color w:val="auto"/>
                      <w:lang w:eastAsia="zh-CN"/>
                    </w:rPr>
                  </w:pPr>
                </w:p>
              </w:tc>
              <w:tc>
                <w:tcPr>
                  <w:tcW w:w="771" w:type="pct"/>
                  <w:gridSpan w:val="2"/>
                  <w:vAlign w:val="center"/>
                </w:tcPr>
                <w:p w14:paraId="05884301">
                  <w:pPr>
                    <w:pStyle w:val="31"/>
                    <w:bidi w:val="0"/>
                    <w:rPr>
                      <w:rFonts w:hint="eastAsia" w:eastAsia="宋体"/>
                      <w:color w:val="auto"/>
                      <w:lang w:val="en-US" w:eastAsia="zh-CN"/>
                    </w:rPr>
                  </w:pPr>
                  <w:r>
                    <w:rPr>
                      <w:rFonts w:hint="eastAsia"/>
                      <w:color w:val="auto"/>
                      <w:lang w:val="en-US" w:eastAsia="zh-CN"/>
                    </w:rPr>
                    <w:t>2#焊管车间</w:t>
                  </w:r>
                </w:p>
              </w:tc>
              <w:tc>
                <w:tcPr>
                  <w:tcW w:w="2564" w:type="pct"/>
                  <w:vAlign w:val="center"/>
                </w:tcPr>
                <w:p w14:paraId="71B2FE34">
                  <w:pPr>
                    <w:pStyle w:val="31"/>
                    <w:bidi w:val="0"/>
                    <w:jc w:val="both"/>
                    <w:rPr>
                      <w:color w:val="auto"/>
                    </w:rPr>
                  </w:pPr>
                  <w:r>
                    <w:rPr>
                      <w:rFonts w:hint="eastAsia"/>
                      <w:color w:val="auto"/>
                    </w:rPr>
                    <w:t>采用钢结构形式，彩钢瓦覆顶，占地面积</w:t>
                  </w:r>
                  <w:r>
                    <w:rPr>
                      <w:rFonts w:hint="eastAsia"/>
                      <w:color w:val="auto"/>
                      <w:lang w:val="en-US" w:eastAsia="zh-CN"/>
                    </w:rPr>
                    <w:t>3563</w:t>
                  </w:r>
                  <w:r>
                    <w:rPr>
                      <w:rFonts w:hint="eastAsia"/>
                      <w:color w:val="auto"/>
                    </w:rPr>
                    <w:t>m</w:t>
                  </w:r>
                  <w:r>
                    <w:rPr>
                      <w:rFonts w:hint="eastAsia"/>
                      <w:color w:val="auto"/>
                      <w:vertAlign w:val="superscript"/>
                    </w:rPr>
                    <w:t>2</w:t>
                  </w:r>
                  <w:r>
                    <w:rPr>
                      <w:rFonts w:hint="eastAsia"/>
                      <w:color w:val="auto"/>
                    </w:rPr>
                    <w:t>，1层，建筑面积</w:t>
                  </w:r>
                  <w:r>
                    <w:rPr>
                      <w:rFonts w:hint="eastAsia"/>
                      <w:color w:val="auto"/>
                      <w:lang w:val="en-US" w:eastAsia="zh-CN"/>
                    </w:rPr>
                    <w:t>3563</w:t>
                  </w:r>
                  <w:r>
                    <w:rPr>
                      <w:rFonts w:hint="eastAsia"/>
                      <w:color w:val="auto"/>
                    </w:rPr>
                    <w:t>m</w:t>
                  </w:r>
                  <w:r>
                    <w:rPr>
                      <w:rFonts w:hint="eastAsia"/>
                      <w:color w:val="auto"/>
                      <w:vertAlign w:val="superscript"/>
                    </w:rPr>
                    <w:t>2</w:t>
                  </w:r>
                  <w:r>
                    <w:rPr>
                      <w:rFonts w:hint="eastAsia"/>
                      <w:color w:val="auto"/>
                    </w:rPr>
                    <w:t>，生产车间由</w:t>
                  </w:r>
                  <w:r>
                    <w:rPr>
                      <w:rFonts w:hint="eastAsia"/>
                      <w:color w:val="auto"/>
                      <w:lang w:eastAsia="zh-CN"/>
                    </w:rPr>
                    <w:t>北</w:t>
                  </w:r>
                  <w:r>
                    <w:rPr>
                      <w:rFonts w:hint="eastAsia"/>
                      <w:color w:val="auto"/>
                    </w:rPr>
                    <w:t>至</w:t>
                  </w:r>
                  <w:r>
                    <w:rPr>
                      <w:rFonts w:hint="eastAsia"/>
                      <w:color w:val="auto"/>
                      <w:lang w:eastAsia="zh-CN"/>
                    </w:rPr>
                    <w:t>南</w:t>
                  </w:r>
                  <w:r>
                    <w:rPr>
                      <w:rFonts w:hint="eastAsia"/>
                      <w:color w:val="auto"/>
                    </w:rPr>
                    <w:t>依次布设</w:t>
                  </w:r>
                  <w:r>
                    <w:rPr>
                      <w:rFonts w:hint="eastAsia"/>
                      <w:color w:val="auto"/>
                      <w:lang w:val="en-US" w:eastAsia="zh-CN"/>
                    </w:rPr>
                    <w:t>4</w:t>
                  </w:r>
                  <w:r>
                    <w:rPr>
                      <w:rFonts w:hint="eastAsia"/>
                      <w:color w:val="auto"/>
                    </w:rPr>
                    <w:t>条生产线</w:t>
                  </w:r>
                  <w:r>
                    <w:rPr>
                      <w:rFonts w:hint="eastAsia"/>
                      <w:color w:val="auto"/>
                      <w:lang w:eastAsia="zh-CN"/>
                    </w:rPr>
                    <w:t>（</w:t>
                  </w:r>
                  <w:r>
                    <w:rPr>
                      <w:rFonts w:hint="eastAsia"/>
                      <w:color w:val="auto"/>
                      <w:lang w:val="en-US" w:eastAsia="zh-CN"/>
                    </w:rPr>
                    <w:t>2#、3#、4#、5#高频焊管生产线</w:t>
                  </w:r>
                  <w:r>
                    <w:rPr>
                      <w:rFonts w:hint="eastAsia"/>
                      <w:color w:val="auto"/>
                      <w:lang w:eastAsia="zh-CN"/>
                    </w:rPr>
                    <w:t>）</w:t>
                  </w:r>
                  <w:r>
                    <w:rPr>
                      <w:rFonts w:hint="eastAsia"/>
                      <w:color w:val="auto"/>
                    </w:rPr>
                    <w:t>。</w:t>
                  </w:r>
                </w:p>
              </w:tc>
              <w:tc>
                <w:tcPr>
                  <w:tcW w:w="1244" w:type="pct"/>
                  <w:vAlign w:val="center"/>
                </w:tcPr>
                <w:p w14:paraId="6A89F3EC">
                  <w:pPr>
                    <w:pStyle w:val="31"/>
                    <w:bidi w:val="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本次利旧</w:t>
                  </w:r>
                </w:p>
              </w:tc>
            </w:tr>
            <w:tr w14:paraId="6373C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8" w:type="pct"/>
                  <w:vMerge w:val="continue"/>
                  <w:vAlign w:val="center"/>
                </w:tcPr>
                <w:p w14:paraId="6046FBB6">
                  <w:pPr>
                    <w:pStyle w:val="31"/>
                    <w:bidi w:val="0"/>
                    <w:rPr>
                      <w:rFonts w:hint="eastAsia"/>
                      <w:color w:val="auto"/>
                      <w:lang w:eastAsia="zh-CN"/>
                    </w:rPr>
                  </w:pPr>
                </w:p>
              </w:tc>
              <w:tc>
                <w:tcPr>
                  <w:tcW w:w="771" w:type="pct"/>
                  <w:gridSpan w:val="2"/>
                  <w:vAlign w:val="center"/>
                </w:tcPr>
                <w:p w14:paraId="0E59B5EB">
                  <w:pPr>
                    <w:pStyle w:val="31"/>
                    <w:bidi w:val="0"/>
                    <w:rPr>
                      <w:rFonts w:hint="default" w:eastAsia="宋体"/>
                      <w:color w:val="auto"/>
                      <w:lang w:val="en-US" w:eastAsia="zh-CN"/>
                    </w:rPr>
                  </w:pPr>
                  <w:r>
                    <w:rPr>
                      <w:rFonts w:hint="eastAsia"/>
                      <w:color w:val="auto"/>
                      <w:lang w:val="en-US" w:eastAsia="zh-CN"/>
                    </w:rPr>
                    <w:t>3#焊管车间</w:t>
                  </w:r>
                </w:p>
              </w:tc>
              <w:tc>
                <w:tcPr>
                  <w:tcW w:w="2564" w:type="pct"/>
                  <w:vAlign w:val="center"/>
                </w:tcPr>
                <w:p w14:paraId="60E4EE82">
                  <w:pPr>
                    <w:pStyle w:val="31"/>
                    <w:bidi w:val="0"/>
                    <w:jc w:val="left"/>
                    <w:rPr>
                      <w:color w:val="auto"/>
                    </w:rPr>
                  </w:pPr>
                  <w:r>
                    <w:rPr>
                      <w:rFonts w:hint="eastAsia"/>
                      <w:color w:val="auto"/>
                    </w:rPr>
                    <w:t>采用钢结构形式，彩钢瓦覆顶，占地</w:t>
                  </w:r>
                  <w:r>
                    <w:rPr>
                      <w:rFonts w:hint="eastAsia"/>
                      <w:color w:val="auto"/>
                      <w:lang w:eastAsia="zh-CN"/>
                    </w:rPr>
                    <w:t>面积</w:t>
                  </w:r>
                  <w:r>
                    <w:rPr>
                      <w:rFonts w:hint="eastAsia"/>
                      <w:color w:val="auto"/>
                      <w:lang w:val="en-US" w:eastAsia="zh-CN"/>
                    </w:rPr>
                    <w:t>566</w:t>
                  </w:r>
                  <w:r>
                    <w:rPr>
                      <w:rFonts w:hint="eastAsia"/>
                      <w:color w:val="auto"/>
                    </w:rPr>
                    <w:t>m</w:t>
                  </w:r>
                  <w:r>
                    <w:rPr>
                      <w:rFonts w:hint="eastAsia"/>
                      <w:color w:val="auto"/>
                      <w:vertAlign w:val="superscript"/>
                    </w:rPr>
                    <w:t>2</w:t>
                  </w:r>
                  <w:r>
                    <w:rPr>
                      <w:rFonts w:hint="eastAsia"/>
                      <w:color w:val="auto"/>
                    </w:rPr>
                    <w:t>，1层，建筑面积</w:t>
                  </w:r>
                  <w:r>
                    <w:rPr>
                      <w:rFonts w:hint="eastAsia"/>
                      <w:color w:val="auto"/>
                      <w:lang w:val="en-US" w:eastAsia="zh-CN"/>
                    </w:rPr>
                    <w:t>566</w:t>
                  </w:r>
                  <w:r>
                    <w:rPr>
                      <w:rFonts w:hint="eastAsia"/>
                      <w:color w:val="auto"/>
                    </w:rPr>
                    <w:t>m</w:t>
                  </w:r>
                  <w:r>
                    <w:rPr>
                      <w:rFonts w:hint="eastAsia"/>
                      <w:color w:val="auto"/>
                      <w:vertAlign w:val="superscript"/>
                    </w:rPr>
                    <w:t>2</w:t>
                  </w:r>
                  <w:r>
                    <w:rPr>
                      <w:rFonts w:hint="eastAsia"/>
                      <w:color w:val="auto"/>
                    </w:rPr>
                    <w:t>，生产车间由</w:t>
                  </w:r>
                  <w:r>
                    <w:rPr>
                      <w:rFonts w:hint="eastAsia"/>
                      <w:color w:val="auto"/>
                      <w:lang w:eastAsia="zh-CN"/>
                    </w:rPr>
                    <w:t>北</w:t>
                  </w:r>
                  <w:r>
                    <w:rPr>
                      <w:rFonts w:hint="eastAsia"/>
                      <w:color w:val="auto"/>
                    </w:rPr>
                    <w:t>至</w:t>
                  </w:r>
                  <w:r>
                    <w:rPr>
                      <w:rFonts w:hint="eastAsia"/>
                      <w:color w:val="auto"/>
                      <w:lang w:eastAsia="zh-CN"/>
                    </w:rPr>
                    <w:t>南</w:t>
                  </w:r>
                  <w:r>
                    <w:rPr>
                      <w:rFonts w:hint="eastAsia"/>
                      <w:color w:val="auto"/>
                    </w:rPr>
                    <w:t>布设</w:t>
                  </w:r>
                  <w:r>
                    <w:rPr>
                      <w:rFonts w:hint="eastAsia"/>
                      <w:color w:val="auto"/>
                      <w:lang w:val="en-US" w:eastAsia="zh-CN"/>
                    </w:rPr>
                    <w:t>1</w:t>
                  </w:r>
                  <w:r>
                    <w:rPr>
                      <w:rFonts w:hint="eastAsia"/>
                      <w:color w:val="auto"/>
                    </w:rPr>
                    <w:t>条生产线</w:t>
                  </w:r>
                  <w:r>
                    <w:rPr>
                      <w:rFonts w:hint="eastAsia"/>
                      <w:color w:val="auto"/>
                      <w:lang w:eastAsia="zh-CN"/>
                    </w:rPr>
                    <w:t>（</w:t>
                  </w:r>
                  <w:r>
                    <w:rPr>
                      <w:rFonts w:hint="eastAsia"/>
                      <w:color w:val="auto"/>
                      <w:lang w:val="en-US" w:eastAsia="zh-CN"/>
                    </w:rPr>
                    <w:t>8#高频焊管生产线</w:t>
                  </w:r>
                  <w:r>
                    <w:rPr>
                      <w:rFonts w:hint="eastAsia"/>
                      <w:color w:val="auto"/>
                      <w:lang w:eastAsia="zh-CN"/>
                    </w:rPr>
                    <w:t>）</w:t>
                  </w:r>
                  <w:r>
                    <w:rPr>
                      <w:rFonts w:hint="eastAsia"/>
                      <w:color w:val="auto"/>
                    </w:rPr>
                    <w:t>。</w:t>
                  </w:r>
                </w:p>
              </w:tc>
              <w:tc>
                <w:tcPr>
                  <w:tcW w:w="1244" w:type="pct"/>
                  <w:vAlign w:val="center"/>
                </w:tcPr>
                <w:p w14:paraId="72CD962E">
                  <w:pPr>
                    <w:pStyle w:val="31"/>
                    <w:bidi w:val="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本次利旧</w:t>
                  </w:r>
                </w:p>
              </w:tc>
            </w:tr>
            <w:tr w14:paraId="29666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continue"/>
                  <w:vAlign w:val="center"/>
                </w:tcPr>
                <w:p w14:paraId="24D8BAC8">
                  <w:pPr>
                    <w:pStyle w:val="31"/>
                    <w:bidi w:val="0"/>
                    <w:rPr>
                      <w:rFonts w:hint="eastAsia"/>
                      <w:color w:val="auto"/>
                      <w:lang w:eastAsia="zh-CN"/>
                    </w:rPr>
                  </w:pPr>
                </w:p>
              </w:tc>
              <w:tc>
                <w:tcPr>
                  <w:tcW w:w="771" w:type="pct"/>
                  <w:gridSpan w:val="2"/>
                  <w:vAlign w:val="center"/>
                </w:tcPr>
                <w:p w14:paraId="1AC6CFA7">
                  <w:pPr>
                    <w:pStyle w:val="31"/>
                    <w:bidi w:val="0"/>
                    <w:rPr>
                      <w:rFonts w:hint="default" w:eastAsia="宋体"/>
                      <w:color w:val="auto"/>
                      <w:lang w:val="en-US" w:eastAsia="zh-CN"/>
                    </w:rPr>
                  </w:pPr>
                  <w:r>
                    <w:rPr>
                      <w:rFonts w:hint="eastAsia"/>
                      <w:color w:val="auto"/>
                      <w:lang w:val="en-US" w:eastAsia="zh-CN"/>
                    </w:rPr>
                    <w:t>4#焊管车间</w:t>
                  </w:r>
                </w:p>
              </w:tc>
              <w:tc>
                <w:tcPr>
                  <w:tcW w:w="2564" w:type="pct"/>
                  <w:vAlign w:val="center"/>
                </w:tcPr>
                <w:p w14:paraId="761209F9">
                  <w:pPr>
                    <w:pStyle w:val="31"/>
                    <w:bidi w:val="0"/>
                    <w:jc w:val="left"/>
                    <w:rPr>
                      <w:color w:val="auto"/>
                    </w:rPr>
                  </w:pPr>
                  <w:r>
                    <w:rPr>
                      <w:rFonts w:hint="eastAsia"/>
                      <w:color w:val="auto"/>
                    </w:rPr>
                    <w:t>采用钢结构形式，彩钢瓦覆顶，占地</w:t>
                  </w:r>
                  <w:r>
                    <w:rPr>
                      <w:rFonts w:hint="eastAsia"/>
                      <w:color w:val="auto"/>
                      <w:lang w:eastAsia="zh-CN"/>
                    </w:rPr>
                    <w:t>面积</w:t>
                  </w:r>
                  <w:r>
                    <w:rPr>
                      <w:rFonts w:hint="eastAsia"/>
                      <w:color w:val="auto"/>
                      <w:lang w:val="en-US" w:eastAsia="zh-CN"/>
                    </w:rPr>
                    <w:t>1420</w:t>
                  </w:r>
                  <w:r>
                    <w:rPr>
                      <w:rFonts w:hint="eastAsia"/>
                      <w:color w:val="auto"/>
                    </w:rPr>
                    <w:t>m</w:t>
                  </w:r>
                  <w:r>
                    <w:rPr>
                      <w:rFonts w:hint="eastAsia"/>
                      <w:color w:val="auto"/>
                      <w:vertAlign w:val="superscript"/>
                    </w:rPr>
                    <w:t>2</w:t>
                  </w:r>
                  <w:r>
                    <w:rPr>
                      <w:rFonts w:hint="eastAsia"/>
                      <w:color w:val="auto"/>
                    </w:rPr>
                    <w:t>，1层，建筑面积</w:t>
                  </w:r>
                  <w:r>
                    <w:rPr>
                      <w:rFonts w:hint="eastAsia"/>
                      <w:color w:val="auto"/>
                      <w:lang w:val="en-US" w:eastAsia="zh-CN"/>
                    </w:rPr>
                    <w:t>1420</w:t>
                  </w:r>
                  <w:r>
                    <w:rPr>
                      <w:rFonts w:hint="eastAsia"/>
                      <w:color w:val="auto"/>
                    </w:rPr>
                    <w:t>m</w:t>
                  </w:r>
                  <w:r>
                    <w:rPr>
                      <w:rFonts w:hint="eastAsia"/>
                      <w:color w:val="auto"/>
                      <w:vertAlign w:val="superscript"/>
                    </w:rPr>
                    <w:t>2</w:t>
                  </w:r>
                  <w:r>
                    <w:rPr>
                      <w:rFonts w:hint="eastAsia"/>
                      <w:color w:val="auto"/>
                    </w:rPr>
                    <w:t>，生产车间由</w:t>
                  </w:r>
                  <w:r>
                    <w:rPr>
                      <w:rFonts w:hint="eastAsia"/>
                      <w:color w:val="auto"/>
                      <w:lang w:eastAsia="zh-CN"/>
                    </w:rPr>
                    <w:t>北</w:t>
                  </w:r>
                  <w:r>
                    <w:rPr>
                      <w:rFonts w:hint="eastAsia"/>
                      <w:color w:val="auto"/>
                    </w:rPr>
                    <w:t>至</w:t>
                  </w:r>
                  <w:r>
                    <w:rPr>
                      <w:rFonts w:hint="eastAsia"/>
                      <w:color w:val="auto"/>
                      <w:lang w:eastAsia="zh-CN"/>
                    </w:rPr>
                    <w:t>南</w:t>
                  </w:r>
                  <w:r>
                    <w:rPr>
                      <w:rFonts w:hint="eastAsia"/>
                      <w:color w:val="auto"/>
                    </w:rPr>
                    <w:t>布设</w:t>
                  </w:r>
                  <w:r>
                    <w:rPr>
                      <w:rFonts w:hint="eastAsia"/>
                      <w:color w:val="auto"/>
                      <w:lang w:val="en-US" w:eastAsia="zh-CN"/>
                    </w:rPr>
                    <w:t>2</w:t>
                  </w:r>
                  <w:r>
                    <w:rPr>
                      <w:rFonts w:hint="eastAsia"/>
                      <w:color w:val="auto"/>
                    </w:rPr>
                    <w:t>条生产线</w:t>
                  </w:r>
                  <w:r>
                    <w:rPr>
                      <w:rFonts w:hint="eastAsia"/>
                      <w:color w:val="auto"/>
                      <w:lang w:eastAsia="zh-CN"/>
                    </w:rPr>
                    <w:t>（</w:t>
                  </w:r>
                  <w:r>
                    <w:rPr>
                      <w:rFonts w:hint="eastAsia"/>
                      <w:color w:val="auto"/>
                      <w:lang w:val="en-US" w:eastAsia="zh-CN"/>
                    </w:rPr>
                    <w:t>6#、7#高频焊管生产线</w:t>
                  </w:r>
                  <w:r>
                    <w:rPr>
                      <w:rFonts w:hint="eastAsia"/>
                      <w:color w:val="auto"/>
                      <w:lang w:eastAsia="zh-CN"/>
                    </w:rPr>
                    <w:t>）；并设有总变配电室和应急消防水池。</w:t>
                  </w:r>
                </w:p>
              </w:tc>
              <w:tc>
                <w:tcPr>
                  <w:tcW w:w="1244" w:type="pct"/>
                  <w:vAlign w:val="center"/>
                </w:tcPr>
                <w:p w14:paraId="23B8166E">
                  <w:pPr>
                    <w:pStyle w:val="31"/>
                    <w:bidi w:val="0"/>
                    <w:rPr>
                      <w:color w:val="auto"/>
                    </w:rPr>
                  </w:pPr>
                  <w:r>
                    <w:rPr>
                      <w:rFonts w:hint="eastAsia"/>
                      <w:color w:val="auto"/>
                      <w:lang w:val="en-US" w:eastAsia="zh-CN"/>
                    </w:rPr>
                    <w:t>本次利旧</w:t>
                  </w:r>
                </w:p>
              </w:tc>
            </w:tr>
            <w:tr w14:paraId="2A89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restart"/>
                  <w:vAlign w:val="center"/>
                </w:tcPr>
                <w:p w14:paraId="071AC6FA">
                  <w:pPr>
                    <w:pStyle w:val="31"/>
                    <w:bidi w:val="0"/>
                    <w:rPr>
                      <w:rFonts w:hint="eastAsia"/>
                      <w:color w:val="auto"/>
                      <w:lang w:eastAsia="zh-CN"/>
                    </w:rPr>
                  </w:pPr>
                  <w:r>
                    <w:rPr>
                      <w:rFonts w:hint="eastAsia"/>
                      <w:color w:val="auto"/>
                      <w:lang w:eastAsia="zh-CN"/>
                    </w:rPr>
                    <w:t>储运工程</w:t>
                  </w:r>
                </w:p>
              </w:tc>
              <w:tc>
                <w:tcPr>
                  <w:tcW w:w="771" w:type="pct"/>
                  <w:gridSpan w:val="2"/>
                  <w:vAlign w:val="center"/>
                </w:tcPr>
                <w:p w14:paraId="2A9DE680">
                  <w:pPr>
                    <w:pStyle w:val="31"/>
                    <w:bidi w:val="0"/>
                    <w:ind w:firstLine="0" w:firstLineChars="0"/>
                    <w:rPr>
                      <w:rFonts w:hint="eastAsia"/>
                      <w:color w:val="auto"/>
                      <w:lang w:val="en-US" w:eastAsia="zh-CN"/>
                    </w:rPr>
                  </w:pPr>
                  <w:r>
                    <w:rPr>
                      <w:rFonts w:hint="eastAsia"/>
                      <w:color w:val="auto"/>
                      <w:lang w:eastAsia="zh-CN"/>
                    </w:rPr>
                    <w:t>成品仓库</w:t>
                  </w:r>
                </w:p>
              </w:tc>
              <w:tc>
                <w:tcPr>
                  <w:tcW w:w="2564" w:type="pct"/>
                  <w:vAlign w:val="center"/>
                </w:tcPr>
                <w:p w14:paraId="7B077066">
                  <w:pPr>
                    <w:pStyle w:val="31"/>
                    <w:bidi w:val="0"/>
                    <w:ind w:firstLine="0" w:firstLineChars="0"/>
                    <w:jc w:val="left"/>
                    <w:rPr>
                      <w:rFonts w:hint="eastAsia"/>
                      <w:color w:val="auto"/>
                    </w:rPr>
                  </w:pPr>
                  <w:r>
                    <w:rPr>
                      <w:rFonts w:hint="eastAsia"/>
                      <w:color w:val="auto"/>
                    </w:rPr>
                    <w:t>采用钢结构形式，彩钢瓦覆顶，占地</w:t>
                  </w:r>
                  <w:r>
                    <w:rPr>
                      <w:rFonts w:hint="eastAsia"/>
                      <w:color w:val="auto"/>
                      <w:lang w:eastAsia="zh-CN"/>
                    </w:rPr>
                    <w:t>面积</w:t>
                  </w:r>
                  <w:r>
                    <w:rPr>
                      <w:rFonts w:hint="eastAsia"/>
                      <w:color w:val="auto"/>
                      <w:lang w:val="en-US" w:eastAsia="zh-CN"/>
                    </w:rPr>
                    <w:t>914</w:t>
                  </w:r>
                  <w:r>
                    <w:rPr>
                      <w:rFonts w:hint="eastAsia"/>
                      <w:color w:val="auto"/>
                    </w:rPr>
                    <w:t>m</w:t>
                  </w:r>
                  <w:r>
                    <w:rPr>
                      <w:rFonts w:hint="eastAsia"/>
                      <w:color w:val="auto"/>
                      <w:vertAlign w:val="superscript"/>
                    </w:rPr>
                    <w:t>2</w:t>
                  </w:r>
                  <w:r>
                    <w:rPr>
                      <w:rFonts w:hint="eastAsia"/>
                      <w:color w:val="auto"/>
                    </w:rPr>
                    <w:t>，1层，建筑面积</w:t>
                  </w:r>
                  <w:r>
                    <w:rPr>
                      <w:rFonts w:hint="eastAsia"/>
                      <w:color w:val="auto"/>
                      <w:lang w:val="en-US" w:eastAsia="zh-CN"/>
                    </w:rPr>
                    <w:t>914</w:t>
                  </w:r>
                  <w:r>
                    <w:rPr>
                      <w:rFonts w:hint="eastAsia"/>
                      <w:color w:val="auto"/>
                    </w:rPr>
                    <w:t>m</w:t>
                  </w:r>
                  <w:r>
                    <w:rPr>
                      <w:rFonts w:hint="eastAsia"/>
                      <w:color w:val="auto"/>
                      <w:vertAlign w:val="superscript"/>
                    </w:rPr>
                    <w:t>2</w:t>
                  </w:r>
                  <w:r>
                    <w:rPr>
                      <w:rFonts w:hint="eastAsia"/>
                      <w:color w:val="auto"/>
                    </w:rPr>
                    <w:t>，</w:t>
                  </w:r>
                  <w:r>
                    <w:rPr>
                      <w:rFonts w:hint="eastAsia"/>
                      <w:color w:val="auto"/>
                      <w:lang w:eastAsia="zh-CN"/>
                    </w:rPr>
                    <w:t>用于放置成品。</w:t>
                  </w:r>
                </w:p>
              </w:tc>
              <w:tc>
                <w:tcPr>
                  <w:tcW w:w="1244" w:type="pct"/>
                  <w:vAlign w:val="center"/>
                </w:tcPr>
                <w:p w14:paraId="14BBF88F">
                  <w:pPr>
                    <w:pStyle w:val="31"/>
                    <w:bidi w:val="0"/>
                    <w:ind w:firstLine="0" w:firstLineChars="0"/>
                    <w:rPr>
                      <w:rFonts w:hint="eastAsia"/>
                      <w:color w:val="auto"/>
                      <w:lang w:val="en-US" w:eastAsia="zh-CN"/>
                    </w:rPr>
                  </w:pPr>
                  <w:r>
                    <w:rPr>
                      <w:rFonts w:hint="eastAsia"/>
                      <w:color w:val="auto"/>
                      <w:lang w:val="en-US" w:eastAsia="zh-CN"/>
                    </w:rPr>
                    <w:t>本次利旧</w:t>
                  </w:r>
                </w:p>
              </w:tc>
            </w:tr>
            <w:tr w14:paraId="5223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continue"/>
                  <w:vAlign w:val="center"/>
                </w:tcPr>
                <w:p w14:paraId="63F683B9">
                  <w:pPr>
                    <w:pStyle w:val="31"/>
                    <w:bidi w:val="0"/>
                    <w:rPr>
                      <w:rFonts w:hint="eastAsia"/>
                      <w:color w:val="auto"/>
                      <w:lang w:eastAsia="zh-CN"/>
                    </w:rPr>
                  </w:pPr>
                </w:p>
              </w:tc>
              <w:tc>
                <w:tcPr>
                  <w:tcW w:w="771" w:type="pct"/>
                  <w:gridSpan w:val="2"/>
                  <w:vAlign w:val="center"/>
                </w:tcPr>
                <w:p w14:paraId="0CC5028E">
                  <w:pPr>
                    <w:pStyle w:val="31"/>
                    <w:bidi w:val="0"/>
                    <w:ind w:firstLine="0" w:firstLineChars="0"/>
                    <w:rPr>
                      <w:rFonts w:hint="eastAsia"/>
                      <w:color w:val="auto"/>
                      <w:lang w:val="en-US" w:eastAsia="zh-CN"/>
                    </w:rPr>
                  </w:pPr>
                  <w:r>
                    <w:rPr>
                      <w:rFonts w:hint="eastAsia"/>
                      <w:color w:val="auto"/>
                      <w:lang w:eastAsia="zh-CN"/>
                    </w:rPr>
                    <w:t>原料库</w:t>
                  </w:r>
                </w:p>
              </w:tc>
              <w:tc>
                <w:tcPr>
                  <w:tcW w:w="2564" w:type="pct"/>
                  <w:vAlign w:val="center"/>
                </w:tcPr>
                <w:p w14:paraId="44F9B8B7">
                  <w:pPr>
                    <w:pStyle w:val="31"/>
                    <w:bidi w:val="0"/>
                    <w:ind w:firstLine="0" w:firstLineChars="0"/>
                    <w:jc w:val="left"/>
                    <w:rPr>
                      <w:rFonts w:hint="eastAsia"/>
                      <w:color w:val="auto"/>
                    </w:rPr>
                  </w:pPr>
                  <w:r>
                    <w:rPr>
                      <w:rFonts w:hint="eastAsia"/>
                      <w:color w:val="auto"/>
                    </w:rPr>
                    <w:t>采用钢结构形式，彩钢瓦覆顶，占地面</w:t>
                  </w:r>
                  <w:r>
                    <w:rPr>
                      <w:rFonts w:hint="eastAsia"/>
                      <w:color w:val="auto"/>
                      <w:lang w:val="en-US" w:eastAsia="zh-CN"/>
                    </w:rPr>
                    <w:t>1347</w:t>
                  </w:r>
                  <w:r>
                    <w:rPr>
                      <w:rFonts w:hint="eastAsia"/>
                      <w:color w:val="auto"/>
                    </w:rPr>
                    <w:t>m</w:t>
                  </w:r>
                  <w:r>
                    <w:rPr>
                      <w:rFonts w:hint="eastAsia"/>
                      <w:color w:val="auto"/>
                      <w:vertAlign w:val="superscript"/>
                    </w:rPr>
                    <w:t>2</w:t>
                  </w:r>
                  <w:r>
                    <w:rPr>
                      <w:rFonts w:hint="eastAsia"/>
                      <w:color w:val="auto"/>
                    </w:rPr>
                    <w:t>，1层，建筑面积</w:t>
                  </w:r>
                  <w:r>
                    <w:rPr>
                      <w:rFonts w:hint="eastAsia"/>
                      <w:color w:val="auto"/>
                      <w:lang w:val="en-US" w:eastAsia="zh-CN"/>
                    </w:rPr>
                    <w:t>1347</w:t>
                  </w:r>
                  <w:r>
                    <w:rPr>
                      <w:rFonts w:hint="eastAsia"/>
                      <w:color w:val="auto"/>
                    </w:rPr>
                    <w:t>m</w:t>
                  </w:r>
                  <w:r>
                    <w:rPr>
                      <w:rFonts w:hint="eastAsia"/>
                      <w:color w:val="auto"/>
                      <w:vertAlign w:val="superscript"/>
                    </w:rPr>
                    <w:t>2</w:t>
                  </w:r>
                  <w:r>
                    <w:rPr>
                      <w:rFonts w:hint="eastAsia"/>
                      <w:color w:val="auto"/>
                    </w:rPr>
                    <w:t>，</w:t>
                  </w:r>
                  <w:r>
                    <w:rPr>
                      <w:rFonts w:hint="eastAsia"/>
                      <w:color w:val="auto"/>
                      <w:lang w:eastAsia="zh-CN"/>
                    </w:rPr>
                    <w:t>用于生产原料。</w:t>
                  </w:r>
                </w:p>
              </w:tc>
              <w:tc>
                <w:tcPr>
                  <w:tcW w:w="1244" w:type="pct"/>
                  <w:vAlign w:val="center"/>
                </w:tcPr>
                <w:p w14:paraId="589070F9">
                  <w:pPr>
                    <w:pStyle w:val="31"/>
                    <w:bidi w:val="0"/>
                    <w:ind w:firstLine="0" w:firstLineChars="0"/>
                    <w:rPr>
                      <w:rFonts w:hint="eastAsia"/>
                      <w:color w:val="auto"/>
                      <w:lang w:val="en-US" w:eastAsia="zh-CN"/>
                    </w:rPr>
                  </w:pPr>
                  <w:r>
                    <w:rPr>
                      <w:rFonts w:hint="eastAsia"/>
                      <w:color w:val="auto"/>
                      <w:lang w:val="en-US" w:eastAsia="zh-CN"/>
                    </w:rPr>
                    <w:t>本次利旧</w:t>
                  </w:r>
                </w:p>
              </w:tc>
            </w:tr>
            <w:tr w14:paraId="135BE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continue"/>
                  <w:vAlign w:val="center"/>
                </w:tcPr>
                <w:p w14:paraId="56A6E17E">
                  <w:pPr>
                    <w:pStyle w:val="31"/>
                    <w:bidi w:val="0"/>
                    <w:rPr>
                      <w:rFonts w:hint="eastAsia"/>
                      <w:color w:val="auto"/>
                      <w:lang w:eastAsia="zh-CN"/>
                    </w:rPr>
                  </w:pPr>
                </w:p>
              </w:tc>
              <w:tc>
                <w:tcPr>
                  <w:tcW w:w="771" w:type="pct"/>
                  <w:gridSpan w:val="2"/>
                  <w:vAlign w:val="center"/>
                </w:tcPr>
                <w:p w14:paraId="751DFB0E">
                  <w:pPr>
                    <w:pStyle w:val="31"/>
                    <w:bidi w:val="0"/>
                    <w:ind w:firstLine="0" w:firstLineChars="0"/>
                    <w:rPr>
                      <w:rFonts w:hint="eastAsia"/>
                      <w:color w:val="auto"/>
                      <w:lang w:val="en-US" w:eastAsia="zh-CN"/>
                    </w:rPr>
                  </w:pPr>
                  <w:r>
                    <w:rPr>
                      <w:rFonts w:hint="eastAsia"/>
                      <w:color w:val="auto"/>
                      <w:lang w:eastAsia="zh-CN"/>
                    </w:rPr>
                    <w:t>裁切库</w:t>
                  </w:r>
                </w:p>
              </w:tc>
              <w:tc>
                <w:tcPr>
                  <w:tcW w:w="2564" w:type="pct"/>
                  <w:vAlign w:val="center"/>
                </w:tcPr>
                <w:p w14:paraId="7CC7517E">
                  <w:pPr>
                    <w:pStyle w:val="31"/>
                    <w:bidi w:val="0"/>
                    <w:ind w:firstLine="0" w:firstLineChars="0"/>
                    <w:jc w:val="left"/>
                    <w:rPr>
                      <w:rFonts w:hint="eastAsia"/>
                      <w:color w:val="auto"/>
                    </w:rPr>
                  </w:pPr>
                  <w:r>
                    <w:rPr>
                      <w:rFonts w:hint="eastAsia"/>
                      <w:color w:val="auto"/>
                    </w:rPr>
                    <w:t>采用钢结构形式，彩钢瓦覆顶，占地面</w:t>
                  </w:r>
                  <w:r>
                    <w:rPr>
                      <w:rFonts w:hint="eastAsia"/>
                      <w:color w:val="auto"/>
                      <w:lang w:val="en-US" w:eastAsia="zh-CN"/>
                    </w:rPr>
                    <w:t>1041</w:t>
                  </w:r>
                  <w:r>
                    <w:rPr>
                      <w:rFonts w:hint="eastAsia"/>
                      <w:color w:val="auto"/>
                    </w:rPr>
                    <w:t>m</w:t>
                  </w:r>
                  <w:r>
                    <w:rPr>
                      <w:rFonts w:hint="eastAsia"/>
                      <w:color w:val="auto"/>
                      <w:vertAlign w:val="superscript"/>
                    </w:rPr>
                    <w:t>2</w:t>
                  </w:r>
                  <w:r>
                    <w:rPr>
                      <w:rFonts w:hint="eastAsia"/>
                      <w:color w:val="auto"/>
                    </w:rPr>
                    <w:t>，1层，建筑面积</w:t>
                  </w:r>
                  <w:r>
                    <w:rPr>
                      <w:rFonts w:hint="eastAsia"/>
                      <w:color w:val="auto"/>
                      <w:lang w:val="en-US" w:eastAsia="zh-CN"/>
                    </w:rPr>
                    <w:t>1041</w:t>
                  </w:r>
                  <w:r>
                    <w:rPr>
                      <w:rFonts w:hint="eastAsia"/>
                      <w:color w:val="auto"/>
                    </w:rPr>
                    <w:t>m</w:t>
                  </w:r>
                  <w:r>
                    <w:rPr>
                      <w:rFonts w:hint="eastAsia"/>
                      <w:color w:val="auto"/>
                      <w:vertAlign w:val="superscript"/>
                    </w:rPr>
                    <w:t>2</w:t>
                  </w:r>
                  <w:r>
                    <w:rPr>
                      <w:rFonts w:hint="eastAsia"/>
                      <w:color w:val="auto"/>
                    </w:rPr>
                    <w:t>，</w:t>
                  </w:r>
                  <w:r>
                    <w:rPr>
                      <w:rFonts w:hint="eastAsia"/>
                      <w:color w:val="auto"/>
                      <w:lang w:eastAsia="zh-CN"/>
                    </w:rPr>
                    <w:t>用于进行原料裁切。</w:t>
                  </w:r>
                </w:p>
              </w:tc>
              <w:tc>
                <w:tcPr>
                  <w:tcW w:w="1244" w:type="pct"/>
                  <w:vAlign w:val="center"/>
                </w:tcPr>
                <w:p w14:paraId="092993C6">
                  <w:pPr>
                    <w:pStyle w:val="31"/>
                    <w:bidi w:val="0"/>
                    <w:ind w:firstLine="0" w:firstLineChars="0"/>
                    <w:rPr>
                      <w:rFonts w:hint="eastAsia"/>
                      <w:color w:val="auto"/>
                      <w:lang w:val="en-US" w:eastAsia="zh-CN"/>
                    </w:rPr>
                  </w:pPr>
                  <w:r>
                    <w:rPr>
                      <w:rFonts w:hint="eastAsia"/>
                      <w:color w:val="auto"/>
                      <w:lang w:val="en-US" w:eastAsia="zh-CN"/>
                    </w:rPr>
                    <w:t>本次利旧</w:t>
                  </w:r>
                </w:p>
              </w:tc>
            </w:tr>
            <w:tr w14:paraId="41782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continue"/>
                  <w:vAlign w:val="center"/>
                </w:tcPr>
                <w:p w14:paraId="4363AA80">
                  <w:pPr>
                    <w:pStyle w:val="31"/>
                    <w:bidi w:val="0"/>
                    <w:rPr>
                      <w:rFonts w:hint="eastAsia"/>
                      <w:color w:val="auto"/>
                      <w:lang w:eastAsia="zh-CN"/>
                    </w:rPr>
                  </w:pPr>
                </w:p>
              </w:tc>
              <w:tc>
                <w:tcPr>
                  <w:tcW w:w="771" w:type="pct"/>
                  <w:gridSpan w:val="2"/>
                  <w:vAlign w:val="center"/>
                </w:tcPr>
                <w:p w14:paraId="43A25F6D">
                  <w:pPr>
                    <w:pStyle w:val="31"/>
                    <w:bidi w:val="0"/>
                    <w:ind w:firstLine="0" w:firstLineChars="0"/>
                    <w:rPr>
                      <w:rFonts w:hint="eastAsia"/>
                      <w:color w:val="auto"/>
                      <w:lang w:val="en-US" w:eastAsia="zh-CN"/>
                    </w:rPr>
                  </w:pPr>
                  <w:r>
                    <w:rPr>
                      <w:rFonts w:hint="eastAsia"/>
                      <w:color w:val="auto"/>
                      <w:lang w:eastAsia="zh-CN"/>
                    </w:rPr>
                    <w:t>成品仓库</w:t>
                  </w:r>
                </w:p>
              </w:tc>
              <w:tc>
                <w:tcPr>
                  <w:tcW w:w="2564" w:type="pct"/>
                  <w:vAlign w:val="center"/>
                </w:tcPr>
                <w:p w14:paraId="590FB458">
                  <w:pPr>
                    <w:pStyle w:val="31"/>
                    <w:bidi w:val="0"/>
                    <w:ind w:firstLine="0" w:firstLineChars="0"/>
                    <w:jc w:val="left"/>
                    <w:rPr>
                      <w:rFonts w:hint="eastAsia"/>
                      <w:color w:val="auto"/>
                    </w:rPr>
                  </w:pPr>
                  <w:r>
                    <w:rPr>
                      <w:rFonts w:hint="eastAsia"/>
                      <w:color w:val="auto"/>
                    </w:rPr>
                    <w:t>采用钢结构形式，彩钢瓦覆顶，占地</w:t>
                  </w:r>
                  <w:r>
                    <w:rPr>
                      <w:rFonts w:hint="eastAsia"/>
                      <w:color w:val="auto"/>
                      <w:lang w:eastAsia="zh-CN"/>
                    </w:rPr>
                    <w:t>面积</w:t>
                  </w:r>
                  <w:r>
                    <w:rPr>
                      <w:rFonts w:hint="eastAsia"/>
                      <w:color w:val="auto"/>
                      <w:lang w:val="en-US" w:eastAsia="zh-CN"/>
                    </w:rPr>
                    <w:t>914</w:t>
                  </w:r>
                  <w:r>
                    <w:rPr>
                      <w:rFonts w:hint="eastAsia"/>
                      <w:color w:val="auto"/>
                    </w:rPr>
                    <w:t>m</w:t>
                  </w:r>
                  <w:r>
                    <w:rPr>
                      <w:rFonts w:hint="eastAsia"/>
                      <w:color w:val="auto"/>
                      <w:vertAlign w:val="superscript"/>
                    </w:rPr>
                    <w:t>2</w:t>
                  </w:r>
                  <w:r>
                    <w:rPr>
                      <w:rFonts w:hint="eastAsia"/>
                      <w:color w:val="auto"/>
                    </w:rPr>
                    <w:t>，1层，建筑面积</w:t>
                  </w:r>
                  <w:r>
                    <w:rPr>
                      <w:rFonts w:hint="eastAsia"/>
                      <w:color w:val="auto"/>
                      <w:lang w:val="en-US" w:eastAsia="zh-CN"/>
                    </w:rPr>
                    <w:t>914</w:t>
                  </w:r>
                  <w:r>
                    <w:rPr>
                      <w:rFonts w:hint="eastAsia"/>
                      <w:color w:val="auto"/>
                    </w:rPr>
                    <w:t>m</w:t>
                  </w:r>
                  <w:r>
                    <w:rPr>
                      <w:rFonts w:hint="eastAsia"/>
                      <w:color w:val="auto"/>
                      <w:vertAlign w:val="superscript"/>
                    </w:rPr>
                    <w:t>2</w:t>
                  </w:r>
                  <w:r>
                    <w:rPr>
                      <w:rFonts w:hint="eastAsia"/>
                      <w:color w:val="auto"/>
                    </w:rPr>
                    <w:t>，</w:t>
                  </w:r>
                  <w:r>
                    <w:rPr>
                      <w:rFonts w:hint="eastAsia"/>
                      <w:color w:val="auto"/>
                      <w:lang w:eastAsia="zh-CN"/>
                    </w:rPr>
                    <w:t>用于放置成品。</w:t>
                  </w:r>
                </w:p>
              </w:tc>
              <w:tc>
                <w:tcPr>
                  <w:tcW w:w="1244" w:type="pct"/>
                  <w:vAlign w:val="center"/>
                </w:tcPr>
                <w:p w14:paraId="1DF8A8B7">
                  <w:pPr>
                    <w:pStyle w:val="31"/>
                    <w:bidi w:val="0"/>
                    <w:ind w:firstLine="0" w:firstLineChars="0"/>
                    <w:rPr>
                      <w:rFonts w:hint="eastAsia"/>
                      <w:color w:val="auto"/>
                      <w:lang w:val="en-US" w:eastAsia="zh-CN"/>
                    </w:rPr>
                  </w:pPr>
                  <w:r>
                    <w:rPr>
                      <w:rFonts w:hint="eastAsia"/>
                      <w:color w:val="auto"/>
                      <w:lang w:val="en-US" w:eastAsia="zh-CN"/>
                    </w:rPr>
                    <w:t>本次利旧</w:t>
                  </w:r>
                </w:p>
              </w:tc>
            </w:tr>
            <w:tr w14:paraId="72A77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restart"/>
                  <w:vAlign w:val="center"/>
                </w:tcPr>
                <w:p w14:paraId="1457EE9E">
                  <w:pPr>
                    <w:pStyle w:val="31"/>
                    <w:bidi w:val="0"/>
                    <w:rPr>
                      <w:rFonts w:hint="eastAsia" w:eastAsia="宋体"/>
                      <w:color w:val="auto"/>
                      <w:lang w:eastAsia="zh-CN"/>
                    </w:rPr>
                  </w:pPr>
                  <w:r>
                    <w:rPr>
                      <w:rFonts w:hint="eastAsia"/>
                      <w:color w:val="auto"/>
                      <w:lang w:eastAsia="zh-CN"/>
                    </w:rPr>
                    <w:t>辅助工程</w:t>
                  </w:r>
                </w:p>
              </w:tc>
              <w:tc>
                <w:tcPr>
                  <w:tcW w:w="771" w:type="pct"/>
                  <w:gridSpan w:val="2"/>
                  <w:vAlign w:val="center"/>
                </w:tcPr>
                <w:p w14:paraId="1132A31D">
                  <w:pPr>
                    <w:pStyle w:val="31"/>
                    <w:bidi w:val="0"/>
                    <w:ind w:firstLine="0" w:firstLineChars="0"/>
                    <w:rPr>
                      <w:rFonts w:hint="eastAsia" w:ascii="Times New Roman" w:hAnsi="Times New Roman" w:eastAsia="宋体" w:cs="黑体"/>
                      <w:color w:val="auto"/>
                      <w:kern w:val="2"/>
                      <w:sz w:val="21"/>
                      <w:szCs w:val="24"/>
                      <w:lang w:val="en-US" w:eastAsia="zh-CN" w:bidi="ar-SA"/>
                    </w:rPr>
                  </w:pPr>
                  <w:r>
                    <w:rPr>
                      <w:rFonts w:hint="eastAsia" w:eastAsia="宋体" w:cs="黑体"/>
                      <w:color w:val="auto"/>
                      <w:kern w:val="2"/>
                      <w:sz w:val="21"/>
                      <w:szCs w:val="24"/>
                      <w:lang w:val="en-US" w:eastAsia="zh-CN" w:bidi="ar-SA"/>
                    </w:rPr>
                    <w:t>办公楼</w:t>
                  </w:r>
                </w:p>
              </w:tc>
              <w:tc>
                <w:tcPr>
                  <w:tcW w:w="2564" w:type="pct"/>
                  <w:vAlign w:val="center"/>
                </w:tcPr>
                <w:p w14:paraId="1678DEAF">
                  <w:pPr>
                    <w:pStyle w:val="31"/>
                    <w:bidi w:val="0"/>
                    <w:jc w:val="left"/>
                    <w:rPr>
                      <w:color w:val="auto"/>
                    </w:rPr>
                  </w:pPr>
                  <w:r>
                    <w:rPr>
                      <w:rFonts w:hint="eastAsia"/>
                      <w:color w:val="auto"/>
                    </w:rPr>
                    <w:t>砖混结构，</w:t>
                  </w:r>
                  <w:r>
                    <w:rPr>
                      <w:rFonts w:hint="eastAsia"/>
                      <w:color w:val="auto"/>
                      <w:lang w:val="en-US" w:eastAsia="zh-CN"/>
                    </w:rPr>
                    <w:t>2</w:t>
                  </w:r>
                  <w:r>
                    <w:rPr>
                      <w:rFonts w:hint="eastAsia"/>
                      <w:color w:val="auto"/>
                    </w:rPr>
                    <w:t>层，占地面积</w:t>
                  </w:r>
                  <w:r>
                    <w:rPr>
                      <w:rFonts w:hint="eastAsia"/>
                      <w:color w:val="auto"/>
                      <w:lang w:val="en-US" w:eastAsia="zh-CN"/>
                    </w:rPr>
                    <w:t>99.2</w:t>
                  </w:r>
                  <w:r>
                    <w:rPr>
                      <w:rFonts w:hint="eastAsia"/>
                      <w:color w:val="auto"/>
                    </w:rPr>
                    <w:t>m</w:t>
                  </w:r>
                  <w:r>
                    <w:rPr>
                      <w:rFonts w:hint="eastAsia"/>
                      <w:color w:val="auto"/>
                      <w:vertAlign w:val="superscript"/>
                    </w:rPr>
                    <w:t>2</w:t>
                  </w:r>
                  <w:r>
                    <w:rPr>
                      <w:rFonts w:hint="eastAsia"/>
                      <w:color w:val="auto"/>
                    </w:rPr>
                    <w:t>，建筑面积</w:t>
                  </w:r>
                  <w:r>
                    <w:rPr>
                      <w:rFonts w:hint="eastAsia"/>
                      <w:color w:val="auto"/>
                      <w:lang w:val="en-US" w:eastAsia="zh-CN"/>
                    </w:rPr>
                    <w:t>99.2</w:t>
                  </w:r>
                  <w:r>
                    <w:rPr>
                      <w:rFonts w:hint="eastAsia"/>
                      <w:color w:val="auto"/>
                    </w:rPr>
                    <w:t>m</w:t>
                  </w:r>
                  <w:r>
                    <w:rPr>
                      <w:rFonts w:hint="eastAsia"/>
                      <w:color w:val="auto"/>
                      <w:vertAlign w:val="superscript"/>
                    </w:rPr>
                    <w:t>2</w:t>
                  </w:r>
                  <w:r>
                    <w:rPr>
                      <w:rFonts w:hint="eastAsia"/>
                      <w:color w:val="auto"/>
                    </w:rPr>
                    <w:t>，设置有接待室、统计室、办公室、业务接待室、值班室等。</w:t>
                  </w:r>
                </w:p>
              </w:tc>
              <w:tc>
                <w:tcPr>
                  <w:tcW w:w="1244" w:type="pct"/>
                  <w:vAlign w:val="center"/>
                </w:tcPr>
                <w:p w14:paraId="5D431BCF">
                  <w:pPr>
                    <w:pStyle w:val="31"/>
                    <w:bidi w:val="0"/>
                    <w:rPr>
                      <w:color w:val="auto"/>
                    </w:rPr>
                  </w:pPr>
                  <w:r>
                    <w:rPr>
                      <w:rFonts w:hint="eastAsia"/>
                      <w:color w:val="auto"/>
                      <w:lang w:val="en-US" w:eastAsia="zh-CN"/>
                    </w:rPr>
                    <w:t>本次利旧</w:t>
                  </w:r>
                </w:p>
              </w:tc>
            </w:tr>
            <w:tr w14:paraId="02CB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continue"/>
                  <w:vAlign w:val="center"/>
                </w:tcPr>
                <w:p w14:paraId="3C19D8E4">
                  <w:pPr>
                    <w:pStyle w:val="31"/>
                    <w:bidi w:val="0"/>
                    <w:rPr>
                      <w:rFonts w:hint="eastAsia"/>
                      <w:color w:val="auto"/>
                      <w:lang w:eastAsia="zh-CN"/>
                    </w:rPr>
                  </w:pPr>
                </w:p>
              </w:tc>
              <w:tc>
                <w:tcPr>
                  <w:tcW w:w="771" w:type="pct"/>
                  <w:gridSpan w:val="2"/>
                  <w:vAlign w:val="center"/>
                </w:tcPr>
                <w:p w14:paraId="3DEB4120">
                  <w:pPr>
                    <w:pStyle w:val="31"/>
                    <w:bidi w:val="0"/>
                    <w:ind w:firstLine="0" w:firstLineChars="0"/>
                    <w:rPr>
                      <w:rFonts w:hint="eastAsia" w:ascii="Times New Roman" w:hAnsi="Times New Roman" w:eastAsia="宋体" w:cs="黑体"/>
                      <w:color w:val="auto"/>
                      <w:kern w:val="2"/>
                      <w:sz w:val="21"/>
                      <w:szCs w:val="24"/>
                      <w:lang w:val="en-US" w:eastAsia="zh-CN" w:bidi="ar-SA"/>
                    </w:rPr>
                  </w:pPr>
                  <w:r>
                    <w:rPr>
                      <w:rFonts w:hint="eastAsia" w:cs="黑体"/>
                      <w:color w:val="auto"/>
                      <w:kern w:val="2"/>
                      <w:sz w:val="21"/>
                      <w:szCs w:val="24"/>
                      <w:lang w:val="en-US" w:eastAsia="zh-CN" w:bidi="ar-SA"/>
                    </w:rPr>
                    <w:t>检修车间</w:t>
                  </w:r>
                </w:p>
              </w:tc>
              <w:tc>
                <w:tcPr>
                  <w:tcW w:w="2564" w:type="pct"/>
                  <w:vAlign w:val="center"/>
                </w:tcPr>
                <w:p w14:paraId="7B9C92C6">
                  <w:pPr>
                    <w:pStyle w:val="31"/>
                    <w:bidi w:val="0"/>
                    <w:jc w:val="left"/>
                    <w:rPr>
                      <w:rFonts w:hint="eastAsia" w:eastAsia="宋体"/>
                      <w:color w:val="auto"/>
                      <w:lang w:eastAsia="zh-CN"/>
                    </w:rPr>
                  </w:pPr>
                  <w:r>
                    <w:rPr>
                      <w:rFonts w:hint="eastAsia"/>
                      <w:color w:val="auto"/>
                    </w:rPr>
                    <w:t>采用钢结构形式，彩钢瓦覆顶，占地面</w:t>
                  </w:r>
                  <w:r>
                    <w:rPr>
                      <w:rFonts w:hint="eastAsia"/>
                      <w:color w:val="auto"/>
                      <w:lang w:val="en-US" w:eastAsia="zh-CN"/>
                    </w:rPr>
                    <w:t>201</w:t>
                  </w:r>
                  <w:r>
                    <w:rPr>
                      <w:rFonts w:hint="eastAsia"/>
                      <w:color w:val="auto"/>
                    </w:rPr>
                    <w:t>m</w:t>
                  </w:r>
                  <w:r>
                    <w:rPr>
                      <w:rFonts w:hint="eastAsia"/>
                      <w:color w:val="auto"/>
                      <w:vertAlign w:val="superscript"/>
                    </w:rPr>
                    <w:t>2</w:t>
                  </w:r>
                  <w:r>
                    <w:rPr>
                      <w:rFonts w:hint="eastAsia"/>
                      <w:color w:val="auto"/>
                    </w:rPr>
                    <w:t>，1层，建筑面积</w:t>
                  </w:r>
                  <w:r>
                    <w:rPr>
                      <w:rFonts w:hint="eastAsia"/>
                      <w:color w:val="auto"/>
                      <w:lang w:val="en-US" w:eastAsia="zh-CN"/>
                    </w:rPr>
                    <w:t>201</w:t>
                  </w:r>
                  <w:r>
                    <w:rPr>
                      <w:rFonts w:hint="eastAsia"/>
                      <w:color w:val="auto"/>
                    </w:rPr>
                    <w:t>m</w:t>
                  </w:r>
                  <w:r>
                    <w:rPr>
                      <w:rFonts w:hint="eastAsia"/>
                      <w:color w:val="auto"/>
                      <w:vertAlign w:val="superscript"/>
                    </w:rPr>
                    <w:t>2</w:t>
                  </w:r>
                  <w:r>
                    <w:rPr>
                      <w:rFonts w:hint="eastAsia"/>
                      <w:color w:val="auto"/>
                    </w:rPr>
                    <w:t>，</w:t>
                  </w:r>
                  <w:r>
                    <w:rPr>
                      <w:rFonts w:hint="eastAsia"/>
                      <w:color w:val="auto"/>
                      <w:lang w:eastAsia="zh-CN"/>
                    </w:rPr>
                    <w:t>负责设备的维修。</w:t>
                  </w:r>
                </w:p>
              </w:tc>
              <w:tc>
                <w:tcPr>
                  <w:tcW w:w="1244" w:type="pct"/>
                  <w:vAlign w:val="center"/>
                </w:tcPr>
                <w:p w14:paraId="640BF929">
                  <w:pPr>
                    <w:pStyle w:val="31"/>
                    <w:bidi w:val="0"/>
                    <w:rPr>
                      <w:color w:val="auto"/>
                    </w:rPr>
                  </w:pPr>
                  <w:r>
                    <w:rPr>
                      <w:rFonts w:hint="eastAsia"/>
                      <w:color w:val="auto"/>
                      <w:lang w:val="en-US" w:eastAsia="zh-CN"/>
                    </w:rPr>
                    <w:t>本次利旧</w:t>
                  </w:r>
                </w:p>
              </w:tc>
            </w:tr>
            <w:tr w14:paraId="0E17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8" w:type="pct"/>
                  <w:vMerge w:val="restart"/>
                  <w:vAlign w:val="center"/>
                </w:tcPr>
                <w:p w14:paraId="3A3CA327">
                  <w:pPr>
                    <w:pStyle w:val="31"/>
                    <w:bidi w:val="0"/>
                    <w:rPr>
                      <w:rFonts w:hint="eastAsia" w:eastAsia="宋体"/>
                      <w:color w:val="auto"/>
                      <w:lang w:eastAsia="zh-CN"/>
                    </w:rPr>
                  </w:pPr>
                  <w:r>
                    <w:rPr>
                      <w:rFonts w:hint="eastAsia"/>
                      <w:color w:val="auto"/>
                      <w:lang w:eastAsia="zh-CN"/>
                    </w:rPr>
                    <w:t>公用工程</w:t>
                  </w:r>
                </w:p>
              </w:tc>
              <w:tc>
                <w:tcPr>
                  <w:tcW w:w="771" w:type="pct"/>
                  <w:gridSpan w:val="2"/>
                  <w:vAlign w:val="center"/>
                </w:tcPr>
                <w:p w14:paraId="4D79A958">
                  <w:pPr>
                    <w:pStyle w:val="31"/>
                    <w:bidi w:val="0"/>
                    <w:rPr>
                      <w:rFonts w:hint="eastAsia" w:eastAsia="宋体"/>
                      <w:color w:val="auto"/>
                      <w:lang w:eastAsia="zh-CN"/>
                    </w:rPr>
                  </w:pPr>
                  <w:r>
                    <w:rPr>
                      <w:rFonts w:hint="eastAsia"/>
                      <w:color w:val="auto"/>
                      <w:lang w:eastAsia="zh-CN"/>
                    </w:rPr>
                    <w:t>给水</w:t>
                  </w:r>
                </w:p>
              </w:tc>
              <w:tc>
                <w:tcPr>
                  <w:tcW w:w="2564" w:type="pct"/>
                  <w:vAlign w:val="center"/>
                </w:tcPr>
                <w:p w14:paraId="47DFF84C">
                  <w:pPr>
                    <w:pStyle w:val="31"/>
                    <w:bidi w:val="0"/>
                    <w:jc w:val="left"/>
                    <w:rPr>
                      <w:rFonts w:hint="eastAsia" w:eastAsia="宋体"/>
                      <w:color w:val="auto"/>
                      <w:lang w:eastAsia="zh-CN"/>
                    </w:rPr>
                  </w:pPr>
                  <w:r>
                    <w:rPr>
                      <w:rFonts w:hint="eastAsia"/>
                      <w:color w:val="auto"/>
                      <w:lang w:eastAsia="zh-CN"/>
                    </w:rPr>
                    <w:t>本项目生产用水、生活用水均由通海县纳古镇自来水管网提供。</w:t>
                  </w:r>
                </w:p>
              </w:tc>
              <w:tc>
                <w:tcPr>
                  <w:tcW w:w="1244" w:type="pct"/>
                  <w:vAlign w:val="center"/>
                </w:tcPr>
                <w:p w14:paraId="4FFE488C">
                  <w:pPr>
                    <w:pStyle w:val="31"/>
                    <w:bidi w:val="0"/>
                    <w:rPr>
                      <w:color w:val="auto"/>
                    </w:rPr>
                  </w:pPr>
                  <w:r>
                    <w:rPr>
                      <w:rFonts w:hint="eastAsia"/>
                      <w:color w:val="auto"/>
                      <w:lang w:val="en-US" w:eastAsia="zh-CN"/>
                    </w:rPr>
                    <w:t>本次利旧</w:t>
                  </w:r>
                </w:p>
              </w:tc>
            </w:tr>
            <w:tr w14:paraId="2AF4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continue"/>
                  <w:vAlign w:val="center"/>
                </w:tcPr>
                <w:p w14:paraId="1D61018B">
                  <w:pPr>
                    <w:pStyle w:val="31"/>
                    <w:bidi w:val="0"/>
                    <w:rPr>
                      <w:rFonts w:hint="eastAsia"/>
                      <w:color w:val="auto"/>
                      <w:lang w:eastAsia="zh-CN"/>
                    </w:rPr>
                  </w:pPr>
                </w:p>
              </w:tc>
              <w:tc>
                <w:tcPr>
                  <w:tcW w:w="771" w:type="pct"/>
                  <w:gridSpan w:val="2"/>
                  <w:vAlign w:val="center"/>
                </w:tcPr>
                <w:p w14:paraId="745F2148">
                  <w:pPr>
                    <w:pStyle w:val="31"/>
                    <w:bidi w:val="0"/>
                    <w:rPr>
                      <w:rFonts w:hint="eastAsia" w:eastAsia="宋体"/>
                      <w:color w:val="auto"/>
                      <w:lang w:eastAsia="zh-CN"/>
                    </w:rPr>
                  </w:pPr>
                  <w:r>
                    <w:rPr>
                      <w:rFonts w:hint="eastAsia"/>
                      <w:color w:val="auto"/>
                      <w:lang w:eastAsia="zh-CN"/>
                    </w:rPr>
                    <w:t>排水</w:t>
                  </w:r>
                </w:p>
              </w:tc>
              <w:tc>
                <w:tcPr>
                  <w:tcW w:w="2564" w:type="pct"/>
                  <w:vAlign w:val="center"/>
                </w:tcPr>
                <w:p w14:paraId="3B6C8C34">
                  <w:pPr>
                    <w:pStyle w:val="31"/>
                    <w:bidi w:val="0"/>
                    <w:jc w:val="left"/>
                    <w:rPr>
                      <w:rFonts w:hint="eastAsia" w:eastAsia="宋体"/>
                      <w:color w:val="auto"/>
                      <w:lang w:eastAsia="zh-CN"/>
                    </w:rPr>
                  </w:pPr>
                  <w:r>
                    <w:rPr>
                      <w:rFonts w:hint="eastAsia"/>
                      <w:color w:val="auto"/>
                    </w:rPr>
                    <w:t>采用雨污分流制，雨水经雨水沟外排。冷却水循环利用不外排</w:t>
                  </w:r>
                  <w:r>
                    <w:rPr>
                      <w:rFonts w:hint="eastAsia"/>
                      <w:color w:val="auto"/>
                      <w:lang w:eastAsia="zh-CN"/>
                    </w:rPr>
                    <w:t>。生活污水经化粪池处理后</w:t>
                  </w:r>
                  <w:r>
                    <w:rPr>
                      <w:rFonts w:hint="eastAsia"/>
                      <w:color w:val="auto"/>
                      <w:lang w:val="en-US" w:eastAsia="zh-CN"/>
                    </w:rPr>
                    <w:t>回用于周边农田施肥</w:t>
                  </w:r>
                  <w:r>
                    <w:rPr>
                      <w:rFonts w:hint="eastAsia"/>
                      <w:color w:val="auto"/>
                      <w:lang w:eastAsia="zh-CN"/>
                    </w:rPr>
                    <w:t>。</w:t>
                  </w:r>
                </w:p>
              </w:tc>
              <w:tc>
                <w:tcPr>
                  <w:tcW w:w="1244" w:type="pct"/>
                  <w:vAlign w:val="center"/>
                </w:tcPr>
                <w:p w14:paraId="49FF9DDE">
                  <w:pPr>
                    <w:pStyle w:val="31"/>
                    <w:bidi w:val="0"/>
                    <w:rPr>
                      <w:rFonts w:hint="default"/>
                      <w:color w:val="auto"/>
                      <w:lang w:val="en-US"/>
                    </w:rPr>
                  </w:pPr>
                  <w:r>
                    <w:rPr>
                      <w:rFonts w:hint="eastAsia"/>
                      <w:color w:val="auto"/>
                      <w:lang w:val="en-US" w:eastAsia="zh-CN"/>
                    </w:rPr>
                    <w:t>化粪池利旧，新增一体化污水处理设备，改建后生活污水经化粪池预处理后进入自建一体化污水处理设施处理达标后回用于厂区绿化及道路空地浇洒，不外排。</w:t>
                  </w:r>
                </w:p>
              </w:tc>
            </w:tr>
            <w:tr w14:paraId="7C284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continue"/>
                  <w:vAlign w:val="center"/>
                </w:tcPr>
                <w:p w14:paraId="12A66344">
                  <w:pPr>
                    <w:pStyle w:val="31"/>
                    <w:bidi w:val="0"/>
                    <w:rPr>
                      <w:rFonts w:hint="eastAsia"/>
                      <w:color w:val="auto"/>
                      <w:lang w:eastAsia="zh-CN"/>
                    </w:rPr>
                  </w:pPr>
                </w:p>
              </w:tc>
              <w:tc>
                <w:tcPr>
                  <w:tcW w:w="771" w:type="pct"/>
                  <w:gridSpan w:val="2"/>
                  <w:vAlign w:val="center"/>
                </w:tcPr>
                <w:p w14:paraId="7AE6587D">
                  <w:pPr>
                    <w:pStyle w:val="31"/>
                    <w:bidi w:val="0"/>
                    <w:rPr>
                      <w:rFonts w:hint="eastAsia" w:eastAsia="宋体"/>
                      <w:color w:val="auto"/>
                      <w:lang w:eastAsia="zh-CN"/>
                    </w:rPr>
                  </w:pPr>
                  <w:r>
                    <w:rPr>
                      <w:rFonts w:hint="eastAsia"/>
                      <w:color w:val="auto"/>
                      <w:lang w:eastAsia="zh-CN"/>
                    </w:rPr>
                    <w:t>供电</w:t>
                  </w:r>
                </w:p>
              </w:tc>
              <w:tc>
                <w:tcPr>
                  <w:tcW w:w="2564" w:type="pct"/>
                  <w:vAlign w:val="center"/>
                </w:tcPr>
                <w:p w14:paraId="129CC7EF">
                  <w:pPr>
                    <w:pStyle w:val="31"/>
                    <w:bidi w:val="0"/>
                    <w:jc w:val="left"/>
                    <w:rPr>
                      <w:rFonts w:hint="eastAsia" w:eastAsia="宋体"/>
                      <w:color w:val="auto"/>
                      <w:lang w:eastAsia="zh-CN"/>
                    </w:rPr>
                  </w:pPr>
                  <w:r>
                    <w:rPr>
                      <w:rFonts w:hint="eastAsia" w:eastAsia="宋体"/>
                      <w:color w:val="auto"/>
                      <w:lang w:eastAsia="zh-CN"/>
                    </w:rPr>
                    <w:t>由区域市政电网供给</w:t>
                  </w:r>
                  <w:r>
                    <w:rPr>
                      <w:rFonts w:hint="eastAsia"/>
                      <w:color w:val="auto"/>
                      <w:lang w:eastAsia="zh-CN"/>
                    </w:rPr>
                    <w:t>。</w:t>
                  </w:r>
                </w:p>
              </w:tc>
              <w:tc>
                <w:tcPr>
                  <w:tcW w:w="1244" w:type="pct"/>
                  <w:vAlign w:val="center"/>
                </w:tcPr>
                <w:p w14:paraId="040B8B53">
                  <w:pPr>
                    <w:pStyle w:val="31"/>
                    <w:bidi w:val="0"/>
                    <w:rPr>
                      <w:color w:val="auto"/>
                    </w:rPr>
                  </w:pPr>
                  <w:r>
                    <w:rPr>
                      <w:rFonts w:hint="eastAsia"/>
                      <w:color w:val="auto"/>
                      <w:lang w:val="en-US" w:eastAsia="zh-CN"/>
                    </w:rPr>
                    <w:t>本次利旧</w:t>
                  </w:r>
                </w:p>
              </w:tc>
            </w:tr>
            <w:tr w14:paraId="6B1D0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restart"/>
                  <w:vAlign w:val="center"/>
                </w:tcPr>
                <w:p w14:paraId="04B39813">
                  <w:pPr>
                    <w:pStyle w:val="31"/>
                    <w:bidi w:val="0"/>
                    <w:rPr>
                      <w:rFonts w:hint="eastAsia"/>
                      <w:color w:val="auto"/>
                      <w:lang w:eastAsia="zh-CN"/>
                    </w:rPr>
                  </w:pPr>
                  <w:r>
                    <w:rPr>
                      <w:rFonts w:hint="eastAsia"/>
                      <w:color w:val="auto"/>
                      <w:lang w:eastAsia="zh-CN"/>
                    </w:rPr>
                    <w:t>环保工程</w:t>
                  </w:r>
                </w:p>
              </w:tc>
              <w:tc>
                <w:tcPr>
                  <w:tcW w:w="262" w:type="pct"/>
                  <w:vAlign w:val="center"/>
                </w:tcPr>
                <w:p w14:paraId="6E670DFA">
                  <w:pPr>
                    <w:pStyle w:val="31"/>
                    <w:bidi w:val="0"/>
                    <w:rPr>
                      <w:rFonts w:hint="eastAsia"/>
                      <w:color w:val="auto"/>
                      <w:lang w:eastAsia="zh-CN"/>
                    </w:rPr>
                  </w:pPr>
                  <w:r>
                    <w:rPr>
                      <w:rFonts w:hint="eastAsia"/>
                      <w:color w:val="auto"/>
                      <w:lang w:eastAsia="zh-CN"/>
                    </w:rPr>
                    <w:t>废气</w:t>
                  </w:r>
                </w:p>
              </w:tc>
              <w:tc>
                <w:tcPr>
                  <w:tcW w:w="509" w:type="pct"/>
                  <w:vAlign w:val="center"/>
                </w:tcPr>
                <w:p w14:paraId="1B60679C">
                  <w:pPr>
                    <w:pStyle w:val="31"/>
                    <w:bidi w:val="0"/>
                    <w:rPr>
                      <w:rFonts w:hint="eastAsia"/>
                      <w:color w:val="auto"/>
                      <w:lang w:eastAsia="zh-CN"/>
                    </w:rPr>
                  </w:pPr>
                  <w:r>
                    <w:rPr>
                      <w:rFonts w:hint="eastAsia"/>
                      <w:color w:val="auto"/>
                      <w:lang w:eastAsia="zh-CN"/>
                    </w:rPr>
                    <w:t>焊管烟气</w:t>
                  </w:r>
                </w:p>
              </w:tc>
              <w:tc>
                <w:tcPr>
                  <w:tcW w:w="2564" w:type="pct"/>
                  <w:vAlign w:val="center"/>
                </w:tcPr>
                <w:p w14:paraId="405D6CD4">
                  <w:pPr>
                    <w:pStyle w:val="31"/>
                    <w:bidi w:val="0"/>
                    <w:jc w:val="both"/>
                    <w:rPr>
                      <w:rFonts w:hint="default" w:eastAsia="宋体"/>
                      <w:color w:val="auto"/>
                      <w:lang w:val="en-US" w:eastAsia="zh-CN"/>
                    </w:rPr>
                  </w:pPr>
                  <w:r>
                    <w:rPr>
                      <w:rFonts w:hint="eastAsia"/>
                      <w:color w:val="auto"/>
                      <w:lang w:eastAsia="zh-CN"/>
                    </w:rPr>
                    <w:t>车间阻隔、</w:t>
                  </w:r>
                  <w:r>
                    <w:rPr>
                      <w:rFonts w:hint="eastAsia"/>
                      <w:color w:val="auto"/>
                      <w:lang w:val="en-US" w:eastAsia="zh-CN"/>
                    </w:rPr>
                    <w:t>大气扩散后无组织排放。</w:t>
                  </w:r>
                </w:p>
              </w:tc>
              <w:tc>
                <w:tcPr>
                  <w:tcW w:w="1244" w:type="pct"/>
                  <w:vAlign w:val="center"/>
                </w:tcPr>
                <w:p w14:paraId="4AAED95A">
                  <w:pPr>
                    <w:pStyle w:val="31"/>
                    <w:bidi w:val="0"/>
                    <w:rPr>
                      <w:rFonts w:hint="default" w:eastAsia="宋体"/>
                      <w:color w:val="auto"/>
                      <w:lang w:val="en-US" w:eastAsia="zh-CN"/>
                    </w:rPr>
                  </w:pPr>
                  <w:r>
                    <w:rPr>
                      <w:rFonts w:hint="eastAsia"/>
                      <w:color w:val="auto"/>
                      <w:lang w:val="en-US" w:eastAsia="zh-CN"/>
                    </w:rPr>
                    <w:t>本次改建，采用集气罩收集后进入布袋除尘器处理后通过15m高排气筒排放。</w:t>
                  </w:r>
                </w:p>
              </w:tc>
            </w:tr>
            <w:tr w14:paraId="1C61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continue"/>
                  <w:vAlign w:val="center"/>
                </w:tcPr>
                <w:p w14:paraId="65967E1C">
                  <w:pPr>
                    <w:pStyle w:val="31"/>
                    <w:bidi w:val="0"/>
                    <w:rPr>
                      <w:rFonts w:hint="eastAsia"/>
                      <w:color w:val="auto"/>
                      <w:lang w:eastAsia="zh-CN"/>
                    </w:rPr>
                  </w:pPr>
                </w:p>
              </w:tc>
              <w:tc>
                <w:tcPr>
                  <w:tcW w:w="262" w:type="pct"/>
                  <w:vMerge w:val="restart"/>
                  <w:vAlign w:val="center"/>
                </w:tcPr>
                <w:p w14:paraId="1042627A">
                  <w:pPr>
                    <w:pStyle w:val="31"/>
                    <w:bidi w:val="0"/>
                    <w:rPr>
                      <w:rFonts w:hint="eastAsia" w:eastAsia="宋体"/>
                      <w:color w:val="auto"/>
                      <w:lang w:eastAsia="zh-CN"/>
                    </w:rPr>
                  </w:pPr>
                  <w:r>
                    <w:rPr>
                      <w:rFonts w:hint="eastAsia"/>
                      <w:color w:val="auto"/>
                      <w:lang w:eastAsia="zh-CN"/>
                    </w:rPr>
                    <w:t>废水</w:t>
                  </w:r>
                </w:p>
              </w:tc>
              <w:tc>
                <w:tcPr>
                  <w:tcW w:w="509" w:type="pct"/>
                  <w:vAlign w:val="center"/>
                </w:tcPr>
                <w:p w14:paraId="398BA3AB">
                  <w:pPr>
                    <w:pStyle w:val="31"/>
                    <w:bidi w:val="0"/>
                    <w:rPr>
                      <w:rFonts w:hint="eastAsia"/>
                      <w:color w:val="auto"/>
                      <w:lang w:eastAsia="zh-CN"/>
                    </w:rPr>
                  </w:pPr>
                  <w:r>
                    <w:rPr>
                      <w:rFonts w:hint="eastAsia"/>
                      <w:color w:val="auto"/>
                      <w:lang w:eastAsia="zh-CN"/>
                    </w:rPr>
                    <w:t>生活污水</w:t>
                  </w:r>
                </w:p>
              </w:tc>
              <w:tc>
                <w:tcPr>
                  <w:tcW w:w="2564" w:type="pct"/>
                  <w:vAlign w:val="center"/>
                </w:tcPr>
                <w:p w14:paraId="24869952">
                  <w:pPr>
                    <w:pStyle w:val="31"/>
                    <w:bidi w:val="0"/>
                    <w:jc w:val="both"/>
                    <w:rPr>
                      <w:rFonts w:hint="default" w:eastAsia="宋体"/>
                      <w:color w:val="auto"/>
                      <w:lang w:val="en-US" w:eastAsia="zh-CN"/>
                    </w:rPr>
                  </w:pPr>
                  <w:r>
                    <w:rPr>
                      <w:rFonts w:hint="eastAsia"/>
                      <w:color w:val="auto"/>
                      <w:lang w:val="en-US" w:eastAsia="zh-CN"/>
                    </w:rPr>
                    <w:t>1个化粪池</w:t>
                  </w:r>
                  <w:r>
                    <w:rPr>
                      <w:rFonts w:hint="eastAsia"/>
                      <w:color w:val="auto"/>
                      <w:highlight w:val="none"/>
                      <w:lang w:val="en-US" w:eastAsia="zh-CN"/>
                    </w:rPr>
                    <w:t>3m</w:t>
                  </w:r>
                  <w:r>
                    <w:rPr>
                      <w:rFonts w:hint="eastAsia"/>
                      <w:color w:val="auto"/>
                      <w:highlight w:val="none"/>
                      <w:vertAlign w:val="superscript"/>
                      <w:lang w:val="en-US" w:eastAsia="zh-CN"/>
                    </w:rPr>
                    <w:t>3</w:t>
                  </w:r>
                </w:p>
              </w:tc>
              <w:tc>
                <w:tcPr>
                  <w:tcW w:w="1244" w:type="pct"/>
                  <w:vAlign w:val="center"/>
                </w:tcPr>
                <w:p w14:paraId="038AFB37">
                  <w:pPr>
                    <w:pStyle w:val="31"/>
                    <w:bidi w:val="0"/>
                    <w:rPr>
                      <w:color w:val="auto"/>
                    </w:rPr>
                  </w:pPr>
                  <w:r>
                    <w:rPr>
                      <w:rFonts w:hint="eastAsia"/>
                      <w:color w:val="auto"/>
                      <w:lang w:eastAsia="zh-CN"/>
                    </w:rPr>
                    <w:t>本次利旧</w:t>
                  </w:r>
                </w:p>
              </w:tc>
            </w:tr>
            <w:tr w14:paraId="1511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continue"/>
                  <w:vAlign w:val="center"/>
                </w:tcPr>
                <w:p w14:paraId="1851DB10">
                  <w:pPr>
                    <w:pStyle w:val="31"/>
                    <w:bidi w:val="0"/>
                    <w:rPr>
                      <w:rFonts w:hint="eastAsia"/>
                      <w:color w:val="auto"/>
                      <w:lang w:eastAsia="zh-CN"/>
                    </w:rPr>
                  </w:pPr>
                </w:p>
              </w:tc>
              <w:tc>
                <w:tcPr>
                  <w:tcW w:w="262" w:type="pct"/>
                  <w:vMerge w:val="continue"/>
                  <w:vAlign w:val="center"/>
                </w:tcPr>
                <w:p w14:paraId="641FA659">
                  <w:pPr>
                    <w:pStyle w:val="31"/>
                    <w:bidi w:val="0"/>
                    <w:rPr>
                      <w:rFonts w:hint="eastAsia"/>
                      <w:color w:val="auto"/>
                      <w:lang w:eastAsia="zh-CN"/>
                    </w:rPr>
                  </w:pPr>
                </w:p>
              </w:tc>
              <w:tc>
                <w:tcPr>
                  <w:tcW w:w="509" w:type="pct"/>
                  <w:vAlign w:val="center"/>
                </w:tcPr>
                <w:p w14:paraId="35FE4548">
                  <w:pPr>
                    <w:pStyle w:val="31"/>
                    <w:bidi w:val="0"/>
                    <w:rPr>
                      <w:rFonts w:hint="eastAsia"/>
                      <w:color w:val="auto"/>
                      <w:lang w:eastAsia="zh-CN"/>
                    </w:rPr>
                  </w:pPr>
                  <w:r>
                    <w:rPr>
                      <w:rFonts w:hint="eastAsia"/>
                      <w:color w:val="auto"/>
                      <w:lang w:eastAsia="zh-CN"/>
                    </w:rPr>
                    <w:t>直接冷却水</w:t>
                  </w:r>
                </w:p>
              </w:tc>
              <w:tc>
                <w:tcPr>
                  <w:tcW w:w="2564" w:type="pct"/>
                  <w:vAlign w:val="center"/>
                </w:tcPr>
                <w:p w14:paraId="7A37B3CD">
                  <w:pPr>
                    <w:pStyle w:val="31"/>
                    <w:bidi w:val="0"/>
                    <w:jc w:val="both"/>
                    <w:rPr>
                      <w:rFonts w:hint="default" w:eastAsia="宋体"/>
                      <w:color w:val="auto"/>
                      <w:lang w:val="en-US" w:eastAsia="zh-CN"/>
                    </w:rPr>
                  </w:pPr>
                  <w:r>
                    <w:rPr>
                      <w:rFonts w:hint="eastAsia" w:ascii="Times New Roman" w:hAnsi="Times New Roman" w:cs="Times New Roman"/>
                      <w:bCs/>
                      <w:color w:val="auto"/>
                      <w:sz w:val="21"/>
                      <w:szCs w:val="21"/>
                      <w:highlight w:val="none"/>
                      <w:lang w:val="en-US" w:eastAsia="zh-CN"/>
                    </w:rPr>
                    <w:t>2个容积为30m</w:t>
                  </w:r>
                  <w:r>
                    <w:rPr>
                      <w:rFonts w:hint="eastAsia" w:ascii="Times New Roman" w:hAnsi="Times New Roman" w:cs="Times New Roman"/>
                      <w:bCs/>
                      <w:color w:val="auto"/>
                      <w:sz w:val="21"/>
                      <w:szCs w:val="21"/>
                      <w:highlight w:val="none"/>
                      <w:vertAlign w:val="superscript"/>
                      <w:lang w:val="en-US" w:eastAsia="zh-CN"/>
                    </w:rPr>
                    <w:t>3</w:t>
                  </w:r>
                  <w:r>
                    <w:rPr>
                      <w:rFonts w:hint="eastAsia" w:ascii="Times New Roman" w:hAnsi="Times New Roman" w:cs="Times New Roman"/>
                      <w:bCs/>
                      <w:color w:val="auto"/>
                      <w:sz w:val="21"/>
                      <w:szCs w:val="21"/>
                      <w:highlight w:val="none"/>
                      <w:lang w:val="en-US" w:eastAsia="zh-CN"/>
                    </w:rPr>
                    <w:t>的循环冷却池，1个容积为15m</w:t>
                  </w:r>
                  <w:r>
                    <w:rPr>
                      <w:rFonts w:hint="eastAsia" w:ascii="Times New Roman" w:hAnsi="Times New Roman" w:cs="Times New Roman"/>
                      <w:bCs/>
                      <w:color w:val="auto"/>
                      <w:sz w:val="21"/>
                      <w:szCs w:val="21"/>
                      <w:highlight w:val="none"/>
                      <w:vertAlign w:val="superscript"/>
                      <w:lang w:val="en-US" w:eastAsia="zh-CN"/>
                    </w:rPr>
                    <w:t>3</w:t>
                  </w:r>
                  <w:r>
                    <w:rPr>
                      <w:rFonts w:hint="eastAsia" w:ascii="Times New Roman" w:hAnsi="Times New Roman" w:cs="Times New Roman"/>
                      <w:bCs/>
                      <w:color w:val="auto"/>
                      <w:sz w:val="21"/>
                      <w:szCs w:val="21"/>
                      <w:highlight w:val="none"/>
                      <w:lang w:val="en-US" w:eastAsia="zh-CN"/>
                    </w:rPr>
                    <w:t>的循环冷却水池，1个10m</w:t>
                  </w:r>
                  <w:r>
                    <w:rPr>
                      <w:rFonts w:hint="eastAsia" w:ascii="Times New Roman" w:hAnsi="Times New Roman" w:cs="Times New Roman"/>
                      <w:bCs/>
                      <w:color w:val="auto"/>
                      <w:sz w:val="21"/>
                      <w:szCs w:val="21"/>
                      <w:highlight w:val="none"/>
                      <w:vertAlign w:val="superscript"/>
                      <w:lang w:val="en-US" w:eastAsia="zh-CN"/>
                    </w:rPr>
                    <w:t>3</w:t>
                  </w:r>
                  <w:r>
                    <w:rPr>
                      <w:rFonts w:hint="eastAsia" w:ascii="Times New Roman" w:hAnsi="Times New Roman" w:cs="Times New Roman"/>
                      <w:bCs/>
                      <w:color w:val="auto"/>
                      <w:sz w:val="21"/>
                      <w:szCs w:val="21"/>
                      <w:highlight w:val="none"/>
                      <w:lang w:val="en-US" w:eastAsia="zh-CN"/>
                    </w:rPr>
                    <w:t>的循环冷却水池，4个容积均为20m</w:t>
                  </w:r>
                  <w:r>
                    <w:rPr>
                      <w:rFonts w:hint="eastAsia" w:ascii="Times New Roman" w:hAnsi="Times New Roman" w:cs="Times New Roman"/>
                      <w:bCs/>
                      <w:color w:val="auto"/>
                      <w:sz w:val="21"/>
                      <w:szCs w:val="21"/>
                      <w:highlight w:val="none"/>
                      <w:vertAlign w:val="superscript"/>
                      <w:lang w:val="en-US" w:eastAsia="zh-CN"/>
                    </w:rPr>
                    <w:t>3</w:t>
                  </w:r>
                  <w:r>
                    <w:rPr>
                      <w:rFonts w:hint="eastAsia" w:ascii="Times New Roman" w:hAnsi="Times New Roman" w:cs="Times New Roman"/>
                      <w:bCs/>
                      <w:color w:val="auto"/>
                      <w:sz w:val="21"/>
                      <w:szCs w:val="21"/>
                      <w:highlight w:val="none"/>
                      <w:lang w:val="en-US" w:eastAsia="zh-CN"/>
                    </w:rPr>
                    <w:t>的循环冷却池。</w:t>
                  </w:r>
                </w:p>
              </w:tc>
              <w:tc>
                <w:tcPr>
                  <w:tcW w:w="1244" w:type="pct"/>
                  <w:vAlign w:val="center"/>
                </w:tcPr>
                <w:p w14:paraId="4B685E66">
                  <w:pPr>
                    <w:pStyle w:val="31"/>
                    <w:bidi w:val="0"/>
                    <w:rPr>
                      <w:color w:val="auto"/>
                    </w:rPr>
                  </w:pPr>
                  <w:r>
                    <w:rPr>
                      <w:rFonts w:hint="eastAsia"/>
                      <w:color w:val="auto"/>
                      <w:lang w:eastAsia="zh-CN"/>
                    </w:rPr>
                    <w:t>本次利旧</w:t>
                  </w:r>
                </w:p>
              </w:tc>
            </w:tr>
            <w:tr w14:paraId="7C4EF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continue"/>
                  <w:vAlign w:val="center"/>
                </w:tcPr>
                <w:p w14:paraId="7E4EFAB7">
                  <w:pPr>
                    <w:pStyle w:val="31"/>
                    <w:bidi w:val="0"/>
                    <w:rPr>
                      <w:rFonts w:hint="eastAsia"/>
                      <w:color w:val="auto"/>
                      <w:lang w:eastAsia="zh-CN"/>
                    </w:rPr>
                  </w:pPr>
                </w:p>
              </w:tc>
              <w:tc>
                <w:tcPr>
                  <w:tcW w:w="771" w:type="pct"/>
                  <w:gridSpan w:val="2"/>
                  <w:vAlign w:val="center"/>
                </w:tcPr>
                <w:p w14:paraId="51945942">
                  <w:pPr>
                    <w:pStyle w:val="31"/>
                    <w:bidi w:val="0"/>
                    <w:rPr>
                      <w:rFonts w:hint="eastAsia" w:eastAsia="宋体"/>
                      <w:color w:val="auto"/>
                      <w:lang w:eastAsia="zh-CN"/>
                    </w:rPr>
                  </w:pPr>
                  <w:r>
                    <w:rPr>
                      <w:rFonts w:hint="eastAsia"/>
                      <w:color w:val="auto"/>
                      <w:lang w:eastAsia="zh-CN"/>
                    </w:rPr>
                    <w:t>噪声</w:t>
                  </w:r>
                </w:p>
              </w:tc>
              <w:tc>
                <w:tcPr>
                  <w:tcW w:w="2564" w:type="pct"/>
                  <w:vAlign w:val="center"/>
                </w:tcPr>
                <w:p w14:paraId="619A0701">
                  <w:pPr>
                    <w:pStyle w:val="31"/>
                    <w:bidi w:val="0"/>
                    <w:jc w:val="both"/>
                    <w:rPr>
                      <w:color w:val="auto"/>
                    </w:rPr>
                  </w:pPr>
                  <w:r>
                    <w:rPr>
                      <w:rFonts w:hint="eastAsia" w:ascii="Times New Roman" w:hAnsi="Times New Roman" w:eastAsia="宋体"/>
                      <w:color w:val="auto"/>
                      <w:szCs w:val="21"/>
                    </w:rPr>
                    <w:t>设备置于厂房内，采取</w:t>
                  </w:r>
                  <w:r>
                    <w:rPr>
                      <w:rFonts w:hint="default" w:ascii="Times New Roman" w:hAnsi="Times New Roman" w:cs="Times New Roman"/>
                      <w:color w:val="auto"/>
                      <w:szCs w:val="21"/>
                    </w:rPr>
                    <w:t>厂房隔声</w:t>
                  </w:r>
                </w:p>
              </w:tc>
              <w:tc>
                <w:tcPr>
                  <w:tcW w:w="1244" w:type="pct"/>
                  <w:vAlign w:val="center"/>
                </w:tcPr>
                <w:p w14:paraId="7A2BC3FF">
                  <w:pPr>
                    <w:pStyle w:val="31"/>
                    <w:bidi w:val="0"/>
                    <w:ind w:firstLine="0" w:firstLineChars="0"/>
                    <w:rPr>
                      <w:color w:val="auto"/>
                    </w:rPr>
                  </w:pPr>
                  <w:r>
                    <w:rPr>
                      <w:rFonts w:hint="eastAsia"/>
                      <w:color w:val="auto"/>
                      <w:lang w:eastAsia="zh-CN"/>
                    </w:rPr>
                    <w:t>本次利旧</w:t>
                  </w:r>
                </w:p>
              </w:tc>
            </w:tr>
            <w:tr w14:paraId="16D0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continue"/>
                  <w:vAlign w:val="center"/>
                </w:tcPr>
                <w:p w14:paraId="02200D0D">
                  <w:pPr>
                    <w:pStyle w:val="31"/>
                    <w:bidi w:val="0"/>
                    <w:rPr>
                      <w:rFonts w:hint="eastAsia"/>
                      <w:color w:val="auto"/>
                      <w:lang w:eastAsia="zh-CN"/>
                    </w:rPr>
                  </w:pPr>
                </w:p>
              </w:tc>
              <w:tc>
                <w:tcPr>
                  <w:tcW w:w="262" w:type="pct"/>
                  <w:vMerge w:val="restart"/>
                  <w:vAlign w:val="center"/>
                </w:tcPr>
                <w:p w14:paraId="384B2FE5">
                  <w:pPr>
                    <w:pStyle w:val="31"/>
                    <w:bidi w:val="0"/>
                    <w:rPr>
                      <w:rFonts w:hint="eastAsia" w:eastAsia="宋体"/>
                      <w:color w:val="auto"/>
                      <w:lang w:eastAsia="zh-CN"/>
                    </w:rPr>
                  </w:pPr>
                  <w:r>
                    <w:rPr>
                      <w:rFonts w:hint="eastAsia"/>
                      <w:color w:val="auto"/>
                      <w:lang w:eastAsia="zh-CN"/>
                    </w:rPr>
                    <w:t>固废</w:t>
                  </w:r>
                </w:p>
              </w:tc>
              <w:tc>
                <w:tcPr>
                  <w:tcW w:w="509" w:type="pct"/>
                  <w:vAlign w:val="center"/>
                </w:tcPr>
                <w:p w14:paraId="72F30813">
                  <w:pPr>
                    <w:pStyle w:val="31"/>
                    <w:bidi w:val="0"/>
                    <w:rPr>
                      <w:rFonts w:hint="eastAsia"/>
                      <w:color w:val="auto"/>
                      <w:lang w:eastAsia="zh-CN"/>
                    </w:rPr>
                  </w:pPr>
                  <w:r>
                    <w:rPr>
                      <w:rFonts w:hint="eastAsia"/>
                      <w:color w:val="auto"/>
                      <w:lang w:eastAsia="zh-CN"/>
                    </w:rPr>
                    <w:t>生活垃圾</w:t>
                  </w:r>
                </w:p>
              </w:tc>
              <w:tc>
                <w:tcPr>
                  <w:tcW w:w="2564" w:type="pct"/>
                  <w:vAlign w:val="center"/>
                </w:tcPr>
                <w:p w14:paraId="26F7CDA9">
                  <w:pPr>
                    <w:pStyle w:val="31"/>
                    <w:bidi w:val="0"/>
                    <w:ind w:firstLine="0" w:firstLineChars="0"/>
                    <w:jc w:val="both"/>
                    <w:rPr>
                      <w:rFonts w:hint="eastAsia" w:eastAsia="宋体"/>
                      <w:color w:val="auto"/>
                      <w:lang w:eastAsia="zh-CN"/>
                    </w:rPr>
                  </w:pPr>
                  <w:r>
                    <w:rPr>
                      <w:rFonts w:hint="eastAsia"/>
                      <w:color w:val="auto"/>
                      <w:lang w:val="en-US" w:eastAsia="zh-CN"/>
                    </w:rPr>
                    <w:t>厂区内设置生活垃圾桶若干，用于收集生活垃圾，收集后并入纳古镇清运处置。</w:t>
                  </w:r>
                </w:p>
              </w:tc>
              <w:tc>
                <w:tcPr>
                  <w:tcW w:w="1244" w:type="pct"/>
                  <w:vAlign w:val="center"/>
                </w:tcPr>
                <w:p w14:paraId="3F47EAAA">
                  <w:pPr>
                    <w:pStyle w:val="31"/>
                    <w:bidi w:val="0"/>
                    <w:ind w:firstLine="0" w:firstLineChars="0"/>
                    <w:rPr>
                      <w:color w:val="auto"/>
                    </w:rPr>
                  </w:pPr>
                  <w:r>
                    <w:rPr>
                      <w:rFonts w:hint="eastAsia"/>
                      <w:color w:val="auto"/>
                      <w:lang w:eastAsia="zh-CN"/>
                    </w:rPr>
                    <w:t>本次利旧</w:t>
                  </w:r>
                </w:p>
              </w:tc>
            </w:tr>
            <w:tr w14:paraId="07B1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continue"/>
                  <w:vAlign w:val="center"/>
                </w:tcPr>
                <w:p w14:paraId="17756E55">
                  <w:pPr>
                    <w:pStyle w:val="31"/>
                    <w:bidi w:val="0"/>
                    <w:rPr>
                      <w:rFonts w:hint="eastAsia"/>
                      <w:color w:val="auto"/>
                      <w:lang w:eastAsia="zh-CN"/>
                    </w:rPr>
                  </w:pPr>
                </w:p>
              </w:tc>
              <w:tc>
                <w:tcPr>
                  <w:tcW w:w="262" w:type="pct"/>
                  <w:vMerge w:val="continue"/>
                  <w:vAlign w:val="center"/>
                </w:tcPr>
                <w:p w14:paraId="4DAC5174">
                  <w:pPr>
                    <w:pStyle w:val="31"/>
                    <w:bidi w:val="0"/>
                    <w:rPr>
                      <w:rFonts w:hint="eastAsia"/>
                      <w:color w:val="auto"/>
                      <w:lang w:eastAsia="zh-CN"/>
                    </w:rPr>
                  </w:pPr>
                </w:p>
              </w:tc>
              <w:tc>
                <w:tcPr>
                  <w:tcW w:w="509" w:type="pct"/>
                  <w:vAlign w:val="center"/>
                </w:tcPr>
                <w:p w14:paraId="087DA086">
                  <w:pPr>
                    <w:pStyle w:val="31"/>
                    <w:bidi w:val="0"/>
                    <w:rPr>
                      <w:rFonts w:hint="default"/>
                      <w:color w:val="auto"/>
                      <w:lang w:val="en-US" w:eastAsia="zh-CN"/>
                    </w:rPr>
                  </w:pPr>
                  <w:r>
                    <w:rPr>
                      <w:rFonts w:hint="eastAsia"/>
                      <w:color w:val="auto"/>
                      <w:lang w:val="en-US" w:eastAsia="zh-CN"/>
                    </w:rPr>
                    <w:t>废料打包库</w:t>
                  </w:r>
                </w:p>
              </w:tc>
              <w:tc>
                <w:tcPr>
                  <w:tcW w:w="2564" w:type="pct"/>
                  <w:vAlign w:val="center"/>
                </w:tcPr>
                <w:p w14:paraId="637A147B">
                  <w:pPr>
                    <w:pStyle w:val="31"/>
                    <w:bidi w:val="0"/>
                    <w:ind w:firstLine="0" w:firstLineChars="0"/>
                    <w:jc w:val="both"/>
                    <w:rPr>
                      <w:rFonts w:hint="eastAsia" w:eastAsia="宋体"/>
                      <w:color w:val="auto"/>
                      <w:vertAlign w:val="baseline"/>
                      <w:lang w:val="en-US" w:eastAsia="zh-CN"/>
                    </w:rPr>
                  </w:pPr>
                  <w:r>
                    <w:rPr>
                      <w:rFonts w:hint="eastAsia"/>
                      <w:color w:val="auto"/>
                      <w:lang w:val="en-US" w:eastAsia="zh-CN"/>
                    </w:rPr>
                    <w:t>1间，占地面积1158</w:t>
                  </w:r>
                  <w:r>
                    <w:rPr>
                      <w:rFonts w:hint="eastAsia"/>
                      <w:color w:val="auto"/>
                    </w:rPr>
                    <w:t>m</w:t>
                  </w:r>
                  <w:r>
                    <w:rPr>
                      <w:rFonts w:hint="eastAsia"/>
                      <w:color w:val="auto"/>
                      <w:vertAlign w:val="superscript"/>
                    </w:rPr>
                    <w:t>2</w:t>
                  </w:r>
                  <w:r>
                    <w:rPr>
                      <w:rFonts w:hint="eastAsia"/>
                      <w:color w:val="auto"/>
                      <w:vertAlign w:val="baseline"/>
                      <w:lang w:eastAsia="zh-CN"/>
                    </w:rPr>
                    <w:t>，</w:t>
                  </w:r>
                  <w:r>
                    <w:rPr>
                      <w:rFonts w:hint="eastAsia"/>
                      <w:color w:val="auto"/>
                      <w:vertAlign w:val="baseline"/>
                      <w:lang w:val="en-US" w:eastAsia="zh-CN"/>
                    </w:rPr>
                    <w:t>位于厂区东南侧，主要用于</w:t>
                  </w:r>
                  <w:r>
                    <w:rPr>
                      <w:rFonts w:hint="eastAsia" w:ascii="Times New Roman" w:hAnsi="Times New Roman" w:eastAsia="宋体"/>
                      <w:color w:val="auto"/>
                      <w:sz w:val="21"/>
                      <w:szCs w:val="21"/>
                      <w:lang w:val="en-US" w:eastAsia="zh-CN"/>
                    </w:rPr>
                    <w:t>不合格品、金属碎屑、焊渣等固废暂存及打包。</w:t>
                  </w:r>
                </w:p>
              </w:tc>
              <w:tc>
                <w:tcPr>
                  <w:tcW w:w="1244" w:type="pct"/>
                  <w:vAlign w:val="center"/>
                </w:tcPr>
                <w:p w14:paraId="33DBE7AB">
                  <w:pPr>
                    <w:pStyle w:val="31"/>
                    <w:bidi w:val="0"/>
                    <w:rPr>
                      <w:rFonts w:hint="eastAsia" w:eastAsia="宋体"/>
                      <w:color w:val="auto"/>
                      <w:lang w:eastAsia="zh-CN"/>
                    </w:rPr>
                  </w:pPr>
                  <w:r>
                    <w:rPr>
                      <w:rFonts w:hint="eastAsia"/>
                      <w:color w:val="auto"/>
                      <w:lang w:eastAsia="zh-CN"/>
                    </w:rPr>
                    <w:t>本次利旧</w:t>
                  </w:r>
                </w:p>
              </w:tc>
            </w:tr>
            <w:tr w14:paraId="11D6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continue"/>
                  <w:vAlign w:val="center"/>
                </w:tcPr>
                <w:p w14:paraId="32FBE50B">
                  <w:pPr>
                    <w:pStyle w:val="31"/>
                    <w:bidi w:val="0"/>
                    <w:rPr>
                      <w:rFonts w:hint="eastAsia"/>
                      <w:color w:val="auto"/>
                      <w:lang w:eastAsia="zh-CN"/>
                    </w:rPr>
                  </w:pPr>
                </w:p>
              </w:tc>
              <w:tc>
                <w:tcPr>
                  <w:tcW w:w="262" w:type="pct"/>
                  <w:vMerge w:val="continue"/>
                  <w:vAlign w:val="center"/>
                </w:tcPr>
                <w:p w14:paraId="39F2B44C">
                  <w:pPr>
                    <w:pStyle w:val="31"/>
                    <w:bidi w:val="0"/>
                    <w:rPr>
                      <w:rFonts w:hint="eastAsia"/>
                      <w:color w:val="auto"/>
                      <w:lang w:eastAsia="zh-CN"/>
                    </w:rPr>
                  </w:pPr>
                </w:p>
              </w:tc>
              <w:tc>
                <w:tcPr>
                  <w:tcW w:w="509" w:type="pct"/>
                  <w:vAlign w:val="center"/>
                </w:tcPr>
                <w:p w14:paraId="2BB8DF41">
                  <w:pPr>
                    <w:pStyle w:val="31"/>
                    <w:bidi w:val="0"/>
                    <w:rPr>
                      <w:rFonts w:hint="eastAsia"/>
                      <w:color w:val="auto"/>
                      <w:lang w:val="en-US" w:eastAsia="zh-CN"/>
                    </w:rPr>
                  </w:pPr>
                  <w:r>
                    <w:rPr>
                      <w:rFonts w:hint="eastAsia"/>
                      <w:color w:val="auto"/>
                      <w:lang w:val="en-US" w:eastAsia="zh-CN"/>
                    </w:rPr>
                    <w:t>危险废物</w:t>
                  </w:r>
                </w:p>
              </w:tc>
              <w:tc>
                <w:tcPr>
                  <w:tcW w:w="2564" w:type="pct"/>
                  <w:vAlign w:val="center"/>
                </w:tcPr>
                <w:p w14:paraId="122DF043">
                  <w:pPr>
                    <w:pStyle w:val="31"/>
                    <w:bidi w:val="0"/>
                    <w:jc w:val="both"/>
                    <w:rPr>
                      <w:rFonts w:hint="default" w:eastAsia="宋体"/>
                      <w:color w:val="auto"/>
                      <w:vertAlign w:val="baseline"/>
                      <w:lang w:val="en-US" w:eastAsia="zh-CN"/>
                    </w:rPr>
                  </w:pPr>
                  <w:r>
                    <w:rPr>
                      <w:rFonts w:hint="eastAsia"/>
                      <w:color w:val="auto"/>
                      <w:vertAlign w:val="baseline"/>
                      <w:lang w:val="en-US" w:eastAsia="zh-CN"/>
                    </w:rPr>
                    <w:t>废液压油、废液压油桶由供货商回收，未设置专门的存放场所。</w:t>
                  </w:r>
                </w:p>
              </w:tc>
              <w:tc>
                <w:tcPr>
                  <w:tcW w:w="1244" w:type="pct"/>
                  <w:vAlign w:val="center"/>
                </w:tcPr>
                <w:p w14:paraId="1697A7CE">
                  <w:pPr>
                    <w:pStyle w:val="31"/>
                    <w:bidi w:val="0"/>
                    <w:rPr>
                      <w:rFonts w:hint="default"/>
                      <w:color w:val="auto"/>
                      <w:lang w:val="en-US" w:eastAsia="zh-CN"/>
                    </w:rPr>
                  </w:pPr>
                  <w:r>
                    <w:rPr>
                      <w:rFonts w:hint="eastAsia"/>
                      <w:color w:val="auto"/>
                      <w:lang w:val="en-US" w:eastAsia="zh-CN"/>
                    </w:rPr>
                    <w:t>本次整改</w:t>
                  </w:r>
                </w:p>
              </w:tc>
            </w:tr>
          </w:tbl>
          <w:p w14:paraId="731DC37C">
            <w:pPr>
              <w:bidi w:val="0"/>
              <w:ind w:left="0" w:leftChars="0" w:firstLine="0" w:firstLineChars="0"/>
              <w:rPr>
                <w:rFonts w:hint="default"/>
                <w:b/>
                <w:bCs/>
                <w:color w:val="auto"/>
                <w:lang w:val="en-US" w:eastAsia="zh-CN"/>
              </w:rPr>
            </w:pPr>
            <w:r>
              <w:rPr>
                <w:rFonts w:hint="eastAsia"/>
                <w:b/>
                <w:bCs/>
                <w:color w:val="auto"/>
                <w:lang w:val="en-US" w:eastAsia="zh-CN"/>
              </w:rPr>
              <w:t>十六、原有项目主要设备</w:t>
            </w:r>
          </w:p>
          <w:p w14:paraId="1BE59F4D">
            <w:pPr>
              <w:bidi w:val="0"/>
              <w:rPr>
                <w:rFonts w:hint="eastAsia"/>
                <w:color w:val="auto"/>
                <w:lang w:val="en-US" w:eastAsia="zh-CN"/>
              </w:rPr>
            </w:pPr>
            <w:r>
              <w:rPr>
                <w:rFonts w:hint="eastAsia"/>
                <w:color w:val="auto"/>
                <w:lang w:val="en-US" w:eastAsia="zh-CN"/>
              </w:rPr>
              <w:t>原有项目主要设备详见下表。</w:t>
            </w:r>
          </w:p>
          <w:p w14:paraId="1305B2A5">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表2-</w:t>
            </w:r>
            <w:r>
              <w:rPr>
                <w:rFonts w:hint="eastAsia"/>
                <w:color w:val="auto"/>
                <w:sz w:val="24"/>
                <w:szCs w:val="24"/>
                <w:lang w:val="en-US" w:eastAsia="zh-CN"/>
              </w:rPr>
              <w:t>9</w:t>
            </w:r>
            <w:r>
              <w:rPr>
                <w:rFonts w:hint="eastAsia" w:ascii="Times New Roman" w:hAnsi="Times New Roman" w:eastAsia="宋体"/>
                <w:color w:val="auto"/>
                <w:sz w:val="24"/>
                <w:szCs w:val="24"/>
                <w:lang w:val="en-US" w:eastAsia="zh-CN"/>
              </w:rPr>
              <w:t xml:space="preserve"> 原有项目生产设备清单</w:t>
            </w:r>
          </w:p>
          <w:tbl>
            <w:tblPr>
              <w:tblStyle w:val="22"/>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849"/>
              <w:gridCol w:w="1336"/>
              <w:gridCol w:w="1796"/>
              <w:gridCol w:w="1101"/>
              <w:gridCol w:w="1818"/>
            </w:tblGrid>
            <w:tr w14:paraId="2867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5" w:type="pct"/>
                  <w:vAlign w:val="center"/>
                </w:tcPr>
                <w:p w14:paraId="1889B33F">
                  <w:pPr>
                    <w:pStyle w:val="31"/>
                    <w:bidi w:val="0"/>
                    <w:rPr>
                      <w:rFonts w:hint="default"/>
                      <w:color w:val="auto"/>
                    </w:rPr>
                  </w:pPr>
                  <w:r>
                    <w:rPr>
                      <w:color w:val="auto"/>
                    </w:rPr>
                    <w:t>序号</w:t>
                  </w:r>
                </w:p>
              </w:tc>
              <w:tc>
                <w:tcPr>
                  <w:tcW w:w="1077" w:type="pct"/>
                  <w:vAlign w:val="center"/>
                </w:tcPr>
                <w:p w14:paraId="706B093E">
                  <w:pPr>
                    <w:pStyle w:val="31"/>
                    <w:bidi w:val="0"/>
                    <w:rPr>
                      <w:rFonts w:hint="default"/>
                      <w:color w:val="auto"/>
                    </w:rPr>
                  </w:pPr>
                  <w:r>
                    <w:rPr>
                      <w:color w:val="auto"/>
                    </w:rPr>
                    <w:t>设备名称</w:t>
                  </w:r>
                </w:p>
              </w:tc>
              <w:tc>
                <w:tcPr>
                  <w:tcW w:w="778" w:type="pct"/>
                  <w:vAlign w:val="center"/>
                </w:tcPr>
                <w:p w14:paraId="377C35AF">
                  <w:pPr>
                    <w:pStyle w:val="31"/>
                    <w:bidi w:val="0"/>
                    <w:rPr>
                      <w:rFonts w:hint="default"/>
                      <w:color w:val="auto"/>
                      <w:lang w:val="en-US" w:eastAsia="zh-CN"/>
                    </w:rPr>
                  </w:pPr>
                  <w:r>
                    <w:rPr>
                      <w:rFonts w:hint="eastAsia"/>
                      <w:color w:val="auto"/>
                      <w:lang w:eastAsia="zh-CN"/>
                    </w:rPr>
                    <w:t>功率</w:t>
                  </w:r>
                  <w:r>
                    <w:rPr>
                      <w:rFonts w:hint="eastAsia"/>
                      <w:color w:val="auto"/>
                      <w:lang w:val="en-US" w:eastAsia="zh-CN"/>
                    </w:rPr>
                    <w:t>Kw</w:t>
                  </w:r>
                </w:p>
              </w:tc>
              <w:tc>
                <w:tcPr>
                  <w:tcW w:w="1046" w:type="pct"/>
                  <w:vAlign w:val="center"/>
                </w:tcPr>
                <w:p w14:paraId="030B9BE9">
                  <w:pPr>
                    <w:pStyle w:val="31"/>
                    <w:bidi w:val="0"/>
                    <w:rPr>
                      <w:rFonts w:hint="eastAsia"/>
                      <w:color w:val="auto"/>
                      <w:lang w:val="en-US" w:eastAsia="zh-CN"/>
                    </w:rPr>
                  </w:pPr>
                  <w:r>
                    <w:rPr>
                      <w:color w:val="auto"/>
                    </w:rPr>
                    <w:t>规格型号</w:t>
                  </w:r>
                </w:p>
              </w:tc>
              <w:tc>
                <w:tcPr>
                  <w:tcW w:w="641" w:type="pct"/>
                  <w:vAlign w:val="center"/>
                </w:tcPr>
                <w:p w14:paraId="1083AA9D">
                  <w:pPr>
                    <w:pStyle w:val="31"/>
                    <w:bidi w:val="0"/>
                    <w:rPr>
                      <w:rFonts w:hint="eastAsia"/>
                      <w:color w:val="auto"/>
                      <w:lang w:eastAsia="zh-CN"/>
                    </w:rPr>
                  </w:pPr>
                  <w:r>
                    <w:rPr>
                      <w:rFonts w:hint="eastAsia"/>
                      <w:color w:val="auto"/>
                      <w:lang w:eastAsia="zh-CN"/>
                    </w:rPr>
                    <w:t>数量</w:t>
                  </w:r>
                </w:p>
              </w:tc>
              <w:tc>
                <w:tcPr>
                  <w:tcW w:w="1059" w:type="pct"/>
                  <w:vAlign w:val="center"/>
                </w:tcPr>
                <w:p w14:paraId="537F198E">
                  <w:pPr>
                    <w:pStyle w:val="31"/>
                    <w:bidi w:val="0"/>
                    <w:rPr>
                      <w:rFonts w:hint="eastAsia"/>
                      <w:color w:val="auto"/>
                      <w:lang w:eastAsia="zh-CN"/>
                    </w:rPr>
                  </w:pPr>
                  <w:r>
                    <w:rPr>
                      <w:rFonts w:hint="eastAsia"/>
                      <w:color w:val="auto"/>
                      <w:lang w:eastAsia="zh-CN"/>
                    </w:rPr>
                    <w:t>备注</w:t>
                  </w:r>
                </w:p>
              </w:tc>
            </w:tr>
            <w:tr w14:paraId="1E67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5" w:type="pct"/>
                  <w:vAlign w:val="center"/>
                </w:tcPr>
                <w:p w14:paraId="4EA391EA">
                  <w:pPr>
                    <w:pStyle w:val="31"/>
                    <w:bidi w:val="0"/>
                    <w:rPr>
                      <w:rFonts w:hint="eastAsia"/>
                      <w:color w:val="auto"/>
                      <w:lang w:val="en-US" w:eastAsia="zh-CN"/>
                    </w:rPr>
                  </w:pPr>
                  <w:r>
                    <w:rPr>
                      <w:rFonts w:hint="eastAsia"/>
                      <w:color w:val="auto"/>
                      <w:lang w:val="en-US" w:eastAsia="zh-CN"/>
                    </w:rPr>
                    <w:t>1</w:t>
                  </w:r>
                </w:p>
              </w:tc>
              <w:tc>
                <w:tcPr>
                  <w:tcW w:w="1077" w:type="pct"/>
                  <w:vMerge w:val="restart"/>
                  <w:vAlign w:val="center"/>
                </w:tcPr>
                <w:p w14:paraId="7FD4889D">
                  <w:pPr>
                    <w:pStyle w:val="31"/>
                    <w:bidi w:val="0"/>
                    <w:jc w:val="center"/>
                    <w:rPr>
                      <w:rFonts w:hint="default"/>
                      <w:color w:val="auto"/>
                      <w:lang w:val="en-US" w:eastAsia="zh-CN"/>
                    </w:rPr>
                  </w:pPr>
                  <w:r>
                    <w:rPr>
                      <w:rFonts w:hint="default"/>
                      <w:color w:val="auto"/>
                      <w:lang w:val="en-US" w:eastAsia="zh-CN"/>
                    </w:rPr>
                    <w:t>焊管机组</w:t>
                  </w:r>
                </w:p>
              </w:tc>
              <w:tc>
                <w:tcPr>
                  <w:tcW w:w="778" w:type="pct"/>
                  <w:shd w:val="clear" w:color="auto" w:fill="auto"/>
                  <w:vAlign w:val="center"/>
                </w:tcPr>
                <w:p w14:paraId="06C6AAD0">
                  <w:pPr>
                    <w:pStyle w:val="31"/>
                    <w:bidi w:val="0"/>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300</w:t>
                  </w:r>
                </w:p>
              </w:tc>
              <w:tc>
                <w:tcPr>
                  <w:tcW w:w="1046" w:type="pct"/>
                  <w:shd w:val="clear" w:color="auto" w:fill="auto"/>
                  <w:vAlign w:val="center"/>
                </w:tcPr>
                <w:p w14:paraId="446BEB26">
                  <w:pPr>
                    <w:pStyle w:val="31"/>
                    <w:bidi w:val="0"/>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89型焊管机</w:t>
                  </w:r>
                </w:p>
              </w:tc>
              <w:tc>
                <w:tcPr>
                  <w:tcW w:w="641" w:type="pct"/>
                  <w:shd w:val="clear" w:color="auto" w:fill="auto"/>
                  <w:vAlign w:val="center"/>
                </w:tcPr>
                <w:p w14:paraId="5D39699D">
                  <w:pPr>
                    <w:pStyle w:val="31"/>
                    <w:bidi w:val="0"/>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w:t>
                  </w:r>
                  <w:r>
                    <w:rPr>
                      <w:rFonts w:hint="eastAsia"/>
                      <w:color w:val="auto"/>
                      <w:lang w:eastAsia="zh-CN"/>
                    </w:rPr>
                    <w:t>台</w:t>
                  </w:r>
                </w:p>
              </w:tc>
              <w:tc>
                <w:tcPr>
                  <w:tcW w:w="1059" w:type="pct"/>
                  <w:shd w:val="clear" w:color="auto" w:fill="auto"/>
                  <w:vAlign w:val="center"/>
                </w:tcPr>
                <w:p w14:paraId="2721C1AE">
                  <w:pPr>
                    <w:pStyle w:val="31"/>
                    <w:bidi w:val="0"/>
                    <w:ind w:firstLine="0" w:firstLineChars="0"/>
                    <w:rPr>
                      <w:rFonts w:hint="default" w:ascii="Times New Roman" w:hAnsi="Times New Roman" w:eastAsia="宋体" w:cs="黑体"/>
                      <w:b w:val="0"/>
                      <w:color w:val="auto"/>
                      <w:kern w:val="2"/>
                      <w:sz w:val="21"/>
                      <w:szCs w:val="24"/>
                      <w:lang w:val="en-US" w:eastAsia="zh-CN" w:bidi="ar-SA"/>
                    </w:rPr>
                  </w:pPr>
                  <w:r>
                    <w:rPr>
                      <w:rFonts w:hint="eastAsia" w:ascii="Times New Roman" w:hAnsi="Times New Roman" w:eastAsia="宋体" w:cs="黑体"/>
                      <w:b w:val="0"/>
                      <w:color w:val="auto"/>
                      <w:kern w:val="2"/>
                      <w:sz w:val="21"/>
                      <w:szCs w:val="24"/>
                      <w:lang w:val="en-US" w:eastAsia="zh-CN" w:bidi="ar-SA"/>
                    </w:rPr>
                    <w:t>保留</w:t>
                  </w:r>
                </w:p>
              </w:tc>
            </w:tr>
            <w:tr w14:paraId="0BD7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5" w:type="pct"/>
                  <w:vAlign w:val="center"/>
                </w:tcPr>
                <w:p w14:paraId="33999B15">
                  <w:pPr>
                    <w:pStyle w:val="31"/>
                    <w:bidi w:val="0"/>
                    <w:rPr>
                      <w:rFonts w:hint="eastAsia"/>
                      <w:color w:val="auto"/>
                      <w:lang w:val="en-US" w:eastAsia="zh-CN"/>
                    </w:rPr>
                  </w:pPr>
                  <w:r>
                    <w:rPr>
                      <w:rFonts w:hint="eastAsia"/>
                      <w:color w:val="auto"/>
                      <w:lang w:val="en-US" w:eastAsia="zh-CN"/>
                    </w:rPr>
                    <w:t>2</w:t>
                  </w:r>
                </w:p>
              </w:tc>
              <w:tc>
                <w:tcPr>
                  <w:tcW w:w="1077" w:type="pct"/>
                  <w:vMerge w:val="continue"/>
                  <w:vAlign w:val="center"/>
                </w:tcPr>
                <w:p w14:paraId="1B4374F8">
                  <w:pPr>
                    <w:pStyle w:val="31"/>
                    <w:bidi w:val="0"/>
                    <w:rPr>
                      <w:rFonts w:hint="eastAsia"/>
                      <w:color w:val="auto"/>
                      <w:lang w:eastAsia="zh-CN"/>
                    </w:rPr>
                  </w:pPr>
                </w:p>
              </w:tc>
              <w:tc>
                <w:tcPr>
                  <w:tcW w:w="778" w:type="pct"/>
                  <w:shd w:val="clear" w:color="auto" w:fill="auto"/>
                  <w:vAlign w:val="center"/>
                </w:tcPr>
                <w:p w14:paraId="1D7C1BC3">
                  <w:pPr>
                    <w:pStyle w:val="31"/>
                    <w:bidi w:val="0"/>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w:t>
                  </w:r>
                </w:p>
              </w:tc>
              <w:tc>
                <w:tcPr>
                  <w:tcW w:w="1046" w:type="pct"/>
                  <w:shd w:val="clear" w:color="auto" w:fill="auto"/>
                  <w:vAlign w:val="center"/>
                </w:tcPr>
                <w:p w14:paraId="4DB24771">
                  <w:pPr>
                    <w:pStyle w:val="31"/>
                    <w:bidi w:val="0"/>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76型焊管机</w:t>
                  </w:r>
                </w:p>
              </w:tc>
              <w:tc>
                <w:tcPr>
                  <w:tcW w:w="641" w:type="pct"/>
                  <w:shd w:val="clear" w:color="auto" w:fill="auto"/>
                  <w:vAlign w:val="center"/>
                </w:tcPr>
                <w:p w14:paraId="1FB446A2">
                  <w:pPr>
                    <w:pStyle w:val="31"/>
                    <w:bidi w:val="0"/>
                    <w:ind w:firstLine="0" w:firstLineChars="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1台</w:t>
                  </w:r>
                </w:p>
              </w:tc>
              <w:tc>
                <w:tcPr>
                  <w:tcW w:w="1059" w:type="pct"/>
                  <w:shd w:val="clear" w:color="auto" w:fill="auto"/>
                  <w:vAlign w:val="center"/>
                </w:tcPr>
                <w:p w14:paraId="59E44F43">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保留</w:t>
                  </w:r>
                </w:p>
              </w:tc>
            </w:tr>
            <w:tr w14:paraId="1F6D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5" w:type="pct"/>
                  <w:vAlign w:val="center"/>
                </w:tcPr>
                <w:p w14:paraId="7DB66F0E">
                  <w:pPr>
                    <w:pStyle w:val="31"/>
                    <w:bidi w:val="0"/>
                    <w:rPr>
                      <w:rFonts w:hint="eastAsia"/>
                      <w:color w:val="auto"/>
                      <w:lang w:val="en-US" w:eastAsia="zh-CN"/>
                    </w:rPr>
                  </w:pPr>
                  <w:r>
                    <w:rPr>
                      <w:rFonts w:hint="eastAsia"/>
                      <w:color w:val="auto"/>
                      <w:lang w:val="en-US" w:eastAsia="zh-CN"/>
                    </w:rPr>
                    <w:t>3</w:t>
                  </w:r>
                </w:p>
              </w:tc>
              <w:tc>
                <w:tcPr>
                  <w:tcW w:w="1077" w:type="pct"/>
                  <w:vMerge w:val="continue"/>
                  <w:vAlign w:val="center"/>
                </w:tcPr>
                <w:p w14:paraId="6FFDB7A5">
                  <w:pPr>
                    <w:pStyle w:val="31"/>
                    <w:bidi w:val="0"/>
                    <w:rPr>
                      <w:rFonts w:hint="eastAsia"/>
                      <w:color w:val="auto"/>
                      <w:lang w:eastAsia="zh-CN"/>
                    </w:rPr>
                  </w:pPr>
                </w:p>
              </w:tc>
              <w:tc>
                <w:tcPr>
                  <w:tcW w:w="778" w:type="pct"/>
                  <w:shd w:val="clear" w:color="auto" w:fill="auto"/>
                  <w:vAlign w:val="center"/>
                </w:tcPr>
                <w:p w14:paraId="62418A0C">
                  <w:pPr>
                    <w:pStyle w:val="31"/>
                    <w:bidi w:val="0"/>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200</w:t>
                  </w:r>
                </w:p>
              </w:tc>
              <w:tc>
                <w:tcPr>
                  <w:tcW w:w="1046" w:type="pct"/>
                  <w:shd w:val="clear" w:color="auto" w:fill="auto"/>
                  <w:vAlign w:val="center"/>
                </w:tcPr>
                <w:p w14:paraId="6EB93901">
                  <w:pPr>
                    <w:pStyle w:val="31"/>
                    <w:bidi w:val="0"/>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50型焊管机</w:t>
                  </w:r>
                </w:p>
              </w:tc>
              <w:tc>
                <w:tcPr>
                  <w:tcW w:w="641" w:type="pct"/>
                  <w:shd w:val="clear" w:color="auto" w:fill="auto"/>
                  <w:vAlign w:val="center"/>
                </w:tcPr>
                <w:p w14:paraId="47DC6992">
                  <w:pPr>
                    <w:pStyle w:val="31"/>
                    <w:bidi w:val="0"/>
                    <w:ind w:firstLine="0" w:firstLineChars="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2台</w:t>
                  </w:r>
                </w:p>
              </w:tc>
              <w:tc>
                <w:tcPr>
                  <w:tcW w:w="1059" w:type="pct"/>
                  <w:shd w:val="clear" w:color="auto" w:fill="auto"/>
                  <w:vAlign w:val="center"/>
                </w:tcPr>
                <w:p w14:paraId="15D09805">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保留</w:t>
                  </w:r>
                </w:p>
              </w:tc>
            </w:tr>
            <w:tr w14:paraId="45C4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5" w:type="pct"/>
                  <w:vAlign w:val="center"/>
                </w:tcPr>
                <w:p w14:paraId="3A41A9DF">
                  <w:pPr>
                    <w:pStyle w:val="31"/>
                    <w:bidi w:val="0"/>
                    <w:rPr>
                      <w:rFonts w:hint="eastAsia"/>
                      <w:color w:val="auto"/>
                      <w:lang w:val="en-US" w:eastAsia="zh-CN"/>
                    </w:rPr>
                  </w:pPr>
                  <w:r>
                    <w:rPr>
                      <w:rFonts w:hint="eastAsia"/>
                      <w:color w:val="auto"/>
                      <w:lang w:val="en-US" w:eastAsia="zh-CN"/>
                    </w:rPr>
                    <w:t>4</w:t>
                  </w:r>
                </w:p>
              </w:tc>
              <w:tc>
                <w:tcPr>
                  <w:tcW w:w="1077" w:type="pct"/>
                  <w:vMerge w:val="continue"/>
                  <w:vAlign w:val="center"/>
                </w:tcPr>
                <w:p w14:paraId="44806032">
                  <w:pPr>
                    <w:pStyle w:val="31"/>
                    <w:bidi w:val="0"/>
                    <w:rPr>
                      <w:rFonts w:hint="eastAsia"/>
                      <w:color w:val="auto"/>
                      <w:lang w:eastAsia="zh-CN"/>
                    </w:rPr>
                  </w:pPr>
                </w:p>
              </w:tc>
              <w:tc>
                <w:tcPr>
                  <w:tcW w:w="778" w:type="pct"/>
                  <w:shd w:val="clear" w:color="auto" w:fill="auto"/>
                  <w:vAlign w:val="center"/>
                </w:tcPr>
                <w:p w14:paraId="753A78FD">
                  <w:pPr>
                    <w:pStyle w:val="31"/>
                    <w:bidi w:val="0"/>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100</w:t>
                  </w:r>
                </w:p>
              </w:tc>
              <w:tc>
                <w:tcPr>
                  <w:tcW w:w="1046" w:type="pct"/>
                  <w:shd w:val="clear" w:color="auto" w:fill="auto"/>
                  <w:vAlign w:val="center"/>
                </w:tcPr>
                <w:p w14:paraId="529D7B98">
                  <w:pPr>
                    <w:pStyle w:val="31"/>
                    <w:bidi w:val="0"/>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32型焊管机</w:t>
                  </w:r>
                </w:p>
              </w:tc>
              <w:tc>
                <w:tcPr>
                  <w:tcW w:w="641" w:type="pct"/>
                  <w:shd w:val="clear" w:color="auto" w:fill="auto"/>
                  <w:vAlign w:val="center"/>
                </w:tcPr>
                <w:p w14:paraId="3E17D092">
                  <w:pPr>
                    <w:pStyle w:val="31"/>
                    <w:bidi w:val="0"/>
                    <w:ind w:firstLine="0" w:firstLineChars="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2台</w:t>
                  </w:r>
                </w:p>
              </w:tc>
              <w:tc>
                <w:tcPr>
                  <w:tcW w:w="1059" w:type="pct"/>
                  <w:shd w:val="clear" w:color="auto" w:fill="auto"/>
                  <w:vAlign w:val="center"/>
                </w:tcPr>
                <w:p w14:paraId="781DB342">
                  <w:pPr>
                    <w:pStyle w:val="31"/>
                    <w:bidi w:val="0"/>
                    <w:ind w:firstLine="0" w:firstLineChars="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保留</w:t>
                  </w:r>
                </w:p>
              </w:tc>
            </w:tr>
            <w:tr w14:paraId="28D1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5" w:type="pct"/>
                  <w:vAlign w:val="center"/>
                </w:tcPr>
                <w:p w14:paraId="4EDDA8E5">
                  <w:pPr>
                    <w:pStyle w:val="31"/>
                    <w:bidi w:val="0"/>
                    <w:ind w:firstLine="0" w:firstLineChars="0"/>
                    <w:rPr>
                      <w:rFonts w:hint="default"/>
                      <w:color w:val="auto"/>
                      <w:lang w:val="en-US" w:eastAsia="zh-CN"/>
                    </w:rPr>
                  </w:pPr>
                  <w:r>
                    <w:rPr>
                      <w:rFonts w:hint="eastAsia"/>
                      <w:color w:val="auto"/>
                      <w:lang w:val="en-US" w:eastAsia="zh-CN"/>
                    </w:rPr>
                    <w:t>5</w:t>
                  </w:r>
                </w:p>
              </w:tc>
              <w:tc>
                <w:tcPr>
                  <w:tcW w:w="1077" w:type="pct"/>
                  <w:vMerge w:val="restart"/>
                  <w:vAlign w:val="center"/>
                </w:tcPr>
                <w:p w14:paraId="566CC6A0">
                  <w:pPr>
                    <w:pStyle w:val="31"/>
                    <w:bidi w:val="0"/>
                    <w:rPr>
                      <w:rFonts w:hint="eastAsia"/>
                      <w:color w:val="auto"/>
                      <w:lang w:eastAsia="zh-CN"/>
                    </w:rPr>
                  </w:pPr>
                  <w:r>
                    <w:rPr>
                      <w:rFonts w:hint="eastAsia"/>
                      <w:color w:val="auto"/>
                      <w:lang w:eastAsia="zh-CN"/>
                    </w:rPr>
                    <w:t>高频</w:t>
                  </w:r>
                </w:p>
              </w:tc>
              <w:tc>
                <w:tcPr>
                  <w:tcW w:w="778" w:type="pct"/>
                  <w:shd w:val="clear" w:color="auto" w:fill="auto"/>
                  <w:vAlign w:val="center"/>
                </w:tcPr>
                <w:p w14:paraId="45F42680">
                  <w:pPr>
                    <w:pStyle w:val="31"/>
                    <w:bidi w:val="0"/>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w:t>
                  </w:r>
                </w:p>
              </w:tc>
              <w:tc>
                <w:tcPr>
                  <w:tcW w:w="1046" w:type="pct"/>
                  <w:shd w:val="clear" w:color="auto" w:fill="auto"/>
                  <w:vAlign w:val="center"/>
                </w:tcPr>
                <w:p w14:paraId="6D3EBF4A">
                  <w:pPr>
                    <w:pStyle w:val="31"/>
                    <w:bidi w:val="0"/>
                    <w:ind w:firstLine="0" w:firstLineChars="0"/>
                    <w:rPr>
                      <w:rFonts w:hint="eastAsia" w:ascii="Times New Roman" w:hAnsi="Times New Roman" w:eastAsia="宋体" w:cs="黑体"/>
                      <w:b w:val="0"/>
                      <w:color w:val="auto"/>
                      <w:kern w:val="2"/>
                      <w:sz w:val="21"/>
                      <w:szCs w:val="24"/>
                      <w:lang w:val="en-US" w:eastAsia="zh-CN" w:bidi="ar-SA"/>
                    </w:rPr>
                  </w:pPr>
                  <w:r>
                    <w:rPr>
                      <w:rFonts w:hint="eastAsia" w:ascii="Times New Roman" w:hAnsi="Times New Roman" w:eastAsia="宋体"/>
                      <w:color w:val="auto"/>
                      <w:lang w:val="en-US" w:eastAsia="zh-CN"/>
                    </w:rPr>
                    <w:t>200</w:t>
                  </w:r>
                </w:p>
              </w:tc>
              <w:tc>
                <w:tcPr>
                  <w:tcW w:w="641" w:type="pct"/>
                  <w:shd w:val="clear" w:color="auto" w:fill="auto"/>
                  <w:vAlign w:val="center"/>
                </w:tcPr>
                <w:p w14:paraId="5A8194EF">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2台</w:t>
                  </w:r>
                </w:p>
              </w:tc>
              <w:tc>
                <w:tcPr>
                  <w:tcW w:w="1059" w:type="pct"/>
                  <w:shd w:val="clear" w:color="auto" w:fill="auto"/>
                  <w:vAlign w:val="center"/>
                </w:tcPr>
                <w:p w14:paraId="43E61210">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保留</w:t>
                  </w:r>
                </w:p>
              </w:tc>
            </w:tr>
            <w:tr w14:paraId="729D1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5" w:type="pct"/>
                  <w:vAlign w:val="center"/>
                </w:tcPr>
                <w:p w14:paraId="77A29831">
                  <w:pPr>
                    <w:pStyle w:val="31"/>
                    <w:bidi w:val="0"/>
                    <w:ind w:firstLine="0" w:firstLineChars="0"/>
                    <w:rPr>
                      <w:rFonts w:hint="default"/>
                      <w:color w:val="auto"/>
                      <w:lang w:val="en-US" w:eastAsia="zh-CN"/>
                    </w:rPr>
                  </w:pPr>
                  <w:r>
                    <w:rPr>
                      <w:rFonts w:hint="eastAsia"/>
                      <w:color w:val="auto"/>
                      <w:lang w:val="en-US" w:eastAsia="zh-CN"/>
                    </w:rPr>
                    <w:t>6</w:t>
                  </w:r>
                </w:p>
              </w:tc>
              <w:tc>
                <w:tcPr>
                  <w:tcW w:w="1077" w:type="pct"/>
                  <w:vMerge w:val="continue"/>
                  <w:vAlign w:val="center"/>
                </w:tcPr>
                <w:p w14:paraId="34265B0D">
                  <w:pPr>
                    <w:pStyle w:val="31"/>
                    <w:bidi w:val="0"/>
                    <w:rPr>
                      <w:rFonts w:hint="eastAsia"/>
                      <w:color w:val="auto"/>
                      <w:lang w:eastAsia="zh-CN"/>
                    </w:rPr>
                  </w:pPr>
                </w:p>
              </w:tc>
              <w:tc>
                <w:tcPr>
                  <w:tcW w:w="778" w:type="pct"/>
                  <w:shd w:val="clear" w:color="auto" w:fill="auto"/>
                  <w:vAlign w:val="center"/>
                </w:tcPr>
                <w:p w14:paraId="418894BD">
                  <w:pPr>
                    <w:pStyle w:val="31"/>
                    <w:bidi w:val="0"/>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w:t>
                  </w:r>
                </w:p>
              </w:tc>
              <w:tc>
                <w:tcPr>
                  <w:tcW w:w="1046" w:type="pct"/>
                  <w:shd w:val="clear" w:color="auto" w:fill="auto"/>
                  <w:vAlign w:val="center"/>
                </w:tcPr>
                <w:p w14:paraId="3E1CA30F">
                  <w:pPr>
                    <w:pStyle w:val="31"/>
                    <w:bidi w:val="0"/>
                    <w:ind w:firstLine="0" w:firstLineChars="0"/>
                    <w:rPr>
                      <w:rFonts w:hint="eastAsia" w:ascii="Times New Roman" w:hAnsi="Times New Roman" w:eastAsia="宋体" w:cs="黑体"/>
                      <w:b w:val="0"/>
                      <w:color w:val="auto"/>
                      <w:kern w:val="2"/>
                      <w:sz w:val="21"/>
                      <w:szCs w:val="24"/>
                      <w:lang w:val="en-US" w:eastAsia="zh-CN" w:bidi="ar-SA"/>
                    </w:rPr>
                  </w:pPr>
                  <w:r>
                    <w:rPr>
                      <w:rFonts w:hint="eastAsia" w:ascii="Times New Roman" w:hAnsi="Times New Roman" w:eastAsia="宋体"/>
                      <w:color w:val="auto"/>
                      <w:lang w:val="en-US" w:eastAsia="zh-CN"/>
                    </w:rPr>
                    <w:t>150</w:t>
                  </w:r>
                </w:p>
              </w:tc>
              <w:tc>
                <w:tcPr>
                  <w:tcW w:w="641" w:type="pct"/>
                  <w:shd w:val="clear" w:color="auto" w:fill="auto"/>
                  <w:vAlign w:val="center"/>
                </w:tcPr>
                <w:p w14:paraId="5F381E31">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3台</w:t>
                  </w:r>
                </w:p>
              </w:tc>
              <w:tc>
                <w:tcPr>
                  <w:tcW w:w="1059" w:type="pct"/>
                  <w:shd w:val="clear" w:color="auto" w:fill="auto"/>
                  <w:vAlign w:val="center"/>
                </w:tcPr>
                <w:p w14:paraId="2AD48D40">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保留</w:t>
                  </w:r>
                </w:p>
              </w:tc>
            </w:tr>
            <w:tr w14:paraId="07C8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5" w:type="pct"/>
                  <w:vAlign w:val="center"/>
                </w:tcPr>
                <w:p w14:paraId="68E169A6">
                  <w:pPr>
                    <w:pStyle w:val="31"/>
                    <w:bidi w:val="0"/>
                    <w:ind w:firstLine="0" w:firstLineChars="0"/>
                    <w:rPr>
                      <w:rFonts w:hint="default"/>
                      <w:color w:val="auto"/>
                      <w:lang w:val="en-US" w:eastAsia="zh-CN"/>
                    </w:rPr>
                  </w:pPr>
                  <w:r>
                    <w:rPr>
                      <w:rFonts w:hint="eastAsia"/>
                      <w:color w:val="auto"/>
                      <w:lang w:val="en-US" w:eastAsia="zh-CN"/>
                    </w:rPr>
                    <w:t>7</w:t>
                  </w:r>
                </w:p>
              </w:tc>
              <w:tc>
                <w:tcPr>
                  <w:tcW w:w="1077" w:type="pct"/>
                  <w:vMerge w:val="restart"/>
                  <w:vAlign w:val="center"/>
                </w:tcPr>
                <w:p w14:paraId="3C2E6C97">
                  <w:pPr>
                    <w:pStyle w:val="31"/>
                    <w:bidi w:val="0"/>
                    <w:rPr>
                      <w:rFonts w:hint="eastAsia"/>
                      <w:color w:val="auto"/>
                      <w:lang w:eastAsia="zh-CN"/>
                    </w:rPr>
                  </w:pPr>
                  <w:r>
                    <w:rPr>
                      <w:rFonts w:hint="eastAsia"/>
                      <w:color w:val="auto"/>
                      <w:lang w:eastAsia="zh-CN"/>
                    </w:rPr>
                    <w:t>空压机</w:t>
                  </w:r>
                </w:p>
              </w:tc>
              <w:tc>
                <w:tcPr>
                  <w:tcW w:w="778" w:type="pct"/>
                  <w:shd w:val="clear" w:color="auto" w:fill="auto"/>
                  <w:vAlign w:val="center"/>
                </w:tcPr>
                <w:p w14:paraId="704F3A14">
                  <w:pPr>
                    <w:pStyle w:val="31"/>
                    <w:bidi w:val="0"/>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10</w:t>
                  </w:r>
                </w:p>
              </w:tc>
              <w:tc>
                <w:tcPr>
                  <w:tcW w:w="1046" w:type="pct"/>
                  <w:shd w:val="clear" w:color="auto" w:fill="auto"/>
                  <w:vAlign w:val="center"/>
                </w:tcPr>
                <w:p w14:paraId="198F575E">
                  <w:pPr>
                    <w:pStyle w:val="31"/>
                    <w:bidi w:val="0"/>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10m</w:t>
                  </w:r>
                  <w:r>
                    <w:rPr>
                      <w:rFonts w:hint="eastAsia"/>
                      <w:color w:val="auto"/>
                      <w:vertAlign w:val="superscript"/>
                      <w:lang w:val="en-US" w:eastAsia="zh-CN"/>
                    </w:rPr>
                    <w:t>3</w:t>
                  </w:r>
                  <w:r>
                    <w:rPr>
                      <w:rFonts w:hint="eastAsia"/>
                      <w:color w:val="auto"/>
                      <w:lang w:val="en-US" w:eastAsia="zh-CN"/>
                    </w:rPr>
                    <w:t>/h</w:t>
                  </w:r>
                </w:p>
              </w:tc>
              <w:tc>
                <w:tcPr>
                  <w:tcW w:w="641" w:type="pct"/>
                  <w:shd w:val="clear" w:color="auto" w:fill="auto"/>
                  <w:vAlign w:val="center"/>
                </w:tcPr>
                <w:p w14:paraId="4B822090">
                  <w:pPr>
                    <w:pStyle w:val="31"/>
                    <w:bidi w:val="0"/>
                    <w:ind w:firstLine="0" w:firstLineChars="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1台</w:t>
                  </w:r>
                </w:p>
              </w:tc>
              <w:tc>
                <w:tcPr>
                  <w:tcW w:w="1059" w:type="pct"/>
                  <w:shd w:val="clear" w:color="auto" w:fill="auto"/>
                  <w:vAlign w:val="center"/>
                </w:tcPr>
                <w:p w14:paraId="7775DD57">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保留</w:t>
                  </w:r>
                </w:p>
              </w:tc>
            </w:tr>
            <w:tr w14:paraId="098C6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5" w:type="pct"/>
                  <w:vAlign w:val="center"/>
                </w:tcPr>
                <w:p w14:paraId="79B63D47">
                  <w:pPr>
                    <w:pStyle w:val="31"/>
                    <w:bidi w:val="0"/>
                    <w:ind w:firstLine="0" w:firstLineChars="0"/>
                    <w:rPr>
                      <w:rFonts w:hint="default"/>
                      <w:color w:val="auto"/>
                      <w:lang w:val="en-US" w:eastAsia="zh-CN"/>
                    </w:rPr>
                  </w:pPr>
                  <w:r>
                    <w:rPr>
                      <w:rFonts w:hint="eastAsia"/>
                      <w:color w:val="auto"/>
                      <w:lang w:val="en-US" w:eastAsia="zh-CN"/>
                    </w:rPr>
                    <w:t>8</w:t>
                  </w:r>
                </w:p>
              </w:tc>
              <w:tc>
                <w:tcPr>
                  <w:tcW w:w="1077" w:type="pct"/>
                  <w:vMerge w:val="continue"/>
                  <w:vAlign w:val="center"/>
                </w:tcPr>
                <w:p w14:paraId="2A03E169">
                  <w:pPr>
                    <w:pStyle w:val="31"/>
                    <w:bidi w:val="0"/>
                    <w:rPr>
                      <w:rFonts w:hint="eastAsia"/>
                      <w:color w:val="auto"/>
                      <w:lang w:eastAsia="zh-CN"/>
                    </w:rPr>
                  </w:pPr>
                </w:p>
              </w:tc>
              <w:tc>
                <w:tcPr>
                  <w:tcW w:w="778" w:type="pct"/>
                  <w:shd w:val="clear" w:color="auto" w:fill="auto"/>
                  <w:vAlign w:val="center"/>
                </w:tcPr>
                <w:p w14:paraId="0E9D231C">
                  <w:pPr>
                    <w:pStyle w:val="31"/>
                    <w:bidi w:val="0"/>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8</w:t>
                  </w:r>
                </w:p>
              </w:tc>
              <w:tc>
                <w:tcPr>
                  <w:tcW w:w="1046" w:type="pct"/>
                  <w:shd w:val="clear" w:color="auto" w:fill="auto"/>
                  <w:vAlign w:val="center"/>
                </w:tcPr>
                <w:p w14:paraId="053DBBC2">
                  <w:pPr>
                    <w:pStyle w:val="31"/>
                    <w:bidi w:val="0"/>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2m</w:t>
                  </w:r>
                  <w:r>
                    <w:rPr>
                      <w:rFonts w:hint="eastAsia"/>
                      <w:color w:val="auto"/>
                      <w:vertAlign w:val="superscript"/>
                      <w:lang w:val="en-US" w:eastAsia="zh-CN"/>
                    </w:rPr>
                    <w:t>3</w:t>
                  </w:r>
                  <w:r>
                    <w:rPr>
                      <w:rFonts w:hint="eastAsia"/>
                      <w:color w:val="auto"/>
                      <w:lang w:val="en-US" w:eastAsia="zh-CN"/>
                    </w:rPr>
                    <w:t>/h</w:t>
                  </w:r>
                </w:p>
              </w:tc>
              <w:tc>
                <w:tcPr>
                  <w:tcW w:w="641" w:type="pct"/>
                  <w:shd w:val="clear" w:color="auto" w:fill="auto"/>
                  <w:vAlign w:val="center"/>
                </w:tcPr>
                <w:p w14:paraId="650F97E5">
                  <w:pPr>
                    <w:pStyle w:val="31"/>
                    <w:bidi w:val="0"/>
                    <w:ind w:firstLine="0" w:firstLineChars="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1台</w:t>
                  </w:r>
                </w:p>
              </w:tc>
              <w:tc>
                <w:tcPr>
                  <w:tcW w:w="1059" w:type="pct"/>
                  <w:shd w:val="clear" w:color="auto" w:fill="auto"/>
                  <w:vAlign w:val="center"/>
                </w:tcPr>
                <w:p w14:paraId="11B3AC03">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保留</w:t>
                  </w:r>
                </w:p>
              </w:tc>
            </w:tr>
            <w:tr w14:paraId="47F4D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5" w:type="pct"/>
                  <w:vAlign w:val="center"/>
                </w:tcPr>
                <w:p w14:paraId="1FB13D13">
                  <w:pPr>
                    <w:pStyle w:val="31"/>
                    <w:bidi w:val="0"/>
                    <w:ind w:firstLine="0" w:firstLineChars="0"/>
                    <w:rPr>
                      <w:rFonts w:hint="default"/>
                      <w:color w:val="auto"/>
                      <w:lang w:val="en-US" w:eastAsia="zh-CN"/>
                    </w:rPr>
                  </w:pPr>
                  <w:r>
                    <w:rPr>
                      <w:rFonts w:hint="eastAsia"/>
                      <w:color w:val="auto"/>
                      <w:lang w:val="en-US" w:eastAsia="zh-CN"/>
                    </w:rPr>
                    <w:t>9</w:t>
                  </w:r>
                </w:p>
              </w:tc>
              <w:tc>
                <w:tcPr>
                  <w:tcW w:w="1077" w:type="pct"/>
                  <w:vAlign w:val="center"/>
                </w:tcPr>
                <w:p w14:paraId="3C6E3E55">
                  <w:pPr>
                    <w:pStyle w:val="31"/>
                    <w:bidi w:val="0"/>
                    <w:rPr>
                      <w:rFonts w:hint="eastAsia"/>
                      <w:color w:val="auto"/>
                      <w:lang w:eastAsia="zh-CN"/>
                    </w:rPr>
                  </w:pPr>
                  <w:r>
                    <w:rPr>
                      <w:rFonts w:hint="eastAsia"/>
                      <w:color w:val="auto"/>
                      <w:lang w:eastAsia="zh-CN"/>
                    </w:rPr>
                    <w:t>变压器</w:t>
                  </w:r>
                </w:p>
              </w:tc>
              <w:tc>
                <w:tcPr>
                  <w:tcW w:w="778" w:type="pct"/>
                  <w:vAlign w:val="center"/>
                </w:tcPr>
                <w:p w14:paraId="23CD0B2A">
                  <w:pPr>
                    <w:pStyle w:val="31"/>
                    <w:bidi w:val="0"/>
                    <w:rPr>
                      <w:rFonts w:hint="default"/>
                      <w:color w:val="auto"/>
                      <w:lang w:val="en-US" w:eastAsia="zh-CN"/>
                    </w:rPr>
                  </w:pPr>
                  <w:r>
                    <w:rPr>
                      <w:rFonts w:hint="eastAsia"/>
                      <w:color w:val="auto"/>
                      <w:lang w:val="en-US" w:eastAsia="zh-CN"/>
                    </w:rPr>
                    <w:t>/</w:t>
                  </w:r>
                </w:p>
              </w:tc>
              <w:tc>
                <w:tcPr>
                  <w:tcW w:w="1046" w:type="pct"/>
                  <w:vAlign w:val="center"/>
                </w:tcPr>
                <w:p w14:paraId="07CC8FBD">
                  <w:pPr>
                    <w:pStyle w:val="31"/>
                    <w:bidi w:val="0"/>
                    <w:rPr>
                      <w:rFonts w:hint="default"/>
                      <w:color w:val="auto"/>
                      <w:lang w:val="en-US" w:eastAsia="zh-CN"/>
                    </w:rPr>
                  </w:pPr>
                  <w:r>
                    <w:rPr>
                      <w:rFonts w:hint="eastAsia"/>
                      <w:color w:val="auto"/>
                      <w:lang w:val="en-US" w:eastAsia="zh-CN"/>
                    </w:rPr>
                    <w:t>400KvA</w:t>
                  </w:r>
                </w:p>
              </w:tc>
              <w:tc>
                <w:tcPr>
                  <w:tcW w:w="641" w:type="pct"/>
                  <w:vAlign w:val="center"/>
                </w:tcPr>
                <w:p w14:paraId="24118DBB">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2台</w:t>
                  </w:r>
                </w:p>
              </w:tc>
              <w:tc>
                <w:tcPr>
                  <w:tcW w:w="1059" w:type="pct"/>
                  <w:vAlign w:val="center"/>
                </w:tcPr>
                <w:p w14:paraId="3ED0D2EB">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保留</w:t>
                  </w:r>
                </w:p>
              </w:tc>
            </w:tr>
            <w:tr w14:paraId="1B0A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5" w:type="pct"/>
                  <w:vAlign w:val="center"/>
                </w:tcPr>
                <w:p w14:paraId="167477AB">
                  <w:pPr>
                    <w:pStyle w:val="31"/>
                    <w:bidi w:val="0"/>
                    <w:ind w:firstLine="0" w:firstLineChars="0"/>
                    <w:rPr>
                      <w:rFonts w:hint="default"/>
                      <w:color w:val="auto"/>
                      <w:lang w:val="en-US" w:eastAsia="zh-CN"/>
                    </w:rPr>
                  </w:pPr>
                  <w:r>
                    <w:rPr>
                      <w:rFonts w:hint="eastAsia"/>
                      <w:color w:val="auto"/>
                      <w:lang w:val="en-US" w:eastAsia="zh-CN"/>
                    </w:rPr>
                    <w:t>10</w:t>
                  </w:r>
                </w:p>
              </w:tc>
              <w:tc>
                <w:tcPr>
                  <w:tcW w:w="1077" w:type="pct"/>
                  <w:vMerge w:val="restart"/>
                  <w:vAlign w:val="center"/>
                </w:tcPr>
                <w:p w14:paraId="7179387B">
                  <w:pPr>
                    <w:pStyle w:val="31"/>
                    <w:bidi w:val="0"/>
                    <w:rPr>
                      <w:rFonts w:hint="eastAsia"/>
                      <w:color w:val="auto"/>
                      <w:lang w:eastAsia="zh-CN"/>
                    </w:rPr>
                  </w:pPr>
                  <w:r>
                    <w:rPr>
                      <w:rFonts w:hint="eastAsia"/>
                      <w:color w:val="auto"/>
                      <w:lang w:eastAsia="zh-CN"/>
                    </w:rPr>
                    <w:t>起重机</w:t>
                  </w:r>
                </w:p>
              </w:tc>
              <w:tc>
                <w:tcPr>
                  <w:tcW w:w="778" w:type="pct"/>
                  <w:vAlign w:val="center"/>
                </w:tcPr>
                <w:p w14:paraId="4E009DFF">
                  <w:pPr>
                    <w:pStyle w:val="31"/>
                    <w:bidi w:val="0"/>
                    <w:rPr>
                      <w:rFonts w:hint="default"/>
                      <w:color w:val="auto"/>
                      <w:lang w:val="en-US" w:eastAsia="zh-CN"/>
                    </w:rPr>
                  </w:pPr>
                  <w:r>
                    <w:rPr>
                      <w:rFonts w:hint="eastAsia"/>
                      <w:color w:val="auto"/>
                      <w:lang w:val="en-US" w:eastAsia="zh-CN"/>
                    </w:rPr>
                    <w:t>7.5</w:t>
                  </w:r>
                </w:p>
              </w:tc>
              <w:tc>
                <w:tcPr>
                  <w:tcW w:w="1046" w:type="pct"/>
                  <w:vAlign w:val="center"/>
                </w:tcPr>
                <w:p w14:paraId="6F4C8538">
                  <w:pPr>
                    <w:pStyle w:val="31"/>
                    <w:bidi w:val="0"/>
                    <w:rPr>
                      <w:rFonts w:hint="default"/>
                      <w:color w:val="auto"/>
                      <w:lang w:val="en-US" w:eastAsia="zh-CN"/>
                    </w:rPr>
                  </w:pPr>
                  <w:r>
                    <w:rPr>
                      <w:rFonts w:hint="eastAsia"/>
                      <w:color w:val="auto"/>
                      <w:lang w:val="en-US" w:eastAsia="zh-CN"/>
                    </w:rPr>
                    <w:t>10T</w:t>
                  </w:r>
                </w:p>
              </w:tc>
              <w:tc>
                <w:tcPr>
                  <w:tcW w:w="641" w:type="pct"/>
                  <w:vAlign w:val="center"/>
                </w:tcPr>
                <w:p w14:paraId="1249416D">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12台</w:t>
                  </w:r>
                </w:p>
              </w:tc>
              <w:tc>
                <w:tcPr>
                  <w:tcW w:w="1059" w:type="pct"/>
                  <w:vAlign w:val="center"/>
                </w:tcPr>
                <w:p w14:paraId="0FAFDC3D">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保留</w:t>
                  </w:r>
                </w:p>
              </w:tc>
            </w:tr>
            <w:tr w14:paraId="7EEF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5" w:type="pct"/>
                  <w:vAlign w:val="center"/>
                </w:tcPr>
                <w:p w14:paraId="6358C4B5">
                  <w:pPr>
                    <w:pStyle w:val="31"/>
                    <w:bidi w:val="0"/>
                    <w:ind w:firstLine="0" w:firstLineChars="0"/>
                    <w:rPr>
                      <w:rFonts w:hint="default"/>
                      <w:color w:val="auto"/>
                      <w:lang w:val="en-US" w:eastAsia="zh-CN"/>
                    </w:rPr>
                  </w:pPr>
                  <w:r>
                    <w:rPr>
                      <w:rFonts w:hint="eastAsia"/>
                      <w:color w:val="auto"/>
                      <w:lang w:val="en-US" w:eastAsia="zh-CN"/>
                    </w:rPr>
                    <w:t>11</w:t>
                  </w:r>
                </w:p>
              </w:tc>
              <w:tc>
                <w:tcPr>
                  <w:tcW w:w="1077" w:type="pct"/>
                  <w:vMerge w:val="continue"/>
                  <w:vAlign w:val="center"/>
                </w:tcPr>
                <w:p w14:paraId="7698FBC6">
                  <w:pPr>
                    <w:pStyle w:val="31"/>
                    <w:bidi w:val="0"/>
                    <w:rPr>
                      <w:rFonts w:hint="eastAsia"/>
                      <w:color w:val="auto"/>
                      <w:lang w:eastAsia="zh-CN"/>
                    </w:rPr>
                  </w:pPr>
                </w:p>
              </w:tc>
              <w:tc>
                <w:tcPr>
                  <w:tcW w:w="778" w:type="pct"/>
                  <w:vAlign w:val="center"/>
                </w:tcPr>
                <w:p w14:paraId="68E3EF39">
                  <w:pPr>
                    <w:pStyle w:val="31"/>
                    <w:bidi w:val="0"/>
                    <w:rPr>
                      <w:rFonts w:hint="default"/>
                      <w:color w:val="auto"/>
                      <w:lang w:val="en-US" w:eastAsia="zh-CN"/>
                    </w:rPr>
                  </w:pPr>
                  <w:r>
                    <w:rPr>
                      <w:rFonts w:hint="eastAsia"/>
                      <w:color w:val="auto"/>
                      <w:lang w:val="en-US" w:eastAsia="zh-CN"/>
                    </w:rPr>
                    <w:t>3.5</w:t>
                  </w:r>
                </w:p>
              </w:tc>
              <w:tc>
                <w:tcPr>
                  <w:tcW w:w="1046" w:type="pct"/>
                  <w:vAlign w:val="center"/>
                </w:tcPr>
                <w:p w14:paraId="6E5A1CBF">
                  <w:pPr>
                    <w:pStyle w:val="31"/>
                    <w:bidi w:val="0"/>
                    <w:rPr>
                      <w:rFonts w:hint="default"/>
                      <w:color w:val="auto"/>
                      <w:lang w:val="en-US" w:eastAsia="zh-CN"/>
                    </w:rPr>
                  </w:pPr>
                  <w:r>
                    <w:rPr>
                      <w:rFonts w:hint="eastAsia"/>
                      <w:color w:val="auto"/>
                      <w:lang w:val="en-US" w:eastAsia="zh-CN"/>
                    </w:rPr>
                    <w:t>5T</w:t>
                  </w:r>
                </w:p>
              </w:tc>
              <w:tc>
                <w:tcPr>
                  <w:tcW w:w="641" w:type="pct"/>
                  <w:vAlign w:val="center"/>
                </w:tcPr>
                <w:p w14:paraId="4ECC95A4">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7台</w:t>
                  </w:r>
                </w:p>
              </w:tc>
              <w:tc>
                <w:tcPr>
                  <w:tcW w:w="1059" w:type="pct"/>
                  <w:vAlign w:val="center"/>
                </w:tcPr>
                <w:p w14:paraId="1B80FDDA">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保留</w:t>
                  </w:r>
                </w:p>
              </w:tc>
            </w:tr>
            <w:tr w14:paraId="263B1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5" w:type="pct"/>
                  <w:vAlign w:val="center"/>
                </w:tcPr>
                <w:p w14:paraId="57010076">
                  <w:pPr>
                    <w:pStyle w:val="31"/>
                    <w:bidi w:val="0"/>
                    <w:ind w:firstLine="0" w:firstLineChars="0"/>
                    <w:rPr>
                      <w:rFonts w:hint="default"/>
                      <w:color w:val="auto"/>
                      <w:lang w:val="en-US" w:eastAsia="zh-CN"/>
                    </w:rPr>
                  </w:pPr>
                  <w:r>
                    <w:rPr>
                      <w:rFonts w:hint="eastAsia"/>
                      <w:color w:val="auto"/>
                      <w:lang w:val="en-US" w:eastAsia="zh-CN"/>
                    </w:rPr>
                    <w:t>12</w:t>
                  </w:r>
                </w:p>
              </w:tc>
              <w:tc>
                <w:tcPr>
                  <w:tcW w:w="1077" w:type="pct"/>
                  <w:vMerge w:val="continue"/>
                  <w:vAlign w:val="center"/>
                </w:tcPr>
                <w:p w14:paraId="2C2B43C5">
                  <w:pPr>
                    <w:pStyle w:val="31"/>
                    <w:bidi w:val="0"/>
                    <w:rPr>
                      <w:rFonts w:hint="eastAsia"/>
                      <w:color w:val="auto"/>
                      <w:lang w:eastAsia="zh-CN"/>
                    </w:rPr>
                  </w:pPr>
                </w:p>
              </w:tc>
              <w:tc>
                <w:tcPr>
                  <w:tcW w:w="778" w:type="pct"/>
                  <w:vAlign w:val="center"/>
                </w:tcPr>
                <w:p w14:paraId="5B931B7D">
                  <w:pPr>
                    <w:pStyle w:val="31"/>
                    <w:bidi w:val="0"/>
                    <w:rPr>
                      <w:rFonts w:hint="default"/>
                      <w:color w:val="auto"/>
                      <w:lang w:val="en-US" w:eastAsia="zh-CN"/>
                    </w:rPr>
                  </w:pPr>
                  <w:r>
                    <w:rPr>
                      <w:rFonts w:hint="eastAsia"/>
                      <w:color w:val="auto"/>
                      <w:lang w:val="en-US" w:eastAsia="zh-CN"/>
                    </w:rPr>
                    <w:t>3.5</w:t>
                  </w:r>
                </w:p>
              </w:tc>
              <w:tc>
                <w:tcPr>
                  <w:tcW w:w="1046" w:type="pct"/>
                  <w:vAlign w:val="center"/>
                </w:tcPr>
                <w:p w14:paraId="229E6399">
                  <w:pPr>
                    <w:pStyle w:val="31"/>
                    <w:bidi w:val="0"/>
                    <w:rPr>
                      <w:rFonts w:hint="default"/>
                      <w:color w:val="auto"/>
                      <w:lang w:val="en-US" w:eastAsia="zh-CN"/>
                    </w:rPr>
                  </w:pPr>
                  <w:r>
                    <w:rPr>
                      <w:rFonts w:hint="eastAsia"/>
                      <w:color w:val="auto"/>
                      <w:lang w:val="en-US" w:eastAsia="zh-CN"/>
                    </w:rPr>
                    <w:t>3T</w:t>
                  </w:r>
                </w:p>
              </w:tc>
              <w:tc>
                <w:tcPr>
                  <w:tcW w:w="641" w:type="pct"/>
                  <w:vAlign w:val="center"/>
                </w:tcPr>
                <w:p w14:paraId="46012E8C">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7台</w:t>
                  </w:r>
                </w:p>
              </w:tc>
              <w:tc>
                <w:tcPr>
                  <w:tcW w:w="1059" w:type="pct"/>
                  <w:vAlign w:val="center"/>
                </w:tcPr>
                <w:p w14:paraId="62BE11B0">
                  <w:pPr>
                    <w:pStyle w:val="31"/>
                    <w:bidi w:val="0"/>
                    <w:ind w:firstLine="0" w:firstLineChars="0"/>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保留</w:t>
                  </w:r>
                </w:p>
              </w:tc>
            </w:tr>
            <w:tr w14:paraId="4121C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5" w:type="pct"/>
                  <w:vAlign w:val="center"/>
                </w:tcPr>
                <w:p w14:paraId="5F288571">
                  <w:pPr>
                    <w:pStyle w:val="31"/>
                    <w:bidi w:val="0"/>
                    <w:ind w:firstLine="0" w:firstLineChars="0"/>
                    <w:rPr>
                      <w:rFonts w:hint="default"/>
                      <w:color w:val="auto"/>
                      <w:lang w:val="en-US" w:eastAsia="zh-CN"/>
                    </w:rPr>
                  </w:pPr>
                  <w:r>
                    <w:rPr>
                      <w:rFonts w:hint="eastAsia"/>
                      <w:color w:val="auto"/>
                      <w:lang w:val="en-US" w:eastAsia="zh-CN"/>
                    </w:rPr>
                    <w:t>13</w:t>
                  </w:r>
                </w:p>
              </w:tc>
              <w:tc>
                <w:tcPr>
                  <w:tcW w:w="1077" w:type="pct"/>
                  <w:vMerge w:val="restart"/>
                  <w:vAlign w:val="center"/>
                </w:tcPr>
                <w:p w14:paraId="0187781F">
                  <w:pPr>
                    <w:pStyle w:val="31"/>
                    <w:bidi w:val="0"/>
                    <w:rPr>
                      <w:rFonts w:hint="eastAsia"/>
                      <w:color w:val="auto"/>
                      <w:lang w:eastAsia="zh-CN"/>
                    </w:rPr>
                  </w:pPr>
                  <w:r>
                    <w:rPr>
                      <w:rFonts w:hint="eastAsia"/>
                      <w:color w:val="auto"/>
                      <w:lang w:eastAsia="zh-CN"/>
                    </w:rPr>
                    <w:t>车床</w:t>
                  </w:r>
                </w:p>
              </w:tc>
              <w:tc>
                <w:tcPr>
                  <w:tcW w:w="778" w:type="pct"/>
                  <w:vAlign w:val="center"/>
                </w:tcPr>
                <w:p w14:paraId="071C09F3">
                  <w:pPr>
                    <w:pStyle w:val="31"/>
                    <w:bidi w:val="0"/>
                    <w:rPr>
                      <w:rFonts w:hint="default"/>
                      <w:color w:val="auto"/>
                      <w:lang w:val="en-US" w:eastAsia="zh-CN"/>
                    </w:rPr>
                  </w:pPr>
                  <w:r>
                    <w:rPr>
                      <w:rFonts w:hint="eastAsia"/>
                      <w:color w:val="auto"/>
                      <w:lang w:val="en-US" w:eastAsia="zh-CN"/>
                    </w:rPr>
                    <w:t>4.5</w:t>
                  </w:r>
                </w:p>
              </w:tc>
              <w:tc>
                <w:tcPr>
                  <w:tcW w:w="1046" w:type="pct"/>
                  <w:vAlign w:val="center"/>
                </w:tcPr>
                <w:p w14:paraId="554320B0">
                  <w:pPr>
                    <w:pStyle w:val="31"/>
                    <w:bidi w:val="0"/>
                    <w:rPr>
                      <w:rFonts w:hint="default"/>
                      <w:color w:val="auto"/>
                      <w:lang w:val="en-US" w:eastAsia="zh-CN"/>
                    </w:rPr>
                  </w:pPr>
                  <w:r>
                    <w:rPr>
                      <w:rFonts w:hint="eastAsia"/>
                      <w:color w:val="auto"/>
                      <w:lang w:val="en-US" w:eastAsia="zh-CN"/>
                    </w:rPr>
                    <w:t>6150</w:t>
                  </w:r>
                </w:p>
              </w:tc>
              <w:tc>
                <w:tcPr>
                  <w:tcW w:w="641" w:type="pct"/>
                  <w:vAlign w:val="center"/>
                </w:tcPr>
                <w:p w14:paraId="49497D50">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3台</w:t>
                  </w:r>
                </w:p>
              </w:tc>
              <w:tc>
                <w:tcPr>
                  <w:tcW w:w="1059" w:type="pct"/>
                  <w:vAlign w:val="center"/>
                </w:tcPr>
                <w:p w14:paraId="58AAA982">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保留</w:t>
                  </w:r>
                </w:p>
              </w:tc>
            </w:tr>
            <w:tr w14:paraId="2886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5" w:type="pct"/>
                  <w:vAlign w:val="center"/>
                </w:tcPr>
                <w:p w14:paraId="7C09D392">
                  <w:pPr>
                    <w:pStyle w:val="31"/>
                    <w:bidi w:val="0"/>
                    <w:ind w:firstLine="0" w:firstLineChars="0"/>
                    <w:rPr>
                      <w:rFonts w:hint="default"/>
                      <w:color w:val="auto"/>
                      <w:lang w:val="en-US" w:eastAsia="zh-CN"/>
                    </w:rPr>
                  </w:pPr>
                  <w:r>
                    <w:rPr>
                      <w:rFonts w:hint="eastAsia"/>
                      <w:color w:val="auto"/>
                      <w:lang w:val="en-US" w:eastAsia="zh-CN"/>
                    </w:rPr>
                    <w:t>14</w:t>
                  </w:r>
                </w:p>
              </w:tc>
              <w:tc>
                <w:tcPr>
                  <w:tcW w:w="1077" w:type="pct"/>
                  <w:vMerge w:val="continue"/>
                  <w:vAlign w:val="center"/>
                </w:tcPr>
                <w:p w14:paraId="266517E8">
                  <w:pPr>
                    <w:pStyle w:val="31"/>
                    <w:bidi w:val="0"/>
                    <w:rPr>
                      <w:rFonts w:hint="eastAsia"/>
                      <w:color w:val="auto"/>
                      <w:lang w:eastAsia="zh-CN"/>
                    </w:rPr>
                  </w:pPr>
                </w:p>
              </w:tc>
              <w:tc>
                <w:tcPr>
                  <w:tcW w:w="778" w:type="pct"/>
                  <w:vAlign w:val="center"/>
                </w:tcPr>
                <w:p w14:paraId="2B28CF4B">
                  <w:pPr>
                    <w:pStyle w:val="31"/>
                    <w:bidi w:val="0"/>
                    <w:rPr>
                      <w:rFonts w:hint="default"/>
                      <w:color w:val="auto"/>
                      <w:lang w:val="en-US" w:eastAsia="zh-CN"/>
                    </w:rPr>
                  </w:pPr>
                  <w:r>
                    <w:rPr>
                      <w:rFonts w:hint="eastAsia"/>
                      <w:color w:val="auto"/>
                      <w:lang w:val="en-US" w:eastAsia="zh-CN"/>
                    </w:rPr>
                    <w:t>4.5</w:t>
                  </w:r>
                </w:p>
              </w:tc>
              <w:tc>
                <w:tcPr>
                  <w:tcW w:w="1046" w:type="pct"/>
                  <w:vAlign w:val="center"/>
                </w:tcPr>
                <w:p w14:paraId="403EDF6E">
                  <w:pPr>
                    <w:pStyle w:val="31"/>
                    <w:bidi w:val="0"/>
                    <w:rPr>
                      <w:rFonts w:hint="default"/>
                      <w:color w:val="auto"/>
                      <w:lang w:val="en-US" w:eastAsia="zh-CN"/>
                    </w:rPr>
                  </w:pPr>
                  <w:r>
                    <w:rPr>
                      <w:rFonts w:hint="eastAsia"/>
                      <w:color w:val="auto"/>
                      <w:lang w:val="en-US" w:eastAsia="zh-CN"/>
                    </w:rPr>
                    <w:t>6166</w:t>
                  </w:r>
                </w:p>
              </w:tc>
              <w:tc>
                <w:tcPr>
                  <w:tcW w:w="641" w:type="pct"/>
                  <w:vAlign w:val="center"/>
                </w:tcPr>
                <w:p w14:paraId="6863391B">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3台</w:t>
                  </w:r>
                </w:p>
              </w:tc>
              <w:tc>
                <w:tcPr>
                  <w:tcW w:w="1059" w:type="pct"/>
                  <w:vAlign w:val="center"/>
                </w:tcPr>
                <w:p w14:paraId="39C46860">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保留</w:t>
                  </w:r>
                </w:p>
              </w:tc>
            </w:tr>
            <w:tr w14:paraId="7254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5" w:type="pct"/>
                  <w:vAlign w:val="center"/>
                </w:tcPr>
                <w:p w14:paraId="1CA277CC">
                  <w:pPr>
                    <w:pStyle w:val="31"/>
                    <w:bidi w:val="0"/>
                    <w:ind w:firstLine="0" w:firstLineChars="0"/>
                    <w:rPr>
                      <w:rFonts w:hint="default"/>
                      <w:color w:val="auto"/>
                      <w:lang w:val="en-US" w:eastAsia="zh-CN"/>
                    </w:rPr>
                  </w:pPr>
                  <w:r>
                    <w:rPr>
                      <w:rFonts w:hint="eastAsia"/>
                      <w:color w:val="auto"/>
                      <w:lang w:val="en-US" w:eastAsia="zh-CN"/>
                    </w:rPr>
                    <w:t>15</w:t>
                  </w:r>
                </w:p>
              </w:tc>
              <w:tc>
                <w:tcPr>
                  <w:tcW w:w="1077" w:type="pct"/>
                  <w:vAlign w:val="center"/>
                </w:tcPr>
                <w:p w14:paraId="6792A7F6">
                  <w:pPr>
                    <w:pStyle w:val="31"/>
                    <w:bidi w:val="0"/>
                    <w:rPr>
                      <w:rFonts w:hint="eastAsia"/>
                      <w:color w:val="auto"/>
                      <w:lang w:eastAsia="zh-CN"/>
                    </w:rPr>
                  </w:pPr>
                  <w:r>
                    <w:rPr>
                      <w:rFonts w:hint="eastAsia"/>
                      <w:color w:val="auto"/>
                      <w:lang w:eastAsia="zh-CN"/>
                    </w:rPr>
                    <w:t>铣床</w:t>
                  </w:r>
                </w:p>
              </w:tc>
              <w:tc>
                <w:tcPr>
                  <w:tcW w:w="778" w:type="pct"/>
                  <w:vAlign w:val="center"/>
                </w:tcPr>
                <w:p w14:paraId="0E215A0C">
                  <w:pPr>
                    <w:pStyle w:val="31"/>
                    <w:bidi w:val="0"/>
                    <w:rPr>
                      <w:rFonts w:hint="default"/>
                      <w:color w:val="auto"/>
                      <w:lang w:val="en-US" w:eastAsia="zh-CN"/>
                    </w:rPr>
                  </w:pPr>
                  <w:r>
                    <w:rPr>
                      <w:rFonts w:hint="eastAsia"/>
                      <w:color w:val="auto"/>
                      <w:lang w:val="en-US" w:eastAsia="zh-CN"/>
                    </w:rPr>
                    <w:t>4.5</w:t>
                  </w:r>
                </w:p>
              </w:tc>
              <w:tc>
                <w:tcPr>
                  <w:tcW w:w="1046" w:type="pct"/>
                  <w:vAlign w:val="center"/>
                </w:tcPr>
                <w:p w14:paraId="59E00965">
                  <w:pPr>
                    <w:pStyle w:val="31"/>
                    <w:bidi w:val="0"/>
                    <w:rPr>
                      <w:rFonts w:hint="default"/>
                      <w:color w:val="auto"/>
                      <w:lang w:val="en-US" w:eastAsia="zh-CN"/>
                    </w:rPr>
                  </w:pPr>
                  <w:r>
                    <w:rPr>
                      <w:rFonts w:hint="eastAsia"/>
                      <w:color w:val="auto"/>
                      <w:lang w:val="en-US" w:eastAsia="zh-CN"/>
                    </w:rPr>
                    <w:t>62</w:t>
                  </w:r>
                </w:p>
              </w:tc>
              <w:tc>
                <w:tcPr>
                  <w:tcW w:w="641" w:type="pct"/>
                  <w:vAlign w:val="center"/>
                </w:tcPr>
                <w:p w14:paraId="56390F11">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2台</w:t>
                  </w:r>
                </w:p>
              </w:tc>
              <w:tc>
                <w:tcPr>
                  <w:tcW w:w="1059" w:type="pct"/>
                  <w:vAlign w:val="center"/>
                </w:tcPr>
                <w:p w14:paraId="0EDD879B">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保留</w:t>
                  </w:r>
                </w:p>
              </w:tc>
            </w:tr>
            <w:tr w14:paraId="10445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5" w:type="pct"/>
                  <w:vAlign w:val="center"/>
                </w:tcPr>
                <w:p w14:paraId="0101F9D3">
                  <w:pPr>
                    <w:pStyle w:val="31"/>
                    <w:bidi w:val="0"/>
                    <w:ind w:firstLine="0" w:firstLineChars="0"/>
                    <w:rPr>
                      <w:rFonts w:hint="default"/>
                      <w:color w:val="auto"/>
                      <w:lang w:val="en-US" w:eastAsia="zh-CN"/>
                    </w:rPr>
                  </w:pPr>
                  <w:r>
                    <w:rPr>
                      <w:rFonts w:hint="eastAsia"/>
                      <w:color w:val="auto"/>
                      <w:lang w:val="en-US" w:eastAsia="zh-CN"/>
                    </w:rPr>
                    <w:t>16</w:t>
                  </w:r>
                </w:p>
              </w:tc>
              <w:tc>
                <w:tcPr>
                  <w:tcW w:w="1077" w:type="pct"/>
                  <w:vMerge w:val="restart"/>
                  <w:vAlign w:val="center"/>
                </w:tcPr>
                <w:p w14:paraId="7CB35440">
                  <w:pPr>
                    <w:pStyle w:val="31"/>
                    <w:bidi w:val="0"/>
                    <w:rPr>
                      <w:rFonts w:hint="eastAsia"/>
                      <w:color w:val="auto"/>
                      <w:lang w:eastAsia="zh-CN"/>
                    </w:rPr>
                  </w:pPr>
                  <w:r>
                    <w:rPr>
                      <w:rFonts w:hint="eastAsia"/>
                      <w:color w:val="auto"/>
                      <w:lang w:eastAsia="zh-CN"/>
                    </w:rPr>
                    <w:t>磨床</w:t>
                  </w:r>
                </w:p>
              </w:tc>
              <w:tc>
                <w:tcPr>
                  <w:tcW w:w="778" w:type="pct"/>
                  <w:vAlign w:val="center"/>
                </w:tcPr>
                <w:p w14:paraId="1F576DC4">
                  <w:pPr>
                    <w:pStyle w:val="31"/>
                    <w:bidi w:val="0"/>
                    <w:rPr>
                      <w:rFonts w:hint="default"/>
                      <w:color w:val="auto"/>
                      <w:lang w:val="en-US" w:eastAsia="zh-CN"/>
                    </w:rPr>
                  </w:pPr>
                  <w:r>
                    <w:rPr>
                      <w:rFonts w:hint="eastAsia"/>
                      <w:color w:val="auto"/>
                      <w:lang w:val="en-US" w:eastAsia="zh-CN"/>
                    </w:rPr>
                    <w:t>4.5</w:t>
                  </w:r>
                </w:p>
              </w:tc>
              <w:tc>
                <w:tcPr>
                  <w:tcW w:w="1046" w:type="pct"/>
                  <w:vAlign w:val="center"/>
                </w:tcPr>
                <w:p w14:paraId="61BD12C9">
                  <w:pPr>
                    <w:pStyle w:val="31"/>
                    <w:bidi w:val="0"/>
                    <w:rPr>
                      <w:rFonts w:hint="eastAsia"/>
                      <w:color w:val="auto"/>
                      <w:lang w:val="en-US" w:eastAsia="zh-CN"/>
                    </w:rPr>
                  </w:pPr>
                  <w:r>
                    <w:rPr>
                      <w:rFonts w:hint="eastAsia"/>
                      <w:color w:val="auto"/>
                      <w:lang w:val="en-US" w:eastAsia="zh-CN"/>
                    </w:rPr>
                    <w:t>平面</w:t>
                  </w:r>
                </w:p>
              </w:tc>
              <w:tc>
                <w:tcPr>
                  <w:tcW w:w="641" w:type="pct"/>
                  <w:vAlign w:val="center"/>
                </w:tcPr>
                <w:p w14:paraId="23E0B6A7">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1台</w:t>
                  </w:r>
                </w:p>
              </w:tc>
              <w:tc>
                <w:tcPr>
                  <w:tcW w:w="1059" w:type="pct"/>
                  <w:vAlign w:val="center"/>
                </w:tcPr>
                <w:p w14:paraId="4A994BBF">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保留</w:t>
                  </w:r>
                </w:p>
              </w:tc>
            </w:tr>
            <w:tr w14:paraId="1CD6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5" w:type="pct"/>
                  <w:vAlign w:val="center"/>
                </w:tcPr>
                <w:p w14:paraId="3AAA4B40">
                  <w:pPr>
                    <w:pStyle w:val="31"/>
                    <w:bidi w:val="0"/>
                    <w:ind w:firstLine="0" w:firstLineChars="0"/>
                    <w:rPr>
                      <w:rFonts w:hint="default"/>
                      <w:color w:val="auto"/>
                      <w:lang w:val="en-US" w:eastAsia="zh-CN"/>
                    </w:rPr>
                  </w:pPr>
                  <w:r>
                    <w:rPr>
                      <w:rFonts w:hint="eastAsia"/>
                      <w:color w:val="auto"/>
                      <w:lang w:val="en-US" w:eastAsia="zh-CN"/>
                    </w:rPr>
                    <w:t>17</w:t>
                  </w:r>
                </w:p>
              </w:tc>
              <w:tc>
                <w:tcPr>
                  <w:tcW w:w="1077" w:type="pct"/>
                  <w:vMerge w:val="continue"/>
                  <w:vAlign w:val="center"/>
                </w:tcPr>
                <w:p w14:paraId="23447931">
                  <w:pPr>
                    <w:pStyle w:val="31"/>
                    <w:bidi w:val="0"/>
                    <w:rPr>
                      <w:rFonts w:hint="eastAsia"/>
                      <w:color w:val="auto"/>
                      <w:lang w:eastAsia="zh-CN"/>
                    </w:rPr>
                  </w:pPr>
                </w:p>
              </w:tc>
              <w:tc>
                <w:tcPr>
                  <w:tcW w:w="778" w:type="pct"/>
                  <w:vAlign w:val="center"/>
                </w:tcPr>
                <w:p w14:paraId="6D021E9E">
                  <w:pPr>
                    <w:pStyle w:val="31"/>
                    <w:bidi w:val="0"/>
                    <w:rPr>
                      <w:rFonts w:hint="default"/>
                      <w:color w:val="auto"/>
                      <w:lang w:val="en-US" w:eastAsia="zh-CN"/>
                    </w:rPr>
                  </w:pPr>
                  <w:r>
                    <w:rPr>
                      <w:rFonts w:hint="eastAsia"/>
                      <w:color w:val="auto"/>
                      <w:lang w:val="en-US" w:eastAsia="zh-CN"/>
                    </w:rPr>
                    <w:t>4.5</w:t>
                  </w:r>
                </w:p>
              </w:tc>
              <w:tc>
                <w:tcPr>
                  <w:tcW w:w="1046" w:type="pct"/>
                  <w:vAlign w:val="center"/>
                </w:tcPr>
                <w:p w14:paraId="2B967A86">
                  <w:pPr>
                    <w:pStyle w:val="31"/>
                    <w:bidi w:val="0"/>
                    <w:rPr>
                      <w:rFonts w:hint="eastAsia"/>
                      <w:color w:val="auto"/>
                      <w:lang w:val="en-US" w:eastAsia="zh-CN"/>
                    </w:rPr>
                  </w:pPr>
                  <w:r>
                    <w:rPr>
                      <w:rFonts w:hint="eastAsia"/>
                      <w:color w:val="auto"/>
                      <w:lang w:val="en-US" w:eastAsia="zh-CN"/>
                    </w:rPr>
                    <w:t>外圆</w:t>
                  </w:r>
                </w:p>
              </w:tc>
              <w:tc>
                <w:tcPr>
                  <w:tcW w:w="641" w:type="pct"/>
                  <w:vAlign w:val="center"/>
                </w:tcPr>
                <w:p w14:paraId="5CBB7344">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2台</w:t>
                  </w:r>
                </w:p>
              </w:tc>
              <w:tc>
                <w:tcPr>
                  <w:tcW w:w="1059" w:type="pct"/>
                  <w:vAlign w:val="center"/>
                </w:tcPr>
                <w:p w14:paraId="211E0005">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保留</w:t>
                  </w:r>
                </w:p>
              </w:tc>
            </w:tr>
            <w:tr w14:paraId="4A21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5" w:type="pct"/>
                  <w:vAlign w:val="center"/>
                </w:tcPr>
                <w:p w14:paraId="0C813529">
                  <w:pPr>
                    <w:pStyle w:val="31"/>
                    <w:bidi w:val="0"/>
                    <w:rPr>
                      <w:rFonts w:hint="default"/>
                      <w:color w:val="auto"/>
                      <w:lang w:val="en-US" w:eastAsia="zh-CN"/>
                    </w:rPr>
                  </w:pPr>
                  <w:r>
                    <w:rPr>
                      <w:rFonts w:hint="eastAsia"/>
                      <w:color w:val="auto"/>
                      <w:lang w:val="en-US" w:eastAsia="zh-CN"/>
                    </w:rPr>
                    <w:t>18</w:t>
                  </w:r>
                </w:p>
              </w:tc>
              <w:tc>
                <w:tcPr>
                  <w:tcW w:w="1077" w:type="pct"/>
                  <w:vAlign w:val="center"/>
                </w:tcPr>
                <w:p w14:paraId="377C6A1C">
                  <w:pPr>
                    <w:pStyle w:val="31"/>
                    <w:bidi w:val="0"/>
                    <w:rPr>
                      <w:rFonts w:hint="eastAsia"/>
                      <w:color w:val="auto"/>
                      <w:lang w:eastAsia="zh-CN"/>
                    </w:rPr>
                  </w:pPr>
                  <w:r>
                    <w:rPr>
                      <w:rFonts w:hint="eastAsia"/>
                      <w:color w:val="auto"/>
                      <w:lang w:eastAsia="zh-CN"/>
                    </w:rPr>
                    <w:t>刨床</w:t>
                  </w:r>
                </w:p>
              </w:tc>
              <w:tc>
                <w:tcPr>
                  <w:tcW w:w="778" w:type="pct"/>
                  <w:vAlign w:val="center"/>
                </w:tcPr>
                <w:p w14:paraId="69A0D8F4">
                  <w:pPr>
                    <w:pStyle w:val="31"/>
                    <w:bidi w:val="0"/>
                    <w:rPr>
                      <w:rFonts w:hint="default"/>
                      <w:color w:val="auto"/>
                      <w:lang w:val="en-US" w:eastAsia="zh-CN"/>
                    </w:rPr>
                  </w:pPr>
                  <w:r>
                    <w:rPr>
                      <w:rFonts w:hint="eastAsia"/>
                      <w:color w:val="auto"/>
                      <w:lang w:val="en-US" w:eastAsia="zh-CN"/>
                    </w:rPr>
                    <w:t>4.5</w:t>
                  </w:r>
                </w:p>
              </w:tc>
              <w:tc>
                <w:tcPr>
                  <w:tcW w:w="1046" w:type="pct"/>
                  <w:vAlign w:val="center"/>
                </w:tcPr>
                <w:p w14:paraId="481F1C13">
                  <w:pPr>
                    <w:pStyle w:val="31"/>
                    <w:bidi w:val="0"/>
                    <w:rPr>
                      <w:rFonts w:hint="default"/>
                      <w:color w:val="auto"/>
                      <w:lang w:val="en-US" w:eastAsia="zh-CN"/>
                    </w:rPr>
                  </w:pPr>
                  <w:r>
                    <w:rPr>
                      <w:rFonts w:hint="eastAsia"/>
                      <w:color w:val="auto"/>
                      <w:lang w:val="en-US" w:eastAsia="zh-CN"/>
                    </w:rPr>
                    <w:t>/</w:t>
                  </w:r>
                </w:p>
              </w:tc>
              <w:tc>
                <w:tcPr>
                  <w:tcW w:w="641" w:type="pct"/>
                  <w:vAlign w:val="center"/>
                </w:tcPr>
                <w:p w14:paraId="674C2217">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2台</w:t>
                  </w:r>
                </w:p>
              </w:tc>
              <w:tc>
                <w:tcPr>
                  <w:tcW w:w="1059" w:type="pct"/>
                  <w:vAlign w:val="center"/>
                </w:tcPr>
                <w:p w14:paraId="0AF2CB3D">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保留</w:t>
                  </w:r>
                </w:p>
              </w:tc>
            </w:tr>
            <w:tr w14:paraId="0B7C7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5" w:type="pct"/>
                  <w:vAlign w:val="center"/>
                </w:tcPr>
                <w:p w14:paraId="491CB95C">
                  <w:pPr>
                    <w:pStyle w:val="31"/>
                    <w:bidi w:val="0"/>
                    <w:rPr>
                      <w:rFonts w:hint="default"/>
                      <w:color w:val="auto"/>
                      <w:lang w:val="en-US" w:eastAsia="zh-CN"/>
                    </w:rPr>
                  </w:pPr>
                  <w:r>
                    <w:rPr>
                      <w:rFonts w:hint="eastAsia"/>
                      <w:color w:val="auto"/>
                      <w:lang w:val="en-US" w:eastAsia="zh-CN"/>
                    </w:rPr>
                    <w:t>19</w:t>
                  </w:r>
                </w:p>
              </w:tc>
              <w:tc>
                <w:tcPr>
                  <w:tcW w:w="1077" w:type="pct"/>
                  <w:vAlign w:val="center"/>
                </w:tcPr>
                <w:p w14:paraId="3C709A57">
                  <w:pPr>
                    <w:pStyle w:val="31"/>
                    <w:bidi w:val="0"/>
                    <w:rPr>
                      <w:rFonts w:hint="eastAsia"/>
                      <w:color w:val="auto"/>
                      <w:lang w:eastAsia="zh-CN"/>
                    </w:rPr>
                  </w:pPr>
                  <w:r>
                    <w:rPr>
                      <w:rFonts w:hint="eastAsia"/>
                      <w:color w:val="auto"/>
                      <w:lang w:eastAsia="zh-CN"/>
                    </w:rPr>
                    <w:t>分剪机</w:t>
                  </w:r>
                </w:p>
              </w:tc>
              <w:tc>
                <w:tcPr>
                  <w:tcW w:w="778" w:type="pct"/>
                  <w:vAlign w:val="center"/>
                </w:tcPr>
                <w:p w14:paraId="2958AF7E">
                  <w:pPr>
                    <w:pStyle w:val="31"/>
                    <w:bidi w:val="0"/>
                    <w:rPr>
                      <w:rFonts w:hint="default"/>
                      <w:color w:val="auto"/>
                      <w:lang w:val="en-US" w:eastAsia="zh-CN"/>
                    </w:rPr>
                  </w:pPr>
                  <w:r>
                    <w:rPr>
                      <w:rFonts w:hint="eastAsia"/>
                      <w:color w:val="auto"/>
                      <w:lang w:val="en-US" w:eastAsia="zh-CN"/>
                    </w:rPr>
                    <w:t>6.5</w:t>
                  </w:r>
                </w:p>
              </w:tc>
              <w:tc>
                <w:tcPr>
                  <w:tcW w:w="1046" w:type="pct"/>
                  <w:vAlign w:val="center"/>
                </w:tcPr>
                <w:p w14:paraId="0854CE64">
                  <w:pPr>
                    <w:pStyle w:val="31"/>
                    <w:bidi w:val="0"/>
                    <w:rPr>
                      <w:rFonts w:hint="default"/>
                      <w:color w:val="auto"/>
                      <w:lang w:val="en-US" w:eastAsia="zh-CN"/>
                    </w:rPr>
                  </w:pPr>
                  <w:r>
                    <w:rPr>
                      <w:rFonts w:hint="eastAsia"/>
                      <w:color w:val="auto"/>
                      <w:lang w:val="en-US" w:eastAsia="zh-CN"/>
                    </w:rPr>
                    <w:t>/</w:t>
                  </w:r>
                </w:p>
              </w:tc>
              <w:tc>
                <w:tcPr>
                  <w:tcW w:w="641" w:type="pct"/>
                  <w:vAlign w:val="center"/>
                </w:tcPr>
                <w:p w14:paraId="737BFD9F">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5台</w:t>
                  </w:r>
                </w:p>
              </w:tc>
              <w:tc>
                <w:tcPr>
                  <w:tcW w:w="1059" w:type="pct"/>
                  <w:vAlign w:val="center"/>
                </w:tcPr>
                <w:p w14:paraId="1A3A6CD9">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保留</w:t>
                  </w:r>
                </w:p>
              </w:tc>
            </w:tr>
            <w:tr w14:paraId="308B3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5" w:type="pct"/>
                  <w:vAlign w:val="center"/>
                </w:tcPr>
                <w:p w14:paraId="490CFB79">
                  <w:pPr>
                    <w:pStyle w:val="31"/>
                    <w:bidi w:val="0"/>
                    <w:rPr>
                      <w:rFonts w:hint="default"/>
                      <w:color w:val="auto"/>
                      <w:lang w:val="en-US" w:eastAsia="zh-CN"/>
                    </w:rPr>
                  </w:pPr>
                  <w:r>
                    <w:rPr>
                      <w:rFonts w:hint="eastAsia"/>
                      <w:color w:val="auto"/>
                      <w:lang w:val="en-US" w:eastAsia="zh-CN"/>
                    </w:rPr>
                    <w:t>20</w:t>
                  </w:r>
                </w:p>
              </w:tc>
              <w:tc>
                <w:tcPr>
                  <w:tcW w:w="1077" w:type="pct"/>
                  <w:vAlign w:val="center"/>
                </w:tcPr>
                <w:p w14:paraId="6283249B">
                  <w:pPr>
                    <w:pStyle w:val="31"/>
                    <w:bidi w:val="0"/>
                    <w:rPr>
                      <w:rFonts w:hint="eastAsia"/>
                      <w:color w:val="auto"/>
                      <w:lang w:eastAsia="zh-CN"/>
                    </w:rPr>
                  </w:pPr>
                  <w:r>
                    <w:rPr>
                      <w:rFonts w:hint="eastAsia"/>
                      <w:color w:val="auto"/>
                      <w:lang w:eastAsia="zh-CN"/>
                    </w:rPr>
                    <w:t>废料打包机</w:t>
                  </w:r>
                </w:p>
              </w:tc>
              <w:tc>
                <w:tcPr>
                  <w:tcW w:w="778" w:type="pct"/>
                  <w:vAlign w:val="center"/>
                </w:tcPr>
                <w:p w14:paraId="37D5B163">
                  <w:pPr>
                    <w:pStyle w:val="31"/>
                    <w:bidi w:val="0"/>
                    <w:rPr>
                      <w:rFonts w:hint="default"/>
                      <w:color w:val="auto"/>
                      <w:lang w:val="en-US" w:eastAsia="zh-CN"/>
                    </w:rPr>
                  </w:pPr>
                  <w:r>
                    <w:rPr>
                      <w:rFonts w:hint="eastAsia"/>
                      <w:color w:val="auto"/>
                      <w:lang w:val="en-US" w:eastAsia="zh-CN"/>
                    </w:rPr>
                    <w:t>6.5</w:t>
                  </w:r>
                </w:p>
              </w:tc>
              <w:tc>
                <w:tcPr>
                  <w:tcW w:w="1046" w:type="pct"/>
                  <w:vAlign w:val="center"/>
                </w:tcPr>
                <w:p w14:paraId="33C80ABC">
                  <w:pPr>
                    <w:pStyle w:val="31"/>
                    <w:bidi w:val="0"/>
                    <w:rPr>
                      <w:rFonts w:hint="default"/>
                      <w:color w:val="auto"/>
                      <w:lang w:val="en-US" w:eastAsia="zh-CN"/>
                    </w:rPr>
                  </w:pPr>
                  <w:r>
                    <w:rPr>
                      <w:rFonts w:hint="eastAsia"/>
                      <w:color w:val="auto"/>
                      <w:lang w:val="en-US" w:eastAsia="zh-CN"/>
                    </w:rPr>
                    <w:t>/</w:t>
                  </w:r>
                </w:p>
              </w:tc>
              <w:tc>
                <w:tcPr>
                  <w:tcW w:w="641" w:type="pct"/>
                  <w:vAlign w:val="center"/>
                </w:tcPr>
                <w:p w14:paraId="2A037DE6">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1台</w:t>
                  </w:r>
                </w:p>
              </w:tc>
              <w:tc>
                <w:tcPr>
                  <w:tcW w:w="1059" w:type="pct"/>
                  <w:vAlign w:val="center"/>
                </w:tcPr>
                <w:p w14:paraId="3CC33385">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保留</w:t>
                  </w:r>
                </w:p>
              </w:tc>
            </w:tr>
            <w:tr w14:paraId="6308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5" w:type="pct"/>
                  <w:vAlign w:val="center"/>
                </w:tcPr>
                <w:p w14:paraId="6DA938AB">
                  <w:pPr>
                    <w:pStyle w:val="31"/>
                    <w:bidi w:val="0"/>
                    <w:rPr>
                      <w:rFonts w:hint="default"/>
                      <w:color w:val="auto"/>
                      <w:lang w:val="en-US" w:eastAsia="zh-CN"/>
                    </w:rPr>
                  </w:pPr>
                  <w:r>
                    <w:rPr>
                      <w:rFonts w:hint="eastAsia"/>
                      <w:color w:val="auto"/>
                      <w:lang w:val="en-US" w:eastAsia="zh-CN"/>
                    </w:rPr>
                    <w:t>21</w:t>
                  </w:r>
                </w:p>
              </w:tc>
              <w:tc>
                <w:tcPr>
                  <w:tcW w:w="1077" w:type="pct"/>
                  <w:vAlign w:val="center"/>
                </w:tcPr>
                <w:p w14:paraId="01AA3CA1">
                  <w:pPr>
                    <w:pStyle w:val="31"/>
                    <w:bidi w:val="0"/>
                    <w:rPr>
                      <w:rFonts w:hint="eastAsia"/>
                      <w:color w:val="auto"/>
                      <w:lang w:eastAsia="zh-CN"/>
                    </w:rPr>
                  </w:pPr>
                  <w:r>
                    <w:rPr>
                      <w:rFonts w:hint="eastAsia"/>
                      <w:color w:val="auto"/>
                      <w:lang w:eastAsia="zh-CN"/>
                    </w:rPr>
                    <w:t>平头机</w:t>
                  </w:r>
                </w:p>
              </w:tc>
              <w:tc>
                <w:tcPr>
                  <w:tcW w:w="778" w:type="pct"/>
                  <w:vAlign w:val="center"/>
                </w:tcPr>
                <w:p w14:paraId="54A09FA1">
                  <w:pPr>
                    <w:pStyle w:val="31"/>
                    <w:bidi w:val="0"/>
                    <w:rPr>
                      <w:rFonts w:hint="default"/>
                      <w:color w:val="auto"/>
                      <w:lang w:val="en-US" w:eastAsia="zh-CN"/>
                    </w:rPr>
                  </w:pPr>
                  <w:r>
                    <w:rPr>
                      <w:rFonts w:hint="eastAsia"/>
                      <w:color w:val="auto"/>
                      <w:lang w:val="en-US" w:eastAsia="zh-CN"/>
                    </w:rPr>
                    <w:t>6.5</w:t>
                  </w:r>
                </w:p>
              </w:tc>
              <w:tc>
                <w:tcPr>
                  <w:tcW w:w="1046" w:type="pct"/>
                  <w:vAlign w:val="center"/>
                </w:tcPr>
                <w:p w14:paraId="7340A94E">
                  <w:pPr>
                    <w:pStyle w:val="31"/>
                    <w:bidi w:val="0"/>
                    <w:rPr>
                      <w:rFonts w:hint="default"/>
                      <w:color w:val="auto"/>
                      <w:lang w:val="en-US" w:eastAsia="zh-CN"/>
                    </w:rPr>
                  </w:pPr>
                  <w:r>
                    <w:rPr>
                      <w:rFonts w:hint="eastAsia"/>
                      <w:color w:val="auto"/>
                      <w:lang w:val="en-US" w:eastAsia="zh-CN"/>
                    </w:rPr>
                    <w:t>/</w:t>
                  </w:r>
                </w:p>
              </w:tc>
              <w:tc>
                <w:tcPr>
                  <w:tcW w:w="641" w:type="pct"/>
                  <w:vAlign w:val="center"/>
                </w:tcPr>
                <w:p w14:paraId="7FD6A771">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3台</w:t>
                  </w:r>
                </w:p>
              </w:tc>
              <w:tc>
                <w:tcPr>
                  <w:tcW w:w="1059" w:type="pct"/>
                  <w:vAlign w:val="center"/>
                </w:tcPr>
                <w:p w14:paraId="02452A7D">
                  <w:pPr>
                    <w:pStyle w:val="31"/>
                    <w:bidi w:val="0"/>
                    <w:ind w:firstLine="0" w:firstLineChars="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保留</w:t>
                  </w:r>
                </w:p>
              </w:tc>
            </w:tr>
          </w:tbl>
          <w:p w14:paraId="3B63A9B8">
            <w:pPr>
              <w:ind w:left="0" w:leftChars="0" w:firstLine="0" w:firstLineChars="0"/>
              <w:rPr>
                <w:rFonts w:hint="eastAsia"/>
                <w:b/>
                <w:bCs/>
                <w:color w:val="auto"/>
                <w:lang w:val="en-US" w:eastAsia="zh-CN"/>
              </w:rPr>
            </w:pPr>
            <w:r>
              <w:rPr>
                <w:rFonts w:hint="eastAsia"/>
                <w:b/>
                <w:bCs/>
                <w:color w:val="auto"/>
                <w:lang w:val="en-US" w:eastAsia="zh-CN"/>
              </w:rPr>
              <w:t>十七、原有项目原辅材料及能源消耗</w:t>
            </w:r>
          </w:p>
          <w:p w14:paraId="6FABC015">
            <w:pPr>
              <w:bidi w:val="0"/>
              <w:rPr>
                <w:rFonts w:hint="eastAsia"/>
                <w:color w:val="auto"/>
                <w:lang w:val="en-US" w:eastAsia="zh-CN"/>
              </w:rPr>
            </w:pPr>
            <w:r>
              <w:rPr>
                <w:rFonts w:hint="eastAsia"/>
                <w:color w:val="auto"/>
                <w:lang w:val="en-US" w:eastAsia="zh-CN"/>
              </w:rPr>
              <w:t>原有项目原辅材料及能源消耗详见下表。</w:t>
            </w:r>
          </w:p>
          <w:p w14:paraId="33A41E1F">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表2-</w:t>
            </w:r>
            <w:r>
              <w:rPr>
                <w:rFonts w:hint="eastAsia"/>
                <w:color w:val="auto"/>
                <w:sz w:val="24"/>
                <w:szCs w:val="24"/>
                <w:lang w:val="en-US" w:eastAsia="zh-CN"/>
              </w:rPr>
              <w:t>10</w:t>
            </w:r>
            <w:r>
              <w:rPr>
                <w:rFonts w:hint="eastAsia" w:ascii="Times New Roman" w:hAnsi="Times New Roman" w:eastAsia="宋体"/>
                <w:color w:val="auto"/>
                <w:sz w:val="24"/>
                <w:szCs w:val="24"/>
                <w:lang w:val="en-US" w:eastAsia="zh-CN"/>
              </w:rPr>
              <w:t xml:space="preserve"> 原有项目原辅材料消耗一览表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070"/>
              <w:gridCol w:w="927"/>
              <w:gridCol w:w="1152"/>
              <w:gridCol w:w="749"/>
              <w:gridCol w:w="984"/>
              <w:gridCol w:w="1070"/>
              <w:gridCol w:w="2139"/>
            </w:tblGrid>
            <w:tr w14:paraId="568A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gridSpan w:val="8"/>
                  <w:vAlign w:val="center"/>
                </w:tcPr>
                <w:p w14:paraId="5DBAF13D">
                  <w:pPr>
                    <w:pStyle w:val="31"/>
                    <w:rPr>
                      <w:rFonts w:hint="eastAsia" w:eastAsia="宋体"/>
                      <w:color w:val="auto"/>
                      <w:lang w:eastAsia="zh-CN"/>
                    </w:rPr>
                  </w:pPr>
                  <w:r>
                    <w:rPr>
                      <w:rFonts w:hint="eastAsia"/>
                      <w:color w:val="auto"/>
                      <w:lang w:eastAsia="zh-CN"/>
                    </w:rPr>
                    <w:t>原辅材料</w:t>
                  </w:r>
                </w:p>
              </w:tc>
            </w:tr>
            <w:tr w14:paraId="4F09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25FCB020">
                  <w:pPr>
                    <w:pStyle w:val="31"/>
                    <w:rPr>
                      <w:rFonts w:hint="default"/>
                      <w:color w:val="auto"/>
                    </w:rPr>
                  </w:pPr>
                  <w:r>
                    <w:rPr>
                      <w:color w:val="auto"/>
                    </w:rPr>
                    <w:t>序号</w:t>
                  </w:r>
                </w:p>
              </w:tc>
              <w:tc>
                <w:tcPr>
                  <w:tcW w:w="623" w:type="pct"/>
                  <w:vAlign w:val="center"/>
                </w:tcPr>
                <w:p w14:paraId="5EE5DF53">
                  <w:pPr>
                    <w:pStyle w:val="31"/>
                    <w:rPr>
                      <w:rFonts w:hint="default"/>
                      <w:color w:val="auto"/>
                    </w:rPr>
                  </w:pPr>
                  <w:r>
                    <w:rPr>
                      <w:color w:val="auto"/>
                    </w:rPr>
                    <w:t>名称</w:t>
                  </w:r>
                </w:p>
              </w:tc>
              <w:tc>
                <w:tcPr>
                  <w:tcW w:w="540" w:type="pct"/>
                  <w:vAlign w:val="center"/>
                </w:tcPr>
                <w:p w14:paraId="3735BD04">
                  <w:pPr>
                    <w:pStyle w:val="31"/>
                    <w:rPr>
                      <w:rFonts w:hint="default"/>
                      <w:color w:val="auto"/>
                    </w:rPr>
                  </w:pPr>
                  <w:r>
                    <w:rPr>
                      <w:color w:val="auto"/>
                    </w:rPr>
                    <w:t>单位</w:t>
                  </w:r>
                </w:p>
              </w:tc>
              <w:tc>
                <w:tcPr>
                  <w:tcW w:w="671" w:type="pct"/>
                  <w:vAlign w:val="center"/>
                </w:tcPr>
                <w:p w14:paraId="4FC55BE1">
                  <w:pPr>
                    <w:pStyle w:val="31"/>
                    <w:rPr>
                      <w:rFonts w:hint="eastAsia" w:eastAsia="宋体"/>
                      <w:color w:val="auto"/>
                      <w:lang w:eastAsia="zh-CN"/>
                    </w:rPr>
                  </w:pPr>
                  <w:r>
                    <w:rPr>
                      <w:rFonts w:hint="eastAsia"/>
                      <w:color w:val="auto"/>
                      <w:lang w:eastAsia="zh-CN"/>
                    </w:rPr>
                    <w:t>消耗量</w:t>
                  </w:r>
                </w:p>
              </w:tc>
              <w:tc>
                <w:tcPr>
                  <w:tcW w:w="436" w:type="pct"/>
                  <w:vAlign w:val="center"/>
                </w:tcPr>
                <w:p w14:paraId="48A50942">
                  <w:pPr>
                    <w:pStyle w:val="31"/>
                    <w:rPr>
                      <w:rFonts w:hint="eastAsia" w:eastAsia="宋体"/>
                      <w:color w:val="auto"/>
                      <w:lang w:eastAsia="zh-CN"/>
                    </w:rPr>
                  </w:pPr>
                  <w:r>
                    <w:rPr>
                      <w:rFonts w:hint="eastAsia"/>
                      <w:color w:val="auto"/>
                      <w:lang w:eastAsia="zh-CN"/>
                    </w:rPr>
                    <w:t>形态</w:t>
                  </w:r>
                </w:p>
              </w:tc>
              <w:tc>
                <w:tcPr>
                  <w:tcW w:w="573" w:type="pct"/>
                  <w:vAlign w:val="center"/>
                </w:tcPr>
                <w:p w14:paraId="4478923C">
                  <w:pPr>
                    <w:pStyle w:val="31"/>
                    <w:rPr>
                      <w:rFonts w:hint="default"/>
                      <w:color w:val="auto"/>
                      <w:lang w:val="en-US" w:eastAsia="zh-CN"/>
                    </w:rPr>
                  </w:pPr>
                  <w:r>
                    <w:rPr>
                      <w:rFonts w:hint="eastAsia"/>
                      <w:color w:val="auto"/>
                      <w:lang w:eastAsia="zh-CN"/>
                    </w:rPr>
                    <w:t>最大存储量</w:t>
                  </w:r>
                  <w:r>
                    <w:rPr>
                      <w:rFonts w:hint="eastAsia"/>
                      <w:color w:val="auto"/>
                      <w:lang w:val="en-US" w:eastAsia="zh-CN"/>
                    </w:rPr>
                    <w:t>(t)</w:t>
                  </w:r>
                </w:p>
              </w:tc>
              <w:tc>
                <w:tcPr>
                  <w:tcW w:w="623" w:type="pct"/>
                  <w:vAlign w:val="center"/>
                </w:tcPr>
                <w:p w14:paraId="6B2BAF69">
                  <w:pPr>
                    <w:pStyle w:val="31"/>
                    <w:rPr>
                      <w:rFonts w:hint="eastAsia"/>
                      <w:color w:val="auto"/>
                      <w:lang w:eastAsia="zh-CN"/>
                    </w:rPr>
                  </w:pPr>
                  <w:r>
                    <w:rPr>
                      <w:rFonts w:hint="eastAsia"/>
                      <w:color w:val="auto"/>
                      <w:lang w:eastAsia="zh-CN"/>
                    </w:rPr>
                    <w:t>存储位置</w:t>
                  </w:r>
                </w:p>
              </w:tc>
              <w:tc>
                <w:tcPr>
                  <w:tcW w:w="1240" w:type="pct"/>
                  <w:vAlign w:val="center"/>
                </w:tcPr>
                <w:p w14:paraId="3C72ADE7">
                  <w:pPr>
                    <w:pStyle w:val="31"/>
                    <w:rPr>
                      <w:rFonts w:hint="eastAsia" w:eastAsia="宋体"/>
                      <w:color w:val="auto"/>
                      <w:lang w:eastAsia="zh-CN"/>
                    </w:rPr>
                  </w:pPr>
                  <w:r>
                    <w:rPr>
                      <w:rFonts w:hint="eastAsia"/>
                      <w:color w:val="auto"/>
                      <w:lang w:eastAsia="zh-CN"/>
                    </w:rPr>
                    <w:t>备注</w:t>
                  </w:r>
                </w:p>
              </w:tc>
            </w:tr>
            <w:tr w14:paraId="53A1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55790376">
                  <w:pPr>
                    <w:pStyle w:val="31"/>
                    <w:rPr>
                      <w:rFonts w:hint="default"/>
                      <w:color w:val="auto"/>
                    </w:rPr>
                  </w:pPr>
                  <w:r>
                    <w:rPr>
                      <w:color w:val="auto"/>
                    </w:rPr>
                    <w:t>1</w:t>
                  </w:r>
                </w:p>
              </w:tc>
              <w:tc>
                <w:tcPr>
                  <w:tcW w:w="623" w:type="pct"/>
                  <w:vAlign w:val="center"/>
                </w:tcPr>
                <w:p w14:paraId="2C38C1B4">
                  <w:pPr>
                    <w:pStyle w:val="31"/>
                    <w:rPr>
                      <w:rFonts w:hint="eastAsia" w:eastAsia="宋体"/>
                      <w:color w:val="auto"/>
                      <w:lang w:eastAsia="zh-CN"/>
                    </w:rPr>
                  </w:pPr>
                  <w:r>
                    <w:rPr>
                      <w:rFonts w:hint="eastAsia"/>
                      <w:color w:val="auto"/>
                      <w:lang w:eastAsia="zh-CN"/>
                    </w:rPr>
                    <w:t>镀锌钢带</w:t>
                  </w:r>
                </w:p>
              </w:tc>
              <w:tc>
                <w:tcPr>
                  <w:tcW w:w="540" w:type="pct"/>
                  <w:vAlign w:val="center"/>
                </w:tcPr>
                <w:p w14:paraId="20CDEE43">
                  <w:pPr>
                    <w:pStyle w:val="31"/>
                    <w:rPr>
                      <w:rFonts w:hint="default"/>
                      <w:color w:val="auto"/>
                    </w:rPr>
                  </w:pPr>
                  <w:r>
                    <w:rPr>
                      <w:color w:val="auto"/>
                    </w:rPr>
                    <w:t>t/a</w:t>
                  </w:r>
                </w:p>
              </w:tc>
              <w:tc>
                <w:tcPr>
                  <w:tcW w:w="671" w:type="pct"/>
                  <w:vAlign w:val="center"/>
                </w:tcPr>
                <w:p w14:paraId="074E556C">
                  <w:pPr>
                    <w:pStyle w:val="31"/>
                    <w:rPr>
                      <w:rFonts w:hint="default" w:eastAsia="宋体"/>
                      <w:color w:val="auto"/>
                      <w:lang w:val="en-US" w:eastAsia="zh-CN"/>
                    </w:rPr>
                  </w:pPr>
                  <w:r>
                    <w:rPr>
                      <w:rFonts w:hint="eastAsia"/>
                      <w:color w:val="auto"/>
                      <w:lang w:val="en-US" w:eastAsia="zh-CN"/>
                    </w:rPr>
                    <w:t>70350</w:t>
                  </w:r>
                </w:p>
              </w:tc>
              <w:tc>
                <w:tcPr>
                  <w:tcW w:w="436" w:type="pct"/>
                  <w:vAlign w:val="center"/>
                </w:tcPr>
                <w:p w14:paraId="34262758">
                  <w:pPr>
                    <w:pStyle w:val="31"/>
                    <w:rPr>
                      <w:rFonts w:hint="default" w:eastAsia="宋体"/>
                      <w:color w:val="auto"/>
                      <w:lang w:val="en-US" w:eastAsia="zh-CN"/>
                    </w:rPr>
                  </w:pPr>
                  <w:r>
                    <w:rPr>
                      <w:rFonts w:hint="eastAsia"/>
                      <w:color w:val="auto"/>
                      <w:lang w:val="en-US" w:eastAsia="zh-CN"/>
                    </w:rPr>
                    <w:t>固</w:t>
                  </w:r>
                </w:p>
              </w:tc>
              <w:tc>
                <w:tcPr>
                  <w:tcW w:w="573" w:type="pct"/>
                  <w:vAlign w:val="center"/>
                </w:tcPr>
                <w:p w14:paraId="264A7E0D">
                  <w:pPr>
                    <w:pStyle w:val="31"/>
                    <w:rPr>
                      <w:rFonts w:hint="default"/>
                      <w:color w:val="auto"/>
                      <w:lang w:val="en-US" w:eastAsia="zh-CN"/>
                    </w:rPr>
                  </w:pPr>
                  <w:r>
                    <w:rPr>
                      <w:rFonts w:hint="eastAsia"/>
                      <w:color w:val="auto"/>
                      <w:lang w:val="en-US" w:eastAsia="zh-CN"/>
                    </w:rPr>
                    <w:t>2</w:t>
                  </w:r>
                </w:p>
              </w:tc>
              <w:tc>
                <w:tcPr>
                  <w:tcW w:w="623" w:type="pct"/>
                  <w:vAlign w:val="center"/>
                </w:tcPr>
                <w:p w14:paraId="7E54AC64">
                  <w:pPr>
                    <w:pStyle w:val="31"/>
                    <w:rPr>
                      <w:rFonts w:hint="default"/>
                      <w:color w:val="auto"/>
                      <w:lang w:val="en-US" w:eastAsia="zh-CN"/>
                    </w:rPr>
                  </w:pPr>
                  <w:r>
                    <w:rPr>
                      <w:rFonts w:hint="eastAsia"/>
                      <w:color w:val="auto"/>
                      <w:lang w:val="en-US" w:eastAsia="zh-CN"/>
                    </w:rPr>
                    <w:t>生产车间</w:t>
                  </w:r>
                </w:p>
              </w:tc>
              <w:tc>
                <w:tcPr>
                  <w:tcW w:w="1240" w:type="pct"/>
                  <w:vAlign w:val="center"/>
                </w:tcPr>
                <w:p w14:paraId="13D6A5BA">
                  <w:pPr>
                    <w:pStyle w:val="31"/>
                    <w:rPr>
                      <w:rFonts w:hint="default" w:eastAsia="宋体"/>
                      <w:color w:val="auto"/>
                      <w:lang w:val="en-US" w:eastAsia="zh-CN"/>
                    </w:rPr>
                  </w:pPr>
                  <w:r>
                    <w:rPr>
                      <w:rFonts w:hint="eastAsia"/>
                      <w:color w:val="auto"/>
                      <w:lang w:val="en-US" w:eastAsia="zh-CN"/>
                    </w:rPr>
                    <w:t>外购；原料表面不含油污类等，用于焊管生产</w:t>
                  </w:r>
                </w:p>
              </w:tc>
            </w:tr>
            <w:tr w14:paraId="016E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89" w:type="pct"/>
                  <w:vAlign w:val="center"/>
                </w:tcPr>
                <w:p w14:paraId="5E3E155F">
                  <w:pPr>
                    <w:pStyle w:val="31"/>
                    <w:rPr>
                      <w:rFonts w:hint="default"/>
                      <w:color w:val="auto"/>
                    </w:rPr>
                  </w:pPr>
                  <w:r>
                    <w:rPr>
                      <w:color w:val="auto"/>
                    </w:rPr>
                    <w:t>2</w:t>
                  </w:r>
                </w:p>
              </w:tc>
              <w:tc>
                <w:tcPr>
                  <w:tcW w:w="623" w:type="pct"/>
                  <w:vAlign w:val="center"/>
                </w:tcPr>
                <w:p w14:paraId="0BCA1AB4">
                  <w:pPr>
                    <w:pStyle w:val="31"/>
                    <w:rPr>
                      <w:rFonts w:hint="eastAsia" w:eastAsia="宋体"/>
                      <w:color w:val="auto"/>
                      <w:lang w:eastAsia="zh-CN"/>
                    </w:rPr>
                  </w:pPr>
                  <w:r>
                    <w:rPr>
                      <w:rFonts w:hint="eastAsia"/>
                      <w:color w:val="auto"/>
                      <w:lang w:eastAsia="zh-CN"/>
                    </w:rPr>
                    <w:t>乙炔</w:t>
                  </w:r>
                </w:p>
              </w:tc>
              <w:tc>
                <w:tcPr>
                  <w:tcW w:w="540" w:type="pct"/>
                  <w:vAlign w:val="center"/>
                </w:tcPr>
                <w:p w14:paraId="736761ED">
                  <w:pPr>
                    <w:pStyle w:val="31"/>
                    <w:rPr>
                      <w:rFonts w:hint="default"/>
                      <w:color w:val="auto"/>
                    </w:rPr>
                  </w:pPr>
                  <w:r>
                    <w:rPr>
                      <w:color w:val="auto"/>
                    </w:rPr>
                    <w:t>t/a</w:t>
                  </w:r>
                </w:p>
              </w:tc>
              <w:tc>
                <w:tcPr>
                  <w:tcW w:w="671" w:type="pct"/>
                  <w:vAlign w:val="center"/>
                </w:tcPr>
                <w:p w14:paraId="7D24F7B5">
                  <w:pPr>
                    <w:pStyle w:val="31"/>
                    <w:rPr>
                      <w:rFonts w:hint="default" w:eastAsia="宋体"/>
                      <w:color w:val="auto"/>
                      <w:lang w:val="en-US" w:eastAsia="zh-CN"/>
                    </w:rPr>
                  </w:pPr>
                  <w:r>
                    <w:rPr>
                      <w:rFonts w:hint="eastAsia"/>
                      <w:color w:val="auto"/>
                      <w:lang w:val="en-US" w:eastAsia="zh-CN"/>
                    </w:rPr>
                    <w:t>4.2</w:t>
                  </w:r>
                </w:p>
              </w:tc>
              <w:tc>
                <w:tcPr>
                  <w:tcW w:w="436" w:type="pct"/>
                  <w:vAlign w:val="center"/>
                </w:tcPr>
                <w:p w14:paraId="2AF6F189">
                  <w:pPr>
                    <w:pStyle w:val="31"/>
                    <w:rPr>
                      <w:rFonts w:hint="default" w:eastAsia="宋体"/>
                      <w:color w:val="auto"/>
                      <w:lang w:val="en-US" w:eastAsia="zh-CN"/>
                    </w:rPr>
                  </w:pPr>
                  <w:r>
                    <w:rPr>
                      <w:rFonts w:hint="eastAsia"/>
                      <w:color w:val="auto"/>
                      <w:lang w:val="en-US" w:eastAsia="zh-CN"/>
                    </w:rPr>
                    <w:t>气</w:t>
                  </w:r>
                </w:p>
              </w:tc>
              <w:tc>
                <w:tcPr>
                  <w:tcW w:w="573" w:type="pct"/>
                  <w:vAlign w:val="center"/>
                </w:tcPr>
                <w:p w14:paraId="69FA26FC">
                  <w:pPr>
                    <w:pStyle w:val="31"/>
                    <w:rPr>
                      <w:rFonts w:hint="default"/>
                      <w:color w:val="auto"/>
                      <w:lang w:val="en-US" w:eastAsia="zh-CN"/>
                    </w:rPr>
                  </w:pPr>
                  <w:r>
                    <w:rPr>
                      <w:rFonts w:hint="eastAsia"/>
                      <w:color w:val="auto"/>
                      <w:lang w:val="en-US" w:eastAsia="zh-CN"/>
                    </w:rPr>
                    <w:t>0.5</w:t>
                  </w:r>
                </w:p>
              </w:tc>
              <w:tc>
                <w:tcPr>
                  <w:tcW w:w="623" w:type="pct"/>
                  <w:vAlign w:val="center"/>
                </w:tcPr>
                <w:p w14:paraId="597966EF">
                  <w:pPr>
                    <w:pStyle w:val="31"/>
                    <w:rPr>
                      <w:rFonts w:hint="default"/>
                      <w:color w:val="auto"/>
                      <w:lang w:val="en-US" w:eastAsia="zh-CN"/>
                    </w:rPr>
                  </w:pPr>
                  <w:r>
                    <w:rPr>
                      <w:rFonts w:hint="eastAsia"/>
                      <w:color w:val="auto"/>
                      <w:lang w:val="en-US" w:eastAsia="zh-CN"/>
                    </w:rPr>
                    <w:t>乙炔储藏区</w:t>
                  </w:r>
                </w:p>
              </w:tc>
              <w:tc>
                <w:tcPr>
                  <w:tcW w:w="1240" w:type="pct"/>
                  <w:vAlign w:val="center"/>
                </w:tcPr>
                <w:p w14:paraId="1874DCA6">
                  <w:pPr>
                    <w:pStyle w:val="31"/>
                    <w:rPr>
                      <w:rFonts w:hint="default" w:eastAsia="宋体"/>
                      <w:color w:val="auto"/>
                      <w:lang w:val="en-US" w:eastAsia="zh-CN"/>
                    </w:rPr>
                  </w:pPr>
                  <w:r>
                    <w:rPr>
                      <w:rFonts w:hint="eastAsia"/>
                      <w:color w:val="auto"/>
                      <w:lang w:val="en-US" w:eastAsia="zh-CN"/>
                    </w:rPr>
                    <w:t>用于焊管焊接</w:t>
                  </w:r>
                </w:p>
              </w:tc>
            </w:tr>
            <w:tr w14:paraId="26C1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479E9DCF">
                  <w:pPr>
                    <w:pStyle w:val="31"/>
                    <w:rPr>
                      <w:rFonts w:hint="default"/>
                      <w:color w:val="auto"/>
                    </w:rPr>
                  </w:pPr>
                  <w:r>
                    <w:rPr>
                      <w:color w:val="auto"/>
                    </w:rPr>
                    <w:t>3</w:t>
                  </w:r>
                </w:p>
              </w:tc>
              <w:tc>
                <w:tcPr>
                  <w:tcW w:w="623" w:type="pct"/>
                  <w:vAlign w:val="center"/>
                </w:tcPr>
                <w:p w14:paraId="490C875C">
                  <w:pPr>
                    <w:pStyle w:val="31"/>
                    <w:rPr>
                      <w:rFonts w:hint="eastAsia" w:eastAsia="宋体"/>
                      <w:color w:val="auto"/>
                      <w:lang w:eastAsia="zh-CN"/>
                    </w:rPr>
                  </w:pPr>
                  <w:r>
                    <w:rPr>
                      <w:rFonts w:hint="eastAsia"/>
                      <w:color w:val="auto"/>
                      <w:lang w:eastAsia="zh-CN"/>
                    </w:rPr>
                    <w:t>氧气</w:t>
                  </w:r>
                </w:p>
              </w:tc>
              <w:tc>
                <w:tcPr>
                  <w:tcW w:w="540" w:type="pct"/>
                  <w:vAlign w:val="center"/>
                </w:tcPr>
                <w:p w14:paraId="54719CD8">
                  <w:pPr>
                    <w:pStyle w:val="31"/>
                    <w:rPr>
                      <w:rFonts w:hint="default"/>
                      <w:color w:val="auto"/>
                    </w:rPr>
                  </w:pPr>
                  <w:r>
                    <w:rPr>
                      <w:color w:val="auto"/>
                    </w:rPr>
                    <w:t>t/a</w:t>
                  </w:r>
                </w:p>
              </w:tc>
              <w:tc>
                <w:tcPr>
                  <w:tcW w:w="671" w:type="pct"/>
                  <w:vAlign w:val="center"/>
                </w:tcPr>
                <w:p w14:paraId="1E484BAB">
                  <w:pPr>
                    <w:pStyle w:val="31"/>
                    <w:rPr>
                      <w:rFonts w:hint="default" w:eastAsia="宋体"/>
                      <w:color w:val="auto"/>
                      <w:lang w:val="en-US" w:eastAsia="zh-CN"/>
                    </w:rPr>
                  </w:pPr>
                  <w:r>
                    <w:rPr>
                      <w:rFonts w:hint="eastAsia"/>
                      <w:color w:val="auto"/>
                      <w:lang w:val="en-US" w:eastAsia="zh-CN"/>
                    </w:rPr>
                    <w:t>14</w:t>
                  </w:r>
                </w:p>
              </w:tc>
              <w:tc>
                <w:tcPr>
                  <w:tcW w:w="436" w:type="pct"/>
                  <w:vAlign w:val="center"/>
                </w:tcPr>
                <w:p w14:paraId="01A3C4EE">
                  <w:pPr>
                    <w:pStyle w:val="31"/>
                    <w:rPr>
                      <w:rFonts w:hint="default" w:eastAsia="宋体"/>
                      <w:color w:val="auto"/>
                      <w:lang w:val="en-US" w:eastAsia="zh-CN"/>
                    </w:rPr>
                  </w:pPr>
                  <w:r>
                    <w:rPr>
                      <w:rFonts w:hint="eastAsia"/>
                      <w:color w:val="auto"/>
                      <w:lang w:val="en-US" w:eastAsia="zh-CN"/>
                    </w:rPr>
                    <w:t>气</w:t>
                  </w:r>
                </w:p>
              </w:tc>
              <w:tc>
                <w:tcPr>
                  <w:tcW w:w="573" w:type="pct"/>
                  <w:vAlign w:val="center"/>
                </w:tcPr>
                <w:p w14:paraId="797CBB97">
                  <w:pPr>
                    <w:pStyle w:val="31"/>
                    <w:rPr>
                      <w:rFonts w:hint="default"/>
                      <w:color w:val="auto"/>
                      <w:lang w:val="en-US" w:eastAsia="zh-CN"/>
                    </w:rPr>
                  </w:pPr>
                  <w:r>
                    <w:rPr>
                      <w:rFonts w:hint="eastAsia"/>
                      <w:color w:val="auto"/>
                      <w:lang w:val="en-US" w:eastAsia="zh-CN"/>
                    </w:rPr>
                    <w:t>2</w:t>
                  </w:r>
                </w:p>
              </w:tc>
              <w:tc>
                <w:tcPr>
                  <w:tcW w:w="623" w:type="pct"/>
                  <w:vAlign w:val="center"/>
                </w:tcPr>
                <w:p w14:paraId="1F2CFAC7">
                  <w:pPr>
                    <w:pStyle w:val="31"/>
                    <w:rPr>
                      <w:rFonts w:hint="eastAsia" w:eastAsia="宋体"/>
                      <w:color w:val="auto"/>
                      <w:lang w:val="en-US" w:eastAsia="zh-CN"/>
                    </w:rPr>
                  </w:pPr>
                  <w:r>
                    <w:rPr>
                      <w:rFonts w:hint="eastAsia"/>
                      <w:color w:val="auto"/>
                      <w:lang w:val="en-US" w:eastAsia="zh-CN"/>
                    </w:rPr>
                    <w:t>生产车间</w:t>
                  </w:r>
                </w:p>
              </w:tc>
              <w:tc>
                <w:tcPr>
                  <w:tcW w:w="1240" w:type="pct"/>
                  <w:vAlign w:val="center"/>
                </w:tcPr>
                <w:p w14:paraId="46FB589C">
                  <w:pPr>
                    <w:pStyle w:val="31"/>
                    <w:rPr>
                      <w:rFonts w:hint="default" w:eastAsia="宋体"/>
                      <w:color w:val="auto"/>
                      <w:lang w:val="en-US" w:eastAsia="zh-CN"/>
                    </w:rPr>
                  </w:pPr>
                  <w:r>
                    <w:rPr>
                      <w:rFonts w:hint="eastAsia"/>
                      <w:color w:val="auto"/>
                      <w:lang w:val="en-US" w:eastAsia="zh-CN"/>
                    </w:rPr>
                    <w:t>用于焊管焊接</w:t>
                  </w:r>
                </w:p>
              </w:tc>
            </w:tr>
            <w:tr w14:paraId="2963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9" w:type="pct"/>
                  <w:vAlign w:val="center"/>
                </w:tcPr>
                <w:p w14:paraId="1A8C16DC">
                  <w:pPr>
                    <w:pStyle w:val="31"/>
                    <w:rPr>
                      <w:rFonts w:hint="eastAsia" w:eastAsia="宋体"/>
                      <w:color w:val="auto"/>
                      <w:lang w:val="en-US" w:eastAsia="zh-CN"/>
                    </w:rPr>
                  </w:pPr>
                  <w:r>
                    <w:rPr>
                      <w:rFonts w:hint="eastAsia" w:eastAsia="宋体"/>
                      <w:color w:val="auto"/>
                      <w:lang w:val="en-US" w:eastAsia="zh-CN"/>
                    </w:rPr>
                    <w:t>4</w:t>
                  </w:r>
                </w:p>
              </w:tc>
              <w:tc>
                <w:tcPr>
                  <w:tcW w:w="623" w:type="pct"/>
                  <w:vAlign w:val="center"/>
                </w:tcPr>
                <w:p w14:paraId="34CE3DB5">
                  <w:pPr>
                    <w:pStyle w:val="31"/>
                    <w:rPr>
                      <w:rFonts w:hint="eastAsia" w:eastAsia="宋体"/>
                      <w:color w:val="auto"/>
                      <w:lang w:eastAsia="zh-CN"/>
                    </w:rPr>
                  </w:pPr>
                  <w:r>
                    <w:rPr>
                      <w:rFonts w:hint="eastAsia"/>
                      <w:color w:val="auto"/>
                      <w:lang w:eastAsia="zh-CN"/>
                    </w:rPr>
                    <w:t>锌丝</w:t>
                  </w:r>
                </w:p>
              </w:tc>
              <w:tc>
                <w:tcPr>
                  <w:tcW w:w="540" w:type="pct"/>
                  <w:vAlign w:val="center"/>
                </w:tcPr>
                <w:p w14:paraId="57CF1907">
                  <w:pPr>
                    <w:pStyle w:val="31"/>
                    <w:rPr>
                      <w:color w:val="auto"/>
                    </w:rPr>
                  </w:pPr>
                  <w:r>
                    <w:rPr>
                      <w:color w:val="auto"/>
                    </w:rPr>
                    <w:t>t/a</w:t>
                  </w:r>
                </w:p>
              </w:tc>
              <w:tc>
                <w:tcPr>
                  <w:tcW w:w="671" w:type="pct"/>
                  <w:vAlign w:val="center"/>
                </w:tcPr>
                <w:p w14:paraId="09049326">
                  <w:pPr>
                    <w:pStyle w:val="31"/>
                    <w:rPr>
                      <w:rFonts w:hint="default" w:eastAsia="宋体"/>
                      <w:color w:val="auto"/>
                      <w:lang w:val="en-US" w:eastAsia="zh-CN"/>
                    </w:rPr>
                  </w:pPr>
                  <w:r>
                    <w:rPr>
                      <w:rFonts w:hint="eastAsia"/>
                      <w:color w:val="auto"/>
                      <w:lang w:val="en-US" w:eastAsia="zh-CN"/>
                    </w:rPr>
                    <w:t>2.8</w:t>
                  </w:r>
                </w:p>
              </w:tc>
              <w:tc>
                <w:tcPr>
                  <w:tcW w:w="436" w:type="pct"/>
                  <w:vAlign w:val="center"/>
                </w:tcPr>
                <w:p w14:paraId="4FCFADEE">
                  <w:pPr>
                    <w:pStyle w:val="31"/>
                    <w:rPr>
                      <w:rFonts w:hint="eastAsia" w:eastAsia="宋体"/>
                      <w:color w:val="auto"/>
                      <w:lang w:val="en-US" w:eastAsia="zh-CN"/>
                    </w:rPr>
                  </w:pPr>
                  <w:r>
                    <w:rPr>
                      <w:rFonts w:hint="eastAsia"/>
                      <w:color w:val="auto"/>
                      <w:lang w:val="en-US" w:eastAsia="zh-CN"/>
                    </w:rPr>
                    <w:t>固</w:t>
                  </w:r>
                </w:p>
              </w:tc>
              <w:tc>
                <w:tcPr>
                  <w:tcW w:w="573" w:type="pct"/>
                  <w:vAlign w:val="center"/>
                </w:tcPr>
                <w:p w14:paraId="5235467E">
                  <w:pPr>
                    <w:pStyle w:val="31"/>
                    <w:rPr>
                      <w:rFonts w:hint="default"/>
                      <w:color w:val="auto"/>
                      <w:lang w:val="en-US" w:eastAsia="zh-CN"/>
                    </w:rPr>
                  </w:pPr>
                  <w:r>
                    <w:rPr>
                      <w:rFonts w:hint="eastAsia"/>
                      <w:color w:val="auto"/>
                      <w:lang w:val="en-US" w:eastAsia="zh-CN"/>
                    </w:rPr>
                    <w:t>0.3</w:t>
                  </w:r>
                </w:p>
              </w:tc>
              <w:tc>
                <w:tcPr>
                  <w:tcW w:w="623" w:type="pct"/>
                  <w:vAlign w:val="center"/>
                </w:tcPr>
                <w:p w14:paraId="07D3D379">
                  <w:pPr>
                    <w:pStyle w:val="31"/>
                    <w:rPr>
                      <w:rFonts w:hint="eastAsia"/>
                      <w:color w:val="auto"/>
                      <w:lang w:val="en-US" w:eastAsia="zh-CN"/>
                    </w:rPr>
                  </w:pPr>
                  <w:r>
                    <w:rPr>
                      <w:rFonts w:hint="eastAsia"/>
                      <w:color w:val="auto"/>
                      <w:lang w:val="en-US" w:eastAsia="zh-CN"/>
                    </w:rPr>
                    <w:t>生产车间</w:t>
                  </w:r>
                </w:p>
              </w:tc>
              <w:tc>
                <w:tcPr>
                  <w:tcW w:w="1240" w:type="pct"/>
                  <w:vAlign w:val="center"/>
                </w:tcPr>
                <w:p w14:paraId="7E51DBDF">
                  <w:pPr>
                    <w:pStyle w:val="31"/>
                    <w:rPr>
                      <w:rFonts w:hint="eastAsia" w:eastAsia="宋体"/>
                      <w:color w:val="auto"/>
                      <w:lang w:val="en-US" w:eastAsia="zh-CN"/>
                    </w:rPr>
                  </w:pPr>
                  <w:r>
                    <w:rPr>
                      <w:rFonts w:hint="eastAsia"/>
                      <w:color w:val="auto"/>
                      <w:lang w:val="en-US" w:eastAsia="zh-CN"/>
                    </w:rPr>
                    <w:t>外购；用于焊缝补锌</w:t>
                  </w:r>
                </w:p>
              </w:tc>
            </w:tr>
            <w:tr w14:paraId="4F7E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2A9F7728">
                  <w:pPr>
                    <w:pStyle w:val="31"/>
                    <w:rPr>
                      <w:rFonts w:hint="eastAsia" w:eastAsia="宋体"/>
                      <w:color w:val="auto"/>
                      <w:lang w:eastAsia="zh-CN"/>
                    </w:rPr>
                  </w:pPr>
                  <w:r>
                    <w:rPr>
                      <w:rFonts w:hint="eastAsia" w:eastAsia="宋体"/>
                      <w:color w:val="auto"/>
                      <w:lang w:val="en-US" w:eastAsia="zh-CN"/>
                    </w:rPr>
                    <w:t>5</w:t>
                  </w:r>
                </w:p>
              </w:tc>
              <w:tc>
                <w:tcPr>
                  <w:tcW w:w="623" w:type="pct"/>
                  <w:vAlign w:val="center"/>
                </w:tcPr>
                <w:p w14:paraId="0998F10A">
                  <w:pPr>
                    <w:pStyle w:val="31"/>
                    <w:rPr>
                      <w:rFonts w:hint="eastAsia" w:eastAsia="宋体"/>
                      <w:color w:val="auto"/>
                      <w:lang w:eastAsia="zh-CN"/>
                    </w:rPr>
                  </w:pPr>
                  <w:r>
                    <w:rPr>
                      <w:rFonts w:hint="eastAsia"/>
                      <w:color w:val="auto"/>
                      <w:lang w:eastAsia="zh-CN"/>
                    </w:rPr>
                    <w:t>铝丝</w:t>
                  </w:r>
                </w:p>
              </w:tc>
              <w:tc>
                <w:tcPr>
                  <w:tcW w:w="540" w:type="pct"/>
                  <w:vAlign w:val="center"/>
                </w:tcPr>
                <w:p w14:paraId="57B1C467">
                  <w:pPr>
                    <w:pStyle w:val="31"/>
                    <w:rPr>
                      <w:rFonts w:hint="default"/>
                      <w:color w:val="auto"/>
                    </w:rPr>
                  </w:pPr>
                  <w:r>
                    <w:rPr>
                      <w:color w:val="auto"/>
                    </w:rPr>
                    <w:t>t/a</w:t>
                  </w:r>
                </w:p>
              </w:tc>
              <w:tc>
                <w:tcPr>
                  <w:tcW w:w="671" w:type="pct"/>
                  <w:vAlign w:val="center"/>
                </w:tcPr>
                <w:p w14:paraId="2BD2D761">
                  <w:pPr>
                    <w:pStyle w:val="31"/>
                    <w:rPr>
                      <w:rFonts w:hint="default" w:eastAsia="宋体"/>
                      <w:color w:val="auto"/>
                      <w:lang w:val="en-US" w:eastAsia="zh-CN"/>
                    </w:rPr>
                  </w:pPr>
                  <w:r>
                    <w:rPr>
                      <w:rFonts w:hint="eastAsia"/>
                      <w:color w:val="auto"/>
                      <w:lang w:val="en-US" w:eastAsia="zh-CN"/>
                    </w:rPr>
                    <w:t>2.8</w:t>
                  </w:r>
                </w:p>
              </w:tc>
              <w:tc>
                <w:tcPr>
                  <w:tcW w:w="436" w:type="pct"/>
                  <w:vAlign w:val="center"/>
                </w:tcPr>
                <w:p w14:paraId="6BFA021F">
                  <w:pPr>
                    <w:pStyle w:val="31"/>
                    <w:rPr>
                      <w:rFonts w:hint="eastAsia" w:eastAsia="宋体"/>
                      <w:color w:val="auto"/>
                      <w:lang w:eastAsia="zh-CN"/>
                    </w:rPr>
                  </w:pPr>
                  <w:r>
                    <w:rPr>
                      <w:rFonts w:hint="eastAsia"/>
                      <w:color w:val="auto"/>
                      <w:lang w:eastAsia="zh-CN"/>
                    </w:rPr>
                    <w:t>固</w:t>
                  </w:r>
                </w:p>
              </w:tc>
              <w:tc>
                <w:tcPr>
                  <w:tcW w:w="573" w:type="pct"/>
                  <w:vAlign w:val="center"/>
                </w:tcPr>
                <w:p w14:paraId="51D04F16">
                  <w:pPr>
                    <w:pStyle w:val="31"/>
                    <w:rPr>
                      <w:rFonts w:hint="default"/>
                      <w:color w:val="auto"/>
                      <w:lang w:val="en-US" w:eastAsia="zh-CN"/>
                    </w:rPr>
                  </w:pPr>
                  <w:r>
                    <w:rPr>
                      <w:rFonts w:hint="eastAsia"/>
                      <w:color w:val="auto"/>
                      <w:lang w:val="en-US" w:eastAsia="zh-CN"/>
                    </w:rPr>
                    <w:t>0.2</w:t>
                  </w:r>
                </w:p>
              </w:tc>
              <w:tc>
                <w:tcPr>
                  <w:tcW w:w="623" w:type="pct"/>
                  <w:vAlign w:val="center"/>
                </w:tcPr>
                <w:p w14:paraId="57A5A48E">
                  <w:pPr>
                    <w:pStyle w:val="31"/>
                    <w:rPr>
                      <w:rFonts w:hint="eastAsia"/>
                      <w:color w:val="auto"/>
                      <w:lang w:eastAsia="zh-CN"/>
                    </w:rPr>
                  </w:pPr>
                  <w:r>
                    <w:rPr>
                      <w:rFonts w:hint="eastAsia"/>
                      <w:color w:val="auto"/>
                      <w:lang w:val="en-US" w:eastAsia="zh-CN"/>
                    </w:rPr>
                    <w:t>生产车间</w:t>
                  </w:r>
                </w:p>
              </w:tc>
              <w:tc>
                <w:tcPr>
                  <w:tcW w:w="1240" w:type="pct"/>
                  <w:vAlign w:val="center"/>
                </w:tcPr>
                <w:p w14:paraId="06F1A9A5">
                  <w:pPr>
                    <w:pStyle w:val="31"/>
                    <w:rPr>
                      <w:rFonts w:hint="default" w:eastAsia="宋体"/>
                      <w:color w:val="auto"/>
                      <w:lang w:val="en-US" w:eastAsia="zh-CN"/>
                    </w:rPr>
                  </w:pPr>
                  <w:r>
                    <w:rPr>
                      <w:rFonts w:hint="eastAsia"/>
                      <w:color w:val="auto"/>
                      <w:lang w:eastAsia="zh-CN"/>
                    </w:rPr>
                    <w:t>外购；用于焊缝补锌</w:t>
                  </w:r>
                </w:p>
              </w:tc>
            </w:tr>
            <w:tr w14:paraId="21D55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6A03CAE5">
                  <w:pPr>
                    <w:pStyle w:val="31"/>
                    <w:rPr>
                      <w:rFonts w:hint="default" w:eastAsia="宋体"/>
                      <w:color w:val="auto"/>
                      <w:lang w:val="en-US" w:eastAsia="zh-CN"/>
                    </w:rPr>
                  </w:pPr>
                  <w:r>
                    <w:rPr>
                      <w:rFonts w:hint="eastAsia"/>
                      <w:color w:val="auto"/>
                      <w:lang w:val="en-US" w:eastAsia="zh-CN"/>
                    </w:rPr>
                    <w:t>6</w:t>
                  </w:r>
                </w:p>
              </w:tc>
              <w:tc>
                <w:tcPr>
                  <w:tcW w:w="623" w:type="pct"/>
                  <w:vAlign w:val="center"/>
                </w:tcPr>
                <w:p w14:paraId="796D1FED">
                  <w:pPr>
                    <w:pStyle w:val="31"/>
                    <w:rPr>
                      <w:rFonts w:hint="eastAsia"/>
                      <w:color w:val="auto"/>
                      <w:lang w:eastAsia="zh-CN"/>
                    </w:rPr>
                  </w:pPr>
                  <w:r>
                    <w:rPr>
                      <w:rFonts w:hint="eastAsia"/>
                      <w:color w:val="auto"/>
                      <w:lang w:eastAsia="zh-CN"/>
                    </w:rPr>
                    <w:t>液压油</w:t>
                  </w:r>
                </w:p>
              </w:tc>
              <w:tc>
                <w:tcPr>
                  <w:tcW w:w="540" w:type="pct"/>
                  <w:vAlign w:val="center"/>
                </w:tcPr>
                <w:p w14:paraId="736974F1">
                  <w:pPr>
                    <w:pStyle w:val="31"/>
                    <w:rPr>
                      <w:color w:val="auto"/>
                    </w:rPr>
                  </w:pPr>
                  <w:r>
                    <w:rPr>
                      <w:color w:val="auto"/>
                    </w:rPr>
                    <w:t>t/a</w:t>
                  </w:r>
                </w:p>
              </w:tc>
              <w:tc>
                <w:tcPr>
                  <w:tcW w:w="671" w:type="pct"/>
                  <w:vAlign w:val="center"/>
                </w:tcPr>
                <w:p w14:paraId="6454F06F">
                  <w:pPr>
                    <w:pStyle w:val="31"/>
                    <w:rPr>
                      <w:rFonts w:hint="default"/>
                      <w:color w:val="auto"/>
                      <w:lang w:val="en-US" w:eastAsia="zh-CN"/>
                    </w:rPr>
                  </w:pPr>
                  <w:r>
                    <w:rPr>
                      <w:rFonts w:hint="eastAsia"/>
                      <w:color w:val="auto"/>
                      <w:lang w:val="en-US" w:eastAsia="zh-CN"/>
                    </w:rPr>
                    <w:t>1.05</w:t>
                  </w:r>
                </w:p>
              </w:tc>
              <w:tc>
                <w:tcPr>
                  <w:tcW w:w="436" w:type="pct"/>
                  <w:vAlign w:val="center"/>
                </w:tcPr>
                <w:p w14:paraId="00E484D0">
                  <w:pPr>
                    <w:pStyle w:val="31"/>
                    <w:rPr>
                      <w:rFonts w:hint="eastAsia"/>
                      <w:color w:val="auto"/>
                      <w:lang w:eastAsia="zh-CN"/>
                    </w:rPr>
                  </w:pPr>
                  <w:r>
                    <w:rPr>
                      <w:rFonts w:hint="eastAsia"/>
                      <w:color w:val="auto"/>
                      <w:lang w:eastAsia="zh-CN"/>
                    </w:rPr>
                    <w:t>液</w:t>
                  </w:r>
                </w:p>
              </w:tc>
              <w:tc>
                <w:tcPr>
                  <w:tcW w:w="573" w:type="pct"/>
                  <w:vAlign w:val="center"/>
                </w:tcPr>
                <w:p w14:paraId="0646180F">
                  <w:pPr>
                    <w:pStyle w:val="31"/>
                    <w:rPr>
                      <w:rFonts w:hint="default"/>
                      <w:color w:val="auto"/>
                      <w:lang w:val="en-US" w:eastAsia="zh-CN"/>
                    </w:rPr>
                  </w:pPr>
                  <w:r>
                    <w:rPr>
                      <w:rFonts w:hint="eastAsia"/>
                      <w:color w:val="auto"/>
                      <w:lang w:val="en-US" w:eastAsia="zh-CN"/>
                    </w:rPr>
                    <w:t>0.1</w:t>
                  </w:r>
                </w:p>
              </w:tc>
              <w:tc>
                <w:tcPr>
                  <w:tcW w:w="623" w:type="pct"/>
                  <w:vAlign w:val="center"/>
                </w:tcPr>
                <w:p w14:paraId="412E2FC7">
                  <w:pPr>
                    <w:pStyle w:val="31"/>
                    <w:rPr>
                      <w:rFonts w:hint="eastAsia"/>
                      <w:color w:val="auto"/>
                      <w:lang w:eastAsia="zh-CN"/>
                    </w:rPr>
                  </w:pPr>
                  <w:r>
                    <w:rPr>
                      <w:rFonts w:hint="eastAsia"/>
                      <w:color w:val="auto"/>
                      <w:lang w:val="en-US" w:eastAsia="zh-CN"/>
                    </w:rPr>
                    <w:t>生产车间</w:t>
                  </w:r>
                </w:p>
              </w:tc>
              <w:tc>
                <w:tcPr>
                  <w:tcW w:w="1240" w:type="pct"/>
                  <w:vAlign w:val="center"/>
                </w:tcPr>
                <w:p w14:paraId="70CA80C5">
                  <w:pPr>
                    <w:pStyle w:val="31"/>
                    <w:rPr>
                      <w:rFonts w:hint="default"/>
                      <w:color w:val="auto"/>
                      <w:lang w:val="en-US" w:eastAsia="zh-CN"/>
                    </w:rPr>
                  </w:pPr>
                  <w:r>
                    <w:rPr>
                      <w:rFonts w:hint="eastAsia"/>
                      <w:color w:val="auto"/>
                      <w:lang w:eastAsia="zh-CN"/>
                    </w:rPr>
                    <w:t>外购；</w:t>
                  </w:r>
                  <w:r>
                    <w:rPr>
                      <w:rFonts w:hint="eastAsia"/>
                      <w:color w:val="auto"/>
                      <w:lang w:val="en-US" w:eastAsia="zh-CN"/>
                    </w:rPr>
                    <w:t>200kg铁桶装</w:t>
                  </w:r>
                </w:p>
              </w:tc>
            </w:tr>
            <w:tr w14:paraId="02695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55FFC7AE">
                  <w:pPr>
                    <w:pStyle w:val="31"/>
                    <w:rPr>
                      <w:rFonts w:hint="default"/>
                      <w:color w:val="auto"/>
                      <w:lang w:val="en-US" w:eastAsia="zh-CN"/>
                    </w:rPr>
                  </w:pPr>
                  <w:r>
                    <w:rPr>
                      <w:rFonts w:hint="eastAsia"/>
                      <w:color w:val="auto"/>
                      <w:lang w:val="en-US" w:eastAsia="zh-CN"/>
                    </w:rPr>
                    <w:t>7</w:t>
                  </w:r>
                </w:p>
              </w:tc>
              <w:tc>
                <w:tcPr>
                  <w:tcW w:w="623" w:type="pct"/>
                  <w:vAlign w:val="center"/>
                </w:tcPr>
                <w:p w14:paraId="716FE9C0">
                  <w:pPr>
                    <w:pStyle w:val="31"/>
                    <w:rPr>
                      <w:rFonts w:hint="eastAsia"/>
                      <w:color w:val="auto"/>
                      <w:lang w:eastAsia="zh-CN"/>
                    </w:rPr>
                  </w:pPr>
                  <w:r>
                    <w:rPr>
                      <w:rFonts w:hint="eastAsia"/>
                      <w:color w:val="auto"/>
                      <w:lang w:eastAsia="zh-CN"/>
                    </w:rPr>
                    <w:t>冷轧油</w:t>
                  </w:r>
                </w:p>
              </w:tc>
              <w:tc>
                <w:tcPr>
                  <w:tcW w:w="540" w:type="pct"/>
                  <w:vAlign w:val="center"/>
                </w:tcPr>
                <w:p w14:paraId="0B62D513">
                  <w:pPr>
                    <w:pStyle w:val="31"/>
                    <w:rPr>
                      <w:color w:val="auto"/>
                    </w:rPr>
                  </w:pPr>
                  <w:r>
                    <w:rPr>
                      <w:color w:val="auto"/>
                    </w:rPr>
                    <w:t>t/a</w:t>
                  </w:r>
                </w:p>
              </w:tc>
              <w:tc>
                <w:tcPr>
                  <w:tcW w:w="671" w:type="pct"/>
                  <w:vAlign w:val="center"/>
                </w:tcPr>
                <w:p w14:paraId="05504A77">
                  <w:pPr>
                    <w:pStyle w:val="31"/>
                    <w:rPr>
                      <w:rFonts w:hint="default"/>
                      <w:color w:val="auto"/>
                      <w:lang w:val="en-US" w:eastAsia="zh-CN"/>
                    </w:rPr>
                  </w:pPr>
                  <w:r>
                    <w:rPr>
                      <w:rFonts w:hint="eastAsia"/>
                      <w:color w:val="auto"/>
                      <w:lang w:val="en-US" w:eastAsia="zh-CN"/>
                    </w:rPr>
                    <w:t>100</w:t>
                  </w:r>
                </w:p>
              </w:tc>
              <w:tc>
                <w:tcPr>
                  <w:tcW w:w="436" w:type="pct"/>
                  <w:vAlign w:val="center"/>
                </w:tcPr>
                <w:p w14:paraId="5220EDCA">
                  <w:pPr>
                    <w:pStyle w:val="31"/>
                    <w:rPr>
                      <w:rFonts w:hint="eastAsia"/>
                      <w:color w:val="auto"/>
                      <w:lang w:eastAsia="zh-CN"/>
                    </w:rPr>
                  </w:pPr>
                  <w:r>
                    <w:rPr>
                      <w:rFonts w:hint="eastAsia"/>
                      <w:color w:val="auto"/>
                      <w:lang w:eastAsia="zh-CN"/>
                    </w:rPr>
                    <w:t>液</w:t>
                  </w:r>
                </w:p>
              </w:tc>
              <w:tc>
                <w:tcPr>
                  <w:tcW w:w="573" w:type="pct"/>
                  <w:vAlign w:val="center"/>
                </w:tcPr>
                <w:p w14:paraId="5BF461AF">
                  <w:pPr>
                    <w:pStyle w:val="31"/>
                    <w:rPr>
                      <w:rFonts w:hint="default"/>
                      <w:color w:val="auto"/>
                      <w:lang w:val="en-US" w:eastAsia="zh-CN"/>
                    </w:rPr>
                  </w:pPr>
                  <w:r>
                    <w:rPr>
                      <w:rFonts w:hint="eastAsia"/>
                      <w:color w:val="auto"/>
                      <w:lang w:val="en-US" w:eastAsia="zh-CN"/>
                    </w:rPr>
                    <w:t>5t</w:t>
                  </w:r>
                </w:p>
              </w:tc>
              <w:tc>
                <w:tcPr>
                  <w:tcW w:w="623" w:type="pct"/>
                  <w:vAlign w:val="center"/>
                </w:tcPr>
                <w:p w14:paraId="3608C758">
                  <w:pPr>
                    <w:pStyle w:val="31"/>
                    <w:rPr>
                      <w:rFonts w:hint="eastAsia"/>
                      <w:color w:val="auto"/>
                      <w:lang w:val="en-US" w:eastAsia="zh-CN"/>
                    </w:rPr>
                  </w:pPr>
                  <w:r>
                    <w:rPr>
                      <w:rFonts w:hint="eastAsia"/>
                      <w:color w:val="auto"/>
                      <w:lang w:val="en-US" w:eastAsia="zh-CN"/>
                    </w:rPr>
                    <w:t>生产车间</w:t>
                  </w:r>
                </w:p>
              </w:tc>
              <w:tc>
                <w:tcPr>
                  <w:tcW w:w="1240" w:type="pct"/>
                  <w:vAlign w:val="center"/>
                </w:tcPr>
                <w:p w14:paraId="54E4C7FA">
                  <w:pPr>
                    <w:pStyle w:val="31"/>
                    <w:rPr>
                      <w:rFonts w:hint="default"/>
                      <w:color w:val="auto"/>
                      <w:lang w:val="en-US" w:eastAsia="zh-CN"/>
                    </w:rPr>
                  </w:pPr>
                  <w:r>
                    <w:rPr>
                      <w:rFonts w:hint="eastAsia"/>
                      <w:color w:val="auto"/>
                      <w:lang w:eastAsia="zh-CN"/>
                    </w:rPr>
                    <w:t>外购；</w:t>
                  </w:r>
                  <w:r>
                    <w:rPr>
                      <w:rFonts w:hint="eastAsia"/>
                      <w:color w:val="auto"/>
                      <w:lang w:val="en-US" w:eastAsia="zh-CN"/>
                    </w:rPr>
                    <w:t>170kg铁桶装</w:t>
                  </w:r>
                </w:p>
              </w:tc>
            </w:tr>
            <w:tr w14:paraId="44D3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vAlign w:val="center"/>
                </w:tcPr>
                <w:p w14:paraId="64F5684F">
                  <w:pPr>
                    <w:pStyle w:val="31"/>
                    <w:jc w:val="center"/>
                    <w:rPr>
                      <w:rFonts w:hint="eastAsia" w:eastAsia="宋体"/>
                      <w:color w:val="auto"/>
                      <w:lang w:eastAsia="zh-CN"/>
                    </w:rPr>
                  </w:pPr>
                  <w:r>
                    <w:rPr>
                      <w:rFonts w:hint="eastAsia"/>
                      <w:color w:val="auto"/>
                      <w:lang w:eastAsia="zh-CN"/>
                    </w:rPr>
                    <w:t>能源</w:t>
                  </w:r>
                </w:p>
              </w:tc>
            </w:tr>
            <w:tr w14:paraId="6B2C9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37C31214">
                  <w:pPr>
                    <w:pStyle w:val="31"/>
                    <w:rPr>
                      <w:rFonts w:hint="eastAsia" w:eastAsia="宋体"/>
                      <w:color w:val="auto"/>
                      <w:lang w:eastAsia="zh-CN"/>
                    </w:rPr>
                  </w:pPr>
                  <w:r>
                    <w:rPr>
                      <w:rFonts w:hint="eastAsia"/>
                      <w:color w:val="auto"/>
                      <w:lang w:val="en-US" w:eastAsia="zh-CN"/>
                    </w:rPr>
                    <w:t>7</w:t>
                  </w:r>
                </w:p>
              </w:tc>
              <w:tc>
                <w:tcPr>
                  <w:tcW w:w="623" w:type="pct"/>
                  <w:vAlign w:val="center"/>
                </w:tcPr>
                <w:p w14:paraId="1E6C6277">
                  <w:pPr>
                    <w:pStyle w:val="31"/>
                    <w:rPr>
                      <w:rFonts w:hint="eastAsia" w:eastAsia="宋体"/>
                      <w:color w:val="auto"/>
                      <w:lang w:eastAsia="zh-CN"/>
                    </w:rPr>
                  </w:pPr>
                  <w:r>
                    <w:rPr>
                      <w:rFonts w:hint="eastAsia"/>
                      <w:color w:val="auto"/>
                      <w:lang w:eastAsia="zh-CN"/>
                    </w:rPr>
                    <w:t>电力</w:t>
                  </w:r>
                </w:p>
              </w:tc>
              <w:tc>
                <w:tcPr>
                  <w:tcW w:w="540" w:type="pct"/>
                  <w:vAlign w:val="center"/>
                </w:tcPr>
                <w:p w14:paraId="5D99E647">
                  <w:pPr>
                    <w:pStyle w:val="31"/>
                    <w:rPr>
                      <w:rFonts w:hint="default"/>
                      <w:color w:val="auto"/>
                    </w:rPr>
                  </w:pPr>
                  <w:r>
                    <w:rPr>
                      <w:color w:val="auto"/>
                      <w:lang w:val="en-GB"/>
                    </w:rPr>
                    <w:t>kw·h/a</w:t>
                  </w:r>
                </w:p>
              </w:tc>
              <w:tc>
                <w:tcPr>
                  <w:tcW w:w="671" w:type="pct"/>
                  <w:vAlign w:val="center"/>
                </w:tcPr>
                <w:p w14:paraId="4251C9BA">
                  <w:pPr>
                    <w:pStyle w:val="31"/>
                    <w:rPr>
                      <w:rFonts w:hint="default" w:eastAsia="宋体"/>
                      <w:color w:val="auto"/>
                      <w:lang w:val="en-US" w:eastAsia="zh-CN"/>
                    </w:rPr>
                  </w:pPr>
                  <w:r>
                    <w:rPr>
                      <w:rFonts w:hint="eastAsia"/>
                      <w:color w:val="auto"/>
                      <w:lang w:val="en-US" w:eastAsia="zh-CN"/>
                    </w:rPr>
                    <w:t>432.1</w:t>
                  </w:r>
                  <w:r>
                    <w:rPr>
                      <w:rFonts w:hint="default" w:ascii="Arial" w:hAnsi="Arial" w:cs="Arial"/>
                      <w:color w:val="auto"/>
                      <w:lang w:val="en-US" w:eastAsia="zh-CN"/>
                    </w:rPr>
                    <w:t>×</w:t>
                  </w:r>
                  <w:r>
                    <w:rPr>
                      <w:rFonts w:hint="eastAsia"/>
                      <w:color w:val="auto"/>
                      <w:lang w:val="en-US" w:eastAsia="zh-CN"/>
                    </w:rPr>
                    <w:t>10</w:t>
                  </w:r>
                  <w:r>
                    <w:rPr>
                      <w:rFonts w:hint="eastAsia"/>
                      <w:color w:val="auto"/>
                      <w:vertAlign w:val="superscript"/>
                      <w:lang w:val="en-US" w:eastAsia="zh-CN"/>
                    </w:rPr>
                    <w:t>4</w:t>
                  </w:r>
                </w:p>
              </w:tc>
              <w:tc>
                <w:tcPr>
                  <w:tcW w:w="436" w:type="pct"/>
                  <w:vAlign w:val="center"/>
                </w:tcPr>
                <w:p w14:paraId="6C20A308">
                  <w:pPr>
                    <w:pStyle w:val="31"/>
                    <w:rPr>
                      <w:rFonts w:hint="eastAsia" w:eastAsia="宋体"/>
                      <w:color w:val="auto"/>
                      <w:lang w:eastAsia="zh-CN"/>
                    </w:rPr>
                  </w:pPr>
                  <w:r>
                    <w:rPr>
                      <w:rFonts w:hint="eastAsia"/>
                      <w:color w:val="auto"/>
                      <w:lang w:eastAsia="zh-CN"/>
                    </w:rPr>
                    <w:t>——</w:t>
                  </w:r>
                </w:p>
              </w:tc>
              <w:tc>
                <w:tcPr>
                  <w:tcW w:w="573" w:type="pct"/>
                  <w:vAlign w:val="center"/>
                </w:tcPr>
                <w:p w14:paraId="45BD06DE">
                  <w:pPr>
                    <w:pStyle w:val="31"/>
                    <w:rPr>
                      <w:rFonts w:hint="default"/>
                      <w:color w:val="auto"/>
                      <w:lang w:val="en-US" w:eastAsia="zh-CN"/>
                    </w:rPr>
                  </w:pPr>
                  <w:r>
                    <w:rPr>
                      <w:rFonts w:hint="eastAsia"/>
                      <w:color w:val="auto"/>
                      <w:lang w:val="en-US" w:eastAsia="zh-CN"/>
                    </w:rPr>
                    <w:t>/</w:t>
                  </w:r>
                </w:p>
              </w:tc>
              <w:tc>
                <w:tcPr>
                  <w:tcW w:w="623" w:type="pct"/>
                  <w:vAlign w:val="center"/>
                </w:tcPr>
                <w:p w14:paraId="4AAE6C36">
                  <w:pPr>
                    <w:pStyle w:val="31"/>
                    <w:rPr>
                      <w:rFonts w:hint="default"/>
                      <w:color w:val="auto"/>
                      <w:lang w:val="en-US" w:eastAsia="zh-CN"/>
                    </w:rPr>
                  </w:pPr>
                  <w:r>
                    <w:rPr>
                      <w:rFonts w:hint="eastAsia"/>
                      <w:color w:val="auto"/>
                      <w:lang w:val="en-US" w:eastAsia="zh-CN"/>
                    </w:rPr>
                    <w:t>/</w:t>
                  </w:r>
                </w:p>
              </w:tc>
              <w:tc>
                <w:tcPr>
                  <w:tcW w:w="1240" w:type="pct"/>
                  <w:vAlign w:val="center"/>
                </w:tcPr>
                <w:p w14:paraId="43ADF726">
                  <w:pPr>
                    <w:pStyle w:val="31"/>
                    <w:rPr>
                      <w:rFonts w:hint="eastAsia" w:eastAsia="宋体"/>
                      <w:color w:val="auto"/>
                      <w:lang w:eastAsia="zh-CN"/>
                    </w:rPr>
                  </w:pPr>
                  <w:r>
                    <w:rPr>
                      <w:rFonts w:hint="eastAsia"/>
                      <w:color w:val="auto"/>
                    </w:rPr>
                    <w:t>本项目用电来自市政供电网</w:t>
                  </w:r>
                </w:p>
              </w:tc>
            </w:tr>
            <w:tr w14:paraId="1B9B0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5F1957F7">
                  <w:pPr>
                    <w:pStyle w:val="31"/>
                    <w:rPr>
                      <w:rFonts w:hint="eastAsia" w:eastAsia="宋体"/>
                      <w:color w:val="auto"/>
                      <w:lang w:eastAsia="zh-CN"/>
                    </w:rPr>
                  </w:pPr>
                  <w:r>
                    <w:rPr>
                      <w:rFonts w:hint="eastAsia"/>
                      <w:color w:val="auto"/>
                      <w:lang w:val="en-US" w:eastAsia="zh-CN"/>
                    </w:rPr>
                    <w:t>8</w:t>
                  </w:r>
                </w:p>
              </w:tc>
              <w:tc>
                <w:tcPr>
                  <w:tcW w:w="623" w:type="pct"/>
                  <w:vAlign w:val="center"/>
                </w:tcPr>
                <w:p w14:paraId="2C2ED359">
                  <w:pPr>
                    <w:pStyle w:val="31"/>
                    <w:rPr>
                      <w:rFonts w:hint="eastAsia" w:eastAsia="宋体"/>
                      <w:color w:val="auto"/>
                      <w:lang w:eastAsia="zh-CN"/>
                    </w:rPr>
                  </w:pPr>
                  <w:r>
                    <w:rPr>
                      <w:rFonts w:hint="eastAsia"/>
                      <w:color w:val="auto"/>
                      <w:lang w:eastAsia="zh-CN"/>
                    </w:rPr>
                    <w:t>水</w:t>
                  </w:r>
                </w:p>
              </w:tc>
              <w:tc>
                <w:tcPr>
                  <w:tcW w:w="540" w:type="pct"/>
                  <w:vAlign w:val="center"/>
                </w:tcPr>
                <w:p w14:paraId="4B8F3D6F">
                  <w:pPr>
                    <w:pStyle w:val="31"/>
                    <w:rPr>
                      <w:rFonts w:hint="default" w:ascii="Times New Roman" w:hAnsi="Times New Roman" w:eastAsia="宋体"/>
                      <w:color w:val="auto"/>
                      <w:lang w:val="en-GB"/>
                    </w:rPr>
                  </w:pPr>
                  <w:r>
                    <w:rPr>
                      <w:rFonts w:ascii="Times New Roman" w:hAnsi="Times New Roman" w:eastAsia="宋体"/>
                      <w:color w:val="auto"/>
                      <w:lang w:val="en-GB"/>
                    </w:rPr>
                    <w:t>t/a</w:t>
                  </w:r>
                </w:p>
              </w:tc>
              <w:tc>
                <w:tcPr>
                  <w:tcW w:w="671" w:type="pct"/>
                  <w:vAlign w:val="center"/>
                </w:tcPr>
                <w:p w14:paraId="7D85C94D">
                  <w:pPr>
                    <w:pStyle w:val="31"/>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2262</w:t>
                  </w:r>
                </w:p>
              </w:tc>
              <w:tc>
                <w:tcPr>
                  <w:tcW w:w="436" w:type="pct"/>
                  <w:vAlign w:val="center"/>
                </w:tcPr>
                <w:p w14:paraId="05E06B97">
                  <w:pPr>
                    <w:pStyle w:val="31"/>
                    <w:rPr>
                      <w:rFonts w:hint="eastAsia" w:ascii="Times New Roman" w:hAnsi="Times New Roman" w:eastAsia="宋体"/>
                      <w:color w:val="auto"/>
                      <w:lang w:val="en-GB" w:eastAsia="zh-CN"/>
                    </w:rPr>
                  </w:pPr>
                  <w:r>
                    <w:rPr>
                      <w:rFonts w:hint="eastAsia" w:ascii="Times New Roman" w:hAnsi="Times New Roman" w:eastAsia="宋体"/>
                      <w:color w:val="auto"/>
                      <w:lang w:val="en-GB" w:eastAsia="zh-CN"/>
                    </w:rPr>
                    <w:t>液</w:t>
                  </w:r>
                </w:p>
              </w:tc>
              <w:tc>
                <w:tcPr>
                  <w:tcW w:w="573" w:type="pct"/>
                  <w:vAlign w:val="center"/>
                </w:tcPr>
                <w:p w14:paraId="16BCAB66">
                  <w:pPr>
                    <w:pStyle w:val="31"/>
                    <w:rPr>
                      <w:rFonts w:hint="default"/>
                      <w:color w:val="auto"/>
                      <w:lang w:val="en-US" w:eastAsia="zh-CN"/>
                    </w:rPr>
                  </w:pPr>
                  <w:r>
                    <w:rPr>
                      <w:rFonts w:hint="eastAsia"/>
                      <w:color w:val="auto"/>
                      <w:lang w:val="en-US" w:eastAsia="zh-CN"/>
                    </w:rPr>
                    <w:t>/</w:t>
                  </w:r>
                </w:p>
              </w:tc>
              <w:tc>
                <w:tcPr>
                  <w:tcW w:w="623" w:type="pct"/>
                  <w:vAlign w:val="center"/>
                </w:tcPr>
                <w:p w14:paraId="7960BD1A">
                  <w:pPr>
                    <w:pStyle w:val="31"/>
                    <w:rPr>
                      <w:rFonts w:hint="default"/>
                      <w:color w:val="auto"/>
                      <w:lang w:val="en-US" w:eastAsia="zh-CN"/>
                    </w:rPr>
                  </w:pPr>
                  <w:r>
                    <w:rPr>
                      <w:rFonts w:hint="eastAsia"/>
                      <w:color w:val="auto"/>
                      <w:lang w:val="en-US" w:eastAsia="zh-CN"/>
                    </w:rPr>
                    <w:t>/</w:t>
                  </w:r>
                </w:p>
              </w:tc>
              <w:tc>
                <w:tcPr>
                  <w:tcW w:w="1240" w:type="pct"/>
                  <w:vAlign w:val="center"/>
                </w:tcPr>
                <w:p w14:paraId="1859E356">
                  <w:pPr>
                    <w:pStyle w:val="31"/>
                    <w:jc w:val="left"/>
                    <w:rPr>
                      <w:rFonts w:hint="default" w:eastAsia="宋体"/>
                      <w:color w:val="auto"/>
                      <w:lang w:val="en-US" w:eastAsia="zh-CN"/>
                    </w:rPr>
                  </w:pPr>
                  <w:r>
                    <w:rPr>
                      <w:rFonts w:hint="eastAsia"/>
                      <w:color w:val="auto"/>
                      <w:lang w:eastAsia="zh-CN"/>
                    </w:rPr>
                    <w:t>由通海县纳古镇自来水管网提供</w:t>
                  </w:r>
                </w:p>
              </w:tc>
            </w:tr>
            <w:tr w14:paraId="6C79A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7A266BFD">
                  <w:pPr>
                    <w:pStyle w:val="31"/>
                    <w:rPr>
                      <w:rFonts w:hint="default"/>
                      <w:color w:val="auto"/>
                      <w:lang w:val="en-US" w:eastAsia="zh-CN"/>
                    </w:rPr>
                  </w:pPr>
                  <w:r>
                    <w:rPr>
                      <w:rFonts w:hint="eastAsia"/>
                      <w:color w:val="auto"/>
                      <w:lang w:val="en-US" w:eastAsia="zh-CN"/>
                    </w:rPr>
                    <w:t>9</w:t>
                  </w:r>
                </w:p>
              </w:tc>
              <w:tc>
                <w:tcPr>
                  <w:tcW w:w="623" w:type="pct"/>
                  <w:vAlign w:val="center"/>
                </w:tcPr>
                <w:p w14:paraId="1607CCAB">
                  <w:pPr>
                    <w:pStyle w:val="31"/>
                    <w:rPr>
                      <w:rFonts w:hint="eastAsia"/>
                      <w:color w:val="auto"/>
                      <w:lang w:eastAsia="zh-CN"/>
                    </w:rPr>
                  </w:pPr>
                  <w:r>
                    <w:rPr>
                      <w:rFonts w:hint="eastAsia"/>
                      <w:color w:val="auto"/>
                      <w:lang w:eastAsia="zh-CN"/>
                    </w:rPr>
                    <w:t>压缩空气</w:t>
                  </w:r>
                </w:p>
              </w:tc>
              <w:tc>
                <w:tcPr>
                  <w:tcW w:w="540" w:type="pct"/>
                  <w:vAlign w:val="center"/>
                </w:tcPr>
                <w:p w14:paraId="08958CC1">
                  <w:pPr>
                    <w:pStyle w:val="31"/>
                    <w:rPr>
                      <w:rFonts w:hint="default" w:eastAsia="宋体"/>
                      <w:color w:val="auto"/>
                      <w:lang w:val="en-US" w:eastAsia="zh-CN"/>
                    </w:rPr>
                  </w:pPr>
                  <w:r>
                    <w:rPr>
                      <w:rFonts w:hint="eastAsia"/>
                      <w:color w:val="auto"/>
                      <w:lang w:val="en-US" w:eastAsia="zh-CN"/>
                    </w:rPr>
                    <w:t>Nm</w:t>
                  </w:r>
                  <w:r>
                    <w:rPr>
                      <w:rFonts w:hint="eastAsia"/>
                      <w:color w:val="auto"/>
                      <w:vertAlign w:val="superscript"/>
                      <w:lang w:val="en-US" w:eastAsia="zh-CN"/>
                    </w:rPr>
                    <w:t>3</w:t>
                  </w:r>
                  <w:r>
                    <w:rPr>
                      <w:rFonts w:hint="eastAsia"/>
                      <w:color w:val="auto"/>
                      <w:lang w:val="en-US" w:eastAsia="zh-CN"/>
                    </w:rPr>
                    <w:t>/a</w:t>
                  </w:r>
                </w:p>
              </w:tc>
              <w:tc>
                <w:tcPr>
                  <w:tcW w:w="671" w:type="pct"/>
                  <w:vAlign w:val="center"/>
                </w:tcPr>
                <w:p w14:paraId="73F8B653">
                  <w:pPr>
                    <w:pStyle w:val="31"/>
                    <w:rPr>
                      <w:rFonts w:hint="eastAsia" w:eastAsia="宋体"/>
                      <w:color w:val="auto"/>
                      <w:lang w:eastAsia="zh-CN"/>
                    </w:rPr>
                  </w:pPr>
                  <w:r>
                    <w:rPr>
                      <w:rFonts w:hint="eastAsia"/>
                      <w:color w:val="auto"/>
                      <w:lang w:eastAsia="zh-CN"/>
                    </w:rPr>
                    <w:t>——</w:t>
                  </w:r>
                </w:p>
              </w:tc>
              <w:tc>
                <w:tcPr>
                  <w:tcW w:w="436" w:type="pct"/>
                  <w:vAlign w:val="center"/>
                </w:tcPr>
                <w:p w14:paraId="14562773">
                  <w:pPr>
                    <w:pStyle w:val="31"/>
                    <w:rPr>
                      <w:rFonts w:hint="eastAsia" w:eastAsia="宋体"/>
                      <w:color w:val="auto"/>
                      <w:lang w:eastAsia="zh-CN"/>
                    </w:rPr>
                  </w:pPr>
                  <w:r>
                    <w:rPr>
                      <w:rFonts w:hint="eastAsia"/>
                      <w:color w:val="auto"/>
                      <w:lang w:eastAsia="zh-CN"/>
                    </w:rPr>
                    <w:t>气</w:t>
                  </w:r>
                </w:p>
              </w:tc>
              <w:tc>
                <w:tcPr>
                  <w:tcW w:w="573" w:type="pct"/>
                  <w:vAlign w:val="center"/>
                </w:tcPr>
                <w:p w14:paraId="4EB799AF">
                  <w:pPr>
                    <w:pStyle w:val="31"/>
                    <w:rPr>
                      <w:rFonts w:hint="default"/>
                      <w:color w:val="auto"/>
                      <w:lang w:val="en-US" w:eastAsia="zh-CN"/>
                    </w:rPr>
                  </w:pPr>
                  <w:r>
                    <w:rPr>
                      <w:rFonts w:hint="eastAsia"/>
                      <w:color w:val="auto"/>
                      <w:lang w:val="en-US" w:eastAsia="zh-CN"/>
                    </w:rPr>
                    <w:t>/</w:t>
                  </w:r>
                </w:p>
              </w:tc>
              <w:tc>
                <w:tcPr>
                  <w:tcW w:w="623" w:type="pct"/>
                  <w:vAlign w:val="center"/>
                </w:tcPr>
                <w:p w14:paraId="39E0DEDC">
                  <w:pPr>
                    <w:pStyle w:val="31"/>
                    <w:rPr>
                      <w:rFonts w:hint="default"/>
                      <w:color w:val="auto"/>
                      <w:lang w:val="en-US" w:eastAsia="zh-CN"/>
                    </w:rPr>
                  </w:pPr>
                  <w:r>
                    <w:rPr>
                      <w:rFonts w:hint="eastAsia"/>
                      <w:color w:val="auto"/>
                      <w:lang w:val="en-US" w:eastAsia="zh-CN"/>
                    </w:rPr>
                    <w:t>/</w:t>
                  </w:r>
                </w:p>
              </w:tc>
              <w:tc>
                <w:tcPr>
                  <w:tcW w:w="1240" w:type="pct"/>
                  <w:vAlign w:val="center"/>
                </w:tcPr>
                <w:p w14:paraId="1F0DF5CD">
                  <w:pPr>
                    <w:pStyle w:val="31"/>
                    <w:rPr>
                      <w:rFonts w:hint="eastAsia" w:eastAsia="宋体"/>
                      <w:color w:val="auto"/>
                      <w:lang w:eastAsia="zh-CN"/>
                    </w:rPr>
                  </w:pPr>
                  <w:r>
                    <w:rPr>
                      <w:rFonts w:hint="eastAsia"/>
                      <w:color w:val="auto"/>
                      <w:lang w:eastAsia="zh-CN"/>
                    </w:rPr>
                    <w:t>装置自配压缩空气系统</w:t>
                  </w:r>
                </w:p>
              </w:tc>
            </w:tr>
          </w:tbl>
          <w:p w14:paraId="73E72846">
            <w:pPr>
              <w:ind w:left="0" w:leftChars="0" w:firstLine="0" w:firstLineChars="0"/>
              <w:rPr>
                <w:rFonts w:hint="default"/>
                <w:b/>
                <w:bCs/>
                <w:color w:val="auto"/>
                <w:lang w:val="en-US" w:eastAsia="zh-CN"/>
              </w:rPr>
            </w:pPr>
            <w:r>
              <w:rPr>
                <w:rFonts w:hint="eastAsia"/>
                <w:b/>
                <w:bCs/>
                <w:color w:val="auto"/>
                <w:lang w:val="en-US" w:eastAsia="zh-CN"/>
              </w:rPr>
              <w:t>十八、原有项目产品方案</w:t>
            </w:r>
          </w:p>
          <w:p w14:paraId="2EF72EB8">
            <w:pPr>
              <w:bidi w:val="0"/>
              <w:rPr>
                <w:rFonts w:hint="eastAsia"/>
                <w:color w:val="auto"/>
                <w:lang w:val="en-US" w:eastAsia="zh-CN"/>
              </w:rPr>
            </w:pPr>
            <w:r>
              <w:rPr>
                <w:rFonts w:hint="eastAsia"/>
                <w:color w:val="auto"/>
                <w:lang w:val="en-US" w:eastAsia="zh-CN"/>
              </w:rPr>
              <w:t>原有项目年产7万吨高频直缝焊管。</w:t>
            </w:r>
          </w:p>
          <w:p w14:paraId="2339B7A8">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表2-1</w:t>
            </w:r>
            <w:r>
              <w:rPr>
                <w:rFonts w:hint="eastAsia"/>
                <w:color w:val="auto"/>
                <w:sz w:val="24"/>
                <w:szCs w:val="24"/>
                <w:lang w:val="en-US" w:eastAsia="zh-CN"/>
              </w:rPr>
              <w:t>1</w:t>
            </w:r>
            <w:r>
              <w:rPr>
                <w:rFonts w:hint="eastAsia" w:ascii="Times New Roman" w:hAnsi="Times New Roman" w:eastAsia="宋体"/>
                <w:color w:val="auto"/>
                <w:sz w:val="24"/>
                <w:szCs w:val="24"/>
                <w:lang w:val="en-US" w:eastAsia="zh-CN"/>
              </w:rPr>
              <w:t xml:space="preserve"> 原有项目产品方案一览表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833"/>
              <w:gridCol w:w="701"/>
              <w:gridCol w:w="6256"/>
            </w:tblGrid>
            <w:tr w14:paraId="58A3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pct"/>
                  <w:vAlign w:val="center"/>
                </w:tcPr>
                <w:p w14:paraId="769C63DF">
                  <w:pPr>
                    <w:pStyle w:val="31"/>
                    <w:rPr>
                      <w:rFonts w:hint="default"/>
                      <w:color w:val="auto"/>
                    </w:rPr>
                  </w:pPr>
                  <w:r>
                    <w:rPr>
                      <w:color w:val="auto"/>
                    </w:rPr>
                    <w:t>产品名称</w:t>
                  </w:r>
                </w:p>
              </w:tc>
              <w:tc>
                <w:tcPr>
                  <w:tcW w:w="485" w:type="pct"/>
                  <w:vAlign w:val="center"/>
                </w:tcPr>
                <w:p w14:paraId="4AA05593">
                  <w:pPr>
                    <w:pStyle w:val="31"/>
                    <w:rPr>
                      <w:rFonts w:hint="eastAsia" w:eastAsia="宋体"/>
                      <w:color w:val="auto"/>
                      <w:lang w:eastAsia="zh-CN"/>
                    </w:rPr>
                  </w:pPr>
                  <w:r>
                    <w:rPr>
                      <w:rFonts w:hint="eastAsia"/>
                      <w:color w:val="auto"/>
                      <w:lang w:eastAsia="zh-CN"/>
                    </w:rPr>
                    <w:t>单位</w:t>
                  </w:r>
                </w:p>
              </w:tc>
              <w:tc>
                <w:tcPr>
                  <w:tcW w:w="408" w:type="pct"/>
                  <w:vAlign w:val="center"/>
                </w:tcPr>
                <w:p w14:paraId="1E6B79F6">
                  <w:pPr>
                    <w:pStyle w:val="31"/>
                    <w:rPr>
                      <w:rFonts w:hint="eastAsia" w:eastAsia="宋体"/>
                      <w:color w:val="auto"/>
                      <w:lang w:eastAsia="zh-CN"/>
                    </w:rPr>
                  </w:pPr>
                  <w:r>
                    <w:rPr>
                      <w:rFonts w:hint="eastAsia"/>
                      <w:color w:val="auto"/>
                      <w:lang w:eastAsia="zh-CN"/>
                    </w:rPr>
                    <w:t>数量</w:t>
                  </w:r>
                </w:p>
              </w:tc>
              <w:tc>
                <w:tcPr>
                  <w:tcW w:w="3641" w:type="pct"/>
                  <w:vAlign w:val="center"/>
                </w:tcPr>
                <w:p w14:paraId="0FB92830">
                  <w:pPr>
                    <w:pStyle w:val="31"/>
                    <w:rPr>
                      <w:rFonts w:hint="eastAsia" w:eastAsia="宋体"/>
                      <w:color w:val="auto"/>
                      <w:lang w:eastAsia="zh-CN"/>
                    </w:rPr>
                  </w:pPr>
                  <w:r>
                    <w:rPr>
                      <w:rFonts w:hint="eastAsia"/>
                      <w:color w:val="auto"/>
                      <w:lang w:eastAsia="zh-CN"/>
                    </w:rPr>
                    <w:t>规格及型号</w:t>
                  </w:r>
                </w:p>
              </w:tc>
            </w:tr>
            <w:tr w14:paraId="16AE2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pct"/>
                  <w:vAlign w:val="center"/>
                </w:tcPr>
                <w:p w14:paraId="3E6581A5">
                  <w:pPr>
                    <w:pStyle w:val="31"/>
                    <w:rPr>
                      <w:rFonts w:hint="eastAsia" w:eastAsia="宋体"/>
                      <w:color w:val="auto"/>
                      <w:lang w:eastAsia="zh-CN"/>
                    </w:rPr>
                  </w:pPr>
                  <w:r>
                    <w:rPr>
                      <w:rFonts w:hint="eastAsia"/>
                      <w:color w:val="auto"/>
                      <w:lang w:eastAsia="zh-CN"/>
                    </w:rPr>
                    <w:t>高频直缝焊管</w:t>
                  </w:r>
                </w:p>
              </w:tc>
              <w:tc>
                <w:tcPr>
                  <w:tcW w:w="485" w:type="pct"/>
                  <w:vAlign w:val="center"/>
                </w:tcPr>
                <w:p w14:paraId="533F90ED">
                  <w:pPr>
                    <w:pStyle w:val="31"/>
                    <w:rPr>
                      <w:rFonts w:hint="default" w:eastAsia="宋体"/>
                      <w:color w:val="auto"/>
                      <w:lang w:val="en-US" w:eastAsia="zh-CN"/>
                    </w:rPr>
                  </w:pPr>
                  <w:r>
                    <w:rPr>
                      <w:rFonts w:hint="eastAsia"/>
                      <w:color w:val="auto"/>
                      <w:lang w:val="en-US" w:eastAsia="zh-CN"/>
                    </w:rPr>
                    <w:t>万t/a</w:t>
                  </w:r>
                </w:p>
              </w:tc>
              <w:tc>
                <w:tcPr>
                  <w:tcW w:w="408" w:type="pct"/>
                  <w:vAlign w:val="center"/>
                </w:tcPr>
                <w:p w14:paraId="7409E67E">
                  <w:pPr>
                    <w:pStyle w:val="31"/>
                    <w:rPr>
                      <w:rFonts w:hint="default" w:eastAsia="宋体"/>
                      <w:color w:val="auto"/>
                      <w:lang w:val="en-US" w:eastAsia="zh-CN"/>
                    </w:rPr>
                  </w:pPr>
                  <w:r>
                    <w:rPr>
                      <w:rFonts w:hint="eastAsia"/>
                      <w:color w:val="auto"/>
                      <w:lang w:val="en-US" w:eastAsia="zh-CN"/>
                    </w:rPr>
                    <w:t>7</w:t>
                  </w:r>
                </w:p>
              </w:tc>
              <w:tc>
                <w:tcPr>
                  <w:tcW w:w="3641" w:type="pct"/>
                  <w:vAlign w:val="center"/>
                </w:tcPr>
                <w:p w14:paraId="32C90CEB">
                  <w:pPr>
                    <w:pStyle w:val="31"/>
                    <w:jc w:val="left"/>
                    <w:rPr>
                      <w:rFonts w:hint="default"/>
                      <w:color w:val="auto"/>
                    </w:rPr>
                  </w:pPr>
                  <w:r>
                    <w:rPr>
                      <w:rFonts w:hint="default"/>
                      <w:color w:val="auto"/>
                    </w:rPr>
                    <w:t>方管：</w:t>
                  </w:r>
                </w:p>
                <w:p w14:paraId="2EA73471">
                  <w:pPr>
                    <w:pStyle w:val="31"/>
                    <w:jc w:val="left"/>
                    <w:rPr>
                      <w:rFonts w:hint="default"/>
                      <w:color w:val="auto"/>
                    </w:rPr>
                  </w:pPr>
                  <w:r>
                    <w:rPr>
                      <w:rFonts w:hint="eastAsia"/>
                      <w:color w:val="auto"/>
                      <w:lang w:val="en-US" w:eastAsia="zh-CN"/>
                    </w:rPr>
                    <w:t>20</w:t>
                  </w:r>
                  <w:r>
                    <w:rPr>
                      <w:rFonts w:hint="default"/>
                      <w:color w:val="auto"/>
                    </w:rPr>
                    <w:t>mm×</w:t>
                  </w:r>
                  <w:r>
                    <w:rPr>
                      <w:rFonts w:hint="eastAsia"/>
                      <w:color w:val="auto"/>
                      <w:lang w:val="en-US" w:eastAsia="zh-CN"/>
                    </w:rPr>
                    <w:t>20</w:t>
                  </w:r>
                  <w:r>
                    <w:rPr>
                      <w:rFonts w:hint="default"/>
                      <w:color w:val="auto"/>
                    </w:rPr>
                    <w:t>mm、</w:t>
                  </w:r>
                  <w:r>
                    <w:rPr>
                      <w:rFonts w:hint="eastAsia"/>
                      <w:color w:val="auto"/>
                      <w:lang w:val="en-US" w:eastAsia="zh-CN"/>
                    </w:rPr>
                    <w:t>20</w:t>
                  </w:r>
                  <w:r>
                    <w:rPr>
                      <w:rFonts w:hint="default"/>
                      <w:color w:val="auto"/>
                    </w:rPr>
                    <w:t>mm×</w:t>
                  </w:r>
                  <w:r>
                    <w:rPr>
                      <w:rFonts w:hint="eastAsia"/>
                      <w:color w:val="auto"/>
                      <w:lang w:val="en-US" w:eastAsia="zh-CN"/>
                    </w:rPr>
                    <w:t>40</w:t>
                  </w:r>
                  <w:r>
                    <w:rPr>
                      <w:rFonts w:hint="default"/>
                      <w:color w:val="auto"/>
                    </w:rPr>
                    <w:t>mm、</w:t>
                  </w:r>
                  <w:r>
                    <w:rPr>
                      <w:rFonts w:hint="eastAsia"/>
                      <w:color w:val="auto"/>
                      <w:lang w:val="en-US" w:eastAsia="zh-CN"/>
                    </w:rPr>
                    <w:t>25</w:t>
                  </w:r>
                  <w:r>
                    <w:rPr>
                      <w:rFonts w:hint="default"/>
                      <w:color w:val="auto"/>
                    </w:rPr>
                    <w:t>mm×</w:t>
                  </w:r>
                  <w:r>
                    <w:rPr>
                      <w:rFonts w:hint="eastAsia"/>
                      <w:color w:val="auto"/>
                      <w:lang w:val="en-US" w:eastAsia="zh-CN"/>
                    </w:rPr>
                    <w:t>35</w:t>
                  </w:r>
                  <w:r>
                    <w:rPr>
                      <w:rFonts w:hint="default"/>
                      <w:color w:val="auto"/>
                    </w:rPr>
                    <w:t>mm、</w:t>
                  </w:r>
                  <w:r>
                    <w:rPr>
                      <w:rFonts w:hint="eastAsia"/>
                      <w:color w:val="auto"/>
                      <w:lang w:val="en-US" w:eastAsia="zh-CN"/>
                    </w:rPr>
                    <w:t>30</w:t>
                  </w:r>
                  <w:r>
                    <w:rPr>
                      <w:rFonts w:hint="default"/>
                      <w:color w:val="auto"/>
                    </w:rPr>
                    <w:t>mm×</w:t>
                  </w:r>
                  <w:r>
                    <w:rPr>
                      <w:rFonts w:hint="eastAsia"/>
                      <w:color w:val="auto"/>
                      <w:lang w:val="en-US" w:eastAsia="zh-CN"/>
                    </w:rPr>
                    <w:t>30</w:t>
                  </w:r>
                  <w:r>
                    <w:rPr>
                      <w:rFonts w:hint="default"/>
                      <w:color w:val="auto"/>
                    </w:rPr>
                    <w:t>mm、</w:t>
                  </w:r>
                </w:p>
                <w:p w14:paraId="2B0919B4">
                  <w:pPr>
                    <w:pStyle w:val="31"/>
                    <w:jc w:val="left"/>
                    <w:rPr>
                      <w:rFonts w:hint="eastAsia" w:eastAsia="宋体"/>
                      <w:color w:val="auto"/>
                      <w:lang w:val="en-US" w:eastAsia="zh-CN"/>
                    </w:rPr>
                  </w:pPr>
                  <w:r>
                    <w:rPr>
                      <w:rFonts w:hint="eastAsia"/>
                      <w:color w:val="auto"/>
                      <w:lang w:val="en-US" w:eastAsia="zh-CN"/>
                    </w:rPr>
                    <w:t>40</w:t>
                  </w:r>
                  <w:r>
                    <w:rPr>
                      <w:rFonts w:hint="default"/>
                      <w:color w:val="auto"/>
                    </w:rPr>
                    <w:t>mm×</w:t>
                  </w:r>
                  <w:r>
                    <w:rPr>
                      <w:rFonts w:hint="eastAsia"/>
                      <w:color w:val="auto"/>
                      <w:lang w:val="en-US" w:eastAsia="zh-CN"/>
                    </w:rPr>
                    <w:t>40</w:t>
                  </w:r>
                  <w:r>
                    <w:rPr>
                      <w:rFonts w:hint="default"/>
                      <w:color w:val="auto"/>
                    </w:rPr>
                    <w:t>mm、</w:t>
                  </w:r>
                  <w:r>
                    <w:rPr>
                      <w:rFonts w:hint="eastAsia"/>
                      <w:color w:val="auto"/>
                      <w:lang w:val="en-US" w:eastAsia="zh-CN"/>
                    </w:rPr>
                    <w:t>50</w:t>
                  </w:r>
                  <w:r>
                    <w:rPr>
                      <w:rFonts w:hint="default"/>
                      <w:color w:val="auto"/>
                    </w:rPr>
                    <w:t>mm×</w:t>
                  </w:r>
                  <w:r>
                    <w:rPr>
                      <w:rFonts w:hint="eastAsia"/>
                      <w:color w:val="auto"/>
                      <w:lang w:val="en-US" w:eastAsia="zh-CN"/>
                    </w:rPr>
                    <w:t>50</w:t>
                  </w:r>
                  <w:r>
                    <w:rPr>
                      <w:rFonts w:hint="default"/>
                      <w:color w:val="auto"/>
                    </w:rPr>
                    <w:t>mm</w:t>
                  </w:r>
                  <w:r>
                    <w:rPr>
                      <w:rFonts w:hint="eastAsia"/>
                      <w:color w:val="auto"/>
                      <w:lang w:eastAsia="zh-CN"/>
                    </w:rPr>
                    <w:t>、</w:t>
                  </w:r>
                  <w:r>
                    <w:rPr>
                      <w:rFonts w:hint="eastAsia"/>
                      <w:color w:val="auto"/>
                      <w:lang w:val="en-US" w:eastAsia="zh-CN"/>
                    </w:rPr>
                    <w:t>80</w:t>
                  </w:r>
                  <w:r>
                    <w:rPr>
                      <w:rFonts w:hint="default"/>
                      <w:color w:val="auto"/>
                    </w:rPr>
                    <w:t>mm×</w:t>
                  </w:r>
                  <w:r>
                    <w:rPr>
                      <w:rFonts w:hint="eastAsia"/>
                      <w:color w:val="auto"/>
                      <w:lang w:val="en-US" w:eastAsia="zh-CN"/>
                    </w:rPr>
                    <w:t>80</w:t>
                  </w:r>
                  <w:r>
                    <w:rPr>
                      <w:rFonts w:hint="default"/>
                      <w:color w:val="auto"/>
                    </w:rPr>
                    <w:t>mm、</w:t>
                  </w:r>
                  <w:r>
                    <w:rPr>
                      <w:rFonts w:hint="eastAsia"/>
                      <w:color w:val="auto"/>
                      <w:lang w:val="en-US" w:eastAsia="zh-CN"/>
                    </w:rPr>
                    <w:t>80</w:t>
                  </w:r>
                  <w:r>
                    <w:rPr>
                      <w:rFonts w:hint="default"/>
                      <w:color w:val="auto"/>
                    </w:rPr>
                    <w:t>mm×</w:t>
                  </w:r>
                  <w:r>
                    <w:rPr>
                      <w:rFonts w:hint="eastAsia"/>
                      <w:color w:val="auto"/>
                      <w:lang w:val="en-US" w:eastAsia="zh-CN"/>
                    </w:rPr>
                    <w:t>100</w:t>
                  </w:r>
                  <w:r>
                    <w:rPr>
                      <w:rFonts w:hint="default"/>
                      <w:color w:val="auto"/>
                    </w:rPr>
                    <w:t>mm、</w:t>
                  </w:r>
                  <w:r>
                    <w:rPr>
                      <w:rFonts w:hint="eastAsia"/>
                      <w:color w:val="auto"/>
                      <w:lang w:val="en-US" w:eastAsia="zh-CN"/>
                    </w:rPr>
                    <w:t>100</w:t>
                  </w:r>
                  <w:r>
                    <w:rPr>
                      <w:rFonts w:hint="default"/>
                      <w:color w:val="auto"/>
                    </w:rPr>
                    <w:t>mm×</w:t>
                  </w:r>
                  <w:r>
                    <w:rPr>
                      <w:rFonts w:hint="eastAsia"/>
                      <w:color w:val="auto"/>
                      <w:lang w:val="en-US" w:eastAsia="zh-CN"/>
                    </w:rPr>
                    <w:t>150</w:t>
                  </w:r>
                  <w:r>
                    <w:rPr>
                      <w:rFonts w:hint="default"/>
                      <w:color w:val="auto"/>
                    </w:rPr>
                    <w:t>mm、</w:t>
                  </w:r>
                  <w:r>
                    <w:rPr>
                      <w:rFonts w:hint="eastAsia"/>
                      <w:color w:val="auto"/>
                      <w:lang w:val="en-US" w:eastAsia="zh-CN"/>
                    </w:rPr>
                    <w:t>120</w:t>
                  </w:r>
                  <w:r>
                    <w:rPr>
                      <w:rFonts w:hint="default"/>
                      <w:color w:val="auto"/>
                    </w:rPr>
                    <w:t>mm×</w:t>
                  </w:r>
                  <w:r>
                    <w:rPr>
                      <w:rFonts w:hint="eastAsia"/>
                      <w:color w:val="auto"/>
                      <w:lang w:val="en-US" w:eastAsia="zh-CN"/>
                    </w:rPr>
                    <w:t>120</w:t>
                  </w:r>
                  <w:r>
                    <w:rPr>
                      <w:rFonts w:hint="default"/>
                      <w:color w:val="auto"/>
                    </w:rPr>
                    <w:t>mm</w:t>
                  </w:r>
                  <w:r>
                    <w:rPr>
                      <w:rFonts w:hint="eastAsia"/>
                      <w:color w:val="auto"/>
                      <w:lang w:eastAsia="zh-CN"/>
                    </w:rPr>
                    <w:t>、</w:t>
                  </w:r>
                  <w:r>
                    <w:rPr>
                      <w:rFonts w:hint="eastAsia"/>
                      <w:color w:val="auto"/>
                      <w:lang w:val="en-US" w:eastAsia="zh-CN"/>
                    </w:rPr>
                    <w:t>150</w:t>
                  </w:r>
                  <w:r>
                    <w:rPr>
                      <w:rFonts w:hint="default"/>
                      <w:color w:val="auto"/>
                    </w:rPr>
                    <w:t>mm×</w:t>
                  </w:r>
                  <w:r>
                    <w:rPr>
                      <w:rFonts w:hint="eastAsia"/>
                      <w:color w:val="auto"/>
                      <w:lang w:val="en-US" w:eastAsia="zh-CN"/>
                    </w:rPr>
                    <w:t>150</w:t>
                  </w:r>
                  <w:r>
                    <w:rPr>
                      <w:rFonts w:hint="default"/>
                      <w:color w:val="auto"/>
                    </w:rPr>
                    <w:t>mm</w:t>
                  </w:r>
                  <w:r>
                    <w:rPr>
                      <w:rFonts w:hint="eastAsia"/>
                      <w:color w:val="auto"/>
                      <w:lang w:eastAsia="zh-CN"/>
                    </w:rPr>
                    <w:t>；</w:t>
                  </w:r>
                </w:p>
                <w:p w14:paraId="5B95DD6C">
                  <w:pPr>
                    <w:pStyle w:val="31"/>
                    <w:jc w:val="left"/>
                    <w:rPr>
                      <w:rFonts w:hint="default"/>
                      <w:color w:val="auto"/>
                    </w:rPr>
                  </w:pPr>
                  <w:r>
                    <w:rPr>
                      <w:rFonts w:hint="default"/>
                      <w:color w:val="auto"/>
                    </w:rPr>
                    <w:t>圆管：</w:t>
                  </w:r>
                </w:p>
                <w:p w14:paraId="76E5A536">
                  <w:pPr>
                    <w:pStyle w:val="31"/>
                    <w:jc w:val="left"/>
                    <w:rPr>
                      <w:rFonts w:hint="eastAsia" w:eastAsia="宋体"/>
                      <w:color w:val="auto"/>
                      <w:lang w:eastAsia="zh-CN"/>
                    </w:rPr>
                  </w:pPr>
                  <w:r>
                    <w:rPr>
                      <w:rFonts w:hint="default"/>
                      <w:color w:val="auto"/>
                    </w:rPr>
                    <w:t>φ48mm、φ</w:t>
                  </w:r>
                  <w:r>
                    <w:rPr>
                      <w:rFonts w:hint="eastAsia"/>
                      <w:color w:val="auto"/>
                      <w:lang w:val="en-US" w:eastAsia="zh-CN"/>
                    </w:rPr>
                    <w:t>60</w:t>
                  </w:r>
                  <w:r>
                    <w:rPr>
                      <w:rFonts w:hint="default"/>
                      <w:color w:val="auto"/>
                    </w:rPr>
                    <w:t>mm、φ</w:t>
                  </w:r>
                  <w:r>
                    <w:rPr>
                      <w:rFonts w:hint="eastAsia"/>
                      <w:color w:val="auto"/>
                      <w:lang w:val="en-US" w:eastAsia="zh-CN"/>
                    </w:rPr>
                    <w:t>114</w:t>
                  </w:r>
                  <w:r>
                    <w:rPr>
                      <w:rFonts w:hint="default"/>
                      <w:color w:val="auto"/>
                    </w:rPr>
                    <w:t>mm</w:t>
                  </w:r>
                  <w:r>
                    <w:rPr>
                      <w:rFonts w:hint="eastAsia"/>
                      <w:color w:val="auto"/>
                      <w:lang w:eastAsia="zh-CN"/>
                    </w:rPr>
                    <w:t>。</w:t>
                  </w:r>
                </w:p>
              </w:tc>
            </w:tr>
          </w:tbl>
          <w:p w14:paraId="0E53CBB7">
            <w:pPr>
              <w:ind w:left="0" w:leftChars="0" w:firstLine="0" w:firstLineChars="0"/>
              <w:rPr>
                <w:rFonts w:hint="eastAsia"/>
                <w:b/>
                <w:bCs/>
                <w:color w:val="auto"/>
                <w:lang w:val="en-US" w:eastAsia="zh-CN"/>
              </w:rPr>
            </w:pPr>
            <w:r>
              <w:rPr>
                <w:rFonts w:hint="eastAsia"/>
                <w:b/>
                <w:bCs/>
                <w:color w:val="auto"/>
                <w:lang w:val="en-US" w:eastAsia="zh-CN"/>
              </w:rPr>
              <w:t>十九、原有项目生产工艺</w:t>
            </w:r>
          </w:p>
          <w:p w14:paraId="14189260">
            <w:pPr>
              <w:bidi w:val="0"/>
              <w:rPr>
                <w:rFonts w:hint="eastAsia"/>
                <w:color w:val="auto"/>
                <w:lang w:val="en-US" w:eastAsia="zh-CN"/>
              </w:rPr>
            </w:pPr>
            <w:r>
              <w:rPr>
                <w:rFonts w:hint="eastAsia"/>
                <w:color w:val="auto"/>
                <w:lang w:val="en-US" w:eastAsia="zh-CN"/>
              </w:rPr>
              <w:t>原有项目高频焊管生产工艺、原有项目冷轧带钢生产工艺流程及产污环节详见下图。</w:t>
            </w:r>
          </w:p>
          <w:p w14:paraId="3D6F9277">
            <w:pPr>
              <w:bidi w:val="0"/>
              <w:rPr>
                <w:rFonts w:hint="eastAsia"/>
                <w:color w:val="auto"/>
                <w:lang w:val="en-US" w:eastAsia="zh-CN"/>
              </w:rPr>
            </w:pPr>
            <w:r>
              <w:rPr>
                <w:rFonts w:hint="eastAsia" w:eastAsia="宋体"/>
                <w:color w:val="auto"/>
                <w:lang w:eastAsia="zh-CN"/>
              </w:rPr>
              <w:drawing>
                <wp:inline distT="0" distB="0" distL="114300" distR="114300">
                  <wp:extent cx="4992370" cy="6908165"/>
                  <wp:effectExtent l="0" t="0" r="17780" b="6985"/>
                  <wp:docPr id="7" name="F360BE8B-6686-4F3D-AEAF-501FE73E4058-5" descr="C:/Users/ASUS/AppData/Local/Temp/绘图1(39).png绘图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360BE8B-6686-4F3D-AEAF-501FE73E4058-5" descr="C:/Users/ASUS/AppData/Local/Temp/绘图1(39).png绘图1(39)"/>
                          <pic:cNvPicPr>
                            <a:picLocks noChangeAspect="1"/>
                          </pic:cNvPicPr>
                        </pic:nvPicPr>
                        <pic:blipFill>
                          <a:blip r:embed="rId21"/>
                          <a:stretch>
                            <a:fillRect/>
                          </a:stretch>
                        </pic:blipFill>
                        <pic:spPr>
                          <a:xfrm>
                            <a:off x="0" y="0"/>
                            <a:ext cx="4992370" cy="6908165"/>
                          </a:xfrm>
                          <a:prstGeom prst="rect">
                            <a:avLst/>
                          </a:prstGeom>
                        </pic:spPr>
                      </pic:pic>
                    </a:graphicData>
                  </a:graphic>
                </wp:inline>
              </w:drawing>
            </w:r>
          </w:p>
          <w:p w14:paraId="7DEF468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b/>
                <w:bCs/>
                <w:color w:val="auto"/>
                <w:lang w:val="en-US" w:eastAsia="zh-CN"/>
              </w:rPr>
            </w:pPr>
            <w:r>
              <w:rPr>
                <w:rFonts w:hint="eastAsia"/>
                <w:b/>
                <w:bCs/>
                <w:color w:val="auto"/>
                <w:lang w:val="en-US" w:eastAsia="zh-CN"/>
              </w:rPr>
              <w:t>图2-5  原有项目高频直缝焊管生产工艺及产污节点图</w:t>
            </w:r>
          </w:p>
          <w:p w14:paraId="6D943004">
            <w:pPr>
              <w:bidi w:val="0"/>
              <w:rPr>
                <w:rFonts w:hint="eastAsia"/>
                <w:color w:val="auto"/>
                <w:lang w:val="en-US" w:eastAsia="zh-CN"/>
              </w:rPr>
            </w:pPr>
          </w:p>
          <w:p w14:paraId="5AA92FBC">
            <w:pPr>
              <w:bidi w:val="0"/>
              <w:ind w:left="0" w:leftChars="0" w:firstLine="0" w:firstLineChars="0"/>
              <w:rPr>
                <w:rFonts w:hint="eastAsia"/>
                <w:b/>
                <w:bCs/>
                <w:color w:val="auto"/>
                <w:lang w:val="en-US" w:eastAsia="zh-CN"/>
              </w:rPr>
            </w:pPr>
            <w:r>
              <w:rPr>
                <w:rFonts w:hint="eastAsia"/>
                <w:b/>
                <w:bCs/>
                <w:color w:val="auto"/>
                <w:lang w:val="en-US" w:eastAsia="zh-CN"/>
              </w:rPr>
              <w:t>二十、原有项目污染物排放情况</w:t>
            </w:r>
          </w:p>
          <w:p w14:paraId="46D164B9">
            <w:pPr>
              <w:bidi w:val="0"/>
              <w:rPr>
                <w:rFonts w:hint="eastAsia"/>
                <w:b/>
                <w:bCs/>
                <w:color w:val="auto"/>
                <w:lang w:val="en-US" w:eastAsia="zh-CN"/>
              </w:rPr>
            </w:pPr>
            <w:r>
              <w:rPr>
                <w:rFonts w:hint="eastAsia"/>
                <w:b/>
                <w:bCs/>
                <w:color w:val="auto"/>
                <w:lang w:val="en-US" w:eastAsia="zh-CN"/>
              </w:rPr>
              <w:t>1、废气</w:t>
            </w:r>
          </w:p>
          <w:p w14:paraId="607E8A64">
            <w:pPr>
              <w:bidi w:val="0"/>
              <w:rPr>
                <w:rFonts w:hint="eastAsia"/>
                <w:color w:val="auto"/>
                <w:lang w:val="en-US" w:eastAsia="zh-CN"/>
              </w:rPr>
            </w:pPr>
            <w:r>
              <w:rPr>
                <w:rFonts w:hint="eastAsia"/>
                <w:color w:val="auto"/>
                <w:lang w:val="en-US" w:eastAsia="zh-CN"/>
              </w:rPr>
              <w:t>原项目废气主要为焊管烟气和切割粉尘，均为无组织排放。</w:t>
            </w:r>
          </w:p>
          <w:p w14:paraId="542A539D">
            <w:pPr>
              <w:bidi w:val="0"/>
              <w:rPr>
                <w:rFonts w:hint="eastAsia"/>
                <w:color w:val="auto"/>
                <w:lang w:val="en-US" w:eastAsia="zh-CN"/>
              </w:rPr>
            </w:pPr>
            <w:r>
              <w:rPr>
                <w:rFonts w:hint="eastAsia"/>
                <w:color w:val="auto"/>
                <w:lang w:val="en-US" w:eastAsia="zh-CN"/>
              </w:rPr>
              <w:t>（1）焊管烟气</w:t>
            </w:r>
          </w:p>
          <w:p w14:paraId="7470FEEC">
            <w:pPr>
              <w:bidi w:val="0"/>
              <w:rPr>
                <w:rFonts w:hint="default"/>
                <w:color w:val="auto"/>
                <w:lang w:val="en-US" w:eastAsia="zh-CN"/>
              </w:rPr>
            </w:pPr>
            <w:r>
              <w:rPr>
                <w:rFonts w:hint="eastAsia"/>
                <w:color w:val="auto"/>
                <w:lang w:val="en-US" w:eastAsia="zh-CN"/>
              </w:rPr>
              <w:t>项目高频直缝焊管焊接时会产生焊接粉尘，无组织排放，设备布设于封闭的车间内，产生的粉尘部分在车间内自然沉降，部分随车间不严密之处逸散。根据《排放源统计调查产排污核实方法和系数手册》中《3130钢压延加工行业系数手册》：“焊接钢管采用高频焊法颗粒物产生系数为0.011kg/t钢材”，原有项目镀锌钢带使用量为82000t/a，故颗粒物产生量为0.902t/a，0.376kg/h，此部分颗粒物在车间内呈无组织排放。</w:t>
            </w:r>
          </w:p>
          <w:p w14:paraId="20C19ABC">
            <w:pPr>
              <w:bidi w:val="0"/>
              <w:rPr>
                <w:rFonts w:hint="eastAsia"/>
                <w:color w:val="auto"/>
                <w:lang w:val="en-US" w:eastAsia="zh-CN"/>
              </w:rPr>
            </w:pPr>
            <w:r>
              <w:rPr>
                <w:rFonts w:hint="eastAsia"/>
                <w:color w:val="auto"/>
                <w:lang w:val="en-US" w:eastAsia="zh-CN"/>
              </w:rPr>
              <w:t>（2）切割粉尘</w:t>
            </w:r>
          </w:p>
          <w:p w14:paraId="5FF6F3A6">
            <w:pPr>
              <w:bidi w:val="0"/>
              <w:rPr>
                <w:rFonts w:hint="eastAsia"/>
                <w:color w:val="auto"/>
                <w:lang w:val="en-US" w:eastAsia="zh-CN"/>
              </w:rPr>
            </w:pPr>
            <w:r>
              <w:rPr>
                <w:rFonts w:hint="eastAsia"/>
                <w:color w:val="auto"/>
                <w:lang w:val="en-US" w:eastAsia="zh-CN"/>
              </w:rPr>
              <w:t>项目焊管焊接后切割至所需长度（6m左右），切割过程会产生切割粉尘，项目切割工序颗粒物参照《排放源统计调查产排污核实方法和系数手册》中《3130钢压延加工行业系数手册》：“焊接钢管采用高频焊法颗粒物产生系数为0.011kg/t钢材。”该产生系数为纵焊接，而原有项目切割为横切，焊管长度一般为6m，本项目最大管周长为0.6m，故比例为10:1，故项目切割粉尘产生系数按0.0011kg/t钢材，切割粉尘产生量为0.09t/a，0.038kg/h，此部分颗粒物在车间内呈无组织排放。</w:t>
            </w:r>
          </w:p>
          <w:p w14:paraId="5731090D">
            <w:pPr>
              <w:bidi w:val="0"/>
              <w:rPr>
                <w:rFonts w:hint="eastAsia"/>
                <w:b/>
                <w:bCs/>
                <w:color w:val="auto"/>
                <w:lang w:val="en-US" w:eastAsia="zh-CN"/>
              </w:rPr>
            </w:pPr>
            <w:r>
              <w:rPr>
                <w:rFonts w:hint="eastAsia"/>
                <w:b/>
                <w:bCs/>
                <w:color w:val="auto"/>
                <w:lang w:val="en-US" w:eastAsia="zh-CN"/>
              </w:rPr>
              <w:t>2、废水</w:t>
            </w:r>
          </w:p>
          <w:p w14:paraId="321F2DB5">
            <w:pPr>
              <w:bidi w:val="0"/>
              <w:rPr>
                <w:rFonts w:hint="default"/>
                <w:b w:val="0"/>
                <w:bCs w:val="0"/>
                <w:color w:val="auto"/>
                <w:lang w:val="en-US" w:eastAsia="zh-CN"/>
              </w:rPr>
            </w:pPr>
            <w:r>
              <w:rPr>
                <w:rFonts w:hint="default"/>
                <w:b w:val="0"/>
                <w:bCs w:val="0"/>
                <w:color w:val="auto"/>
                <w:lang w:val="en-US" w:eastAsia="zh-CN"/>
              </w:rPr>
              <w:t>项目生产废水只有冷却水，循环使用不外排。生活污水经化粪池</w:t>
            </w:r>
            <w:r>
              <w:rPr>
                <w:rFonts w:hint="eastAsia"/>
                <w:b w:val="0"/>
                <w:bCs w:val="0"/>
                <w:color w:val="auto"/>
                <w:lang w:val="en-US" w:eastAsia="zh-CN"/>
              </w:rPr>
              <w:t>预</w:t>
            </w:r>
            <w:r>
              <w:rPr>
                <w:rFonts w:hint="default"/>
                <w:b w:val="0"/>
                <w:bCs w:val="0"/>
                <w:color w:val="auto"/>
                <w:lang w:val="en-US" w:eastAsia="zh-CN"/>
              </w:rPr>
              <w:t>处理</w:t>
            </w:r>
            <w:r>
              <w:rPr>
                <w:rFonts w:hint="eastAsia"/>
                <w:b w:val="0"/>
                <w:bCs w:val="0"/>
                <w:color w:val="auto"/>
                <w:lang w:val="en-US" w:eastAsia="zh-CN"/>
              </w:rPr>
              <w:t>后回用于周边农田施肥</w:t>
            </w:r>
            <w:r>
              <w:rPr>
                <w:rFonts w:hint="default"/>
                <w:b w:val="0"/>
                <w:bCs w:val="0"/>
                <w:color w:val="auto"/>
                <w:lang w:val="en-US" w:eastAsia="zh-CN"/>
              </w:rPr>
              <w:t>。根据建设单位统计，</w:t>
            </w:r>
            <w:r>
              <w:rPr>
                <w:rFonts w:hint="eastAsia"/>
                <w:b w:val="0"/>
                <w:bCs w:val="0"/>
                <w:color w:val="auto"/>
                <w:lang w:val="en-US" w:eastAsia="zh-CN"/>
              </w:rPr>
              <w:t>原有</w:t>
            </w:r>
            <w:r>
              <w:rPr>
                <w:rFonts w:hint="default"/>
                <w:b w:val="0"/>
                <w:bCs w:val="0"/>
                <w:color w:val="auto"/>
                <w:lang w:val="en-US" w:eastAsia="zh-CN"/>
              </w:rPr>
              <w:t>生活用水量为</w:t>
            </w:r>
            <w:r>
              <w:rPr>
                <w:rFonts w:hint="eastAsia"/>
                <w:b w:val="0"/>
                <w:bCs w:val="0"/>
                <w:color w:val="auto"/>
                <w:lang w:val="en-US" w:eastAsia="zh-CN"/>
              </w:rPr>
              <w:t>3.8</w:t>
            </w:r>
            <w:r>
              <w:rPr>
                <w:rFonts w:hint="default"/>
                <w:b w:val="0"/>
                <w:bCs w:val="0"/>
                <w:color w:val="auto"/>
                <w:lang w:val="en-US" w:eastAsia="zh-CN"/>
              </w:rPr>
              <w:t>m</w:t>
            </w:r>
            <w:r>
              <w:rPr>
                <w:rFonts w:hint="default"/>
                <w:b w:val="0"/>
                <w:bCs w:val="0"/>
                <w:color w:val="auto"/>
                <w:vertAlign w:val="superscript"/>
                <w:lang w:val="en-US" w:eastAsia="zh-CN"/>
              </w:rPr>
              <w:t>3</w:t>
            </w:r>
            <w:r>
              <w:rPr>
                <w:rFonts w:hint="default"/>
                <w:b w:val="0"/>
                <w:bCs w:val="0"/>
                <w:color w:val="auto"/>
                <w:lang w:val="en-US" w:eastAsia="zh-CN"/>
              </w:rPr>
              <w:t>/d，</w:t>
            </w:r>
            <w:r>
              <w:rPr>
                <w:rFonts w:hint="eastAsia"/>
                <w:b w:val="0"/>
                <w:bCs w:val="0"/>
                <w:color w:val="auto"/>
                <w:lang w:val="en-US" w:eastAsia="zh-CN"/>
              </w:rPr>
              <w:t>1140</w:t>
            </w:r>
            <w:r>
              <w:rPr>
                <w:rFonts w:hint="default"/>
                <w:b w:val="0"/>
                <w:bCs w:val="0"/>
                <w:color w:val="auto"/>
                <w:lang w:val="en-US" w:eastAsia="zh-CN"/>
              </w:rPr>
              <w:t>m</w:t>
            </w:r>
            <w:r>
              <w:rPr>
                <w:rFonts w:hint="default"/>
                <w:b w:val="0"/>
                <w:bCs w:val="0"/>
                <w:color w:val="auto"/>
                <w:vertAlign w:val="superscript"/>
                <w:lang w:val="en-US" w:eastAsia="zh-CN"/>
              </w:rPr>
              <w:t>3</w:t>
            </w:r>
            <w:r>
              <w:rPr>
                <w:rFonts w:hint="default"/>
                <w:b w:val="0"/>
                <w:bCs w:val="0"/>
                <w:color w:val="auto"/>
                <w:lang w:val="en-US" w:eastAsia="zh-CN"/>
              </w:rPr>
              <w:t>/a，产污系数按0.8计，则生活污水产生量为</w:t>
            </w:r>
            <w:r>
              <w:rPr>
                <w:rFonts w:hint="eastAsia"/>
                <w:b w:val="0"/>
                <w:bCs w:val="0"/>
                <w:color w:val="auto"/>
                <w:lang w:val="en-US" w:eastAsia="zh-CN"/>
              </w:rPr>
              <w:t>3.04</w:t>
            </w:r>
            <w:r>
              <w:rPr>
                <w:rFonts w:hint="default"/>
                <w:b w:val="0"/>
                <w:bCs w:val="0"/>
                <w:color w:val="auto"/>
                <w:lang w:val="en-US" w:eastAsia="zh-CN"/>
              </w:rPr>
              <w:t>m</w:t>
            </w:r>
            <w:r>
              <w:rPr>
                <w:rFonts w:hint="default"/>
                <w:b w:val="0"/>
                <w:bCs w:val="0"/>
                <w:color w:val="auto"/>
                <w:vertAlign w:val="superscript"/>
                <w:lang w:val="en-US" w:eastAsia="zh-CN"/>
              </w:rPr>
              <w:t>3</w:t>
            </w:r>
            <w:r>
              <w:rPr>
                <w:rFonts w:hint="default"/>
                <w:b w:val="0"/>
                <w:bCs w:val="0"/>
                <w:color w:val="auto"/>
                <w:lang w:val="en-US" w:eastAsia="zh-CN"/>
              </w:rPr>
              <w:t>/d，</w:t>
            </w:r>
            <w:r>
              <w:rPr>
                <w:rFonts w:hint="eastAsia"/>
                <w:b w:val="0"/>
                <w:bCs w:val="0"/>
                <w:color w:val="auto"/>
                <w:lang w:val="en-US" w:eastAsia="zh-CN"/>
              </w:rPr>
              <w:t>912</w:t>
            </w:r>
            <w:r>
              <w:rPr>
                <w:rFonts w:hint="default"/>
                <w:b w:val="0"/>
                <w:bCs w:val="0"/>
                <w:color w:val="auto"/>
                <w:lang w:val="en-US" w:eastAsia="zh-CN"/>
              </w:rPr>
              <w:t>m</w:t>
            </w:r>
            <w:r>
              <w:rPr>
                <w:rFonts w:hint="default"/>
                <w:b w:val="0"/>
                <w:bCs w:val="0"/>
                <w:color w:val="auto"/>
                <w:vertAlign w:val="superscript"/>
                <w:lang w:val="en-US" w:eastAsia="zh-CN"/>
              </w:rPr>
              <w:t>3</w:t>
            </w:r>
            <w:r>
              <w:rPr>
                <w:rFonts w:hint="default"/>
                <w:b w:val="0"/>
                <w:bCs w:val="0"/>
                <w:color w:val="auto"/>
                <w:lang w:val="en-US" w:eastAsia="zh-CN"/>
              </w:rPr>
              <w:t>/a。</w:t>
            </w:r>
          </w:p>
          <w:p w14:paraId="1D087E99">
            <w:pPr>
              <w:bidi w:val="0"/>
              <w:rPr>
                <w:rFonts w:hint="eastAsia"/>
                <w:b/>
                <w:bCs/>
                <w:color w:val="auto"/>
                <w:lang w:val="en-US" w:eastAsia="zh-CN"/>
              </w:rPr>
            </w:pPr>
            <w:r>
              <w:rPr>
                <w:rFonts w:hint="eastAsia"/>
                <w:b/>
                <w:bCs/>
                <w:color w:val="auto"/>
                <w:lang w:val="en-US" w:eastAsia="zh-CN"/>
              </w:rPr>
              <w:t>3、噪声</w:t>
            </w:r>
          </w:p>
          <w:p w14:paraId="2A3AA528">
            <w:pPr>
              <w:bidi w:val="0"/>
              <w:rPr>
                <w:rFonts w:hint="eastAsia"/>
                <w:b w:val="0"/>
                <w:bCs w:val="0"/>
                <w:color w:val="auto"/>
                <w:lang w:val="en-US" w:eastAsia="zh-CN"/>
              </w:rPr>
            </w:pPr>
            <w:r>
              <w:rPr>
                <w:rFonts w:hint="eastAsia"/>
                <w:b w:val="0"/>
                <w:bCs w:val="0"/>
                <w:color w:val="auto"/>
                <w:lang w:val="en-US" w:eastAsia="zh-CN"/>
              </w:rPr>
              <w:t>现有项目噪声主要来自开卷机、高频焊管机等，经过减震垫降噪、距离衰减等措施处理。</w:t>
            </w:r>
          </w:p>
          <w:p w14:paraId="4BEB4EDF">
            <w:pPr>
              <w:bidi w:val="0"/>
              <w:rPr>
                <w:rFonts w:hint="eastAsia"/>
                <w:b/>
                <w:bCs/>
                <w:color w:val="auto"/>
                <w:lang w:val="en-US" w:eastAsia="zh-CN"/>
              </w:rPr>
            </w:pPr>
            <w:r>
              <w:rPr>
                <w:rFonts w:hint="eastAsia"/>
                <w:b/>
                <w:bCs/>
                <w:color w:val="auto"/>
                <w:lang w:val="en-US" w:eastAsia="zh-CN"/>
              </w:rPr>
              <w:t>4、固废</w:t>
            </w:r>
          </w:p>
          <w:p w14:paraId="116CEDC3">
            <w:pPr>
              <w:bidi w:val="0"/>
              <w:rPr>
                <w:rFonts w:hint="eastAsia"/>
                <w:b/>
                <w:bCs/>
                <w:color w:val="auto"/>
                <w:lang w:val="en-US" w:eastAsia="zh-CN"/>
              </w:rPr>
            </w:pPr>
            <w:r>
              <w:rPr>
                <w:rFonts w:hint="eastAsia"/>
                <w:b/>
                <w:bCs/>
                <w:color w:val="auto"/>
                <w:lang w:val="en-US" w:eastAsia="zh-CN"/>
              </w:rPr>
              <w:t>（1）废钢及边角料</w:t>
            </w:r>
          </w:p>
          <w:p w14:paraId="2533E3CE">
            <w:pPr>
              <w:bidi w:val="0"/>
              <w:rPr>
                <w:rFonts w:hint="default"/>
                <w:b w:val="0"/>
                <w:bCs w:val="0"/>
                <w:color w:val="auto"/>
                <w:lang w:val="en-US" w:eastAsia="zh-CN"/>
              </w:rPr>
            </w:pPr>
            <w:r>
              <w:rPr>
                <w:rFonts w:hint="default"/>
                <w:b w:val="0"/>
                <w:bCs w:val="0"/>
                <w:color w:val="auto"/>
                <w:lang w:val="en-US" w:eastAsia="zh-CN"/>
              </w:rPr>
              <w:t>原料检验过程中会有不合格的钢带，废钢带和加工过程中</w:t>
            </w:r>
            <w:r>
              <w:rPr>
                <w:rFonts w:hint="eastAsia"/>
                <w:b w:val="0"/>
                <w:bCs w:val="0"/>
                <w:color w:val="auto"/>
                <w:lang w:val="en-US" w:eastAsia="zh-CN"/>
              </w:rPr>
              <w:t>废边角料及残次品产生量约为312.608t/a，</w:t>
            </w:r>
            <w:r>
              <w:rPr>
                <w:rFonts w:hint="default"/>
                <w:b w:val="0"/>
                <w:bCs w:val="0"/>
                <w:color w:val="auto"/>
                <w:lang w:val="en-US" w:eastAsia="zh-CN"/>
              </w:rPr>
              <w:t>经收集后外售给钢铁厂作为生产原料。</w:t>
            </w:r>
          </w:p>
          <w:p w14:paraId="13B90296">
            <w:pPr>
              <w:bidi w:val="0"/>
              <w:rPr>
                <w:rFonts w:hint="default"/>
                <w:b/>
                <w:bCs/>
                <w:color w:val="auto"/>
                <w:lang w:val="en-US" w:eastAsia="zh-CN"/>
              </w:rPr>
            </w:pPr>
            <w:r>
              <w:rPr>
                <w:rFonts w:hint="eastAsia"/>
                <w:b/>
                <w:bCs/>
                <w:color w:val="auto"/>
                <w:lang w:val="en-US" w:eastAsia="zh-CN"/>
              </w:rPr>
              <w:t>（2）焊渣</w:t>
            </w:r>
          </w:p>
          <w:p w14:paraId="171169F7">
            <w:pPr>
              <w:bidi w:val="0"/>
              <w:rPr>
                <w:rFonts w:hint="default"/>
                <w:b w:val="0"/>
                <w:bCs w:val="0"/>
                <w:color w:val="auto"/>
                <w:lang w:val="en-US" w:eastAsia="zh-CN"/>
              </w:rPr>
            </w:pPr>
            <w:r>
              <w:rPr>
                <w:rFonts w:hint="default"/>
                <w:b w:val="0"/>
                <w:bCs w:val="0"/>
                <w:color w:val="auto"/>
                <w:lang w:val="en-US" w:eastAsia="zh-CN"/>
              </w:rPr>
              <w:t>项目焊接的过程中会产生一定的焊渣以及刮出的焊疤，</w:t>
            </w:r>
            <w:r>
              <w:rPr>
                <w:rFonts w:hint="eastAsia"/>
                <w:b w:val="0"/>
                <w:bCs w:val="0"/>
                <w:color w:val="auto"/>
                <w:lang w:val="en-US" w:eastAsia="zh-CN"/>
              </w:rPr>
              <w:t>产生量约为35t/a，经收集后定期外售给废旧物资回收单位。</w:t>
            </w:r>
          </w:p>
          <w:p w14:paraId="10BCFFB1">
            <w:pPr>
              <w:bidi w:val="0"/>
              <w:rPr>
                <w:rFonts w:hint="default"/>
                <w:b/>
                <w:bCs/>
                <w:color w:val="auto"/>
                <w:lang w:val="en-US" w:eastAsia="zh-CN"/>
              </w:rPr>
            </w:pPr>
            <w:r>
              <w:rPr>
                <w:rFonts w:hint="eastAsia"/>
                <w:b/>
                <w:bCs/>
                <w:color w:val="auto"/>
                <w:lang w:val="en-US" w:eastAsia="zh-CN"/>
              </w:rPr>
              <w:t>（3）循环水池沉渣</w:t>
            </w:r>
          </w:p>
          <w:p w14:paraId="276D3E6E">
            <w:pPr>
              <w:bidi w:val="0"/>
              <w:rPr>
                <w:rFonts w:hint="default"/>
                <w:b w:val="0"/>
                <w:bCs w:val="0"/>
                <w:color w:val="auto"/>
                <w:lang w:val="en-US" w:eastAsia="zh-CN"/>
              </w:rPr>
            </w:pPr>
            <w:r>
              <w:rPr>
                <w:rFonts w:hint="default"/>
                <w:b w:val="0"/>
                <w:bCs w:val="0"/>
                <w:color w:val="auto"/>
                <w:lang w:val="en-US" w:eastAsia="zh-CN"/>
              </w:rPr>
              <w:t>项目高频焊接过程中需用水冷却焊接的焊管，冷却水与物料直接接触，循环冷却池有少量的金属渣产生，</w:t>
            </w:r>
            <w:r>
              <w:rPr>
                <w:rFonts w:hint="eastAsia"/>
                <w:b w:val="0"/>
                <w:bCs w:val="0"/>
                <w:color w:val="auto"/>
                <w:lang w:val="en-US" w:eastAsia="zh-CN"/>
              </w:rPr>
              <w:t>产生量约为7t/a，经收集后定期外售给废旧物资回收单位。</w:t>
            </w:r>
          </w:p>
          <w:p w14:paraId="2FD1B906">
            <w:pPr>
              <w:bidi w:val="0"/>
              <w:rPr>
                <w:rFonts w:hint="eastAsia"/>
                <w:b/>
                <w:bCs/>
                <w:color w:val="auto"/>
                <w:lang w:val="en-US" w:eastAsia="zh-CN"/>
              </w:rPr>
            </w:pPr>
            <w:r>
              <w:rPr>
                <w:rFonts w:hint="eastAsia"/>
                <w:b/>
                <w:bCs/>
                <w:color w:val="auto"/>
                <w:lang w:val="en-US" w:eastAsia="zh-CN"/>
              </w:rPr>
              <w:t>（4）生活垃圾</w:t>
            </w:r>
          </w:p>
          <w:p w14:paraId="146352E1">
            <w:pPr>
              <w:bidi w:val="0"/>
              <w:rPr>
                <w:rFonts w:hint="eastAsia"/>
                <w:b w:val="0"/>
                <w:bCs w:val="0"/>
                <w:color w:val="auto"/>
                <w:lang w:val="en-US" w:eastAsia="zh-CN"/>
              </w:rPr>
            </w:pPr>
            <w:r>
              <w:rPr>
                <w:rFonts w:hint="eastAsia"/>
                <w:b w:val="0"/>
                <w:bCs w:val="0"/>
                <w:color w:val="auto"/>
                <w:lang w:val="en-US" w:eastAsia="zh-CN"/>
              </w:rPr>
              <w:t>原项目产生的生活垃圾量约为0.057t/d，17.1t/a，经垃圾桶收集后统一由纳古镇环卫部门清运。</w:t>
            </w:r>
          </w:p>
          <w:p w14:paraId="0FE5F300">
            <w:pPr>
              <w:bidi w:val="0"/>
              <w:rPr>
                <w:rFonts w:hint="eastAsia"/>
                <w:b/>
                <w:bCs/>
                <w:color w:val="auto"/>
                <w:lang w:val="en-US" w:eastAsia="zh-CN"/>
              </w:rPr>
            </w:pPr>
            <w:r>
              <w:rPr>
                <w:rFonts w:hint="eastAsia"/>
                <w:b/>
                <w:bCs/>
                <w:color w:val="auto"/>
                <w:lang w:val="en-US" w:eastAsia="zh-CN"/>
              </w:rPr>
              <w:t>（5）化粪池污泥</w:t>
            </w:r>
          </w:p>
          <w:p w14:paraId="6B0D4206">
            <w:pPr>
              <w:bidi w:val="0"/>
              <w:rPr>
                <w:rFonts w:hint="eastAsia"/>
                <w:b w:val="0"/>
                <w:bCs w:val="0"/>
                <w:color w:val="auto"/>
                <w:lang w:val="en-US" w:eastAsia="zh-CN"/>
              </w:rPr>
            </w:pPr>
            <w:r>
              <w:rPr>
                <w:rFonts w:hint="eastAsia"/>
                <w:b w:val="0"/>
                <w:bCs w:val="0"/>
                <w:color w:val="auto"/>
                <w:lang w:val="en-US" w:eastAsia="zh-CN"/>
              </w:rPr>
              <w:t>原有项目化粪池污泥产生量约为0.417t/a，委托周边村民清掏后用作农田施肥，不外排。</w:t>
            </w:r>
          </w:p>
          <w:p w14:paraId="6D5F51E0">
            <w:pPr>
              <w:bidi w:val="0"/>
              <w:rPr>
                <w:rFonts w:hint="default"/>
                <w:b/>
                <w:bCs/>
                <w:color w:val="auto"/>
                <w:lang w:val="en-US" w:eastAsia="zh-CN"/>
              </w:rPr>
            </w:pPr>
            <w:r>
              <w:rPr>
                <w:rFonts w:hint="eastAsia"/>
                <w:b/>
                <w:bCs/>
                <w:color w:val="auto"/>
                <w:lang w:val="en-US" w:eastAsia="zh-CN"/>
              </w:rPr>
              <w:t>（6）废液压油、废液压油桶</w:t>
            </w:r>
          </w:p>
          <w:p w14:paraId="57583155">
            <w:pPr>
              <w:bidi w:val="0"/>
              <w:rPr>
                <w:rFonts w:hint="eastAsia"/>
                <w:b w:val="0"/>
                <w:bCs w:val="0"/>
                <w:color w:val="auto"/>
                <w:lang w:val="en-US" w:eastAsia="zh-CN"/>
              </w:rPr>
            </w:pPr>
            <w:r>
              <w:rPr>
                <w:rFonts w:hint="eastAsia"/>
                <w:b w:val="0"/>
                <w:bCs w:val="0"/>
                <w:color w:val="auto"/>
                <w:lang w:val="en-US" w:eastAsia="zh-CN"/>
              </w:rPr>
              <w:t>项目设备维护保养产生的废液压油、废机油现状定期由供货厂家自行带走，废液压油桶在厂区随意摆放，废液压油产生量为0.35t/a、废机油产生量为0.07t/a、废液压油桶产生量为0.14t/a。设备维护检修产生含油废抹布并入生活垃圾，定期由环卫部门清运处置。</w:t>
            </w:r>
          </w:p>
          <w:p w14:paraId="027A355C">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表2-12  原有项目污染物排放情况</w:t>
            </w:r>
          </w:p>
          <w:tbl>
            <w:tblPr>
              <w:tblStyle w:val="22"/>
              <w:tblW w:w="4997"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1506"/>
              <w:gridCol w:w="1233"/>
              <w:gridCol w:w="1371"/>
              <w:gridCol w:w="3261"/>
            </w:tblGrid>
            <w:tr w14:paraId="48A718E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14:paraId="7DF174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r>
                    <w:rPr>
                      <w:rFonts w:hint="eastAsia"/>
                      <w:b/>
                      <w:bCs/>
                      <w:color w:val="auto"/>
                      <w:sz w:val="21"/>
                      <w:szCs w:val="21"/>
                    </w:rPr>
                    <w:t>主要项目</w:t>
                  </w:r>
                </w:p>
              </w:tc>
              <w:tc>
                <w:tcPr>
                  <w:tcW w:w="1506" w:type="dxa"/>
                  <w:tcBorders>
                    <w:top w:val="single" w:color="000000" w:sz="4" w:space="0"/>
                    <w:left w:val="single" w:color="000000" w:sz="4" w:space="0"/>
                    <w:bottom w:val="single" w:color="000000" w:sz="4" w:space="0"/>
                    <w:right w:val="single" w:color="000000" w:sz="4" w:space="0"/>
                  </w:tcBorders>
                  <w:noWrap w:val="0"/>
                  <w:vAlign w:val="center"/>
                </w:tcPr>
                <w:p w14:paraId="6C7FA8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r>
                    <w:rPr>
                      <w:rFonts w:hint="eastAsia"/>
                      <w:b/>
                      <w:bCs/>
                      <w:color w:val="auto"/>
                      <w:sz w:val="21"/>
                      <w:szCs w:val="21"/>
                    </w:rPr>
                    <w:t>污染物</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14:paraId="37F7E4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r>
                    <w:rPr>
                      <w:rFonts w:hint="eastAsia"/>
                      <w:b/>
                      <w:bCs/>
                      <w:color w:val="auto"/>
                      <w:sz w:val="21"/>
                      <w:szCs w:val="21"/>
                    </w:rPr>
                    <w:t>产生量</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14:paraId="095C7E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r>
                    <w:rPr>
                      <w:rFonts w:hint="eastAsia"/>
                      <w:b/>
                      <w:bCs/>
                      <w:color w:val="auto"/>
                      <w:sz w:val="21"/>
                      <w:szCs w:val="21"/>
                    </w:rPr>
                    <w:t>排放量</w:t>
                  </w:r>
                </w:p>
              </w:tc>
              <w:tc>
                <w:tcPr>
                  <w:tcW w:w="3261" w:type="dxa"/>
                  <w:tcBorders>
                    <w:top w:val="single" w:color="000000" w:sz="4" w:space="0"/>
                    <w:left w:val="single" w:color="000000" w:sz="4" w:space="0"/>
                    <w:bottom w:val="single" w:color="000000" w:sz="4" w:space="0"/>
                    <w:right w:val="single" w:color="000000" w:sz="4" w:space="0"/>
                  </w:tcBorders>
                  <w:noWrap w:val="0"/>
                  <w:vAlign w:val="center"/>
                </w:tcPr>
                <w:p w14:paraId="3B8A48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auto"/>
                      <w:sz w:val="21"/>
                      <w:szCs w:val="21"/>
                    </w:rPr>
                  </w:pPr>
                  <w:r>
                    <w:rPr>
                      <w:rFonts w:hint="eastAsia"/>
                      <w:b/>
                      <w:bCs/>
                      <w:color w:val="auto"/>
                      <w:sz w:val="21"/>
                      <w:szCs w:val="21"/>
                    </w:rPr>
                    <w:t>备注</w:t>
                  </w:r>
                </w:p>
              </w:tc>
            </w:tr>
            <w:tr w14:paraId="623422D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14:paraId="4D97DF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废气</w:t>
                  </w:r>
                </w:p>
              </w:tc>
              <w:tc>
                <w:tcPr>
                  <w:tcW w:w="1506" w:type="dxa"/>
                  <w:tcBorders>
                    <w:top w:val="single" w:color="000000" w:sz="4" w:space="0"/>
                    <w:left w:val="single" w:color="000000" w:sz="4" w:space="0"/>
                    <w:bottom w:val="single" w:color="000000" w:sz="4" w:space="0"/>
                    <w:right w:val="single" w:color="000000" w:sz="4" w:space="0"/>
                  </w:tcBorders>
                  <w:noWrap w:val="0"/>
                  <w:vAlign w:val="center"/>
                </w:tcPr>
                <w:p w14:paraId="0054E0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r>
                    <w:rPr>
                      <w:rFonts w:hint="eastAsia"/>
                      <w:color w:val="auto"/>
                      <w:sz w:val="21"/>
                      <w:szCs w:val="21"/>
                    </w:rPr>
                    <w:t>颗粒物</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14:paraId="3D7215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0.</w:t>
                  </w:r>
                  <w:r>
                    <w:rPr>
                      <w:rFonts w:hint="eastAsia"/>
                      <w:color w:val="auto"/>
                      <w:sz w:val="21"/>
                      <w:szCs w:val="21"/>
                      <w:lang w:val="en-US" w:eastAsia="zh-CN"/>
                    </w:rPr>
                    <w:t>992</w:t>
                  </w:r>
                  <w:r>
                    <w:rPr>
                      <w:rFonts w:hint="eastAsia"/>
                      <w:color w:val="auto"/>
                      <w:sz w:val="21"/>
                      <w:szCs w:val="21"/>
                    </w:rPr>
                    <w:t>t</w:t>
                  </w:r>
                  <w:r>
                    <w:rPr>
                      <w:color w:val="auto"/>
                      <w:sz w:val="21"/>
                      <w:szCs w:val="21"/>
                    </w:rPr>
                    <w:t>/a</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14:paraId="2F5177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0.992t</w:t>
                  </w:r>
                  <w:r>
                    <w:rPr>
                      <w:color w:val="auto"/>
                      <w:sz w:val="21"/>
                      <w:szCs w:val="21"/>
                    </w:rPr>
                    <w:t>/a</w:t>
                  </w:r>
                </w:p>
              </w:tc>
              <w:tc>
                <w:tcPr>
                  <w:tcW w:w="3261" w:type="dxa"/>
                  <w:tcBorders>
                    <w:top w:val="single" w:color="000000" w:sz="4" w:space="0"/>
                    <w:left w:val="single" w:color="000000" w:sz="4" w:space="0"/>
                    <w:bottom w:val="single" w:color="000000" w:sz="4" w:space="0"/>
                    <w:right w:val="single" w:color="000000" w:sz="4" w:space="0"/>
                  </w:tcBorders>
                  <w:noWrap w:val="0"/>
                  <w:vAlign w:val="center"/>
                </w:tcPr>
                <w:p w14:paraId="71E659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在车间内无组织排放</w:t>
                  </w:r>
                </w:p>
              </w:tc>
            </w:tr>
            <w:tr w14:paraId="7D685EB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14:paraId="38C7E3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废水</w:t>
                  </w:r>
                </w:p>
              </w:tc>
              <w:tc>
                <w:tcPr>
                  <w:tcW w:w="1506" w:type="dxa"/>
                  <w:tcBorders>
                    <w:top w:val="single" w:color="000000" w:sz="4" w:space="0"/>
                    <w:left w:val="single" w:color="000000" w:sz="4" w:space="0"/>
                    <w:bottom w:val="single" w:color="000000" w:sz="4" w:space="0"/>
                    <w:right w:val="single" w:color="000000" w:sz="4" w:space="0"/>
                  </w:tcBorders>
                  <w:noWrap w:val="0"/>
                  <w:vAlign w:val="center"/>
                </w:tcPr>
                <w:p w14:paraId="2BC6E1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r>
                    <w:rPr>
                      <w:rFonts w:hint="eastAsia"/>
                      <w:color w:val="auto"/>
                      <w:sz w:val="21"/>
                      <w:szCs w:val="21"/>
                    </w:rPr>
                    <w:t>生活污水</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14:paraId="570628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lang w:val="en-US" w:eastAsia="zh-CN"/>
                    </w:rPr>
                    <w:t>912</w:t>
                  </w:r>
                  <w:r>
                    <w:rPr>
                      <w:rFonts w:hint="eastAsia"/>
                      <w:color w:val="auto"/>
                      <w:sz w:val="21"/>
                      <w:szCs w:val="21"/>
                    </w:rPr>
                    <w:t>t</w:t>
                  </w:r>
                  <w:r>
                    <w:rPr>
                      <w:color w:val="auto"/>
                      <w:sz w:val="21"/>
                      <w:szCs w:val="21"/>
                    </w:rPr>
                    <w:t>/a</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14:paraId="7922F4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0</w:t>
                  </w:r>
                </w:p>
              </w:tc>
              <w:tc>
                <w:tcPr>
                  <w:tcW w:w="3261" w:type="dxa"/>
                  <w:tcBorders>
                    <w:top w:val="single" w:color="000000" w:sz="4" w:space="0"/>
                    <w:left w:val="single" w:color="000000" w:sz="4" w:space="0"/>
                    <w:bottom w:val="single" w:color="000000" w:sz="4" w:space="0"/>
                    <w:right w:val="single" w:color="000000" w:sz="4" w:space="0"/>
                  </w:tcBorders>
                  <w:noWrap w:val="0"/>
                  <w:vAlign w:val="center"/>
                </w:tcPr>
                <w:p w14:paraId="0EE9CC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s="宋体"/>
                      <w:color w:val="auto"/>
                      <w:sz w:val="21"/>
                      <w:szCs w:val="21"/>
                      <w:lang w:val="en-US" w:eastAsia="zh-CN"/>
                    </w:rPr>
                    <w:t>化粪池</w:t>
                  </w:r>
                  <w:r>
                    <w:rPr>
                      <w:rFonts w:hint="eastAsia" w:cs="宋体"/>
                      <w:color w:val="auto"/>
                      <w:sz w:val="21"/>
                      <w:szCs w:val="21"/>
                    </w:rPr>
                    <w:t>处理后，委托周边农户清掏作为种植肥料，不外排</w:t>
                  </w:r>
                </w:p>
              </w:tc>
            </w:tr>
            <w:tr w14:paraId="5B2AB2D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24" w:type="dxa"/>
                  <w:vMerge w:val="restart"/>
                  <w:tcBorders>
                    <w:top w:val="single" w:color="000000" w:sz="4" w:space="0"/>
                    <w:left w:val="single" w:color="000000" w:sz="4" w:space="0"/>
                    <w:right w:val="single" w:color="000000" w:sz="4" w:space="0"/>
                  </w:tcBorders>
                  <w:noWrap w:val="0"/>
                  <w:vAlign w:val="center"/>
                </w:tcPr>
                <w:p w14:paraId="471721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固体废弃物</w:t>
                  </w:r>
                </w:p>
              </w:tc>
              <w:tc>
                <w:tcPr>
                  <w:tcW w:w="1506" w:type="dxa"/>
                  <w:tcBorders>
                    <w:top w:val="single" w:color="000000" w:sz="4" w:space="0"/>
                    <w:left w:val="single" w:color="000000" w:sz="4" w:space="0"/>
                    <w:bottom w:val="single" w:color="000000" w:sz="4" w:space="0"/>
                    <w:right w:val="single" w:color="000000" w:sz="4" w:space="0"/>
                  </w:tcBorders>
                  <w:noWrap w:val="0"/>
                  <w:vAlign w:val="center"/>
                </w:tcPr>
                <w:p w14:paraId="3F16EE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废钢及边角料</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14:paraId="1FA1C3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312.</w:t>
                  </w:r>
                  <w:r>
                    <w:rPr>
                      <w:rFonts w:hint="eastAsia"/>
                      <w:color w:val="auto"/>
                      <w:sz w:val="21"/>
                      <w:szCs w:val="21"/>
                      <w:lang w:val="en-US" w:eastAsia="zh-CN"/>
                    </w:rPr>
                    <w:t>608</w:t>
                  </w:r>
                  <w:r>
                    <w:rPr>
                      <w:rFonts w:hint="eastAsia"/>
                      <w:color w:val="auto"/>
                      <w:sz w:val="21"/>
                      <w:szCs w:val="21"/>
                    </w:rPr>
                    <w:t>t</w:t>
                  </w:r>
                  <w:r>
                    <w:rPr>
                      <w:color w:val="auto"/>
                      <w:sz w:val="21"/>
                      <w:szCs w:val="21"/>
                    </w:rPr>
                    <w:t>/a</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14:paraId="51A8AF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0</w:t>
                  </w:r>
                </w:p>
              </w:tc>
              <w:tc>
                <w:tcPr>
                  <w:tcW w:w="3261" w:type="dxa"/>
                  <w:tcBorders>
                    <w:top w:val="single" w:color="000000" w:sz="4" w:space="0"/>
                    <w:left w:val="single" w:color="000000" w:sz="4" w:space="0"/>
                    <w:right w:val="single" w:color="000000" w:sz="4" w:space="0"/>
                  </w:tcBorders>
                  <w:noWrap w:val="0"/>
                  <w:vAlign w:val="center"/>
                </w:tcPr>
                <w:p w14:paraId="3776D6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s="宋体"/>
                      <w:color w:val="auto"/>
                      <w:spacing w:val="6"/>
                      <w:kern w:val="0"/>
                      <w:sz w:val="21"/>
                      <w:szCs w:val="21"/>
                      <w:lang w:bidi="ar"/>
                    </w:rPr>
                    <w:t>外售废旧物资回收单位</w:t>
                  </w:r>
                </w:p>
              </w:tc>
            </w:tr>
            <w:tr w14:paraId="7FE0A16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24" w:type="dxa"/>
                  <w:vMerge w:val="continue"/>
                  <w:tcBorders>
                    <w:left w:val="single" w:color="000000" w:sz="4" w:space="0"/>
                    <w:right w:val="single" w:color="000000" w:sz="4" w:space="0"/>
                  </w:tcBorders>
                  <w:noWrap w:val="0"/>
                  <w:vAlign w:val="center"/>
                </w:tcPr>
                <w:p w14:paraId="7BA041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1506" w:type="dxa"/>
                  <w:tcBorders>
                    <w:top w:val="single" w:color="000000" w:sz="4" w:space="0"/>
                    <w:left w:val="single" w:color="000000" w:sz="4" w:space="0"/>
                    <w:bottom w:val="single" w:color="000000" w:sz="4" w:space="0"/>
                    <w:right w:val="single" w:color="000000" w:sz="4" w:space="0"/>
                  </w:tcBorders>
                  <w:noWrap w:val="0"/>
                  <w:vAlign w:val="center"/>
                </w:tcPr>
                <w:p w14:paraId="628069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r>
                    <w:rPr>
                      <w:rFonts w:hint="eastAsia" w:cs="宋体"/>
                      <w:color w:val="auto"/>
                      <w:spacing w:val="6"/>
                      <w:kern w:val="0"/>
                      <w:sz w:val="21"/>
                      <w:szCs w:val="21"/>
                      <w:lang w:bidi="ar"/>
                    </w:rPr>
                    <w:t>生活垃圾</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14:paraId="79ADDF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17.1t/a</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14:paraId="37523E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0</w:t>
                  </w:r>
                </w:p>
              </w:tc>
              <w:tc>
                <w:tcPr>
                  <w:tcW w:w="3261" w:type="dxa"/>
                  <w:tcBorders>
                    <w:top w:val="single" w:color="000000" w:sz="4" w:space="0"/>
                    <w:left w:val="single" w:color="000000" w:sz="4" w:space="0"/>
                    <w:bottom w:val="single" w:color="000000" w:sz="4" w:space="0"/>
                    <w:right w:val="single" w:color="000000" w:sz="4" w:space="0"/>
                  </w:tcBorders>
                  <w:noWrap w:val="0"/>
                  <w:vAlign w:val="center"/>
                </w:tcPr>
                <w:p w14:paraId="08AEC7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r>
                    <w:rPr>
                      <w:rFonts w:hint="eastAsia" w:cs="宋体"/>
                      <w:color w:val="auto"/>
                      <w:spacing w:val="6"/>
                      <w:kern w:val="0"/>
                      <w:sz w:val="21"/>
                      <w:szCs w:val="21"/>
                      <w:lang w:bidi="ar"/>
                    </w:rPr>
                    <w:t>环卫部门清运</w:t>
                  </w:r>
                </w:p>
              </w:tc>
            </w:tr>
            <w:tr w14:paraId="518C68F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24" w:type="dxa"/>
                  <w:vMerge w:val="continue"/>
                  <w:tcBorders>
                    <w:left w:val="single" w:color="000000" w:sz="4" w:space="0"/>
                    <w:right w:val="single" w:color="000000" w:sz="4" w:space="0"/>
                  </w:tcBorders>
                  <w:noWrap w:val="0"/>
                  <w:vAlign w:val="center"/>
                </w:tcPr>
                <w:p w14:paraId="7F1350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1506" w:type="dxa"/>
                  <w:tcBorders>
                    <w:top w:val="single" w:color="000000" w:sz="4" w:space="0"/>
                    <w:left w:val="single" w:color="000000" w:sz="4" w:space="0"/>
                    <w:bottom w:val="single" w:color="000000" w:sz="4" w:space="0"/>
                    <w:right w:val="single" w:color="000000" w:sz="4" w:space="0"/>
                  </w:tcBorders>
                  <w:noWrap w:val="0"/>
                  <w:vAlign w:val="center"/>
                </w:tcPr>
                <w:p w14:paraId="3459DB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r>
                    <w:rPr>
                      <w:rFonts w:hint="eastAsia" w:cs="宋体"/>
                      <w:color w:val="auto"/>
                      <w:spacing w:val="6"/>
                      <w:kern w:val="0"/>
                      <w:sz w:val="21"/>
                      <w:szCs w:val="21"/>
                      <w:lang w:val="en-US" w:eastAsia="zh-CN" w:bidi="ar"/>
                    </w:rPr>
                    <w:t>化粪池</w:t>
                  </w:r>
                  <w:r>
                    <w:rPr>
                      <w:rFonts w:hint="eastAsia" w:cs="宋体"/>
                      <w:color w:val="auto"/>
                      <w:spacing w:val="6"/>
                      <w:kern w:val="0"/>
                      <w:sz w:val="21"/>
                      <w:szCs w:val="21"/>
                      <w:lang w:bidi="ar"/>
                    </w:rPr>
                    <w:t>污泥</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14:paraId="20A332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0.417t/a</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14:paraId="51B098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0</w:t>
                  </w:r>
                </w:p>
              </w:tc>
              <w:tc>
                <w:tcPr>
                  <w:tcW w:w="3261" w:type="dxa"/>
                  <w:tcBorders>
                    <w:top w:val="single" w:color="000000" w:sz="4" w:space="0"/>
                    <w:left w:val="single" w:color="000000" w:sz="4" w:space="0"/>
                    <w:bottom w:val="single" w:color="000000" w:sz="4" w:space="0"/>
                    <w:right w:val="single" w:color="000000" w:sz="4" w:space="0"/>
                  </w:tcBorders>
                  <w:noWrap w:val="0"/>
                  <w:vAlign w:val="center"/>
                </w:tcPr>
                <w:p w14:paraId="6F9667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s="宋体"/>
                      <w:color w:val="auto"/>
                      <w:spacing w:val="6"/>
                      <w:kern w:val="0"/>
                      <w:sz w:val="21"/>
                      <w:szCs w:val="21"/>
                      <w:lang w:bidi="ar"/>
                    </w:rPr>
                    <w:t>周边农户清掏用作种植肥料</w:t>
                  </w:r>
                </w:p>
              </w:tc>
            </w:tr>
            <w:tr w14:paraId="34871E3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24" w:type="dxa"/>
                  <w:vMerge w:val="continue"/>
                  <w:tcBorders>
                    <w:left w:val="single" w:color="000000" w:sz="4" w:space="0"/>
                    <w:right w:val="single" w:color="000000" w:sz="4" w:space="0"/>
                  </w:tcBorders>
                  <w:noWrap w:val="0"/>
                  <w:vAlign w:val="center"/>
                </w:tcPr>
                <w:p w14:paraId="0929BA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1506" w:type="dxa"/>
                  <w:tcBorders>
                    <w:top w:val="single" w:color="000000" w:sz="4" w:space="0"/>
                    <w:left w:val="single" w:color="000000" w:sz="4" w:space="0"/>
                    <w:bottom w:val="single" w:color="000000" w:sz="4" w:space="0"/>
                    <w:right w:val="single" w:color="000000" w:sz="4" w:space="0"/>
                  </w:tcBorders>
                  <w:noWrap w:val="0"/>
                  <w:vAlign w:val="center"/>
                </w:tcPr>
                <w:p w14:paraId="47F850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宋体"/>
                      <w:color w:val="auto"/>
                      <w:spacing w:val="6"/>
                      <w:kern w:val="0"/>
                      <w:sz w:val="21"/>
                      <w:szCs w:val="21"/>
                      <w:lang w:bidi="ar"/>
                    </w:rPr>
                  </w:pPr>
                  <w:r>
                    <w:rPr>
                      <w:rFonts w:hint="eastAsia"/>
                      <w:color w:val="auto"/>
                      <w:sz w:val="21"/>
                      <w:szCs w:val="21"/>
                    </w:rPr>
                    <w:t>循水池沉渣</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14:paraId="2B7B63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r>
                    <w:rPr>
                      <w:rFonts w:hint="eastAsia"/>
                      <w:color w:val="auto"/>
                      <w:sz w:val="21"/>
                      <w:szCs w:val="21"/>
                      <w:lang w:val="en-US" w:eastAsia="zh-CN"/>
                    </w:rPr>
                    <w:t>7</w:t>
                  </w:r>
                  <w:r>
                    <w:rPr>
                      <w:rFonts w:hint="eastAsia"/>
                      <w:color w:val="auto"/>
                      <w:sz w:val="21"/>
                      <w:szCs w:val="21"/>
                    </w:rPr>
                    <w:t>t/a</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14:paraId="04C711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r>
                    <w:rPr>
                      <w:rFonts w:hint="eastAsia"/>
                      <w:color w:val="auto"/>
                      <w:sz w:val="21"/>
                      <w:szCs w:val="21"/>
                    </w:rPr>
                    <w:t>0</w:t>
                  </w:r>
                </w:p>
              </w:tc>
              <w:tc>
                <w:tcPr>
                  <w:tcW w:w="3261" w:type="dxa"/>
                  <w:tcBorders>
                    <w:top w:val="single" w:color="000000" w:sz="4" w:space="0"/>
                    <w:left w:val="single" w:color="000000" w:sz="4" w:space="0"/>
                    <w:bottom w:val="single" w:color="000000" w:sz="4" w:space="0"/>
                    <w:right w:val="single" w:color="000000" w:sz="4" w:space="0"/>
                  </w:tcBorders>
                  <w:noWrap w:val="0"/>
                  <w:vAlign w:val="center"/>
                </w:tcPr>
                <w:p w14:paraId="61C63F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宋体"/>
                      <w:color w:val="auto"/>
                      <w:spacing w:val="6"/>
                      <w:kern w:val="0"/>
                      <w:sz w:val="21"/>
                      <w:szCs w:val="21"/>
                      <w:lang w:bidi="ar"/>
                    </w:rPr>
                  </w:pPr>
                  <w:r>
                    <w:rPr>
                      <w:rFonts w:hint="eastAsia" w:cs="宋体"/>
                      <w:color w:val="auto"/>
                      <w:spacing w:val="6"/>
                      <w:kern w:val="0"/>
                      <w:sz w:val="21"/>
                      <w:szCs w:val="21"/>
                      <w:lang w:bidi="ar"/>
                    </w:rPr>
                    <w:t>外售废旧物资回收单位</w:t>
                  </w:r>
                </w:p>
              </w:tc>
            </w:tr>
            <w:tr w14:paraId="5C462D8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24" w:type="dxa"/>
                  <w:vMerge w:val="continue"/>
                  <w:tcBorders>
                    <w:left w:val="single" w:color="000000" w:sz="4" w:space="0"/>
                    <w:right w:val="single" w:color="000000" w:sz="4" w:space="0"/>
                  </w:tcBorders>
                  <w:noWrap w:val="0"/>
                  <w:vAlign w:val="center"/>
                </w:tcPr>
                <w:p w14:paraId="36E484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1506" w:type="dxa"/>
                  <w:tcBorders>
                    <w:top w:val="single" w:color="000000" w:sz="4" w:space="0"/>
                    <w:left w:val="single" w:color="000000" w:sz="4" w:space="0"/>
                    <w:bottom w:val="single" w:color="000000" w:sz="4" w:space="0"/>
                    <w:right w:val="single" w:color="000000" w:sz="4" w:space="0"/>
                  </w:tcBorders>
                  <w:noWrap w:val="0"/>
                  <w:vAlign w:val="center"/>
                </w:tcPr>
                <w:p w14:paraId="2FA59D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lang w:val="en-US" w:eastAsia="zh-CN"/>
                    </w:rPr>
                  </w:pPr>
                  <w:r>
                    <w:rPr>
                      <w:rFonts w:hint="eastAsia"/>
                      <w:color w:val="auto"/>
                      <w:sz w:val="21"/>
                      <w:szCs w:val="21"/>
                      <w:lang w:val="en-US" w:eastAsia="zh-CN"/>
                    </w:rPr>
                    <w:t>焊渣</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14:paraId="56C8F0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35</w:t>
                  </w:r>
                  <w:r>
                    <w:rPr>
                      <w:rFonts w:hint="eastAsia"/>
                      <w:color w:val="auto"/>
                      <w:sz w:val="21"/>
                      <w:szCs w:val="21"/>
                    </w:rPr>
                    <w:t>t/a</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14:paraId="3A23E4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lang w:val="en-US" w:eastAsia="zh-CN"/>
                    </w:rPr>
                  </w:pPr>
                  <w:r>
                    <w:rPr>
                      <w:rFonts w:hint="eastAsia"/>
                      <w:color w:val="auto"/>
                      <w:sz w:val="21"/>
                      <w:szCs w:val="21"/>
                      <w:lang w:val="en-US" w:eastAsia="zh-CN"/>
                    </w:rPr>
                    <w:t>0</w:t>
                  </w:r>
                </w:p>
              </w:tc>
              <w:tc>
                <w:tcPr>
                  <w:tcW w:w="3261" w:type="dxa"/>
                  <w:tcBorders>
                    <w:top w:val="single" w:color="000000" w:sz="4" w:space="0"/>
                    <w:left w:val="single" w:color="000000" w:sz="4" w:space="0"/>
                    <w:bottom w:val="single" w:color="000000" w:sz="4" w:space="0"/>
                    <w:right w:val="single" w:color="000000" w:sz="4" w:space="0"/>
                  </w:tcBorders>
                  <w:noWrap w:val="0"/>
                  <w:vAlign w:val="center"/>
                </w:tcPr>
                <w:p w14:paraId="59AC76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宋体"/>
                      <w:color w:val="auto"/>
                      <w:spacing w:val="6"/>
                      <w:kern w:val="0"/>
                      <w:sz w:val="21"/>
                      <w:szCs w:val="21"/>
                      <w:lang w:bidi="ar"/>
                    </w:rPr>
                  </w:pPr>
                  <w:r>
                    <w:rPr>
                      <w:rFonts w:hint="eastAsia" w:cs="宋体"/>
                      <w:color w:val="auto"/>
                      <w:spacing w:val="6"/>
                      <w:kern w:val="0"/>
                      <w:sz w:val="21"/>
                      <w:szCs w:val="21"/>
                      <w:lang w:bidi="ar"/>
                    </w:rPr>
                    <w:t>外售废旧物资回收单位</w:t>
                  </w:r>
                </w:p>
              </w:tc>
            </w:tr>
            <w:tr w14:paraId="11F4465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24" w:type="dxa"/>
                  <w:vMerge w:val="continue"/>
                  <w:tcBorders>
                    <w:left w:val="single" w:color="000000" w:sz="4" w:space="0"/>
                    <w:right w:val="single" w:color="000000" w:sz="4" w:space="0"/>
                  </w:tcBorders>
                  <w:noWrap w:val="0"/>
                  <w:vAlign w:val="center"/>
                </w:tcPr>
                <w:p w14:paraId="23CDFF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p>
              </w:tc>
              <w:tc>
                <w:tcPr>
                  <w:tcW w:w="1506" w:type="dxa"/>
                  <w:tcBorders>
                    <w:top w:val="single" w:color="000000" w:sz="4" w:space="0"/>
                    <w:left w:val="single" w:color="000000" w:sz="4" w:space="0"/>
                    <w:bottom w:val="single" w:color="000000" w:sz="4" w:space="0"/>
                    <w:right w:val="single" w:color="000000" w:sz="4" w:space="0"/>
                  </w:tcBorders>
                  <w:noWrap w:val="0"/>
                  <w:vAlign w:val="center"/>
                </w:tcPr>
                <w:p w14:paraId="562788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宋体"/>
                      <w:color w:val="auto"/>
                      <w:spacing w:val="6"/>
                      <w:kern w:val="0"/>
                      <w:sz w:val="21"/>
                      <w:szCs w:val="21"/>
                      <w:lang w:bidi="ar"/>
                    </w:rPr>
                  </w:pPr>
                  <w:r>
                    <w:rPr>
                      <w:rFonts w:hint="eastAsia" w:cs="宋体"/>
                      <w:color w:val="auto"/>
                      <w:spacing w:val="6"/>
                      <w:kern w:val="0"/>
                      <w:sz w:val="21"/>
                      <w:szCs w:val="21"/>
                      <w:lang w:bidi="ar"/>
                    </w:rPr>
                    <w:t>废液压油、废液压油桶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14:paraId="175371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lang w:val="en-US" w:eastAsia="zh-CN"/>
                    </w:rPr>
                    <w:t>0.56</w:t>
                  </w:r>
                  <w:r>
                    <w:rPr>
                      <w:rFonts w:hint="eastAsia"/>
                      <w:color w:val="auto"/>
                      <w:sz w:val="21"/>
                      <w:szCs w:val="21"/>
                    </w:rPr>
                    <w:t>t/a</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14:paraId="637501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0</w:t>
                  </w:r>
                </w:p>
              </w:tc>
              <w:tc>
                <w:tcPr>
                  <w:tcW w:w="3261" w:type="dxa"/>
                  <w:tcBorders>
                    <w:top w:val="single" w:color="000000" w:sz="4" w:space="0"/>
                    <w:left w:val="single" w:color="000000" w:sz="4" w:space="0"/>
                    <w:bottom w:val="single" w:color="000000" w:sz="4" w:space="0"/>
                    <w:right w:val="single" w:color="000000" w:sz="4" w:space="0"/>
                  </w:tcBorders>
                  <w:noWrap w:val="0"/>
                  <w:vAlign w:val="center"/>
                </w:tcPr>
                <w:p w14:paraId="7C80AB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宋体"/>
                      <w:color w:val="auto"/>
                      <w:spacing w:val="6"/>
                      <w:kern w:val="0"/>
                      <w:sz w:val="21"/>
                      <w:szCs w:val="21"/>
                      <w:lang w:bidi="ar"/>
                    </w:rPr>
                  </w:pPr>
                  <w:r>
                    <w:rPr>
                      <w:rFonts w:hint="eastAsia"/>
                      <w:color w:val="auto"/>
                      <w:sz w:val="21"/>
                      <w:szCs w:val="21"/>
                    </w:rPr>
                    <w:t>废液压油、废机油桶装后，由供货商回收</w:t>
                  </w:r>
                </w:p>
              </w:tc>
            </w:tr>
            <w:tr w14:paraId="663889C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14:paraId="634418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噪声</w:t>
                  </w:r>
                </w:p>
              </w:tc>
              <w:tc>
                <w:tcPr>
                  <w:tcW w:w="1506" w:type="dxa"/>
                  <w:tcBorders>
                    <w:top w:val="single" w:color="000000" w:sz="4" w:space="0"/>
                    <w:left w:val="single" w:color="000000" w:sz="4" w:space="0"/>
                    <w:bottom w:val="single" w:color="000000" w:sz="4" w:space="0"/>
                    <w:right w:val="single" w:color="000000" w:sz="4" w:space="0"/>
                  </w:tcBorders>
                  <w:noWrap w:val="0"/>
                  <w:vAlign w:val="center"/>
                </w:tcPr>
                <w:p w14:paraId="7B197C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机械噪声</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14:paraId="01AD3D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14:paraId="20C4E5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w:t>
                  </w:r>
                </w:p>
              </w:tc>
              <w:tc>
                <w:tcPr>
                  <w:tcW w:w="3261" w:type="dxa"/>
                  <w:tcBorders>
                    <w:top w:val="single" w:color="000000" w:sz="4" w:space="0"/>
                    <w:left w:val="single" w:color="000000" w:sz="4" w:space="0"/>
                    <w:bottom w:val="single" w:color="000000" w:sz="4" w:space="0"/>
                    <w:right w:val="single" w:color="000000" w:sz="4" w:space="0"/>
                  </w:tcBorders>
                  <w:noWrap w:val="0"/>
                  <w:vAlign w:val="center"/>
                </w:tcPr>
                <w:p w14:paraId="755BFB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机械噪声设备均置于室内，厂房隔声、距离衰减</w:t>
                  </w:r>
                </w:p>
              </w:tc>
            </w:tr>
          </w:tbl>
          <w:p w14:paraId="6D46795B">
            <w:pPr>
              <w:bidi w:val="0"/>
              <w:ind w:left="0" w:leftChars="0" w:firstLine="0" w:firstLineChars="0"/>
              <w:rPr>
                <w:rFonts w:hint="eastAsia"/>
                <w:b/>
                <w:bCs/>
                <w:color w:val="auto"/>
                <w:lang w:val="en-US" w:eastAsia="zh-CN"/>
              </w:rPr>
            </w:pPr>
            <w:r>
              <w:rPr>
                <w:rFonts w:hint="eastAsia"/>
                <w:b/>
                <w:bCs/>
                <w:color w:val="auto"/>
                <w:lang w:val="en-US" w:eastAsia="zh-CN"/>
              </w:rPr>
              <w:t>二十一、与项目有关的原有环境污染问题</w:t>
            </w:r>
          </w:p>
          <w:p w14:paraId="1FA4A056">
            <w:pPr>
              <w:bidi w:val="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1、</w:t>
            </w:r>
            <w:r>
              <w:rPr>
                <w:rFonts w:hint="eastAsia"/>
                <w:color w:val="auto"/>
                <w:lang w:val="en-US" w:eastAsia="zh-CN"/>
              </w:rPr>
              <w:t>原有</w:t>
            </w:r>
            <w:r>
              <w:rPr>
                <w:rFonts w:hint="eastAsia" w:ascii="Times New Roman" w:hAnsi="Times New Roman" w:eastAsia="宋体"/>
                <w:color w:val="auto"/>
                <w:lang w:val="en-US" w:eastAsia="zh-CN"/>
              </w:rPr>
              <w:t>项目8条高频焊管生产线生产过程中的焊接烟尘未有效收集，呈无组织排放；</w:t>
            </w:r>
          </w:p>
          <w:p w14:paraId="4AF3CA9B">
            <w:pPr>
              <w:bidi w:val="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2、厂区生活污水通过化粪池处理后，定期委托周边农户清掏作为农田肥料，</w:t>
            </w:r>
            <w:r>
              <w:rPr>
                <w:rFonts w:hint="eastAsia"/>
                <w:color w:val="auto"/>
                <w:lang w:val="en-US" w:eastAsia="zh-CN"/>
              </w:rPr>
              <w:t>未</w:t>
            </w:r>
            <w:r>
              <w:rPr>
                <w:rFonts w:hint="eastAsia" w:ascii="Times New Roman" w:hAnsi="Times New Roman" w:eastAsia="宋体"/>
                <w:color w:val="auto"/>
                <w:lang w:val="en-US" w:eastAsia="zh-CN"/>
              </w:rPr>
              <w:t>进一步处理；</w:t>
            </w:r>
          </w:p>
          <w:p w14:paraId="7007BE43">
            <w:pPr>
              <w:bidi w:val="0"/>
              <w:rPr>
                <w:rFonts w:hint="eastAsia"/>
                <w:color w:val="auto"/>
                <w:lang w:val="en-US" w:eastAsia="zh-CN"/>
              </w:rPr>
            </w:pPr>
            <w:r>
              <w:rPr>
                <w:rFonts w:hint="eastAsia"/>
                <w:color w:val="auto"/>
                <w:lang w:val="en-US" w:eastAsia="zh-CN"/>
              </w:rPr>
              <w:t>3、厂区未设置危废暂存间，废液压油及桶属于危险废物，随意摆放，由供货厂家定期带走的处置方式不合理，收集、贮存及处置措施不规范。</w:t>
            </w:r>
          </w:p>
          <w:p w14:paraId="16D7EDC8">
            <w:pPr>
              <w:bidi w:val="0"/>
              <w:rPr>
                <w:rFonts w:hint="eastAsia"/>
                <w:color w:val="auto"/>
                <w:lang w:val="en-US" w:eastAsia="zh-CN"/>
              </w:rPr>
            </w:pPr>
            <w:r>
              <w:rPr>
                <w:rFonts w:hint="eastAsia"/>
                <w:color w:val="auto"/>
                <w:lang w:val="en-US" w:eastAsia="zh-CN"/>
              </w:rPr>
              <w:t>4、原有项目未设置初期雨水收集池，初期雨水经雨水收集沟收集后排入周边沟渠。</w:t>
            </w:r>
          </w:p>
          <w:p w14:paraId="317D1C92">
            <w:pPr>
              <w:bidi w:val="0"/>
              <w:rPr>
                <w:rFonts w:hint="default"/>
                <w:color w:val="auto"/>
                <w:lang w:val="en-US" w:eastAsia="zh-CN"/>
              </w:rPr>
            </w:pPr>
            <w:r>
              <w:rPr>
                <w:rFonts w:hint="eastAsia"/>
                <w:color w:val="auto"/>
                <w:lang w:val="en-US" w:eastAsia="zh-CN"/>
              </w:rPr>
              <w:t>5、项目位于通海县纳古镇，处于杞麓湖流域内，厂区内未设事故水池。</w:t>
            </w:r>
          </w:p>
          <w:p w14:paraId="55BF2992">
            <w:pPr>
              <w:bidi w:val="0"/>
              <w:ind w:left="0" w:leftChars="0" w:firstLine="0" w:firstLineChars="0"/>
              <w:rPr>
                <w:rFonts w:hint="eastAsia"/>
                <w:b/>
                <w:bCs/>
                <w:color w:val="auto"/>
                <w:lang w:val="en-US" w:eastAsia="zh-CN"/>
              </w:rPr>
            </w:pPr>
            <w:r>
              <w:rPr>
                <w:rFonts w:hint="eastAsia"/>
                <w:b/>
                <w:bCs/>
                <w:color w:val="auto"/>
                <w:lang w:val="en-US" w:eastAsia="zh-CN"/>
              </w:rPr>
              <w:t>二十二、原有项目存在的主要环境问题的整改措施</w:t>
            </w:r>
          </w:p>
          <w:p w14:paraId="47BE5CB6">
            <w:pPr>
              <w:bidi w:val="0"/>
              <w:rPr>
                <w:rFonts w:hint="default"/>
                <w:color w:val="auto"/>
                <w:lang w:val="en-US" w:eastAsia="zh-CN"/>
              </w:rPr>
            </w:pPr>
            <w:r>
              <w:rPr>
                <w:rFonts w:hint="eastAsia"/>
                <w:color w:val="auto"/>
                <w:lang w:val="en-US" w:eastAsia="zh-CN"/>
              </w:rPr>
              <w:t>1、在1#、2#、3#、4#高频焊管生产线焊接工序设置集气罩（4个）收集焊接烟尘，再进入1套布袋除尘器处理后由1根15m高的排气筒（DA001）排放；在5#、6#、7#、8#高频焊管生产线焊接工序设置集气罩（4个）收集焊接烟尘，再进入1套布袋除尘器处理后由1根15m高的排气筒（DA002）排放；</w:t>
            </w:r>
          </w:p>
          <w:p w14:paraId="17FC5DBF">
            <w:pPr>
              <w:bidi w:val="0"/>
              <w:rPr>
                <w:rFonts w:hint="eastAsia"/>
                <w:color w:val="auto"/>
                <w:lang w:val="en-US" w:eastAsia="zh-CN"/>
              </w:rPr>
            </w:pPr>
            <w:r>
              <w:rPr>
                <w:rFonts w:hint="eastAsia"/>
                <w:color w:val="auto"/>
                <w:lang w:val="en-US" w:eastAsia="zh-CN"/>
              </w:rPr>
              <w:t>2、项目设置1套一体化污水处理设施，项目生活污水经原有化粪池预处理后，进入自建一体化污水处理设施处理达标后暂存于中水池，回用于厂区绿化及道路空地浇洒，不外排；</w:t>
            </w:r>
          </w:p>
          <w:p w14:paraId="206C751D">
            <w:pPr>
              <w:bidi w:val="0"/>
              <w:rPr>
                <w:rFonts w:hint="eastAsia"/>
                <w:color w:val="auto"/>
                <w:lang w:val="en-US" w:eastAsia="zh-CN"/>
              </w:rPr>
            </w:pPr>
            <w:r>
              <w:rPr>
                <w:rFonts w:hint="eastAsia"/>
                <w:color w:val="auto"/>
                <w:lang w:val="en-US" w:eastAsia="zh-CN"/>
              </w:rPr>
              <w:t>3、项目在检修车间内设置1间5m</w:t>
            </w:r>
            <w:r>
              <w:rPr>
                <w:rFonts w:hint="eastAsia"/>
                <w:color w:val="auto"/>
                <w:vertAlign w:val="superscript"/>
                <w:lang w:val="en-US" w:eastAsia="zh-CN"/>
              </w:rPr>
              <w:t>2</w:t>
            </w:r>
            <w:r>
              <w:rPr>
                <w:rFonts w:hint="eastAsia"/>
                <w:color w:val="auto"/>
                <w:lang w:val="en-US" w:eastAsia="zh-CN"/>
              </w:rPr>
              <w:t>的危废暂存间，按《危险废物贮存污染控制标准》（GB18597-2023）的相关要求建设和运行。废液压油、废机油及废液压油桶，分区暂存于危险废物暂存间内。</w:t>
            </w:r>
          </w:p>
          <w:p w14:paraId="116CD223">
            <w:pPr>
              <w:bidi w:val="0"/>
              <w:rPr>
                <w:rFonts w:hint="eastAsia"/>
                <w:color w:val="auto"/>
                <w:lang w:val="en-US" w:eastAsia="zh-CN"/>
              </w:rPr>
            </w:pPr>
            <w:r>
              <w:rPr>
                <w:rFonts w:hint="eastAsia"/>
                <w:color w:val="auto"/>
                <w:lang w:val="en-US" w:eastAsia="zh-CN"/>
              </w:rPr>
              <w:t>4、设置1个容积为100m</w:t>
            </w:r>
            <w:r>
              <w:rPr>
                <w:rFonts w:hint="eastAsia"/>
                <w:color w:val="auto"/>
                <w:vertAlign w:val="superscript"/>
                <w:lang w:val="en-US" w:eastAsia="zh-CN"/>
              </w:rPr>
              <w:t>3</w:t>
            </w:r>
            <w:r>
              <w:rPr>
                <w:rFonts w:hint="eastAsia"/>
                <w:color w:val="auto"/>
                <w:lang w:val="en-US" w:eastAsia="zh-CN"/>
              </w:rPr>
              <w:t>的初期雨水收集池用于收集生产区初期雨水，初期雨水经初期雨水收集池沉淀后回用于厂区洒水降尘，不外排。</w:t>
            </w:r>
          </w:p>
          <w:p w14:paraId="2EF678FB">
            <w:pPr>
              <w:bidi w:val="0"/>
              <w:rPr>
                <w:rFonts w:hint="default"/>
                <w:color w:val="auto"/>
                <w:lang w:val="en-US" w:eastAsia="zh-CN"/>
              </w:rPr>
            </w:pPr>
            <w:r>
              <w:rPr>
                <w:rFonts w:hint="eastAsia"/>
                <w:color w:val="auto"/>
                <w:lang w:val="en-US" w:eastAsia="zh-CN"/>
              </w:rPr>
              <w:t>5、项目设置一个容积为30m</w:t>
            </w:r>
            <w:r>
              <w:rPr>
                <w:rFonts w:hint="eastAsia"/>
                <w:color w:val="auto"/>
                <w:vertAlign w:val="superscript"/>
                <w:lang w:val="en-US" w:eastAsia="zh-CN"/>
              </w:rPr>
              <w:t>3</w:t>
            </w:r>
            <w:r>
              <w:rPr>
                <w:rFonts w:hint="eastAsia"/>
                <w:color w:val="auto"/>
                <w:lang w:val="en-US" w:eastAsia="zh-CN"/>
              </w:rPr>
              <w:t>的事故池，用于收集事故情况下产生的冷却水。</w:t>
            </w:r>
          </w:p>
          <w:p w14:paraId="7FDCB86B">
            <w:pPr>
              <w:bidi w:val="0"/>
              <w:ind w:left="0" w:leftChars="0" w:firstLine="0" w:firstLineChars="0"/>
              <w:rPr>
                <w:rFonts w:hint="default"/>
                <w:b/>
                <w:bCs/>
                <w:color w:val="auto"/>
                <w:lang w:val="en-US" w:eastAsia="zh-CN"/>
              </w:rPr>
            </w:pPr>
            <w:r>
              <w:rPr>
                <w:rFonts w:hint="eastAsia"/>
                <w:b/>
                <w:bCs/>
                <w:color w:val="auto"/>
                <w:lang w:val="en-US" w:eastAsia="zh-CN"/>
              </w:rPr>
              <w:t>二十三、项目“三本账”分析</w:t>
            </w:r>
          </w:p>
          <w:p w14:paraId="54132217">
            <w:pPr>
              <w:bidi w:val="0"/>
              <w:rPr>
                <w:rFonts w:hint="eastAsia"/>
                <w:color w:val="auto"/>
                <w:lang w:val="en-US" w:eastAsia="zh-CN"/>
              </w:rPr>
            </w:pPr>
            <w:r>
              <w:rPr>
                <w:rFonts w:hint="eastAsia"/>
                <w:color w:val="auto"/>
                <w:lang w:val="en-US" w:eastAsia="zh-CN"/>
              </w:rPr>
              <w:t>项目建设前后污染物排放情况及变化情况汇总于下表。</w:t>
            </w:r>
          </w:p>
          <w:p w14:paraId="49D46A61">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表2-13  项目建设前后“三本帐”汇总一览表</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425"/>
              <w:gridCol w:w="858"/>
              <w:gridCol w:w="1177"/>
              <w:gridCol w:w="763"/>
              <w:gridCol w:w="689"/>
              <w:gridCol w:w="897"/>
              <w:gridCol w:w="968"/>
              <w:gridCol w:w="897"/>
              <w:gridCol w:w="897"/>
              <w:gridCol w:w="1016"/>
            </w:tblGrid>
            <w:tr w14:paraId="6FA9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7" w:type="pct"/>
                  <w:gridSpan w:val="2"/>
                  <w:vMerge w:val="restart"/>
                  <w:shd w:val="clear" w:color="auto" w:fill="FFFFFF"/>
                  <w:noWrap w:val="0"/>
                  <w:vAlign w:val="center"/>
                </w:tcPr>
                <w:p w14:paraId="2A1670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污染源</w:t>
                  </w:r>
                </w:p>
              </w:tc>
              <w:tc>
                <w:tcPr>
                  <w:tcW w:w="685" w:type="pct"/>
                  <w:vMerge w:val="restart"/>
                  <w:shd w:val="clear" w:color="auto" w:fill="FFFFFF"/>
                  <w:noWrap w:val="0"/>
                  <w:vAlign w:val="center"/>
                </w:tcPr>
                <w:p w14:paraId="7B087C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污染物</w:t>
                  </w:r>
                </w:p>
              </w:tc>
              <w:tc>
                <w:tcPr>
                  <w:tcW w:w="845" w:type="pct"/>
                  <w:gridSpan w:val="2"/>
                  <w:shd w:val="clear" w:color="auto" w:fill="FFFFFF"/>
                  <w:noWrap w:val="0"/>
                  <w:vAlign w:val="center"/>
                </w:tcPr>
                <w:p w14:paraId="13B83D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原有工程</w:t>
                  </w:r>
                </w:p>
              </w:tc>
              <w:tc>
                <w:tcPr>
                  <w:tcW w:w="1085" w:type="pct"/>
                  <w:gridSpan w:val="2"/>
                  <w:shd w:val="clear" w:color="auto" w:fill="FFFFFF"/>
                  <w:noWrap w:val="0"/>
                  <w:vAlign w:val="center"/>
                </w:tcPr>
                <w:p w14:paraId="50CE8F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本项目工程</w:t>
                  </w:r>
                </w:p>
              </w:tc>
              <w:tc>
                <w:tcPr>
                  <w:tcW w:w="522" w:type="pct"/>
                  <w:vMerge w:val="restart"/>
                  <w:shd w:val="clear" w:color="auto" w:fill="FFFFFF"/>
                  <w:noWrap w:val="0"/>
                  <w:vAlign w:val="center"/>
                </w:tcPr>
                <w:p w14:paraId="7BFC26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以新带老削减量</w:t>
                  </w:r>
                </w:p>
              </w:tc>
              <w:tc>
                <w:tcPr>
                  <w:tcW w:w="522" w:type="pct"/>
                  <w:vMerge w:val="restart"/>
                  <w:shd w:val="clear" w:color="auto" w:fill="FFFFFF"/>
                  <w:noWrap w:val="0"/>
                  <w:vAlign w:val="center"/>
                </w:tcPr>
                <w:p w14:paraId="71F81D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总排放量</w:t>
                  </w:r>
                </w:p>
              </w:tc>
              <w:tc>
                <w:tcPr>
                  <w:tcW w:w="591" w:type="pct"/>
                  <w:vMerge w:val="restart"/>
                  <w:shd w:val="clear" w:color="auto" w:fill="FFFFFF"/>
                  <w:noWrap w:val="0"/>
                  <w:vAlign w:val="center"/>
                </w:tcPr>
                <w:p w14:paraId="51C2B4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排放增减量</w:t>
                  </w:r>
                </w:p>
              </w:tc>
            </w:tr>
            <w:tr w14:paraId="119E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7" w:type="pct"/>
                  <w:gridSpan w:val="2"/>
                  <w:vMerge w:val="continue"/>
                  <w:shd w:val="clear" w:color="auto" w:fill="FFFFFF"/>
                  <w:noWrap w:val="0"/>
                  <w:vAlign w:val="center"/>
                </w:tcPr>
                <w:p w14:paraId="4723F0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685" w:type="pct"/>
                  <w:vMerge w:val="continue"/>
                  <w:shd w:val="clear" w:color="auto" w:fill="FFFFFF"/>
                  <w:noWrap w:val="0"/>
                  <w:vAlign w:val="center"/>
                </w:tcPr>
                <w:p w14:paraId="37C582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444" w:type="pct"/>
                  <w:shd w:val="clear" w:color="auto" w:fill="FFFFFF"/>
                  <w:noWrap w:val="0"/>
                  <w:vAlign w:val="center"/>
                </w:tcPr>
                <w:p w14:paraId="6AB382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产生量</w:t>
                  </w:r>
                </w:p>
              </w:tc>
              <w:tc>
                <w:tcPr>
                  <w:tcW w:w="401" w:type="pct"/>
                  <w:shd w:val="clear" w:color="auto" w:fill="FFFFFF"/>
                  <w:noWrap w:val="0"/>
                  <w:vAlign w:val="center"/>
                </w:tcPr>
                <w:p w14:paraId="52BF6D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排放量</w:t>
                  </w:r>
                </w:p>
              </w:tc>
              <w:tc>
                <w:tcPr>
                  <w:tcW w:w="522" w:type="pct"/>
                  <w:shd w:val="clear" w:color="auto" w:fill="FFFFFF"/>
                  <w:noWrap w:val="0"/>
                  <w:vAlign w:val="center"/>
                </w:tcPr>
                <w:p w14:paraId="47DEFD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产生量</w:t>
                  </w:r>
                </w:p>
              </w:tc>
              <w:tc>
                <w:tcPr>
                  <w:tcW w:w="563" w:type="pct"/>
                  <w:shd w:val="clear" w:color="auto" w:fill="FFFFFF"/>
                  <w:noWrap w:val="0"/>
                  <w:vAlign w:val="center"/>
                </w:tcPr>
                <w:p w14:paraId="7A7163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排放量</w:t>
                  </w:r>
                </w:p>
              </w:tc>
              <w:tc>
                <w:tcPr>
                  <w:tcW w:w="522" w:type="pct"/>
                  <w:vMerge w:val="continue"/>
                  <w:shd w:val="clear" w:color="auto" w:fill="FFFFFF"/>
                  <w:noWrap w:val="0"/>
                  <w:vAlign w:val="center"/>
                </w:tcPr>
                <w:p w14:paraId="2A33E0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522" w:type="pct"/>
                  <w:vMerge w:val="continue"/>
                  <w:shd w:val="clear" w:color="auto" w:fill="FFFFFF"/>
                  <w:noWrap w:val="0"/>
                  <w:vAlign w:val="center"/>
                </w:tcPr>
                <w:p w14:paraId="2658E9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591" w:type="pct"/>
                  <w:vMerge w:val="continue"/>
                  <w:shd w:val="clear" w:color="auto" w:fill="FFFFFF"/>
                  <w:noWrap w:val="0"/>
                  <w:vAlign w:val="center"/>
                </w:tcPr>
                <w:p w14:paraId="6B4E85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r>
            <w:tr w14:paraId="37F74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7" w:type="pct"/>
                  <w:shd w:val="clear" w:color="auto" w:fill="FFFFFF"/>
                  <w:noWrap w:val="0"/>
                  <w:vAlign w:val="center"/>
                </w:tcPr>
                <w:p w14:paraId="5E45E3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废水</w:t>
                  </w:r>
                </w:p>
              </w:tc>
              <w:tc>
                <w:tcPr>
                  <w:tcW w:w="499" w:type="pct"/>
                  <w:shd w:val="clear" w:color="auto" w:fill="FFFFFF"/>
                  <w:noWrap w:val="0"/>
                  <w:vAlign w:val="center"/>
                </w:tcPr>
                <w:p w14:paraId="4F90AA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生活污水t/a</w:t>
                  </w:r>
                </w:p>
              </w:tc>
              <w:tc>
                <w:tcPr>
                  <w:tcW w:w="685" w:type="pct"/>
                  <w:shd w:val="clear" w:color="auto" w:fill="FFFFFF"/>
                  <w:noWrap w:val="0"/>
                  <w:vAlign w:val="center"/>
                </w:tcPr>
                <w:p w14:paraId="1A1B89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废水量</w:t>
                  </w:r>
                </w:p>
              </w:tc>
              <w:tc>
                <w:tcPr>
                  <w:tcW w:w="444" w:type="pct"/>
                  <w:shd w:val="clear" w:color="auto" w:fill="FFFFFF"/>
                  <w:noWrap w:val="0"/>
                  <w:vAlign w:val="center"/>
                </w:tcPr>
                <w:p w14:paraId="25959E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912</w:t>
                  </w:r>
                </w:p>
              </w:tc>
              <w:tc>
                <w:tcPr>
                  <w:tcW w:w="401" w:type="pct"/>
                  <w:shd w:val="clear" w:color="auto" w:fill="FFFFFF"/>
                  <w:noWrap w:val="0"/>
                  <w:vAlign w:val="center"/>
                </w:tcPr>
                <w:p w14:paraId="3A4083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522" w:type="pct"/>
                  <w:shd w:val="clear" w:color="auto" w:fill="FFFFFF"/>
                  <w:noWrap w:val="0"/>
                  <w:vAlign w:val="center"/>
                </w:tcPr>
                <w:p w14:paraId="07B39D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273.6</w:t>
                  </w:r>
                </w:p>
              </w:tc>
              <w:tc>
                <w:tcPr>
                  <w:tcW w:w="563" w:type="pct"/>
                  <w:shd w:val="clear" w:color="auto" w:fill="FFFFFF"/>
                  <w:noWrap w:val="0"/>
                  <w:vAlign w:val="center"/>
                </w:tcPr>
                <w:p w14:paraId="4CA632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522" w:type="pct"/>
                  <w:shd w:val="clear" w:color="auto" w:fill="FFFFFF"/>
                  <w:noWrap w:val="0"/>
                  <w:vAlign w:val="center"/>
                </w:tcPr>
                <w:p w14:paraId="3AFF68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638.4</w:t>
                  </w:r>
                </w:p>
              </w:tc>
              <w:tc>
                <w:tcPr>
                  <w:tcW w:w="522" w:type="pct"/>
                  <w:shd w:val="clear" w:color="auto" w:fill="FFFFFF"/>
                  <w:noWrap w:val="0"/>
                  <w:vAlign w:val="center"/>
                </w:tcPr>
                <w:p w14:paraId="707A0C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591" w:type="pct"/>
                  <w:shd w:val="clear" w:color="auto" w:fill="FFFFFF"/>
                  <w:noWrap w:val="0"/>
                  <w:vAlign w:val="center"/>
                </w:tcPr>
                <w:p w14:paraId="11B793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-638.4</w:t>
                  </w:r>
                </w:p>
              </w:tc>
            </w:tr>
            <w:tr w14:paraId="0F94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7" w:type="pct"/>
                  <w:gridSpan w:val="2"/>
                  <w:vMerge w:val="restart"/>
                  <w:shd w:val="clear" w:color="auto" w:fill="FFFFFF"/>
                  <w:noWrap w:val="0"/>
                  <w:vAlign w:val="center"/>
                </w:tcPr>
                <w:p w14:paraId="0BB542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废气</w:t>
                  </w:r>
                </w:p>
              </w:tc>
              <w:tc>
                <w:tcPr>
                  <w:tcW w:w="685" w:type="pct"/>
                  <w:shd w:val="clear" w:color="auto" w:fill="FFFFFF"/>
                  <w:noWrap w:val="0"/>
                  <w:vAlign w:val="center"/>
                </w:tcPr>
                <w:p w14:paraId="4BAF77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eastAsia" w:cs="Times New Roman"/>
                      <w:color w:val="auto"/>
                      <w:sz w:val="21"/>
                      <w:szCs w:val="21"/>
                      <w:lang w:val="en-US" w:eastAsia="zh-CN"/>
                    </w:rPr>
                    <w:t>有组织</w:t>
                  </w:r>
                  <w:r>
                    <w:rPr>
                      <w:rFonts w:hint="default" w:ascii="Times New Roman" w:hAnsi="Times New Roman" w:cs="Times New Roman"/>
                      <w:color w:val="auto"/>
                      <w:sz w:val="21"/>
                      <w:szCs w:val="21"/>
                    </w:rPr>
                    <w:t>颗粒物</w:t>
                  </w:r>
                  <w:r>
                    <w:rPr>
                      <w:rFonts w:hint="eastAsia" w:cs="Times New Roman"/>
                      <w:color w:val="auto"/>
                      <w:sz w:val="21"/>
                      <w:szCs w:val="21"/>
                      <w:lang w:eastAsia="zh-CN"/>
                    </w:rPr>
                    <w:t>（t/a）</w:t>
                  </w:r>
                </w:p>
              </w:tc>
              <w:tc>
                <w:tcPr>
                  <w:tcW w:w="444" w:type="pct"/>
                  <w:shd w:val="clear" w:color="auto" w:fill="FFFFFF"/>
                  <w:noWrap w:val="0"/>
                  <w:vAlign w:val="center"/>
                </w:tcPr>
                <w:p w14:paraId="60C80B94">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eastAsia" w:ascii="Times New Roman" w:cs="Times New Roman"/>
                      <w:color w:val="auto"/>
                      <w:sz w:val="21"/>
                      <w:szCs w:val="21"/>
                      <w:lang w:val="en-US" w:eastAsia="zh-CN"/>
                    </w:rPr>
                    <w:t>0</w:t>
                  </w:r>
                </w:p>
              </w:tc>
              <w:tc>
                <w:tcPr>
                  <w:tcW w:w="401" w:type="pct"/>
                  <w:shd w:val="clear" w:color="auto" w:fill="FFFFFF"/>
                  <w:noWrap w:val="0"/>
                  <w:vAlign w:val="center"/>
                </w:tcPr>
                <w:p w14:paraId="58D4F0D5">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color w:val="auto"/>
                      <w:kern w:val="0"/>
                      <w:sz w:val="21"/>
                      <w:szCs w:val="21"/>
                      <w:lang w:val="en-US" w:eastAsia="zh-CN"/>
                    </w:rPr>
                  </w:pPr>
                  <w:r>
                    <w:rPr>
                      <w:rFonts w:hint="eastAsia" w:ascii="Times New Roman" w:cs="Times New Roman"/>
                      <w:color w:val="auto"/>
                      <w:kern w:val="0"/>
                      <w:sz w:val="21"/>
                      <w:szCs w:val="21"/>
                      <w:lang w:val="en-US" w:eastAsia="zh-CN"/>
                    </w:rPr>
                    <w:t>0</w:t>
                  </w:r>
                </w:p>
              </w:tc>
              <w:tc>
                <w:tcPr>
                  <w:tcW w:w="522" w:type="pct"/>
                  <w:shd w:val="clear" w:color="auto" w:fill="FFFFFF"/>
                  <w:noWrap w:val="0"/>
                  <w:vAlign w:val="center"/>
                </w:tcPr>
                <w:p w14:paraId="4B7154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1.106</w:t>
                  </w:r>
                </w:p>
              </w:tc>
              <w:tc>
                <w:tcPr>
                  <w:tcW w:w="563" w:type="pct"/>
                  <w:shd w:val="clear" w:color="auto" w:fill="FFFFFF"/>
                  <w:noWrap w:val="0"/>
                  <w:vAlign w:val="center"/>
                </w:tcPr>
                <w:p w14:paraId="117DF0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0.009</w:t>
                  </w:r>
                </w:p>
              </w:tc>
              <w:tc>
                <w:tcPr>
                  <w:tcW w:w="522" w:type="pct"/>
                  <w:shd w:val="clear" w:color="auto" w:fill="FFFFFF"/>
                  <w:noWrap w:val="0"/>
                  <w:vAlign w:val="center"/>
                </w:tcPr>
                <w:p w14:paraId="06118E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w:t>
                  </w:r>
                </w:p>
              </w:tc>
              <w:tc>
                <w:tcPr>
                  <w:tcW w:w="522" w:type="pct"/>
                  <w:shd w:val="clear" w:color="auto" w:fill="FFFFFF"/>
                  <w:noWrap w:val="0"/>
                  <w:vAlign w:val="center"/>
                </w:tcPr>
                <w:p w14:paraId="74BE4F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0.009</w:t>
                  </w:r>
                </w:p>
              </w:tc>
              <w:tc>
                <w:tcPr>
                  <w:tcW w:w="591" w:type="pct"/>
                  <w:shd w:val="clear" w:color="auto" w:fill="FFFFFF"/>
                  <w:noWrap w:val="0"/>
                  <w:vAlign w:val="center"/>
                </w:tcPr>
                <w:p w14:paraId="447957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+0.009</w:t>
                  </w:r>
                </w:p>
              </w:tc>
            </w:tr>
            <w:tr w14:paraId="26BAA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7" w:type="pct"/>
                  <w:gridSpan w:val="2"/>
                  <w:vMerge w:val="continue"/>
                  <w:shd w:val="clear" w:color="auto" w:fill="FFFFFF"/>
                  <w:noWrap w:val="0"/>
                  <w:vAlign w:val="center"/>
                </w:tcPr>
                <w:p w14:paraId="57874C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685" w:type="pct"/>
                  <w:shd w:val="clear" w:color="auto" w:fill="FFFFFF"/>
                  <w:noWrap w:val="0"/>
                  <w:vAlign w:val="center"/>
                </w:tcPr>
                <w:p w14:paraId="1276D9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无组织颗粒物</w:t>
                  </w:r>
                  <w:r>
                    <w:rPr>
                      <w:rFonts w:hint="eastAsia" w:cs="Times New Roman"/>
                      <w:color w:val="auto"/>
                      <w:sz w:val="21"/>
                      <w:szCs w:val="21"/>
                      <w:lang w:eastAsia="zh-CN"/>
                    </w:rPr>
                    <w:t>（t/a）</w:t>
                  </w:r>
                </w:p>
              </w:tc>
              <w:tc>
                <w:tcPr>
                  <w:tcW w:w="444" w:type="pct"/>
                  <w:shd w:val="clear" w:color="auto" w:fill="FFFFFF"/>
                  <w:noWrap w:val="0"/>
                  <w:vAlign w:val="center"/>
                </w:tcPr>
                <w:p w14:paraId="4F0C4351">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rPr>
                    <w:t>0.992</w:t>
                  </w:r>
                </w:p>
              </w:tc>
              <w:tc>
                <w:tcPr>
                  <w:tcW w:w="401" w:type="pct"/>
                  <w:shd w:val="clear" w:color="auto" w:fill="FFFFFF"/>
                  <w:noWrap w:val="0"/>
                  <w:vAlign w:val="center"/>
                </w:tcPr>
                <w:p w14:paraId="13BF0134">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rPr>
                    <w:t>0.992</w:t>
                  </w:r>
                </w:p>
              </w:tc>
              <w:tc>
                <w:tcPr>
                  <w:tcW w:w="522" w:type="pct"/>
                  <w:shd w:val="clear" w:color="auto" w:fill="FFFFFF"/>
                  <w:noWrap w:val="0"/>
                  <w:vAlign w:val="center"/>
                </w:tcPr>
                <w:p w14:paraId="3E958A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0.333</w:t>
                  </w:r>
                </w:p>
              </w:tc>
              <w:tc>
                <w:tcPr>
                  <w:tcW w:w="563" w:type="pct"/>
                  <w:shd w:val="clear" w:color="auto" w:fill="FFFFFF"/>
                  <w:noWrap w:val="0"/>
                  <w:vAlign w:val="center"/>
                </w:tcPr>
                <w:p w14:paraId="7B36EE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0.333</w:t>
                  </w:r>
                </w:p>
              </w:tc>
              <w:tc>
                <w:tcPr>
                  <w:tcW w:w="522" w:type="pct"/>
                  <w:shd w:val="clear" w:color="auto" w:fill="FFFFFF"/>
                  <w:noWrap w:val="0"/>
                  <w:vAlign w:val="center"/>
                </w:tcPr>
                <w:p w14:paraId="3CA326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0.659</w:t>
                  </w:r>
                </w:p>
              </w:tc>
              <w:tc>
                <w:tcPr>
                  <w:tcW w:w="522" w:type="pct"/>
                  <w:shd w:val="clear" w:color="auto" w:fill="FFFFFF"/>
                  <w:noWrap w:val="0"/>
                  <w:vAlign w:val="center"/>
                </w:tcPr>
                <w:p w14:paraId="1D787F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0.333</w:t>
                  </w:r>
                </w:p>
              </w:tc>
              <w:tc>
                <w:tcPr>
                  <w:tcW w:w="591" w:type="pct"/>
                  <w:shd w:val="clear" w:color="auto" w:fill="FFFFFF"/>
                  <w:noWrap w:val="0"/>
                  <w:vAlign w:val="center"/>
                </w:tcPr>
                <w:p w14:paraId="29C975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-0.659</w:t>
                  </w:r>
                </w:p>
              </w:tc>
            </w:tr>
            <w:tr w14:paraId="07EB5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7" w:type="pct"/>
                  <w:vMerge w:val="restart"/>
                  <w:shd w:val="clear" w:color="auto" w:fill="FFFFFF"/>
                  <w:noWrap w:val="0"/>
                  <w:vAlign w:val="center"/>
                </w:tcPr>
                <w:p w14:paraId="1B3E56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固体废弃物</w:t>
                  </w:r>
                </w:p>
              </w:tc>
              <w:tc>
                <w:tcPr>
                  <w:tcW w:w="1184" w:type="pct"/>
                  <w:gridSpan w:val="2"/>
                  <w:shd w:val="clear" w:color="auto" w:fill="FFFFFF"/>
                  <w:noWrap w:val="0"/>
                  <w:vAlign w:val="center"/>
                </w:tcPr>
                <w:p w14:paraId="35EB7F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生活垃圾</w:t>
                  </w:r>
                  <w:r>
                    <w:rPr>
                      <w:rFonts w:hint="eastAsia" w:cs="Times New Roman"/>
                      <w:color w:val="auto"/>
                      <w:sz w:val="21"/>
                      <w:szCs w:val="21"/>
                      <w:lang w:eastAsia="zh-CN"/>
                    </w:rPr>
                    <w:t>（t/a）</w:t>
                  </w:r>
                </w:p>
              </w:tc>
              <w:tc>
                <w:tcPr>
                  <w:tcW w:w="444" w:type="pct"/>
                  <w:shd w:val="clear" w:color="auto" w:fill="FFFFFF"/>
                  <w:noWrap w:val="0"/>
                  <w:vAlign w:val="center"/>
                </w:tcPr>
                <w:p w14:paraId="56AAFE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17.1</w:t>
                  </w:r>
                </w:p>
              </w:tc>
              <w:tc>
                <w:tcPr>
                  <w:tcW w:w="401" w:type="pct"/>
                  <w:shd w:val="clear" w:color="auto" w:fill="FFFFFF"/>
                  <w:noWrap w:val="0"/>
                  <w:vAlign w:val="center"/>
                </w:tcPr>
                <w:p w14:paraId="40067A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522" w:type="pct"/>
                  <w:shd w:val="clear" w:color="auto" w:fill="FFFFFF"/>
                  <w:noWrap w:val="0"/>
                  <w:vAlign w:val="center"/>
                </w:tcPr>
                <w:p w14:paraId="334362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11.4</w:t>
                  </w:r>
                </w:p>
              </w:tc>
              <w:tc>
                <w:tcPr>
                  <w:tcW w:w="563" w:type="pct"/>
                  <w:shd w:val="clear" w:color="auto" w:fill="FFFFFF"/>
                  <w:noWrap w:val="0"/>
                  <w:vAlign w:val="center"/>
                </w:tcPr>
                <w:p w14:paraId="6DAD16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522" w:type="pct"/>
                  <w:shd w:val="clear" w:color="auto" w:fill="FFFFFF"/>
                  <w:noWrap w:val="0"/>
                  <w:vAlign w:val="center"/>
                </w:tcPr>
                <w:p w14:paraId="45E982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5.7</w:t>
                  </w:r>
                </w:p>
              </w:tc>
              <w:tc>
                <w:tcPr>
                  <w:tcW w:w="522" w:type="pct"/>
                  <w:shd w:val="clear" w:color="auto" w:fill="FFFFFF"/>
                  <w:noWrap w:val="0"/>
                  <w:vAlign w:val="center"/>
                </w:tcPr>
                <w:p w14:paraId="6BCF6B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11.4</w:t>
                  </w:r>
                </w:p>
              </w:tc>
              <w:tc>
                <w:tcPr>
                  <w:tcW w:w="591" w:type="pct"/>
                  <w:shd w:val="clear" w:color="auto" w:fill="FFFFFF"/>
                  <w:noWrap w:val="0"/>
                  <w:vAlign w:val="center"/>
                </w:tcPr>
                <w:p w14:paraId="04DBAA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-5.7</w:t>
                  </w:r>
                </w:p>
              </w:tc>
            </w:tr>
            <w:tr w14:paraId="1A995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7" w:type="pct"/>
                  <w:vMerge w:val="continue"/>
                  <w:shd w:val="clear" w:color="auto" w:fill="FFFFFF"/>
                  <w:noWrap w:val="0"/>
                  <w:vAlign w:val="center"/>
                </w:tcPr>
                <w:p w14:paraId="30D39B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1184" w:type="pct"/>
                  <w:gridSpan w:val="2"/>
                  <w:shd w:val="clear" w:color="auto" w:fill="FFFFFF"/>
                  <w:noWrap w:val="0"/>
                  <w:vAlign w:val="center"/>
                </w:tcPr>
                <w:p w14:paraId="6E3458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化粪池污泥</w:t>
                  </w:r>
                  <w:r>
                    <w:rPr>
                      <w:rFonts w:hint="eastAsia" w:cs="Times New Roman"/>
                      <w:color w:val="auto"/>
                      <w:sz w:val="21"/>
                      <w:szCs w:val="21"/>
                      <w:lang w:eastAsia="zh-CN"/>
                    </w:rPr>
                    <w:t>（t/a）</w:t>
                  </w:r>
                </w:p>
              </w:tc>
              <w:tc>
                <w:tcPr>
                  <w:tcW w:w="444" w:type="pct"/>
                  <w:shd w:val="clear" w:color="auto" w:fill="FFFFFF"/>
                  <w:noWrap w:val="0"/>
                  <w:vAlign w:val="center"/>
                </w:tcPr>
                <w:p w14:paraId="16A085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0.417</w:t>
                  </w:r>
                </w:p>
              </w:tc>
              <w:tc>
                <w:tcPr>
                  <w:tcW w:w="401" w:type="pct"/>
                  <w:shd w:val="clear" w:color="auto" w:fill="FFFFFF"/>
                  <w:noWrap w:val="0"/>
                  <w:vAlign w:val="center"/>
                </w:tcPr>
                <w:p w14:paraId="74D6BF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522" w:type="pct"/>
                  <w:shd w:val="clear" w:color="auto" w:fill="FFFFFF"/>
                  <w:noWrap w:val="0"/>
                  <w:vAlign w:val="center"/>
                </w:tcPr>
                <w:p w14:paraId="466002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0.125</w:t>
                  </w:r>
                </w:p>
              </w:tc>
              <w:tc>
                <w:tcPr>
                  <w:tcW w:w="563" w:type="pct"/>
                  <w:shd w:val="clear" w:color="auto" w:fill="FFFFFF"/>
                  <w:noWrap w:val="0"/>
                  <w:vAlign w:val="center"/>
                </w:tcPr>
                <w:p w14:paraId="3C4DEC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522" w:type="pct"/>
                  <w:shd w:val="clear" w:color="auto" w:fill="FFFFFF"/>
                  <w:noWrap w:val="0"/>
                  <w:vAlign w:val="center"/>
                </w:tcPr>
                <w:p w14:paraId="1C06F4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0.292</w:t>
                  </w:r>
                </w:p>
              </w:tc>
              <w:tc>
                <w:tcPr>
                  <w:tcW w:w="522" w:type="pct"/>
                  <w:shd w:val="clear" w:color="auto" w:fill="FFFFFF"/>
                  <w:noWrap w:val="0"/>
                  <w:vAlign w:val="center"/>
                </w:tcPr>
                <w:p w14:paraId="340277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0.125</w:t>
                  </w:r>
                </w:p>
              </w:tc>
              <w:tc>
                <w:tcPr>
                  <w:tcW w:w="591" w:type="pct"/>
                  <w:shd w:val="clear" w:color="auto" w:fill="FFFFFF"/>
                  <w:noWrap w:val="0"/>
                  <w:vAlign w:val="center"/>
                </w:tcPr>
                <w:p w14:paraId="59B693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-0.292</w:t>
                  </w:r>
                </w:p>
              </w:tc>
            </w:tr>
            <w:tr w14:paraId="13BF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7" w:hRule="atLeast"/>
              </w:trPr>
              <w:tc>
                <w:tcPr>
                  <w:tcW w:w="247" w:type="pct"/>
                  <w:vMerge w:val="continue"/>
                  <w:shd w:val="clear" w:color="auto" w:fill="FFFFFF"/>
                  <w:noWrap w:val="0"/>
                  <w:vAlign w:val="center"/>
                </w:tcPr>
                <w:p w14:paraId="4094FF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1184" w:type="pct"/>
                  <w:gridSpan w:val="2"/>
                  <w:shd w:val="clear" w:color="auto" w:fill="FFFFFF"/>
                  <w:noWrap w:val="0"/>
                  <w:vAlign w:val="center"/>
                </w:tcPr>
                <w:p w14:paraId="3B08E9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污水处理站污泥（</w:t>
                  </w:r>
                  <w:r>
                    <w:rPr>
                      <w:rFonts w:hint="eastAsia" w:cs="Times New Roman"/>
                      <w:color w:val="auto"/>
                      <w:sz w:val="21"/>
                      <w:szCs w:val="21"/>
                      <w:lang w:eastAsia="zh-CN"/>
                    </w:rPr>
                    <w:t>t/a</w:t>
                  </w:r>
                  <w:r>
                    <w:rPr>
                      <w:rFonts w:hint="eastAsia" w:cs="Times New Roman"/>
                      <w:color w:val="auto"/>
                      <w:sz w:val="21"/>
                      <w:szCs w:val="21"/>
                      <w:lang w:val="en-US" w:eastAsia="zh-CN"/>
                    </w:rPr>
                    <w:t>）</w:t>
                  </w:r>
                </w:p>
              </w:tc>
              <w:tc>
                <w:tcPr>
                  <w:tcW w:w="444" w:type="pct"/>
                  <w:shd w:val="clear" w:color="auto" w:fill="FFFFFF"/>
                  <w:noWrap w:val="0"/>
                  <w:vAlign w:val="center"/>
                </w:tcPr>
                <w:p w14:paraId="4EAF90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401" w:type="pct"/>
                  <w:shd w:val="clear" w:color="auto" w:fill="FFFFFF"/>
                  <w:noWrap w:val="0"/>
                  <w:vAlign w:val="center"/>
                </w:tcPr>
                <w:p w14:paraId="307882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w:t>
                  </w:r>
                </w:p>
              </w:tc>
              <w:tc>
                <w:tcPr>
                  <w:tcW w:w="522" w:type="pct"/>
                  <w:shd w:val="clear" w:color="auto" w:fill="FFFFFF"/>
                  <w:noWrap w:val="0"/>
                  <w:vAlign w:val="center"/>
                </w:tcPr>
                <w:p w14:paraId="5A1D74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0.192</w:t>
                  </w:r>
                </w:p>
              </w:tc>
              <w:tc>
                <w:tcPr>
                  <w:tcW w:w="563" w:type="pct"/>
                  <w:shd w:val="clear" w:color="auto" w:fill="FFFFFF"/>
                  <w:noWrap w:val="0"/>
                  <w:vAlign w:val="center"/>
                </w:tcPr>
                <w:p w14:paraId="4EF0AD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w:t>
                  </w:r>
                </w:p>
              </w:tc>
              <w:tc>
                <w:tcPr>
                  <w:tcW w:w="522" w:type="pct"/>
                  <w:shd w:val="clear" w:color="auto" w:fill="FFFFFF"/>
                  <w:noWrap w:val="0"/>
                  <w:vAlign w:val="center"/>
                </w:tcPr>
                <w:p w14:paraId="3E1672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w:t>
                  </w:r>
                </w:p>
              </w:tc>
              <w:tc>
                <w:tcPr>
                  <w:tcW w:w="522" w:type="pct"/>
                  <w:shd w:val="clear" w:color="auto" w:fill="FFFFFF"/>
                  <w:noWrap w:val="0"/>
                  <w:vAlign w:val="center"/>
                </w:tcPr>
                <w:p w14:paraId="55526B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0.192</w:t>
                  </w:r>
                </w:p>
              </w:tc>
              <w:tc>
                <w:tcPr>
                  <w:tcW w:w="591" w:type="pct"/>
                  <w:shd w:val="clear" w:color="auto" w:fill="FFFFFF"/>
                  <w:noWrap w:val="0"/>
                  <w:vAlign w:val="center"/>
                </w:tcPr>
                <w:p w14:paraId="0C2884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+0.192</w:t>
                  </w:r>
                </w:p>
              </w:tc>
            </w:tr>
            <w:tr w14:paraId="43092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7" w:hRule="atLeast"/>
              </w:trPr>
              <w:tc>
                <w:tcPr>
                  <w:tcW w:w="247" w:type="pct"/>
                  <w:vMerge w:val="continue"/>
                  <w:shd w:val="clear" w:color="auto" w:fill="FFFFFF"/>
                  <w:noWrap w:val="0"/>
                  <w:vAlign w:val="center"/>
                </w:tcPr>
                <w:p w14:paraId="7C9510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1184" w:type="pct"/>
                  <w:gridSpan w:val="2"/>
                  <w:shd w:val="clear" w:color="auto" w:fill="FFFFFF"/>
                  <w:noWrap w:val="0"/>
                  <w:vAlign w:val="center"/>
                </w:tcPr>
                <w:p w14:paraId="28289D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焊渣</w:t>
                  </w:r>
                  <w:r>
                    <w:rPr>
                      <w:rFonts w:hint="eastAsia" w:cs="Times New Roman"/>
                      <w:color w:val="auto"/>
                      <w:sz w:val="21"/>
                      <w:szCs w:val="21"/>
                      <w:lang w:eastAsia="zh-CN"/>
                    </w:rPr>
                    <w:t>（t/a）</w:t>
                  </w:r>
                </w:p>
              </w:tc>
              <w:tc>
                <w:tcPr>
                  <w:tcW w:w="444" w:type="pct"/>
                  <w:shd w:val="clear" w:color="auto" w:fill="FFFFFF"/>
                  <w:noWrap w:val="0"/>
                  <w:vAlign w:val="center"/>
                </w:tcPr>
                <w:p w14:paraId="2D30B5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35</w:t>
                  </w:r>
                </w:p>
              </w:tc>
              <w:tc>
                <w:tcPr>
                  <w:tcW w:w="401" w:type="pct"/>
                  <w:shd w:val="clear" w:color="auto" w:fill="FFFFFF"/>
                  <w:noWrap w:val="0"/>
                  <w:vAlign w:val="center"/>
                </w:tcPr>
                <w:p w14:paraId="6B768F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522" w:type="pct"/>
                  <w:shd w:val="clear" w:color="auto" w:fill="FFFFFF"/>
                  <w:noWrap w:val="0"/>
                  <w:vAlign w:val="center"/>
                </w:tcPr>
                <w:p w14:paraId="68B0BC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50</w:t>
                  </w:r>
                </w:p>
              </w:tc>
              <w:tc>
                <w:tcPr>
                  <w:tcW w:w="563" w:type="pct"/>
                  <w:shd w:val="clear" w:color="auto" w:fill="FFFFFF"/>
                  <w:noWrap w:val="0"/>
                  <w:vAlign w:val="center"/>
                </w:tcPr>
                <w:p w14:paraId="2BC277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522" w:type="pct"/>
                  <w:shd w:val="clear" w:color="auto" w:fill="FFFFFF"/>
                  <w:noWrap w:val="0"/>
                  <w:vAlign w:val="center"/>
                </w:tcPr>
                <w:p w14:paraId="2FC607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15</w:t>
                  </w:r>
                </w:p>
              </w:tc>
              <w:tc>
                <w:tcPr>
                  <w:tcW w:w="522" w:type="pct"/>
                  <w:shd w:val="clear" w:color="auto" w:fill="FFFFFF"/>
                  <w:noWrap w:val="0"/>
                  <w:vAlign w:val="center"/>
                </w:tcPr>
                <w:p w14:paraId="0AF922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50</w:t>
                  </w:r>
                </w:p>
              </w:tc>
              <w:tc>
                <w:tcPr>
                  <w:tcW w:w="591" w:type="pct"/>
                  <w:shd w:val="clear" w:color="auto" w:fill="FFFFFF"/>
                  <w:noWrap w:val="0"/>
                  <w:vAlign w:val="center"/>
                </w:tcPr>
                <w:p w14:paraId="33FA6A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+1</w:t>
                  </w:r>
                  <w:r>
                    <w:rPr>
                      <w:rFonts w:hint="eastAsia" w:ascii="Times New Roman" w:hAnsi="Times New Roman" w:cs="Times New Roman"/>
                      <w:color w:val="auto"/>
                      <w:sz w:val="21"/>
                      <w:szCs w:val="21"/>
                      <w:lang w:val="en-US" w:eastAsia="zh-CN"/>
                    </w:rPr>
                    <w:t>5</w:t>
                  </w:r>
                </w:p>
              </w:tc>
            </w:tr>
            <w:tr w14:paraId="63C35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7" w:hRule="atLeast"/>
              </w:trPr>
              <w:tc>
                <w:tcPr>
                  <w:tcW w:w="247" w:type="pct"/>
                  <w:vMerge w:val="continue"/>
                  <w:shd w:val="clear" w:color="auto" w:fill="FFFFFF"/>
                  <w:noWrap w:val="0"/>
                  <w:vAlign w:val="center"/>
                </w:tcPr>
                <w:p w14:paraId="3E1D78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1184" w:type="pct"/>
                  <w:gridSpan w:val="2"/>
                  <w:shd w:val="clear" w:color="auto" w:fill="FFFFFF"/>
                  <w:noWrap w:val="0"/>
                  <w:vAlign w:val="center"/>
                </w:tcPr>
                <w:p w14:paraId="0008D9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循环水池沉渣</w:t>
                  </w:r>
                  <w:r>
                    <w:rPr>
                      <w:rFonts w:hint="eastAsia" w:cs="Times New Roman"/>
                      <w:color w:val="auto"/>
                      <w:sz w:val="21"/>
                      <w:szCs w:val="21"/>
                      <w:lang w:eastAsia="zh-CN"/>
                    </w:rPr>
                    <w:t>（t/a）</w:t>
                  </w:r>
                </w:p>
              </w:tc>
              <w:tc>
                <w:tcPr>
                  <w:tcW w:w="444" w:type="pct"/>
                  <w:shd w:val="clear" w:color="auto" w:fill="FFFFFF"/>
                  <w:noWrap w:val="0"/>
                  <w:vAlign w:val="center"/>
                </w:tcPr>
                <w:p w14:paraId="22AFFF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w:t>
                  </w:r>
                </w:p>
              </w:tc>
              <w:tc>
                <w:tcPr>
                  <w:tcW w:w="401" w:type="pct"/>
                  <w:shd w:val="clear" w:color="auto" w:fill="FFFFFF"/>
                  <w:noWrap w:val="0"/>
                  <w:vAlign w:val="center"/>
                </w:tcPr>
                <w:p w14:paraId="38BDE1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522" w:type="pct"/>
                  <w:shd w:val="clear" w:color="auto" w:fill="FFFFFF"/>
                  <w:noWrap w:val="0"/>
                  <w:vAlign w:val="center"/>
                </w:tcPr>
                <w:p w14:paraId="547483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sz w:val="21"/>
                      <w:szCs w:val="21"/>
                      <w:lang w:val="en-US" w:eastAsia="zh-CN"/>
                    </w:rPr>
                    <w:t>10</w:t>
                  </w:r>
                </w:p>
              </w:tc>
              <w:tc>
                <w:tcPr>
                  <w:tcW w:w="563" w:type="pct"/>
                  <w:shd w:val="clear" w:color="auto" w:fill="FFFFFF"/>
                  <w:noWrap w:val="0"/>
                  <w:vAlign w:val="center"/>
                </w:tcPr>
                <w:p w14:paraId="438426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522" w:type="pct"/>
                  <w:shd w:val="clear" w:color="auto" w:fill="FFFFFF"/>
                  <w:noWrap w:val="0"/>
                  <w:vAlign w:val="center"/>
                </w:tcPr>
                <w:p w14:paraId="701F5C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val="en-US" w:eastAsia="zh-CN"/>
                    </w:rPr>
                    <w:t>3</w:t>
                  </w:r>
                </w:p>
              </w:tc>
              <w:tc>
                <w:tcPr>
                  <w:tcW w:w="522" w:type="pct"/>
                  <w:shd w:val="clear" w:color="auto" w:fill="FFFFFF"/>
                  <w:noWrap w:val="0"/>
                  <w:vAlign w:val="center"/>
                </w:tcPr>
                <w:p w14:paraId="55452E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10</w:t>
                  </w:r>
                </w:p>
              </w:tc>
              <w:tc>
                <w:tcPr>
                  <w:tcW w:w="591" w:type="pct"/>
                  <w:shd w:val="clear" w:color="auto" w:fill="FFFFFF"/>
                  <w:noWrap w:val="0"/>
                  <w:vAlign w:val="center"/>
                </w:tcPr>
                <w:p w14:paraId="6A0A7A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lang w:val="en-US" w:eastAsia="zh-CN"/>
                    </w:rPr>
                    <w:t>3</w:t>
                  </w:r>
                </w:p>
              </w:tc>
            </w:tr>
            <w:tr w14:paraId="0DF49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7" w:type="pct"/>
                  <w:vMerge w:val="continue"/>
                  <w:shd w:val="clear" w:color="auto" w:fill="FFFFFF"/>
                  <w:noWrap w:val="0"/>
                  <w:vAlign w:val="center"/>
                </w:tcPr>
                <w:p w14:paraId="3CE0DF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1184" w:type="pct"/>
                  <w:gridSpan w:val="2"/>
                  <w:shd w:val="clear" w:color="auto" w:fill="FFFFFF"/>
                  <w:noWrap w:val="0"/>
                  <w:vAlign w:val="center"/>
                </w:tcPr>
                <w:p w14:paraId="0B2378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边角废料及切割碎屑</w:t>
                  </w:r>
                  <w:r>
                    <w:rPr>
                      <w:rFonts w:hint="eastAsia" w:cs="Times New Roman"/>
                      <w:color w:val="auto"/>
                      <w:sz w:val="21"/>
                      <w:szCs w:val="21"/>
                      <w:lang w:eastAsia="zh-CN"/>
                    </w:rPr>
                    <w:t>（t/a）</w:t>
                  </w:r>
                </w:p>
              </w:tc>
              <w:tc>
                <w:tcPr>
                  <w:tcW w:w="444" w:type="pct"/>
                  <w:shd w:val="clear" w:color="auto" w:fill="FFFFFF"/>
                  <w:noWrap w:val="0"/>
                  <w:vAlign w:val="center"/>
                </w:tcPr>
                <w:p w14:paraId="393822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312.608</w:t>
                  </w:r>
                </w:p>
              </w:tc>
              <w:tc>
                <w:tcPr>
                  <w:tcW w:w="401" w:type="pct"/>
                  <w:shd w:val="clear" w:color="auto" w:fill="FFFFFF"/>
                  <w:noWrap w:val="0"/>
                  <w:vAlign w:val="center"/>
                </w:tcPr>
                <w:p w14:paraId="390ACD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522" w:type="pct"/>
                  <w:shd w:val="clear" w:color="auto" w:fill="FFFFFF"/>
                  <w:noWrap w:val="0"/>
                  <w:vAlign w:val="center"/>
                </w:tcPr>
                <w:p w14:paraId="405969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0"/>
                      <w:sz w:val="21"/>
                      <w:szCs w:val="21"/>
                    </w:rPr>
                  </w:pPr>
                  <w:r>
                    <w:rPr>
                      <w:rFonts w:hint="eastAsia" w:ascii="Times New Roman" w:hAnsi="Times New Roman" w:cs="Times New Roman"/>
                      <w:color w:val="auto"/>
                      <w:sz w:val="21"/>
                      <w:szCs w:val="21"/>
                      <w:lang w:val="en-US" w:eastAsia="zh-CN"/>
                    </w:rPr>
                    <w:t>446.782</w:t>
                  </w:r>
                </w:p>
              </w:tc>
              <w:tc>
                <w:tcPr>
                  <w:tcW w:w="563" w:type="pct"/>
                  <w:shd w:val="clear" w:color="auto" w:fill="FFFFFF"/>
                  <w:noWrap w:val="0"/>
                  <w:vAlign w:val="center"/>
                </w:tcPr>
                <w:p w14:paraId="185528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522" w:type="pct"/>
                  <w:shd w:val="clear" w:color="auto" w:fill="FFFFFF"/>
                  <w:noWrap w:val="0"/>
                  <w:vAlign w:val="center"/>
                </w:tcPr>
                <w:p w14:paraId="2363F2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134.174</w:t>
                  </w:r>
                </w:p>
              </w:tc>
              <w:tc>
                <w:tcPr>
                  <w:tcW w:w="522" w:type="pct"/>
                  <w:shd w:val="clear" w:color="auto" w:fill="FFFFFF"/>
                  <w:noWrap w:val="0"/>
                  <w:vAlign w:val="center"/>
                </w:tcPr>
                <w:p w14:paraId="02838C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446.782</w:t>
                  </w:r>
                </w:p>
              </w:tc>
              <w:tc>
                <w:tcPr>
                  <w:tcW w:w="591" w:type="pct"/>
                  <w:shd w:val="clear" w:color="auto" w:fill="FFFFFF"/>
                  <w:noWrap w:val="0"/>
                  <w:vAlign w:val="center"/>
                </w:tcPr>
                <w:p w14:paraId="1DA4E8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lang w:val="en-US" w:eastAsia="zh-CN"/>
                    </w:rPr>
                    <w:t>134.174</w:t>
                  </w:r>
                </w:p>
              </w:tc>
            </w:tr>
            <w:tr w14:paraId="1D1D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7" w:hRule="atLeast"/>
              </w:trPr>
              <w:tc>
                <w:tcPr>
                  <w:tcW w:w="247" w:type="pct"/>
                  <w:vMerge w:val="continue"/>
                  <w:shd w:val="clear" w:color="auto" w:fill="FFFFFF"/>
                  <w:noWrap w:val="0"/>
                  <w:vAlign w:val="center"/>
                </w:tcPr>
                <w:p w14:paraId="5DB339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1184" w:type="pct"/>
                  <w:gridSpan w:val="2"/>
                  <w:shd w:val="clear" w:color="auto" w:fill="FFFFFF"/>
                  <w:noWrap w:val="0"/>
                  <w:vAlign w:val="center"/>
                </w:tcPr>
                <w:p w14:paraId="20F700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废液压油（t/a）</w:t>
                  </w:r>
                </w:p>
              </w:tc>
              <w:tc>
                <w:tcPr>
                  <w:tcW w:w="444" w:type="pct"/>
                  <w:shd w:val="clear" w:color="auto" w:fill="FFFFFF"/>
                  <w:noWrap w:val="0"/>
                  <w:vAlign w:val="center"/>
                </w:tcPr>
                <w:p w14:paraId="4AA5A6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0.</w:t>
                  </w:r>
                  <w:r>
                    <w:rPr>
                      <w:rFonts w:hint="eastAsia" w:cs="Times New Roman"/>
                      <w:color w:val="auto"/>
                      <w:sz w:val="21"/>
                      <w:szCs w:val="21"/>
                      <w:lang w:val="en-US" w:eastAsia="zh-CN"/>
                    </w:rPr>
                    <w:t>35</w:t>
                  </w:r>
                </w:p>
              </w:tc>
              <w:tc>
                <w:tcPr>
                  <w:tcW w:w="401" w:type="pct"/>
                  <w:shd w:val="clear" w:color="auto" w:fill="FFFFFF"/>
                  <w:noWrap w:val="0"/>
                  <w:vAlign w:val="center"/>
                </w:tcPr>
                <w:p w14:paraId="0580FD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522" w:type="pct"/>
                  <w:shd w:val="clear" w:color="auto" w:fill="FFFFFF"/>
                  <w:noWrap w:val="0"/>
                  <w:vAlign w:val="center"/>
                </w:tcPr>
                <w:p w14:paraId="01F818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0.5</w:t>
                  </w:r>
                </w:p>
              </w:tc>
              <w:tc>
                <w:tcPr>
                  <w:tcW w:w="563" w:type="pct"/>
                  <w:shd w:val="clear" w:color="auto" w:fill="FFFFFF"/>
                  <w:noWrap w:val="0"/>
                  <w:vAlign w:val="center"/>
                </w:tcPr>
                <w:p w14:paraId="1B01B6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522" w:type="pct"/>
                  <w:shd w:val="clear" w:color="auto" w:fill="FFFFFF"/>
                  <w:noWrap w:val="0"/>
                  <w:vAlign w:val="center"/>
                </w:tcPr>
                <w:p w14:paraId="4AFC04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0.15</w:t>
                  </w:r>
                </w:p>
              </w:tc>
              <w:tc>
                <w:tcPr>
                  <w:tcW w:w="522" w:type="pct"/>
                  <w:shd w:val="clear" w:color="auto" w:fill="FFFFFF"/>
                  <w:noWrap w:val="0"/>
                  <w:vAlign w:val="center"/>
                </w:tcPr>
                <w:p w14:paraId="372716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0.5</w:t>
                  </w:r>
                </w:p>
              </w:tc>
              <w:tc>
                <w:tcPr>
                  <w:tcW w:w="591" w:type="pct"/>
                  <w:shd w:val="clear" w:color="auto" w:fill="FFFFFF"/>
                  <w:noWrap w:val="0"/>
                  <w:vAlign w:val="center"/>
                </w:tcPr>
                <w:p w14:paraId="01C7BC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eastAsia" w:cs="Times New Roman"/>
                      <w:color w:val="auto"/>
                      <w:sz w:val="21"/>
                      <w:szCs w:val="21"/>
                      <w:lang w:val="en-US" w:eastAsia="zh-CN"/>
                    </w:rPr>
                    <w:t>+0.15</w:t>
                  </w:r>
                </w:p>
              </w:tc>
            </w:tr>
            <w:tr w14:paraId="42B85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7" w:hRule="atLeast"/>
              </w:trPr>
              <w:tc>
                <w:tcPr>
                  <w:tcW w:w="247" w:type="pct"/>
                  <w:vMerge w:val="continue"/>
                  <w:shd w:val="clear" w:color="auto" w:fill="FFFFFF"/>
                  <w:noWrap w:val="0"/>
                  <w:vAlign w:val="center"/>
                </w:tcPr>
                <w:p w14:paraId="6BA847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1184" w:type="pct"/>
                  <w:gridSpan w:val="2"/>
                  <w:shd w:val="clear" w:color="auto" w:fill="FFFFFF"/>
                  <w:noWrap w:val="0"/>
                  <w:vAlign w:val="center"/>
                </w:tcPr>
                <w:p w14:paraId="2065C6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废液压油</w:t>
                  </w:r>
                  <w:r>
                    <w:rPr>
                      <w:rFonts w:hint="eastAsia" w:ascii="Times New Roman" w:hAnsi="Times New Roman" w:cs="Times New Roman"/>
                      <w:color w:val="auto"/>
                      <w:sz w:val="21"/>
                      <w:szCs w:val="21"/>
                      <w:lang w:val="en-US" w:eastAsia="zh-CN"/>
                    </w:rPr>
                    <w:t>桶</w:t>
                  </w:r>
                  <w:r>
                    <w:rPr>
                      <w:rFonts w:hint="default" w:ascii="Times New Roman" w:hAnsi="Times New Roman" w:cs="Times New Roman"/>
                      <w:color w:val="auto"/>
                      <w:sz w:val="21"/>
                      <w:szCs w:val="21"/>
                    </w:rPr>
                    <w:t>（t/a）</w:t>
                  </w:r>
                </w:p>
              </w:tc>
              <w:tc>
                <w:tcPr>
                  <w:tcW w:w="444" w:type="pct"/>
                  <w:shd w:val="clear" w:color="auto" w:fill="FFFFFF"/>
                  <w:noWrap w:val="0"/>
                  <w:vAlign w:val="center"/>
                </w:tcPr>
                <w:p w14:paraId="6A5CE3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0.1</w:t>
                  </w:r>
                  <w:r>
                    <w:rPr>
                      <w:rFonts w:hint="eastAsia" w:cs="Times New Roman"/>
                      <w:color w:val="auto"/>
                      <w:sz w:val="21"/>
                      <w:szCs w:val="21"/>
                      <w:lang w:val="en-US" w:eastAsia="zh-CN"/>
                    </w:rPr>
                    <w:t>4</w:t>
                  </w:r>
                </w:p>
              </w:tc>
              <w:tc>
                <w:tcPr>
                  <w:tcW w:w="401" w:type="pct"/>
                  <w:shd w:val="clear" w:color="auto" w:fill="FFFFFF"/>
                  <w:noWrap w:val="0"/>
                  <w:vAlign w:val="center"/>
                </w:tcPr>
                <w:p w14:paraId="0FC654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522" w:type="pct"/>
                  <w:shd w:val="clear" w:color="auto" w:fill="FFFFFF"/>
                  <w:noWrap w:val="0"/>
                  <w:vAlign w:val="center"/>
                </w:tcPr>
                <w:p w14:paraId="2B7410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0.2</w:t>
                  </w:r>
                </w:p>
              </w:tc>
              <w:tc>
                <w:tcPr>
                  <w:tcW w:w="563" w:type="pct"/>
                  <w:shd w:val="clear" w:color="auto" w:fill="FFFFFF"/>
                  <w:noWrap w:val="0"/>
                  <w:vAlign w:val="center"/>
                </w:tcPr>
                <w:p w14:paraId="55C342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522" w:type="pct"/>
                  <w:shd w:val="clear" w:color="auto" w:fill="FFFFFF"/>
                  <w:noWrap w:val="0"/>
                  <w:vAlign w:val="center"/>
                </w:tcPr>
                <w:p w14:paraId="5E43CB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0.06</w:t>
                  </w:r>
                </w:p>
              </w:tc>
              <w:tc>
                <w:tcPr>
                  <w:tcW w:w="522" w:type="pct"/>
                  <w:shd w:val="clear" w:color="auto" w:fill="FFFFFF"/>
                  <w:noWrap w:val="0"/>
                  <w:vAlign w:val="center"/>
                </w:tcPr>
                <w:p w14:paraId="739D8A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kern w:val="0"/>
                      <w:sz w:val="21"/>
                      <w:szCs w:val="21"/>
                      <w:lang w:val="en-US" w:eastAsia="zh-CN"/>
                    </w:rPr>
                    <w:t>0.2</w:t>
                  </w:r>
                </w:p>
              </w:tc>
              <w:tc>
                <w:tcPr>
                  <w:tcW w:w="591" w:type="pct"/>
                  <w:shd w:val="clear" w:color="auto" w:fill="FFFFFF"/>
                  <w:noWrap w:val="0"/>
                  <w:vAlign w:val="center"/>
                </w:tcPr>
                <w:p w14:paraId="0332A2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eastAsia" w:cs="Times New Roman"/>
                      <w:color w:val="auto"/>
                      <w:sz w:val="21"/>
                      <w:szCs w:val="21"/>
                      <w:lang w:val="en-US" w:eastAsia="zh-CN"/>
                    </w:rPr>
                    <w:t>+0.06</w:t>
                  </w:r>
                </w:p>
              </w:tc>
            </w:tr>
            <w:tr w14:paraId="25FAC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7" w:type="pct"/>
                  <w:vMerge w:val="continue"/>
                  <w:shd w:val="clear" w:color="auto" w:fill="FFFFFF"/>
                  <w:noWrap w:val="0"/>
                  <w:vAlign w:val="center"/>
                </w:tcPr>
                <w:p w14:paraId="451186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1184" w:type="pct"/>
                  <w:gridSpan w:val="2"/>
                  <w:shd w:val="clear" w:color="auto" w:fill="FFFFFF"/>
                  <w:noWrap w:val="0"/>
                  <w:vAlign w:val="center"/>
                </w:tcPr>
                <w:p w14:paraId="41B9F3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废机油</w:t>
                  </w:r>
                  <w:r>
                    <w:rPr>
                      <w:rFonts w:hint="default" w:ascii="Times New Roman" w:hAnsi="Times New Roman" w:cs="Times New Roman"/>
                      <w:color w:val="auto"/>
                      <w:sz w:val="21"/>
                      <w:szCs w:val="21"/>
                    </w:rPr>
                    <w:t>（t/a）</w:t>
                  </w:r>
                </w:p>
              </w:tc>
              <w:tc>
                <w:tcPr>
                  <w:tcW w:w="444" w:type="pct"/>
                  <w:shd w:val="clear" w:color="auto" w:fill="FFFFFF"/>
                  <w:noWrap w:val="0"/>
                  <w:vAlign w:val="center"/>
                </w:tcPr>
                <w:p w14:paraId="338C4F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0.07</w:t>
                  </w:r>
                </w:p>
              </w:tc>
              <w:tc>
                <w:tcPr>
                  <w:tcW w:w="401" w:type="pct"/>
                  <w:shd w:val="clear" w:color="auto" w:fill="FFFFFF"/>
                  <w:noWrap w:val="0"/>
                  <w:vAlign w:val="center"/>
                </w:tcPr>
                <w:p w14:paraId="57FA4B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522" w:type="pct"/>
                  <w:shd w:val="clear" w:color="auto" w:fill="FFFFFF"/>
                  <w:noWrap w:val="0"/>
                  <w:vAlign w:val="center"/>
                </w:tcPr>
                <w:p w14:paraId="7641A9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0.1</w:t>
                  </w:r>
                </w:p>
              </w:tc>
              <w:tc>
                <w:tcPr>
                  <w:tcW w:w="563" w:type="pct"/>
                  <w:shd w:val="clear" w:color="auto" w:fill="FFFFFF"/>
                  <w:noWrap w:val="0"/>
                  <w:vAlign w:val="center"/>
                </w:tcPr>
                <w:p w14:paraId="707201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522" w:type="pct"/>
                  <w:shd w:val="clear" w:color="auto" w:fill="FFFFFF"/>
                  <w:noWrap w:val="0"/>
                  <w:vAlign w:val="center"/>
                </w:tcPr>
                <w:p w14:paraId="71E5C6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0.07</w:t>
                  </w:r>
                </w:p>
              </w:tc>
              <w:tc>
                <w:tcPr>
                  <w:tcW w:w="522" w:type="pct"/>
                  <w:shd w:val="clear" w:color="auto" w:fill="FFFFFF"/>
                  <w:noWrap w:val="0"/>
                  <w:vAlign w:val="center"/>
                </w:tcPr>
                <w:p w14:paraId="63C5EF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kern w:val="0"/>
                      <w:sz w:val="21"/>
                      <w:szCs w:val="21"/>
                      <w:lang w:val="en-US" w:eastAsia="zh-CN"/>
                    </w:rPr>
                    <w:t>0.1</w:t>
                  </w:r>
                </w:p>
              </w:tc>
              <w:tc>
                <w:tcPr>
                  <w:tcW w:w="591" w:type="pct"/>
                  <w:shd w:val="clear" w:color="auto" w:fill="FFFFFF"/>
                  <w:noWrap w:val="0"/>
                  <w:vAlign w:val="center"/>
                </w:tcPr>
                <w:p w14:paraId="1690C9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+0.03</w:t>
                  </w:r>
                </w:p>
              </w:tc>
            </w:tr>
          </w:tbl>
          <w:p w14:paraId="17CDE7F7">
            <w:pPr>
              <w:bidi w:val="0"/>
              <w:ind w:left="0" w:leftChars="0" w:firstLine="0" w:firstLineChars="0"/>
              <w:rPr>
                <w:rFonts w:hint="default"/>
                <w:color w:val="auto"/>
                <w:lang w:val="en-US" w:eastAsia="zh-CN"/>
              </w:rPr>
            </w:pPr>
          </w:p>
          <w:p w14:paraId="4760FCAD">
            <w:pPr>
              <w:bidi w:val="0"/>
              <w:ind w:left="0" w:leftChars="0" w:firstLine="0" w:firstLineChars="0"/>
              <w:rPr>
                <w:rFonts w:hint="default"/>
                <w:color w:val="auto"/>
                <w:lang w:val="en-US" w:eastAsia="zh-CN"/>
              </w:rPr>
            </w:pPr>
          </w:p>
          <w:p w14:paraId="34346D18">
            <w:pPr>
              <w:bidi w:val="0"/>
              <w:ind w:left="0" w:leftChars="0" w:firstLine="0" w:firstLineChars="0"/>
              <w:rPr>
                <w:rFonts w:hint="default"/>
                <w:color w:val="auto"/>
                <w:lang w:val="en-US" w:eastAsia="zh-CN"/>
              </w:rPr>
            </w:pPr>
          </w:p>
          <w:p w14:paraId="2AFBE01F">
            <w:pPr>
              <w:bidi w:val="0"/>
              <w:ind w:left="0" w:leftChars="0" w:firstLine="0" w:firstLineChars="0"/>
              <w:rPr>
                <w:rFonts w:hint="default"/>
                <w:color w:val="auto"/>
                <w:lang w:val="en-US" w:eastAsia="zh-CN"/>
              </w:rPr>
            </w:pPr>
          </w:p>
          <w:p w14:paraId="2BCD57B3">
            <w:pPr>
              <w:bidi w:val="0"/>
              <w:ind w:left="0" w:leftChars="0" w:firstLine="0" w:firstLineChars="0"/>
              <w:rPr>
                <w:rFonts w:hint="default"/>
                <w:color w:val="auto"/>
                <w:lang w:val="en-US" w:eastAsia="zh-CN"/>
              </w:rPr>
            </w:pPr>
          </w:p>
          <w:p w14:paraId="09D0E252">
            <w:pPr>
              <w:bidi w:val="0"/>
              <w:ind w:left="0" w:leftChars="0" w:firstLine="0" w:firstLineChars="0"/>
              <w:rPr>
                <w:rFonts w:hint="default"/>
                <w:color w:val="auto"/>
                <w:lang w:val="en-US" w:eastAsia="zh-CN"/>
              </w:rPr>
            </w:pPr>
          </w:p>
          <w:p w14:paraId="2D35D244">
            <w:pPr>
              <w:bidi w:val="0"/>
              <w:ind w:left="0" w:leftChars="0" w:firstLine="0" w:firstLineChars="0"/>
              <w:rPr>
                <w:rFonts w:hint="default"/>
                <w:color w:val="auto"/>
                <w:lang w:val="en-US" w:eastAsia="zh-CN"/>
              </w:rPr>
            </w:pPr>
          </w:p>
          <w:p w14:paraId="21F3C44A">
            <w:pPr>
              <w:bidi w:val="0"/>
              <w:ind w:left="0" w:leftChars="0" w:firstLine="0" w:firstLineChars="0"/>
              <w:rPr>
                <w:rFonts w:hint="default"/>
                <w:color w:val="auto"/>
                <w:lang w:val="en-US" w:eastAsia="zh-CN"/>
              </w:rPr>
            </w:pPr>
          </w:p>
          <w:p w14:paraId="560E1F08">
            <w:pPr>
              <w:bidi w:val="0"/>
              <w:ind w:left="0" w:leftChars="0" w:firstLine="0" w:firstLineChars="0"/>
              <w:rPr>
                <w:rFonts w:hint="default"/>
                <w:color w:val="auto"/>
                <w:lang w:val="en-US" w:eastAsia="zh-CN"/>
              </w:rPr>
            </w:pPr>
          </w:p>
          <w:p w14:paraId="20DC2882">
            <w:pPr>
              <w:bidi w:val="0"/>
              <w:ind w:left="0" w:leftChars="0" w:firstLine="0" w:firstLineChars="0"/>
              <w:rPr>
                <w:rFonts w:hint="default"/>
                <w:color w:val="auto"/>
                <w:lang w:val="en-US" w:eastAsia="zh-CN"/>
              </w:rPr>
            </w:pPr>
          </w:p>
          <w:p w14:paraId="6DAF3F35">
            <w:pPr>
              <w:bidi w:val="0"/>
              <w:ind w:left="0" w:leftChars="0" w:firstLine="0" w:firstLineChars="0"/>
              <w:rPr>
                <w:rFonts w:hint="default"/>
                <w:color w:val="auto"/>
                <w:lang w:val="en-US" w:eastAsia="zh-CN"/>
              </w:rPr>
            </w:pPr>
          </w:p>
          <w:p w14:paraId="0898AB19">
            <w:pPr>
              <w:bidi w:val="0"/>
              <w:ind w:left="0" w:leftChars="0" w:firstLine="0" w:firstLineChars="0"/>
              <w:rPr>
                <w:rFonts w:hint="default"/>
                <w:color w:val="auto"/>
                <w:lang w:val="en-US" w:eastAsia="zh-CN"/>
              </w:rPr>
            </w:pPr>
          </w:p>
          <w:p w14:paraId="1A4277DB">
            <w:pPr>
              <w:bidi w:val="0"/>
              <w:ind w:left="0" w:leftChars="0" w:firstLine="0" w:firstLineChars="0"/>
              <w:rPr>
                <w:rFonts w:hint="default"/>
                <w:color w:val="auto"/>
                <w:lang w:val="en-US" w:eastAsia="zh-CN"/>
              </w:rPr>
            </w:pPr>
          </w:p>
          <w:p w14:paraId="66010A54">
            <w:pPr>
              <w:bidi w:val="0"/>
              <w:ind w:left="0" w:leftChars="0" w:firstLine="0" w:firstLineChars="0"/>
              <w:rPr>
                <w:rFonts w:hint="default"/>
                <w:color w:val="auto"/>
                <w:lang w:val="en-US" w:eastAsia="zh-CN"/>
              </w:rPr>
            </w:pPr>
          </w:p>
          <w:p w14:paraId="372924AB">
            <w:pPr>
              <w:bidi w:val="0"/>
              <w:ind w:left="0" w:leftChars="0" w:firstLine="0" w:firstLineChars="0"/>
              <w:rPr>
                <w:rFonts w:hint="default"/>
                <w:color w:val="auto"/>
                <w:lang w:val="en-US" w:eastAsia="zh-CN"/>
              </w:rPr>
            </w:pPr>
          </w:p>
          <w:p w14:paraId="3F6F3D58">
            <w:pPr>
              <w:bidi w:val="0"/>
              <w:ind w:left="0" w:leftChars="0" w:firstLine="0" w:firstLineChars="0"/>
              <w:rPr>
                <w:rFonts w:hint="default"/>
                <w:color w:val="auto"/>
                <w:lang w:val="en-US" w:eastAsia="zh-CN"/>
              </w:rPr>
            </w:pPr>
          </w:p>
          <w:p w14:paraId="2DF46F60">
            <w:pPr>
              <w:bidi w:val="0"/>
              <w:ind w:left="0" w:leftChars="0" w:firstLine="0" w:firstLineChars="0"/>
              <w:rPr>
                <w:rFonts w:hint="default"/>
                <w:color w:val="auto"/>
                <w:lang w:val="en-US" w:eastAsia="zh-CN"/>
              </w:rPr>
            </w:pPr>
          </w:p>
          <w:p w14:paraId="2F69F6B4">
            <w:pPr>
              <w:bidi w:val="0"/>
              <w:ind w:left="0" w:leftChars="0" w:firstLine="0" w:firstLineChars="0"/>
              <w:rPr>
                <w:rFonts w:hint="default"/>
                <w:color w:val="auto"/>
                <w:lang w:val="en-US" w:eastAsia="zh-CN"/>
              </w:rPr>
            </w:pPr>
          </w:p>
          <w:p w14:paraId="00775424">
            <w:pPr>
              <w:bidi w:val="0"/>
              <w:ind w:left="0" w:leftChars="0" w:firstLine="0" w:firstLineChars="0"/>
              <w:rPr>
                <w:rFonts w:hint="default"/>
                <w:color w:val="auto"/>
                <w:lang w:val="en-US" w:eastAsia="zh-CN"/>
              </w:rPr>
            </w:pPr>
          </w:p>
          <w:p w14:paraId="1B1D200C">
            <w:pPr>
              <w:bidi w:val="0"/>
              <w:ind w:left="0" w:leftChars="0" w:firstLine="0" w:firstLineChars="0"/>
              <w:rPr>
                <w:rFonts w:hint="default"/>
                <w:color w:val="auto"/>
                <w:lang w:val="en-US" w:eastAsia="zh-CN"/>
              </w:rPr>
            </w:pPr>
          </w:p>
          <w:p w14:paraId="1A809723">
            <w:pPr>
              <w:bidi w:val="0"/>
              <w:ind w:left="0" w:leftChars="0" w:firstLine="0" w:firstLineChars="0"/>
              <w:rPr>
                <w:rFonts w:hint="default"/>
                <w:color w:val="auto"/>
                <w:lang w:val="en-US" w:eastAsia="zh-CN"/>
              </w:rPr>
            </w:pPr>
          </w:p>
          <w:p w14:paraId="329D16B8">
            <w:pPr>
              <w:bidi w:val="0"/>
              <w:ind w:left="0" w:leftChars="0" w:firstLine="0" w:firstLineChars="0"/>
              <w:rPr>
                <w:rFonts w:hint="default"/>
                <w:color w:val="auto"/>
                <w:lang w:val="en-US" w:eastAsia="zh-CN"/>
              </w:rPr>
            </w:pPr>
          </w:p>
          <w:p w14:paraId="1096AA95">
            <w:pPr>
              <w:bidi w:val="0"/>
              <w:ind w:left="0" w:leftChars="0" w:firstLine="0" w:firstLineChars="0"/>
              <w:rPr>
                <w:rFonts w:hint="default"/>
                <w:color w:val="auto"/>
                <w:lang w:val="en-US" w:eastAsia="zh-CN"/>
              </w:rPr>
            </w:pPr>
          </w:p>
          <w:p w14:paraId="62343F34">
            <w:pPr>
              <w:bidi w:val="0"/>
              <w:ind w:left="0" w:leftChars="0" w:firstLine="0" w:firstLineChars="0"/>
              <w:rPr>
                <w:rFonts w:hint="default"/>
                <w:color w:val="auto"/>
                <w:lang w:val="en-US" w:eastAsia="zh-CN"/>
              </w:rPr>
            </w:pPr>
          </w:p>
        </w:tc>
      </w:tr>
    </w:tbl>
    <w:p w14:paraId="322D777C">
      <w:pPr>
        <w:spacing w:line="240" w:lineRule="auto"/>
        <w:ind w:firstLine="0" w:firstLineChars="0"/>
        <w:rPr>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4E11F7F1">
      <w:pPr>
        <w:pStyle w:val="3"/>
        <w:numPr>
          <w:ilvl w:val="0"/>
          <w:numId w:val="2"/>
        </w:numPr>
        <w:rPr>
          <w:color w:val="auto"/>
        </w:rPr>
      </w:pPr>
      <w:r>
        <w:rPr>
          <w:rFonts w:hint="eastAsia"/>
          <w:color w:val="auto"/>
        </w:rPr>
        <w:t>区域环境质量现状、环境保护目标及评价标准</w:t>
      </w:r>
      <w:bookmarkEnd w:id="11"/>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7819"/>
      </w:tblGrid>
      <w:tr w14:paraId="57A0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Align w:val="center"/>
          </w:tcPr>
          <w:p w14:paraId="47656D17">
            <w:pPr>
              <w:ind w:firstLine="0" w:firstLineChars="0"/>
              <w:jc w:val="center"/>
              <w:rPr>
                <w:color w:val="auto"/>
              </w:rPr>
            </w:pPr>
            <w:r>
              <w:rPr>
                <w:rFonts w:hint="eastAsia"/>
                <w:color w:val="auto"/>
              </w:rPr>
              <w:t>区域环境质量现状</w:t>
            </w:r>
          </w:p>
        </w:tc>
        <w:tc>
          <w:tcPr>
            <w:tcW w:w="7819" w:type="dxa"/>
          </w:tcPr>
          <w:p w14:paraId="5A2F4BDD">
            <w:pPr>
              <w:pStyle w:val="40"/>
              <w:rPr>
                <w:rFonts w:hint="default"/>
                <w:color w:val="auto"/>
              </w:rPr>
            </w:pPr>
            <w:r>
              <w:rPr>
                <w:rFonts w:hint="eastAsia"/>
                <w:color w:val="auto"/>
                <w:lang w:eastAsia="zh-CN"/>
              </w:rPr>
              <w:t>一、</w:t>
            </w:r>
            <w:r>
              <w:rPr>
                <w:color w:val="auto"/>
              </w:rPr>
              <w:t>环境空气质量现状</w:t>
            </w:r>
          </w:p>
          <w:p w14:paraId="7C08CEFA">
            <w:pPr>
              <w:ind w:firstLine="482"/>
              <w:rPr>
                <w:b/>
                <w:bCs/>
                <w:color w:val="auto"/>
              </w:rPr>
            </w:pPr>
            <w:r>
              <w:rPr>
                <w:rFonts w:hint="eastAsia"/>
                <w:b/>
                <w:bCs/>
                <w:color w:val="auto"/>
              </w:rPr>
              <w:t>（1）环境空气</w:t>
            </w:r>
            <w:r>
              <w:rPr>
                <w:rFonts w:hint="eastAsia"/>
                <w:b/>
                <w:bCs/>
                <w:color w:val="auto"/>
                <w:lang w:val="en-US" w:eastAsia="zh-CN"/>
              </w:rPr>
              <w:t>功能区划及执行</w:t>
            </w:r>
            <w:r>
              <w:rPr>
                <w:rFonts w:hint="eastAsia"/>
                <w:b/>
                <w:bCs/>
                <w:color w:val="auto"/>
              </w:rPr>
              <w:t>标准</w:t>
            </w:r>
          </w:p>
          <w:p w14:paraId="0A8B5CC3">
            <w:pPr>
              <w:ind w:firstLine="480"/>
              <w:rPr>
                <w:color w:val="auto"/>
                <w:kern w:val="0"/>
                <w:szCs w:val="20"/>
              </w:rPr>
            </w:pPr>
            <w:r>
              <w:rPr>
                <w:rFonts w:hint="eastAsia"/>
                <w:color w:val="auto"/>
                <w:kern w:val="0"/>
                <w:szCs w:val="20"/>
              </w:rPr>
              <w:t>本项目位于玉溪市</w:t>
            </w:r>
            <w:r>
              <w:rPr>
                <w:rFonts w:hint="eastAsia"/>
                <w:color w:val="auto"/>
                <w:kern w:val="0"/>
                <w:szCs w:val="20"/>
                <w:lang w:eastAsia="zh-CN"/>
              </w:rPr>
              <w:t>通海县纳古镇</w:t>
            </w:r>
            <w:r>
              <w:rPr>
                <w:rFonts w:hint="eastAsia"/>
                <w:color w:val="auto"/>
                <w:kern w:val="0"/>
                <w:szCs w:val="20"/>
              </w:rPr>
              <w:t>，</w:t>
            </w:r>
            <w:r>
              <w:rPr>
                <w:color w:val="auto"/>
                <w:kern w:val="0"/>
                <w:szCs w:val="20"/>
              </w:rPr>
              <w:t>项目区属环境空气功能区二类区，</w:t>
            </w:r>
            <w:r>
              <w:rPr>
                <w:rFonts w:hint="eastAsia"/>
                <w:color w:val="auto"/>
                <w:kern w:val="0"/>
                <w:szCs w:val="20"/>
              </w:rPr>
              <w:t>因此项目所在区域环境空气基本污染物2030年12月31日止执行《环境空气质量标准》（GB3095-2026）中过渡阶段二级标准限值，2031年1月1日起执行《环境空气质量标准》（GB3095-2026）二级标准。</w:t>
            </w:r>
            <w:r>
              <w:rPr>
                <w:color w:val="auto"/>
                <w:kern w:val="0"/>
                <w:szCs w:val="20"/>
              </w:rPr>
              <w:t>标准值见表</w:t>
            </w:r>
            <w:r>
              <w:rPr>
                <w:rFonts w:hint="eastAsia"/>
                <w:color w:val="auto"/>
                <w:kern w:val="0"/>
                <w:szCs w:val="20"/>
              </w:rPr>
              <w:t>3-1</w:t>
            </w:r>
            <w:r>
              <w:rPr>
                <w:color w:val="auto"/>
                <w:kern w:val="0"/>
                <w:szCs w:val="20"/>
              </w:rPr>
              <w:t>。</w:t>
            </w:r>
          </w:p>
          <w:p w14:paraId="64B3188C">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表3-1  环境空气质量标准</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9"/>
              <w:gridCol w:w="1459"/>
              <w:gridCol w:w="1485"/>
              <w:gridCol w:w="1143"/>
              <w:gridCol w:w="898"/>
              <w:gridCol w:w="1349"/>
            </w:tblGrid>
            <w:tr w14:paraId="7ED8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29" w:type="pct"/>
                  <w:vMerge w:val="restart"/>
                  <w:noWrap w:val="0"/>
                  <w:vAlign w:val="center"/>
                </w:tcPr>
                <w:p w14:paraId="1CE9E072">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污染物</w:t>
                  </w:r>
                </w:p>
              </w:tc>
              <w:tc>
                <w:tcPr>
                  <w:tcW w:w="2689" w:type="pct"/>
                  <w:gridSpan w:val="3"/>
                  <w:noWrap w:val="0"/>
                  <w:vAlign w:val="center"/>
                </w:tcPr>
                <w:p w14:paraId="7C2AA1B0">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浓度限值（μg/m</w:t>
                  </w:r>
                  <w:r>
                    <w:rPr>
                      <w:rFonts w:hint="default" w:ascii="Times New Roman" w:hAnsi="Times New Roman" w:cs="Times New Roman"/>
                      <w:b/>
                      <w:color w:val="auto"/>
                      <w:sz w:val="21"/>
                      <w:szCs w:val="21"/>
                      <w:vertAlign w:val="superscript"/>
                    </w:rPr>
                    <w:t>3</w:t>
                  </w:r>
                  <w:r>
                    <w:rPr>
                      <w:rFonts w:hint="default" w:ascii="Times New Roman" w:hAnsi="Times New Roman" w:cs="Times New Roman"/>
                      <w:b/>
                      <w:color w:val="auto"/>
                      <w:sz w:val="21"/>
                      <w:szCs w:val="21"/>
                    </w:rPr>
                    <w:t>）</w:t>
                  </w:r>
                </w:p>
              </w:tc>
              <w:tc>
                <w:tcPr>
                  <w:tcW w:w="591" w:type="pct"/>
                  <w:vMerge w:val="restart"/>
                  <w:noWrap w:val="0"/>
                  <w:vAlign w:val="center"/>
                </w:tcPr>
                <w:p w14:paraId="11099698">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单位</w:t>
                  </w:r>
                </w:p>
              </w:tc>
              <w:tc>
                <w:tcPr>
                  <w:tcW w:w="888" w:type="pct"/>
                  <w:vMerge w:val="restart"/>
                  <w:noWrap w:val="0"/>
                  <w:vAlign w:val="center"/>
                </w:tcPr>
                <w:p w14:paraId="6679DF27">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标准来源</w:t>
                  </w:r>
                </w:p>
              </w:tc>
            </w:tr>
            <w:tr w14:paraId="01F5B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29" w:type="pct"/>
                  <w:vMerge w:val="continue"/>
                  <w:noWrap w:val="0"/>
                  <w:vAlign w:val="center"/>
                </w:tcPr>
                <w:p w14:paraId="049457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color w:val="auto"/>
                      <w:sz w:val="21"/>
                      <w:szCs w:val="21"/>
                    </w:rPr>
                  </w:pPr>
                </w:p>
              </w:tc>
              <w:tc>
                <w:tcPr>
                  <w:tcW w:w="960" w:type="pct"/>
                  <w:noWrap w:val="0"/>
                  <w:vAlign w:val="center"/>
                </w:tcPr>
                <w:p w14:paraId="0C844E0E">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取值时间</w:t>
                  </w:r>
                </w:p>
              </w:tc>
              <w:tc>
                <w:tcPr>
                  <w:tcW w:w="977" w:type="pct"/>
                  <w:noWrap w:val="0"/>
                  <w:vAlign w:val="center"/>
                </w:tcPr>
                <w:p w14:paraId="50E8B24A">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过渡阶段二级标准（</w:t>
                  </w:r>
                  <w:r>
                    <w:rPr>
                      <w:rFonts w:hint="default" w:ascii="Times New Roman" w:hAnsi="Times New Roman" w:cs="Times New Roman"/>
                      <w:b/>
                      <w:color w:val="auto"/>
                      <w:sz w:val="21"/>
                      <w:szCs w:val="21"/>
                      <w:lang w:val="en-US"/>
                    </w:rPr>
                    <w:t>2030年12月31日止</w:t>
                  </w:r>
                  <w:r>
                    <w:rPr>
                      <w:rFonts w:hint="default" w:ascii="Times New Roman" w:hAnsi="Times New Roman" w:cs="Times New Roman"/>
                      <w:b/>
                      <w:color w:val="auto"/>
                      <w:sz w:val="21"/>
                      <w:szCs w:val="21"/>
                    </w:rPr>
                    <w:t>）</w:t>
                  </w:r>
                </w:p>
              </w:tc>
              <w:tc>
                <w:tcPr>
                  <w:tcW w:w="751" w:type="pct"/>
                  <w:noWrap w:val="0"/>
                  <w:vAlign w:val="center"/>
                </w:tcPr>
                <w:p w14:paraId="1F99F5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二级标准（</w:t>
                  </w:r>
                  <w:r>
                    <w:rPr>
                      <w:rFonts w:hint="default" w:ascii="Times New Roman" w:hAnsi="Times New Roman" w:cs="Times New Roman"/>
                      <w:b/>
                      <w:color w:val="auto"/>
                      <w:sz w:val="21"/>
                      <w:szCs w:val="21"/>
                      <w:lang w:bidi="zh-CN"/>
                    </w:rPr>
                    <w:t>2031年1月1日1起</w:t>
                  </w:r>
                  <w:r>
                    <w:rPr>
                      <w:rFonts w:hint="default" w:ascii="Times New Roman" w:hAnsi="Times New Roman" w:cs="Times New Roman"/>
                      <w:b/>
                      <w:color w:val="auto"/>
                      <w:sz w:val="21"/>
                      <w:szCs w:val="21"/>
                    </w:rPr>
                    <w:t>）</w:t>
                  </w:r>
                </w:p>
              </w:tc>
              <w:tc>
                <w:tcPr>
                  <w:tcW w:w="591" w:type="pct"/>
                  <w:vMerge w:val="continue"/>
                  <w:noWrap w:val="0"/>
                  <w:vAlign w:val="center"/>
                </w:tcPr>
                <w:p w14:paraId="4D4F96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888" w:type="pct"/>
                  <w:vMerge w:val="continue"/>
                  <w:noWrap w:val="0"/>
                  <w:vAlign w:val="center"/>
                </w:tcPr>
                <w:p w14:paraId="5050E3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r>
            <w:tr w14:paraId="2037A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29" w:type="pct"/>
                  <w:vMerge w:val="restart"/>
                  <w:noWrap w:val="0"/>
                  <w:vAlign w:val="center"/>
                </w:tcPr>
                <w:p w14:paraId="08AACBE6">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SO</w:t>
                  </w:r>
                  <w:r>
                    <w:rPr>
                      <w:rFonts w:hint="default" w:ascii="Times New Roman" w:hAnsi="Times New Roman" w:cs="Times New Roman"/>
                      <w:color w:val="auto"/>
                      <w:sz w:val="21"/>
                      <w:szCs w:val="21"/>
                      <w:vertAlign w:val="subscript"/>
                    </w:rPr>
                    <w:t>2</w:t>
                  </w:r>
                </w:p>
              </w:tc>
              <w:tc>
                <w:tcPr>
                  <w:tcW w:w="960" w:type="pct"/>
                  <w:noWrap w:val="0"/>
                  <w:vAlign w:val="center"/>
                </w:tcPr>
                <w:p w14:paraId="0AB8B371">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年平均</w:t>
                  </w:r>
                </w:p>
              </w:tc>
              <w:tc>
                <w:tcPr>
                  <w:tcW w:w="977" w:type="pct"/>
                  <w:noWrap w:val="0"/>
                  <w:vAlign w:val="center"/>
                </w:tcPr>
                <w:p w14:paraId="44854280">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60</w:t>
                  </w:r>
                </w:p>
              </w:tc>
              <w:tc>
                <w:tcPr>
                  <w:tcW w:w="751" w:type="pct"/>
                  <w:noWrap w:val="0"/>
                  <w:vAlign w:val="center"/>
                </w:tcPr>
                <w:p w14:paraId="0BCF00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w:t>
                  </w:r>
                </w:p>
              </w:tc>
              <w:tc>
                <w:tcPr>
                  <w:tcW w:w="591" w:type="pct"/>
                  <w:vMerge w:val="restart"/>
                  <w:noWrap w:val="0"/>
                  <w:vAlign w:val="center"/>
                </w:tcPr>
                <w:p w14:paraId="35598F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μg/m</w:t>
                  </w:r>
                  <w:r>
                    <w:rPr>
                      <w:rFonts w:hint="default" w:ascii="Times New Roman" w:hAnsi="Times New Roman" w:cs="Times New Roman"/>
                      <w:color w:val="auto"/>
                      <w:sz w:val="21"/>
                      <w:szCs w:val="21"/>
                      <w:vertAlign w:val="superscript"/>
                    </w:rPr>
                    <w:t>3</w:t>
                  </w:r>
                </w:p>
              </w:tc>
              <w:tc>
                <w:tcPr>
                  <w:tcW w:w="888" w:type="pct"/>
                  <w:vMerge w:val="restart"/>
                  <w:noWrap w:val="0"/>
                  <w:vAlign w:val="center"/>
                </w:tcPr>
                <w:p w14:paraId="4FDFBDD6">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《环境空气质量标准》（GB3095-2026）</w:t>
                  </w:r>
                </w:p>
              </w:tc>
            </w:tr>
            <w:tr w14:paraId="01CA2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29" w:type="pct"/>
                  <w:vMerge w:val="continue"/>
                  <w:noWrap w:val="0"/>
                  <w:vAlign w:val="center"/>
                </w:tcPr>
                <w:p w14:paraId="59CAA9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960" w:type="pct"/>
                  <w:noWrap w:val="0"/>
                  <w:vAlign w:val="center"/>
                </w:tcPr>
                <w:p w14:paraId="4A8FCC01">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24小时平均</w:t>
                  </w:r>
                </w:p>
              </w:tc>
              <w:tc>
                <w:tcPr>
                  <w:tcW w:w="977" w:type="pct"/>
                  <w:noWrap w:val="0"/>
                  <w:vAlign w:val="center"/>
                </w:tcPr>
                <w:p w14:paraId="4B720E44">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150</w:t>
                  </w:r>
                </w:p>
              </w:tc>
              <w:tc>
                <w:tcPr>
                  <w:tcW w:w="751" w:type="pct"/>
                  <w:noWrap w:val="0"/>
                  <w:vAlign w:val="center"/>
                </w:tcPr>
                <w:p w14:paraId="0F9619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w:t>
                  </w:r>
                </w:p>
              </w:tc>
              <w:tc>
                <w:tcPr>
                  <w:tcW w:w="591" w:type="pct"/>
                  <w:vMerge w:val="continue"/>
                  <w:noWrap w:val="0"/>
                  <w:vAlign w:val="center"/>
                </w:tcPr>
                <w:p w14:paraId="49B840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888" w:type="pct"/>
                  <w:vMerge w:val="continue"/>
                  <w:noWrap w:val="0"/>
                  <w:vAlign w:val="center"/>
                </w:tcPr>
                <w:p w14:paraId="521191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r>
            <w:tr w14:paraId="6E52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29" w:type="pct"/>
                  <w:vMerge w:val="continue"/>
                  <w:noWrap w:val="0"/>
                  <w:vAlign w:val="center"/>
                </w:tcPr>
                <w:p w14:paraId="2F24A6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960" w:type="pct"/>
                  <w:noWrap w:val="0"/>
                  <w:vAlign w:val="center"/>
                </w:tcPr>
                <w:p w14:paraId="5A0572D9">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1小时平均</w:t>
                  </w:r>
                </w:p>
              </w:tc>
              <w:tc>
                <w:tcPr>
                  <w:tcW w:w="977" w:type="pct"/>
                  <w:noWrap w:val="0"/>
                  <w:vAlign w:val="center"/>
                </w:tcPr>
                <w:p w14:paraId="1032D7AE">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500</w:t>
                  </w:r>
                </w:p>
              </w:tc>
              <w:tc>
                <w:tcPr>
                  <w:tcW w:w="751" w:type="pct"/>
                  <w:noWrap w:val="0"/>
                  <w:vAlign w:val="center"/>
                </w:tcPr>
                <w:p w14:paraId="374634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150</w:t>
                  </w:r>
                </w:p>
              </w:tc>
              <w:tc>
                <w:tcPr>
                  <w:tcW w:w="591" w:type="pct"/>
                  <w:vMerge w:val="continue"/>
                  <w:noWrap w:val="0"/>
                  <w:vAlign w:val="center"/>
                </w:tcPr>
                <w:p w14:paraId="4CEFA0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888" w:type="pct"/>
                  <w:vMerge w:val="continue"/>
                  <w:noWrap w:val="0"/>
                  <w:vAlign w:val="center"/>
                </w:tcPr>
                <w:p w14:paraId="636CFD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r>
            <w:tr w14:paraId="66C05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29" w:type="pct"/>
                  <w:vMerge w:val="restart"/>
                  <w:noWrap w:val="0"/>
                  <w:vAlign w:val="center"/>
                </w:tcPr>
                <w:p w14:paraId="5421E6CA">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NO</w:t>
                  </w:r>
                  <w:r>
                    <w:rPr>
                      <w:rFonts w:hint="default" w:ascii="Times New Roman" w:hAnsi="Times New Roman" w:cs="Times New Roman"/>
                      <w:color w:val="auto"/>
                      <w:sz w:val="21"/>
                      <w:szCs w:val="21"/>
                      <w:vertAlign w:val="subscript"/>
                    </w:rPr>
                    <w:t>2</w:t>
                  </w:r>
                </w:p>
              </w:tc>
              <w:tc>
                <w:tcPr>
                  <w:tcW w:w="960" w:type="pct"/>
                  <w:noWrap w:val="0"/>
                  <w:vAlign w:val="center"/>
                </w:tcPr>
                <w:p w14:paraId="03F6D4D7">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年平均</w:t>
                  </w:r>
                </w:p>
              </w:tc>
              <w:tc>
                <w:tcPr>
                  <w:tcW w:w="977" w:type="pct"/>
                  <w:noWrap w:val="0"/>
                  <w:vAlign w:val="center"/>
                </w:tcPr>
                <w:p w14:paraId="794EF00F">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w:t>
                  </w:r>
                </w:p>
              </w:tc>
              <w:tc>
                <w:tcPr>
                  <w:tcW w:w="751" w:type="pct"/>
                  <w:noWrap w:val="0"/>
                  <w:vAlign w:val="center"/>
                </w:tcPr>
                <w:p w14:paraId="09A45C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30</w:t>
                  </w:r>
                </w:p>
              </w:tc>
              <w:tc>
                <w:tcPr>
                  <w:tcW w:w="591" w:type="pct"/>
                  <w:vMerge w:val="continue"/>
                  <w:noWrap w:val="0"/>
                  <w:vAlign w:val="center"/>
                </w:tcPr>
                <w:p w14:paraId="346DF9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888" w:type="pct"/>
                  <w:vMerge w:val="continue"/>
                  <w:noWrap w:val="0"/>
                  <w:vAlign w:val="center"/>
                </w:tcPr>
                <w:p w14:paraId="17A199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r>
            <w:tr w14:paraId="082D9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29" w:type="pct"/>
                  <w:vMerge w:val="continue"/>
                  <w:noWrap w:val="0"/>
                  <w:vAlign w:val="center"/>
                </w:tcPr>
                <w:p w14:paraId="1F1775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960" w:type="pct"/>
                  <w:noWrap w:val="0"/>
                  <w:vAlign w:val="center"/>
                </w:tcPr>
                <w:p w14:paraId="3D30704A">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24小时平均</w:t>
                  </w:r>
                </w:p>
              </w:tc>
              <w:tc>
                <w:tcPr>
                  <w:tcW w:w="977" w:type="pct"/>
                  <w:noWrap w:val="0"/>
                  <w:vAlign w:val="center"/>
                </w:tcPr>
                <w:p w14:paraId="761E2FA8">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80</w:t>
                  </w:r>
                </w:p>
              </w:tc>
              <w:tc>
                <w:tcPr>
                  <w:tcW w:w="751" w:type="pct"/>
                  <w:noWrap w:val="0"/>
                  <w:vAlign w:val="center"/>
                </w:tcPr>
                <w:p w14:paraId="7158E6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w:t>
                  </w:r>
                </w:p>
              </w:tc>
              <w:tc>
                <w:tcPr>
                  <w:tcW w:w="591" w:type="pct"/>
                  <w:vMerge w:val="continue"/>
                  <w:noWrap w:val="0"/>
                  <w:vAlign w:val="center"/>
                </w:tcPr>
                <w:p w14:paraId="585DCB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888" w:type="pct"/>
                  <w:vMerge w:val="continue"/>
                  <w:noWrap w:val="0"/>
                  <w:vAlign w:val="center"/>
                </w:tcPr>
                <w:p w14:paraId="3F0DE7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r>
            <w:tr w14:paraId="253C0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29" w:type="pct"/>
                  <w:vMerge w:val="continue"/>
                  <w:noWrap w:val="0"/>
                  <w:vAlign w:val="center"/>
                </w:tcPr>
                <w:p w14:paraId="0E3641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960" w:type="pct"/>
                  <w:noWrap w:val="0"/>
                  <w:vAlign w:val="center"/>
                </w:tcPr>
                <w:p w14:paraId="71D0466D">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1小时平均</w:t>
                  </w:r>
                </w:p>
              </w:tc>
              <w:tc>
                <w:tcPr>
                  <w:tcW w:w="977" w:type="pct"/>
                  <w:noWrap w:val="0"/>
                  <w:vAlign w:val="center"/>
                </w:tcPr>
                <w:p w14:paraId="05F806AA">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200</w:t>
                  </w:r>
                </w:p>
              </w:tc>
              <w:tc>
                <w:tcPr>
                  <w:tcW w:w="751" w:type="pct"/>
                  <w:noWrap w:val="0"/>
                  <w:vAlign w:val="center"/>
                </w:tcPr>
                <w:p w14:paraId="1ADDCA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200</w:t>
                  </w:r>
                </w:p>
              </w:tc>
              <w:tc>
                <w:tcPr>
                  <w:tcW w:w="591" w:type="pct"/>
                  <w:vMerge w:val="continue"/>
                  <w:noWrap w:val="0"/>
                  <w:vAlign w:val="center"/>
                </w:tcPr>
                <w:p w14:paraId="4A9087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888" w:type="pct"/>
                  <w:vMerge w:val="continue"/>
                  <w:noWrap w:val="0"/>
                  <w:vAlign w:val="center"/>
                </w:tcPr>
                <w:p w14:paraId="1C7142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r>
            <w:tr w14:paraId="52183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29" w:type="pct"/>
                  <w:vMerge w:val="restart"/>
                  <w:noWrap w:val="0"/>
                  <w:vAlign w:val="center"/>
                </w:tcPr>
                <w:p w14:paraId="166A49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NOx</w:t>
                  </w:r>
                </w:p>
              </w:tc>
              <w:tc>
                <w:tcPr>
                  <w:tcW w:w="960" w:type="pct"/>
                  <w:noWrap w:val="0"/>
                  <w:vAlign w:val="center"/>
                </w:tcPr>
                <w:p w14:paraId="25E47F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年平均</w:t>
                  </w:r>
                </w:p>
              </w:tc>
              <w:tc>
                <w:tcPr>
                  <w:tcW w:w="977" w:type="pct"/>
                  <w:noWrap w:val="0"/>
                  <w:vAlign w:val="center"/>
                </w:tcPr>
                <w:p w14:paraId="0F5169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w:t>
                  </w:r>
                </w:p>
              </w:tc>
              <w:tc>
                <w:tcPr>
                  <w:tcW w:w="751" w:type="pct"/>
                  <w:noWrap w:val="0"/>
                  <w:vAlign w:val="center"/>
                </w:tcPr>
                <w:p w14:paraId="41AE51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w:t>
                  </w:r>
                </w:p>
              </w:tc>
              <w:tc>
                <w:tcPr>
                  <w:tcW w:w="591" w:type="pct"/>
                  <w:vMerge w:val="continue"/>
                  <w:noWrap w:val="0"/>
                  <w:vAlign w:val="center"/>
                </w:tcPr>
                <w:p w14:paraId="47F55C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888" w:type="pct"/>
                  <w:vMerge w:val="continue"/>
                  <w:noWrap w:val="0"/>
                  <w:vAlign w:val="center"/>
                </w:tcPr>
                <w:p w14:paraId="1C44FE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r>
            <w:tr w14:paraId="32BA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29" w:type="pct"/>
                  <w:vMerge w:val="continue"/>
                  <w:noWrap w:val="0"/>
                  <w:vAlign w:val="center"/>
                </w:tcPr>
                <w:p w14:paraId="408119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960" w:type="pct"/>
                  <w:noWrap w:val="0"/>
                  <w:vAlign w:val="center"/>
                </w:tcPr>
                <w:p w14:paraId="669392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日平均</w:t>
                  </w:r>
                </w:p>
              </w:tc>
              <w:tc>
                <w:tcPr>
                  <w:tcW w:w="977" w:type="pct"/>
                  <w:noWrap w:val="0"/>
                  <w:vAlign w:val="center"/>
                </w:tcPr>
                <w:p w14:paraId="1A3B72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w:t>
                  </w:r>
                </w:p>
              </w:tc>
              <w:tc>
                <w:tcPr>
                  <w:tcW w:w="751" w:type="pct"/>
                  <w:noWrap w:val="0"/>
                  <w:vAlign w:val="center"/>
                </w:tcPr>
                <w:p w14:paraId="33C592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70</w:t>
                  </w:r>
                </w:p>
              </w:tc>
              <w:tc>
                <w:tcPr>
                  <w:tcW w:w="591" w:type="pct"/>
                  <w:vMerge w:val="continue"/>
                  <w:noWrap w:val="0"/>
                  <w:vAlign w:val="center"/>
                </w:tcPr>
                <w:p w14:paraId="4EE707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888" w:type="pct"/>
                  <w:vMerge w:val="continue"/>
                  <w:noWrap w:val="0"/>
                  <w:vAlign w:val="center"/>
                </w:tcPr>
                <w:p w14:paraId="679378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r>
            <w:tr w14:paraId="1339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29" w:type="pct"/>
                  <w:vMerge w:val="continue"/>
                  <w:noWrap w:val="0"/>
                  <w:vAlign w:val="center"/>
                </w:tcPr>
                <w:p w14:paraId="213AD6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960" w:type="pct"/>
                  <w:noWrap w:val="0"/>
                  <w:vAlign w:val="center"/>
                </w:tcPr>
                <w:p w14:paraId="05BB4B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1小时平均</w:t>
                  </w:r>
                </w:p>
              </w:tc>
              <w:tc>
                <w:tcPr>
                  <w:tcW w:w="977" w:type="pct"/>
                  <w:noWrap w:val="0"/>
                  <w:vAlign w:val="center"/>
                </w:tcPr>
                <w:p w14:paraId="6539C0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250</w:t>
                  </w:r>
                </w:p>
              </w:tc>
              <w:tc>
                <w:tcPr>
                  <w:tcW w:w="751" w:type="pct"/>
                  <w:noWrap w:val="0"/>
                  <w:vAlign w:val="center"/>
                </w:tcPr>
                <w:p w14:paraId="44DFBC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250</w:t>
                  </w:r>
                </w:p>
              </w:tc>
              <w:tc>
                <w:tcPr>
                  <w:tcW w:w="591" w:type="pct"/>
                  <w:vMerge w:val="continue"/>
                  <w:noWrap w:val="0"/>
                  <w:vAlign w:val="center"/>
                </w:tcPr>
                <w:p w14:paraId="77ACE9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888" w:type="pct"/>
                  <w:vMerge w:val="continue"/>
                  <w:noWrap w:val="0"/>
                  <w:vAlign w:val="center"/>
                </w:tcPr>
                <w:p w14:paraId="664DBD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r>
            <w:tr w14:paraId="42B0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29" w:type="pct"/>
                  <w:vMerge w:val="restart"/>
                  <w:noWrap w:val="0"/>
                  <w:vAlign w:val="center"/>
                </w:tcPr>
                <w:p w14:paraId="1160E2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CO</w:t>
                  </w:r>
                </w:p>
              </w:tc>
              <w:tc>
                <w:tcPr>
                  <w:tcW w:w="960" w:type="pct"/>
                  <w:noWrap w:val="0"/>
                  <w:vAlign w:val="center"/>
                </w:tcPr>
                <w:p w14:paraId="7A7AE9B9">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24小时平均</w:t>
                  </w:r>
                </w:p>
              </w:tc>
              <w:tc>
                <w:tcPr>
                  <w:tcW w:w="977" w:type="pct"/>
                  <w:noWrap w:val="0"/>
                  <w:vAlign w:val="center"/>
                </w:tcPr>
                <w:p w14:paraId="6B63F704">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751" w:type="pct"/>
                  <w:noWrap w:val="0"/>
                  <w:vAlign w:val="center"/>
                </w:tcPr>
                <w:p w14:paraId="2027DD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591" w:type="pct"/>
                  <w:vMerge w:val="restart"/>
                  <w:noWrap w:val="0"/>
                  <w:vAlign w:val="center"/>
                </w:tcPr>
                <w:p w14:paraId="44CE1C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mg/m</w:t>
                  </w:r>
                  <w:r>
                    <w:rPr>
                      <w:rFonts w:hint="default" w:ascii="Times New Roman" w:hAnsi="Times New Roman" w:cs="Times New Roman"/>
                      <w:color w:val="auto"/>
                      <w:sz w:val="21"/>
                      <w:szCs w:val="21"/>
                      <w:vertAlign w:val="superscript"/>
                    </w:rPr>
                    <w:t>3</w:t>
                  </w:r>
                </w:p>
              </w:tc>
              <w:tc>
                <w:tcPr>
                  <w:tcW w:w="888" w:type="pct"/>
                  <w:vMerge w:val="continue"/>
                  <w:noWrap w:val="0"/>
                  <w:vAlign w:val="center"/>
                </w:tcPr>
                <w:p w14:paraId="13C873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r>
            <w:tr w14:paraId="68BF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29" w:type="pct"/>
                  <w:vMerge w:val="continue"/>
                  <w:noWrap w:val="0"/>
                  <w:vAlign w:val="center"/>
                </w:tcPr>
                <w:p w14:paraId="7170B2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960" w:type="pct"/>
                  <w:noWrap w:val="0"/>
                  <w:vAlign w:val="center"/>
                </w:tcPr>
                <w:p w14:paraId="4FAA27E5">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1小时平均</w:t>
                  </w:r>
                </w:p>
              </w:tc>
              <w:tc>
                <w:tcPr>
                  <w:tcW w:w="977" w:type="pct"/>
                  <w:noWrap w:val="0"/>
                  <w:vAlign w:val="center"/>
                </w:tcPr>
                <w:p w14:paraId="7A362396">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c>
                <w:tcPr>
                  <w:tcW w:w="751" w:type="pct"/>
                  <w:noWrap w:val="0"/>
                  <w:vAlign w:val="center"/>
                </w:tcPr>
                <w:p w14:paraId="7A27C1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c>
                <w:tcPr>
                  <w:tcW w:w="591" w:type="pct"/>
                  <w:vMerge w:val="continue"/>
                  <w:noWrap w:val="0"/>
                  <w:vAlign w:val="center"/>
                </w:tcPr>
                <w:p w14:paraId="50FF22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888" w:type="pct"/>
                  <w:vMerge w:val="continue"/>
                  <w:noWrap w:val="0"/>
                  <w:vAlign w:val="center"/>
                </w:tcPr>
                <w:p w14:paraId="588808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r>
            <w:tr w14:paraId="118E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29" w:type="pct"/>
                  <w:vMerge w:val="restart"/>
                  <w:noWrap w:val="0"/>
                  <w:vAlign w:val="center"/>
                </w:tcPr>
                <w:p w14:paraId="7FB133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O</w:t>
                  </w:r>
                  <w:r>
                    <w:rPr>
                      <w:rFonts w:hint="default" w:ascii="Times New Roman" w:hAnsi="Times New Roman" w:cs="Times New Roman"/>
                      <w:color w:val="auto"/>
                      <w:sz w:val="21"/>
                      <w:szCs w:val="21"/>
                      <w:vertAlign w:val="subscript"/>
                    </w:rPr>
                    <w:t>3</w:t>
                  </w:r>
                </w:p>
              </w:tc>
              <w:tc>
                <w:tcPr>
                  <w:tcW w:w="960" w:type="pct"/>
                  <w:noWrap w:val="0"/>
                  <w:vAlign w:val="center"/>
                </w:tcPr>
                <w:p w14:paraId="09E018AB">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日最大8小时平均</w:t>
                  </w:r>
                </w:p>
              </w:tc>
              <w:tc>
                <w:tcPr>
                  <w:tcW w:w="977" w:type="pct"/>
                  <w:noWrap w:val="0"/>
                  <w:vAlign w:val="center"/>
                </w:tcPr>
                <w:p w14:paraId="6D88D836">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160</w:t>
                  </w:r>
                </w:p>
              </w:tc>
              <w:tc>
                <w:tcPr>
                  <w:tcW w:w="751" w:type="pct"/>
                  <w:noWrap w:val="0"/>
                  <w:vAlign w:val="center"/>
                </w:tcPr>
                <w:p w14:paraId="154960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160</w:t>
                  </w:r>
                </w:p>
              </w:tc>
              <w:tc>
                <w:tcPr>
                  <w:tcW w:w="591" w:type="pct"/>
                  <w:vMerge w:val="restart"/>
                  <w:noWrap w:val="0"/>
                  <w:vAlign w:val="center"/>
                </w:tcPr>
                <w:p w14:paraId="2A5AFB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μg/m</w:t>
                  </w:r>
                  <w:r>
                    <w:rPr>
                      <w:rFonts w:hint="default" w:ascii="Times New Roman" w:hAnsi="Times New Roman" w:cs="Times New Roman"/>
                      <w:color w:val="auto"/>
                      <w:sz w:val="21"/>
                      <w:szCs w:val="21"/>
                      <w:vertAlign w:val="superscript"/>
                    </w:rPr>
                    <w:t>3</w:t>
                  </w:r>
                </w:p>
              </w:tc>
              <w:tc>
                <w:tcPr>
                  <w:tcW w:w="888" w:type="pct"/>
                  <w:vMerge w:val="continue"/>
                  <w:noWrap w:val="0"/>
                  <w:vAlign w:val="center"/>
                </w:tcPr>
                <w:p w14:paraId="70BECF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r>
            <w:tr w14:paraId="43B2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29" w:type="pct"/>
                  <w:vMerge w:val="continue"/>
                  <w:noWrap w:val="0"/>
                  <w:vAlign w:val="center"/>
                </w:tcPr>
                <w:p w14:paraId="70159C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960" w:type="pct"/>
                  <w:noWrap w:val="0"/>
                  <w:vAlign w:val="center"/>
                </w:tcPr>
                <w:p w14:paraId="6BB7E3B9">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1小时平均</w:t>
                  </w:r>
                </w:p>
              </w:tc>
              <w:tc>
                <w:tcPr>
                  <w:tcW w:w="977" w:type="pct"/>
                  <w:noWrap w:val="0"/>
                  <w:vAlign w:val="center"/>
                </w:tcPr>
                <w:p w14:paraId="256C97F5">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200</w:t>
                  </w:r>
                </w:p>
              </w:tc>
              <w:tc>
                <w:tcPr>
                  <w:tcW w:w="751" w:type="pct"/>
                  <w:noWrap w:val="0"/>
                  <w:vAlign w:val="center"/>
                </w:tcPr>
                <w:p w14:paraId="77D2FC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200</w:t>
                  </w:r>
                </w:p>
              </w:tc>
              <w:tc>
                <w:tcPr>
                  <w:tcW w:w="591" w:type="pct"/>
                  <w:vMerge w:val="continue"/>
                  <w:noWrap w:val="0"/>
                  <w:vAlign w:val="center"/>
                </w:tcPr>
                <w:p w14:paraId="100F58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888" w:type="pct"/>
                  <w:vMerge w:val="continue"/>
                  <w:noWrap w:val="0"/>
                  <w:vAlign w:val="center"/>
                </w:tcPr>
                <w:p w14:paraId="5CECE0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r>
            <w:tr w14:paraId="22B8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29" w:type="pct"/>
                  <w:vMerge w:val="restart"/>
                  <w:noWrap w:val="0"/>
                  <w:vAlign w:val="center"/>
                </w:tcPr>
                <w:p w14:paraId="2F2C9E2E">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PM</w:t>
                  </w:r>
                  <w:r>
                    <w:rPr>
                      <w:rFonts w:hint="default" w:ascii="Times New Roman" w:hAnsi="Times New Roman" w:cs="Times New Roman"/>
                      <w:color w:val="auto"/>
                      <w:sz w:val="21"/>
                      <w:szCs w:val="21"/>
                      <w:vertAlign w:val="subscript"/>
                    </w:rPr>
                    <w:t>10</w:t>
                  </w:r>
                </w:p>
              </w:tc>
              <w:tc>
                <w:tcPr>
                  <w:tcW w:w="960" w:type="pct"/>
                  <w:noWrap w:val="0"/>
                  <w:vAlign w:val="center"/>
                </w:tcPr>
                <w:p w14:paraId="20851F0A">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年平均</w:t>
                  </w:r>
                </w:p>
              </w:tc>
              <w:tc>
                <w:tcPr>
                  <w:tcW w:w="977" w:type="pct"/>
                  <w:noWrap w:val="0"/>
                  <w:vAlign w:val="center"/>
                </w:tcPr>
                <w:p w14:paraId="3AE985A2">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60</w:t>
                  </w:r>
                </w:p>
              </w:tc>
              <w:tc>
                <w:tcPr>
                  <w:tcW w:w="751" w:type="pct"/>
                  <w:noWrap w:val="0"/>
                  <w:vAlign w:val="center"/>
                </w:tcPr>
                <w:p w14:paraId="35659A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w:t>
                  </w:r>
                </w:p>
              </w:tc>
              <w:tc>
                <w:tcPr>
                  <w:tcW w:w="591" w:type="pct"/>
                  <w:vMerge w:val="continue"/>
                  <w:noWrap w:val="0"/>
                  <w:vAlign w:val="center"/>
                </w:tcPr>
                <w:p w14:paraId="4F9EB4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888" w:type="pct"/>
                  <w:vMerge w:val="continue"/>
                  <w:noWrap w:val="0"/>
                  <w:vAlign w:val="center"/>
                </w:tcPr>
                <w:p w14:paraId="1CB74D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r>
            <w:tr w14:paraId="7EA8F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29" w:type="pct"/>
                  <w:vMerge w:val="continue"/>
                  <w:noWrap w:val="0"/>
                  <w:vAlign w:val="center"/>
                </w:tcPr>
                <w:p w14:paraId="76422C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960" w:type="pct"/>
                  <w:noWrap w:val="0"/>
                  <w:vAlign w:val="center"/>
                </w:tcPr>
                <w:p w14:paraId="5AF49FF4">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24小时平均</w:t>
                  </w:r>
                </w:p>
              </w:tc>
              <w:tc>
                <w:tcPr>
                  <w:tcW w:w="977" w:type="pct"/>
                  <w:noWrap w:val="0"/>
                  <w:vAlign w:val="center"/>
                </w:tcPr>
                <w:p w14:paraId="1F8F45C4">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120</w:t>
                  </w:r>
                </w:p>
              </w:tc>
              <w:tc>
                <w:tcPr>
                  <w:tcW w:w="751" w:type="pct"/>
                  <w:noWrap w:val="0"/>
                  <w:vAlign w:val="center"/>
                </w:tcPr>
                <w:p w14:paraId="6E6E1C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w:t>
                  </w:r>
                </w:p>
              </w:tc>
              <w:tc>
                <w:tcPr>
                  <w:tcW w:w="591" w:type="pct"/>
                  <w:vMerge w:val="continue"/>
                  <w:noWrap w:val="0"/>
                  <w:vAlign w:val="center"/>
                </w:tcPr>
                <w:p w14:paraId="16CC64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888" w:type="pct"/>
                  <w:vMerge w:val="continue"/>
                  <w:noWrap w:val="0"/>
                  <w:vAlign w:val="center"/>
                </w:tcPr>
                <w:p w14:paraId="72E071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r>
            <w:tr w14:paraId="4E9A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29" w:type="pct"/>
                  <w:vMerge w:val="restart"/>
                  <w:noWrap w:val="0"/>
                  <w:vAlign w:val="center"/>
                </w:tcPr>
                <w:p w14:paraId="38A51A08">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PM</w:t>
                  </w:r>
                  <w:r>
                    <w:rPr>
                      <w:rFonts w:hint="default" w:ascii="Times New Roman" w:hAnsi="Times New Roman" w:cs="Times New Roman"/>
                      <w:color w:val="auto"/>
                      <w:sz w:val="21"/>
                      <w:szCs w:val="21"/>
                      <w:vertAlign w:val="subscript"/>
                    </w:rPr>
                    <w:t>2.5</w:t>
                  </w:r>
                </w:p>
              </w:tc>
              <w:tc>
                <w:tcPr>
                  <w:tcW w:w="960" w:type="pct"/>
                  <w:noWrap w:val="0"/>
                  <w:vAlign w:val="center"/>
                </w:tcPr>
                <w:p w14:paraId="3D6E81EE">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年平均</w:t>
                  </w:r>
                </w:p>
              </w:tc>
              <w:tc>
                <w:tcPr>
                  <w:tcW w:w="977" w:type="pct"/>
                  <w:noWrap w:val="0"/>
                  <w:vAlign w:val="center"/>
                </w:tcPr>
                <w:p w14:paraId="27C9A390">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30</w:t>
                  </w:r>
                </w:p>
              </w:tc>
              <w:tc>
                <w:tcPr>
                  <w:tcW w:w="751" w:type="pct"/>
                  <w:noWrap w:val="0"/>
                  <w:vAlign w:val="center"/>
                </w:tcPr>
                <w:p w14:paraId="48D6D5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w:t>
                  </w:r>
                </w:p>
              </w:tc>
              <w:tc>
                <w:tcPr>
                  <w:tcW w:w="591" w:type="pct"/>
                  <w:vMerge w:val="continue"/>
                  <w:noWrap w:val="0"/>
                  <w:vAlign w:val="center"/>
                </w:tcPr>
                <w:p w14:paraId="3A02A2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888" w:type="pct"/>
                  <w:vMerge w:val="continue"/>
                  <w:noWrap w:val="0"/>
                  <w:vAlign w:val="center"/>
                </w:tcPr>
                <w:p w14:paraId="1F2DF9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r>
            <w:tr w14:paraId="4A67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29" w:type="pct"/>
                  <w:vMerge w:val="continue"/>
                  <w:noWrap w:val="0"/>
                  <w:vAlign w:val="center"/>
                </w:tcPr>
                <w:p w14:paraId="78B5C4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960" w:type="pct"/>
                  <w:noWrap w:val="0"/>
                  <w:vAlign w:val="center"/>
                </w:tcPr>
                <w:p w14:paraId="0FF6F878">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24小时平均</w:t>
                  </w:r>
                </w:p>
              </w:tc>
              <w:tc>
                <w:tcPr>
                  <w:tcW w:w="977" w:type="pct"/>
                  <w:noWrap w:val="0"/>
                  <w:vAlign w:val="center"/>
                </w:tcPr>
                <w:p w14:paraId="1B947EE1">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60</w:t>
                  </w:r>
                </w:p>
              </w:tc>
              <w:tc>
                <w:tcPr>
                  <w:tcW w:w="751" w:type="pct"/>
                  <w:noWrap w:val="0"/>
                  <w:vAlign w:val="center"/>
                </w:tcPr>
                <w:p w14:paraId="451EE0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w:t>
                  </w:r>
                </w:p>
              </w:tc>
              <w:tc>
                <w:tcPr>
                  <w:tcW w:w="591" w:type="pct"/>
                  <w:vMerge w:val="continue"/>
                  <w:noWrap w:val="0"/>
                  <w:vAlign w:val="center"/>
                </w:tcPr>
                <w:p w14:paraId="0714EE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888" w:type="pct"/>
                  <w:vMerge w:val="continue"/>
                  <w:noWrap w:val="0"/>
                  <w:vAlign w:val="center"/>
                </w:tcPr>
                <w:p w14:paraId="32DD40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r>
            <w:tr w14:paraId="5A90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29" w:type="pct"/>
                  <w:vMerge w:val="restart"/>
                  <w:noWrap w:val="0"/>
                  <w:vAlign w:val="center"/>
                </w:tcPr>
                <w:p w14:paraId="4D47BA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TSP</w:t>
                  </w:r>
                </w:p>
              </w:tc>
              <w:tc>
                <w:tcPr>
                  <w:tcW w:w="960" w:type="pct"/>
                  <w:noWrap w:val="0"/>
                  <w:vAlign w:val="center"/>
                </w:tcPr>
                <w:p w14:paraId="2A90AC0D">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年平均</w:t>
                  </w:r>
                </w:p>
              </w:tc>
              <w:tc>
                <w:tcPr>
                  <w:tcW w:w="977" w:type="pct"/>
                  <w:noWrap w:val="0"/>
                  <w:vAlign w:val="center"/>
                </w:tcPr>
                <w:p w14:paraId="08B30F2E">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200</w:t>
                  </w:r>
                </w:p>
              </w:tc>
              <w:tc>
                <w:tcPr>
                  <w:tcW w:w="751" w:type="pct"/>
                  <w:noWrap w:val="0"/>
                  <w:vAlign w:val="center"/>
                </w:tcPr>
                <w:p w14:paraId="2E3FCA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200</w:t>
                  </w:r>
                </w:p>
              </w:tc>
              <w:tc>
                <w:tcPr>
                  <w:tcW w:w="591" w:type="pct"/>
                  <w:vMerge w:val="continue"/>
                  <w:noWrap w:val="0"/>
                  <w:vAlign w:val="center"/>
                </w:tcPr>
                <w:p w14:paraId="5A56CC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888" w:type="pct"/>
                  <w:vMerge w:val="continue"/>
                  <w:noWrap w:val="0"/>
                  <w:vAlign w:val="center"/>
                </w:tcPr>
                <w:p w14:paraId="1CD4F9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r>
            <w:tr w14:paraId="48BCC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29" w:type="pct"/>
                  <w:vMerge w:val="continue"/>
                  <w:noWrap w:val="0"/>
                  <w:vAlign w:val="center"/>
                </w:tcPr>
                <w:p w14:paraId="743C1C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960" w:type="pct"/>
                  <w:noWrap w:val="0"/>
                  <w:vAlign w:val="center"/>
                </w:tcPr>
                <w:p w14:paraId="357AF7C1">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24小时平均</w:t>
                  </w:r>
                </w:p>
              </w:tc>
              <w:tc>
                <w:tcPr>
                  <w:tcW w:w="977" w:type="pct"/>
                  <w:noWrap w:val="0"/>
                  <w:vAlign w:val="center"/>
                </w:tcPr>
                <w:p w14:paraId="2D1DBE31">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300</w:t>
                  </w:r>
                </w:p>
              </w:tc>
              <w:tc>
                <w:tcPr>
                  <w:tcW w:w="751" w:type="pct"/>
                  <w:noWrap w:val="0"/>
                  <w:vAlign w:val="center"/>
                </w:tcPr>
                <w:p w14:paraId="21C027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300</w:t>
                  </w:r>
                </w:p>
              </w:tc>
              <w:tc>
                <w:tcPr>
                  <w:tcW w:w="591" w:type="pct"/>
                  <w:vMerge w:val="continue"/>
                  <w:noWrap w:val="0"/>
                  <w:vAlign w:val="center"/>
                </w:tcPr>
                <w:p w14:paraId="5D4D6C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c>
                <w:tcPr>
                  <w:tcW w:w="888" w:type="pct"/>
                  <w:vMerge w:val="continue"/>
                  <w:noWrap w:val="0"/>
                  <w:vAlign w:val="center"/>
                </w:tcPr>
                <w:p w14:paraId="3DC130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p>
              </w:tc>
            </w:tr>
          </w:tbl>
          <w:p w14:paraId="3478E7A0">
            <w:pPr>
              <w:ind w:firstLine="482"/>
              <w:rPr>
                <w:rFonts w:hint="eastAsia" w:eastAsia="宋体"/>
                <w:b/>
                <w:bCs/>
                <w:color w:val="auto"/>
                <w:lang w:eastAsia="zh-CN"/>
              </w:rPr>
            </w:pPr>
            <w:r>
              <w:rPr>
                <w:rFonts w:hint="eastAsia"/>
                <w:b/>
                <w:bCs/>
                <w:color w:val="auto"/>
              </w:rPr>
              <w:t>（2）</w:t>
            </w:r>
            <w:r>
              <w:rPr>
                <w:rFonts w:hint="eastAsia"/>
                <w:b/>
                <w:bCs/>
                <w:color w:val="auto"/>
                <w:lang w:eastAsia="zh-CN"/>
              </w:rPr>
              <w:t>达标区判定</w:t>
            </w:r>
          </w:p>
          <w:p w14:paraId="72BD2DA0">
            <w:pPr>
              <w:bidi w:val="0"/>
              <w:rPr>
                <w:rFonts w:hint="eastAsia"/>
                <w:color w:val="auto"/>
              </w:rPr>
            </w:pPr>
            <w:r>
              <w:rPr>
                <w:rFonts w:hint="eastAsia"/>
                <w:color w:val="auto"/>
              </w:rPr>
              <w:t>根据《环境影响评价技术导则大气环境》（HJ2.2-2018）评价导则要求，“项目所在区域达标判定，优先采用国家或地方环境空气质量监测网中评价基准年连续1年的监测数据，或采用生态环境主管部门公开发布的环境空气质量现状数据。”</w:t>
            </w:r>
          </w:p>
          <w:p w14:paraId="30578002">
            <w:pPr>
              <w:bidi w:val="0"/>
              <w:rPr>
                <w:rFonts w:hint="eastAsia"/>
                <w:color w:val="auto"/>
              </w:rPr>
            </w:pPr>
            <w:r>
              <w:rPr>
                <w:rFonts w:hint="eastAsia"/>
                <w:color w:val="auto"/>
              </w:rPr>
              <w:t>根据《2024 年玉溪市生态环境状况公报》，2024年，通海县空气质量优良天数比率99.4%，可吸入颗粒物（PM</w:t>
            </w:r>
            <w:r>
              <w:rPr>
                <w:rFonts w:hint="eastAsia"/>
                <w:color w:val="auto"/>
                <w:vertAlign w:val="subscript"/>
              </w:rPr>
              <w:t>10</w:t>
            </w:r>
            <w:r>
              <w:rPr>
                <w:rFonts w:hint="eastAsia"/>
                <w:color w:val="auto"/>
              </w:rPr>
              <w:t>）、细颗粒物（PM</w:t>
            </w:r>
            <w:r>
              <w:rPr>
                <w:rFonts w:hint="eastAsia"/>
                <w:color w:val="auto"/>
                <w:vertAlign w:val="subscript"/>
              </w:rPr>
              <w:t>2.5</w:t>
            </w:r>
            <w:r>
              <w:rPr>
                <w:rFonts w:hint="eastAsia"/>
                <w:color w:val="auto"/>
              </w:rPr>
              <w:t>）、二氧化硫（SO</w:t>
            </w:r>
            <w:r>
              <w:rPr>
                <w:rFonts w:hint="eastAsia"/>
                <w:color w:val="auto"/>
                <w:vertAlign w:val="subscript"/>
              </w:rPr>
              <w:t>2</w:t>
            </w:r>
            <w:r>
              <w:rPr>
                <w:rFonts w:hint="eastAsia"/>
                <w:color w:val="auto"/>
              </w:rPr>
              <w:t>）、二氧化氮（NO</w:t>
            </w:r>
            <w:r>
              <w:rPr>
                <w:rFonts w:hint="eastAsia"/>
                <w:color w:val="auto"/>
                <w:vertAlign w:val="subscript"/>
              </w:rPr>
              <w:t>2</w:t>
            </w:r>
            <w:r>
              <w:rPr>
                <w:rFonts w:hint="eastAsia"/>
                <w:color w:val="auto"/>
              </w:rPr>
              <w:t>）、臭氧（O</w:t>
            </w:r>
            <w:r>
              <w:rPr>
                <w:rFonts w:hint="eastAsia"/>
                <w:color w:val="auto"/>
                <w:vertAlign w:val="subscript"/>
              </w:rPr>
              <w:t>3</w:t>
            </w:r>
            <w:r>
              <w:rPr>
                <w:rFonts w:hint="eastAsia"/>
                <w:color w:val="auto"/>
              </w:rPr>
              <w:t>）、一氧化碳（CO）年平均浓度均符合《环境空气质量标准》（GB3095-2012）及2018年修改单中的二级标准</w:t>
            </w:r>
            <w:r>
              <w:rPr>
                <w:rFonts w:hint="eastAsia"/>
                <w:color w:val="auto"/>
                <w:lang w:val="en-US" w:eastAsia="zh-CN"/>
              </w:rPr>
              <w:t>要求（因项目引用数据为2024年，不在新标准执行的时限内，因此对标执行（GB3095-2012）及2018年修改单中的二级标准）</w:t>
            </w:r>
            <w:r>
              <w:rPr>
                <w:rFonts w:hint="eastAsia"/>
                <w:color w:val="auto"/>
              </w:rPr>
              <w:t>，区域环境空气质量达标。因此，项目为达标区。</w:t>
            </w:r>
          </w:p>
          <w:p w14:paraId="34E9C29D">
            <w:pPr>
              <w:bidi w:val="0"/>
              <w:rPr>
                <w:rFonts w:hint="default" w:eastAsia="宋体"/>
                <w:b/>
                <w:bCs/>
                <w:color w:val="auto"/>
                <w:lang w:val="en-US" w:eastAsia="zh-CN"/>
              </w:rPr>
            </w:pPr>
            <w:r>
              <w:rPr>
                <w:rFonts w:hint="eastAsia"/>
                <w:b/>
                <w:bCs/>
                <w:color w:val="auto"/>
                <w:lang w:eastAsia="zh-CN"/>
              </w:rPr>
              <w:t>（</w:t>
            </w:r>
            <w:r>
              <w:rPr>
                <w:rFonts w:hint="eastAsia"/>
                <w:b/>
                <w:bCs/>
                <w:color w:val="auto"/>
                <w:lang w:val="en-US" w:eastAsia="zh-CN"/>
              </w:rPr>
              <w:t>3</w:t>
            </w:r>
            <w:r>
              <w:rPr>
                <w:rFonts w:hint="eastAsia"/>
                <w:b/>
                <w:bCs/>
                <w:color w:val="auto"/>
                <w:lang w:eastAsia="zh-CN"/>
              </w:rPr>
              <w:t>）</w:t>
            </w:r>
            <w:r>
              <w:rPr>
                <w:rFonts w:hint="eastAsia"/>
                <w:b/>
                <w:bCs/>
                <w:color w:val="auto"/>
                <w:lang w:val="en-US" w:eastAsia="zh-CN"/>
              </w:rPr>
              <w:t>特征污染物</w:t>
            </w:r>
          </w:p>
          <w:p w14:paraId="1C9AFDDE">
            <w:pPr>
              <w:bidi w:val="0"/>
              <w:rPr>
                <w:rFonts w:hint="eastAsia"/>
                <w:color w:val="auto"/>
              </w:rPr>
            </w:pPr>
            <w:r>
              <w:rPr>
                <w:rFonts w:hint="eastAsia"/>
                <w:color w:val="auto"/>
              </w:rPr>
              <w:t>根据《建设项目环境影响报告表编制技术指南（污染影响类）（试行）》：“排放国家、地方环境空气质量标准中有标准限值要求的特征污染物时，引用建设项目周边5千米范围内近3年的现有监测数据，无相关数据的选择当季主导风向下风向1个点位补充不少于3天的监测数据。”本项目大气特征污染物为TSP，本项目引用通海齐拓金属制品有限公司《新建年产20万吨高频直缝焊管建设项目》中TSP现有监测数据。该项目监测点位于本项目厂区西</w:t>
            </w:r>
            <w:r>
              <w:rPr>
                <w:rFonts w:hint="eastAsia"/>
                <w:color w:val="auto"/>
                <w:lang w:val="en-US" w:eastAsia="zh-CN"/>
              </w:rPr>
              <w:t>南</w:t>
            </w:r>
            <w:r>
              <w:rPr>
                <w:rFonts w:hint="eastAsia"/>
                <w:color w:val="auto"/>
              </w:rPr>
              <w:t>侧约</w:t>
            </w:r>
            <w:r>
              <w:rPr>
                <w:rFonts w:hint="eastAsia"/>
                <w:color w:val="auto"/>
                <w:lang w:val="en-US" w:eastAsia="zh-CN"/>
              </w:rPr>
              <w:t>520</w:t>
            </w:r>
            <w:r>
              <w:rPr>
                <w:rFonts w:hint="eastAsia"/>
                <w:color w:val="auto"/>
              </w:rPr>
              <w:t>m，监测单位为贵州鼎拔检测有限公司，监测时间为2023年12月21日~12月23日，满足建设项目周边5千米范围内近3年的现有监测数据引用要求。</w:t>
            </w:r>
          </w:p>
          <w:p w14:paraId="33427675">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表3-2  引用特征污染物环境质量现状（监测结果）表</w:t>
            </w:r>
          </w:p>
          <w:tbl>
            <w:tblPr>
              <w:tblStyle w:val="22"/>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4"/>
              <w:gridCol w:w="992"/>
              <w:gridCol w:w="1125"/>
              <w:gridCol w:w="913"/>
              <w:gridCol w:w="752"/>
              <w:gridCol w:w="809"/>
              <w:gridCol w:w="905"/>
              <w:gridCol w:w="450"/>
              <w:gridCol w:w="427"/>
            </w:tblGrid>
            <w:tr w14:paraId="722A35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00" w:type="pct"/>
                  <w:vMerge w:val="restart"/>
                  <w:shd w:val="clear" w:color="auto" w:fill="auto"/>
                  <w:noWrap w:val="0"/>
                  <w:vAlign w:val="center"/>
                </w:tcPr>
                <w:p w14:paraId="75520F8F">
                  <w:pPr>
                    <w:pStyle w:val="12"/>
                    <w:keepNext w:val="0"/>
                    <w:keepLines w:val="0"/>
                    <w:pageBreakBefore w:val="0"/>
                    <w:widowControl w:val="0"/>
                    <w:kinsoku/>
                    <w:wordWrap/>
                    <w:overflowPunct/>
                    <w:topLinePunct w:val="0"/>
                    <w:bidi w:val="0"/>
                    <w:adjustRightInd w:val="0"/>
                    <w:snapToGrid w:val="0"/>
                    <w:spacing w:line="240" w:lineRule="auto"/>
                    <w:ind w:firstLine="0" w:firstLineChars="0"/>
                    <w:jc w:val="center"/>
                    <w:rPr>
                      <w:rFonts w:ascii="Times New Roman" w:hAnsi="Times New Roman" w:eastAsia="宋体"/>
                      <w:b w:val="0"/>
                      <w:bCs w:val="0"/>
                      <w:color w:val="auto"/>
                      <w:sz w:val="21"/>
                      <w:shd w:val="clear" w:color="auto" w:fill="auto"/>
                    </w:rPr>
                  </w:pPr>
                  <w:r>
                    <w:rPr>
                      <w:rFonts w:ascii="Times New Roman" w:hAnsi="Times New Roman" w:eastAsia="宋体"/>
                      <w:b w:val="0"/>
                      <w:bCs w:val="0"/>
                      <w:color w:val="auto"/>
                      <w:sz w:val="21"/>
                      <w:shd w:val="clear" w:color="auto" w:fill="auto"/>
                    </w:rPr>
                    <w:t>监测</w:t>
                  </w:r>
                </w:p>
                <w:p w14:paraId="617045C7">
                  <w:pPr>
                    <w:pStyle w:val="12"/>
                    <w:keepNext w:val="0"/>
                    <w:keepLines w:val="0"/>
                    <w:pageBreakBefore w:val="0"/>
                    <w:widowControl w:val="0"/>
                    <w:kinsoku/>
                    <w:wordWrap/>
                    <w:overflowPunct/>
                    <w:topLinePunct w:val="0"/>
                    <w:bidi w:val="0"/>
                    <w:adjustRightInd w:val="0"/>
                    <w:snapToGrid w:val="0"/>
                    <w:spacing w:line="240" w:lineRule="auto"/>
                    <w:ind w:firstLine="0" w:firstLineChars="0"/>
                    <w:jc w:val="center"/>
                    <w:rPr>
                      <w:rFonts w:ascii="Times New Roman" w:hAnsi="Times New Roman" w:eastAsia="宋体"/>
                      <w:b w:val="0"/>
                      <w:bCs w:val="0"/>
                      <w:color w:val="auto"/>
                      <w:sz w:val="21"/>
                      <w:shd w:val="clear" w:color="auto" w:fill="auto"/>
                    </w:rPr>
                  </w:pPr>
                  <w:r>
                    <w:rPr>
                      <w:rFonts w:ascii="Times New Roman" w:hAnsi="Times New Roman" w:eastAsia="宋体"/>
                      <w:b w:val="0"/>
                      <w:bCs w:val="0"/>
                      <w:color w:val="auto"/>
                      <w:sz w:val="21"/>
                      <w:shd w:val="clear" w:color="auto" w:fill="auto"/>
                    </w:rPr>
                    <w:t>点位</w:t>
                  </w:r>
                </w:p>
              </w:tc>
              <w:tc>
                <w:tcPr>
                  <w:tcW w:w="1394" w:type="pct"/>
                  <w:gridSpan w:val="2"/>
                  <w:shd w:val="clear" w:color="auto" w:fill="auto"/>
                  <w:noWrap w:val="0"/>
                  <w:vAlign w:val="center"/>
                </w:tcPr>
                <w:p w14:paraId="0756FF52">
                  <w:pPr>
                    <w:pStyle w:val="12"/>
                    <w:keepNext w:val="0"/>
                    <w:keepLines w:val="0"/>
                    <w:pageBreakBefore w:val="0"/>
                    <w:widowControl w:val="0"/>
                    <w:kinsoku/>
                    <w:wordWrap/>
                    <w:overflowPunct/>
                    <w:topLinePunct w:val="0"/>
                    <w:bidi w:val="0"/>
                    <w:adjustRightInd w:val="0"/>
                    <w:snapToGrid w:val="0"/>
                    <w:spacing w:line="240" w:lineRule="auto"/>
                    <w:ind w:firstLine="0" w:firstLineChars="0"/>
                    <w:jc w:val="center"/>
                    <w:rPr>
                      <w:rFonts w:ascii="Times New Roman" w:hAnsi="Times New Roman" w:eastAsia="宋体"/>
                      <w:b w:val="0"/>
                      <w:bCs w:val="0"/>
                      <w:color w:val="auto"/>
                      <w:sz w:val="21"/>
                      <w:shd w:val="clear" w:color="auto" w:fill="auto"/>
                    </w:rPr>
                  </w:pPr>
                  <w:r>
                    <w:rPr>
                      <w:rFonts w:ascii="Times New Roman" w:hAnsi="Times New Roman" w:eastAsia="宋体"/>
                      <w:b w:val="0"/>
                      <w:bCs w:val="0"/>
                      <w:color w:val="auto"/>
                      <w:sz w:val="21"/>
                      <w:shd w:val="clear" w:color="auto" w:fill="auto"/>
                    </w:rPr>
                    <w:t>监测点</w:t>
                  </w:r>
                </w:p>
              </w:tc>
              <w:tc>
                <w:tcPr>
                  <w:tcW w:w="601" w:type="pct"/>
                  <w:vMerge w:val="restart"/>
                  <w:shd w:val="clear" w:color="auto" w:fill="auto"/>
                  <w:noWrap w:val="0"/>
                  <w:vAlign w:val="center"/>
                </w:tcPr>
                <w:p w14:paraId="01B29577">
                  <w:pPr>
                    <w:pStyle w:val="12"/>
                    <w:keepNext w:val="0"/>
                    <w:keepLines w:val="0"/>
                    <w:pageBreakBefore w:val="0"/>
                    <w:widowControl w:val="0"/>
                    <w:kinsoku/>
                    <w:wordWrap/>
                    <w:overflowPunct/>
                    <w:topLinePunct w:val="0"/>
                    <w:bidi w:val="0"/>
                    <w:adjustRightInd w:val="0"/>
                    <w:snapToGrid w:val="0"/>
                    <w:spacing w:line="240" w:lineRule="auto"/>
                    <w:ind w:firstLine="0" w:firstLineChars="0"/>
                    <w:jc w:val="center"/>
                    <w:rPr>
                      <w:rFonts w:ascii="Times New Roman" w:hAnsi="Times New Roman" w:eastAsia="宋体"/>
                      <w:b w:val="0"/>
                      <w:bCs w:val="0"/>
                      <w:color w:val="auto"/>
                      <w:sz w:val="21"/>
                      <w:shd w:val="clear" w:color="auto" w:fill="auto"/>
                    </w:rPr>
                  </w:pPr>
                  <w:r>
                    <w:rPr>
                      <w:rFonts w:ascii="Times New Roman" w:hAnsi="Times New Roman" w:eastAsia="宋体"/>
                      <w:b w:val="0"/>
                      <w:bCs w:val="0"/>
                      <w:color w:val="auto"/>
                      <w:sz w:val="21"/>
                      <w:shd w:val="clear" w:color="auto" w:fill="auto"/>
                      <w:lang w:val="en-US"/>
                    </w:rPr>
                    <w:t>污染物</w:t>
                  </w:r>
                </w:p>
              </w:tc>
              <w:tc>
                <w:tcPr>
                  <w:tcW w:w="495" w:type="pct"/>
                  <w:vMerge w:val="restart"/>
                  <w:shd w:val="clear" w:color="auto" w:fill="auto"/>
                  <w:noWrap w:val="0"/>
                  <w:vAlign w:val="center"/>
                </w:tcPr>
                <w:p w14:paraId="001BAC82">
                  <w:pPr>
                    <w:pStyle w:val="12"/>
                    <w:keepNext w:val="0"/>
                    <w:keepLines w:val="0"/>
                    <w:pageBreakBefore w:val="0"/>
                    <w:widowControl w:val="0"/>
                    <w:kinsoku/>
                    <w:wordWrap/>
                    <w:overflowPunct/>
                    <w:topLinePunct w:val="0"/>
                    <w:bidi w:val="0"/>
                    <w:adjustRightInd w:val="0"/>
                    <w:snapToGrid w:val="0"/>
                    <w:spacing w:line="240" w:lineRule="auto"/>
                    <w:ind w:firstLine="0" w:firstLineChars="0"/>
                    <w:jc w:val="center"/>
                    <w:rPr>
                      <w:rFonts w:ascii="Times New Roman" w:hAnsi="Times New Roman" w:eastAsia="宋体"/>
                      <w:b w:val="0"/>
                      <w:bCs w:val="0"/>
                      <w:color w:val="auto"/>
                      <w:sz w:val="21"/>
                      <w:shd w:val="clear" w:color="auto" w:fill="auto"/>
                    </w:rPr>
                  </w:pPr>
                  <w:r>
                    <w:rPr>
                      <w:rFonts w:ascii="Times New Roman" w:hAnsi="Times New Roman" w:eastAsia="宋体"/>
                      <w:b w:val="0"/>
                      <w:bCs w:val="0"/>
                      <w:color w:val="auto"/>
                      <w:sz w:val="21"/>
                      <w:shd w:val="clear" w:color="auto" w:fill="auto"/>
                    </w:rPr>
                    <w:t>标准/(μg/m</w:t>
                  </w:r>
                  <w:r>
                    <w:rPr>
                      <w:rFonts w:ascii="Times New Roman" w:hAnsi="Times New Roman" w:eastAsia="宋体"/>
                      <w:b w:val="0"/>
                      <w:bCs w:val="0"/>
                      <w:color w:val="auto"/>
                      <w:sz w:val="21"/>
                      <w:shd w:val="clear" w:color="auto" w:fill="auto"/>
                      <w:vertAlign w:val="superscript"/>
                    </w:rPr>
                    <w:t>3</w:t>
                  </w:r>
                  <w:r>
                    <w:rPr>
                      <w:rFonts w:ascii="Times New Roman" w:hAnsi="Times New Roman" w:eastAsia="宋体"/>
                      <w:b w:val="0"/>
                      <w:bCs w:val="0"/>
                      <w:color w:val="auto"/>
                      <w:sz w:val="21"/>
                      <w:shd w:val="clear" w:color="auto" w:fill="auto"/>
                    </w:rPr>
                    <w:t>)</w:t>
                  </w:r>
                </w:p>
              </w:tc>
              <w:tc>
                <w:tcPr>
                  <w:tcW w:w="533" w:type="pct"/>
                  <w:vMerge w:val="restart"/>
                  <w:shd w:val="clear" w:color="auto" w:fill="auto"/>
                  <w:noWrap w:val="0"/>
                  <w:vAlign w:val="center"/>
                </w:tcPr>
                <w:p w14:paraId="44843F47">
                  <w:pPr>
                    <w:pStyle w:val="12"/>
                    <w:keepNext w:val="0"/>
                    <w:keepLines w:val="0"/>
                    <w:pageBreakBefore w:val="0"/>
                    <w:widowControl w:val="0"/>
                    <w:kinsoku/>
                    <w:wordWrap/>
                    <w:overflowPunct/>
                    <w:topLinePunct w:val="0"/>
                    <w:bidi w:val="0"/>
                    <w:adjustRightInd w:val="0"/>
                    <w:snapToGrid w:val="0"/>
                    <w:spacing w:line="240" w:lineRule="auto"/>
                    <w:ind w:firstLine="0" w:firstLineChars="0"/>
                    <w:jc w:val="center"/>
                    <w:rPr>
                      <w:rFonts w:ascii="Times New Roman" w:hAnsi="Times New Roman" w:eastAsia="宋体"/>
                      <w:b w:val="0"/>
                      <w:bCs w:val="0"/>
                      <w:color w:val="auto"/>
                      <w:sz w:val="21"/>
                      <w:shd w:val="clear" w:color="auto" w:fill="auto"/>
                    </w:rPr>
                  </w:pPr>
                  <w:r>
                    <w:rPr>
                      <w:rFonts w:ascii="Times New Roman" w:hAnsi="Times New Roman" w:eastAsia="宋体"/>
                      <w:b w:val="0"/>
                      <w:bCs w:val="0"/>
                      <w:color w:val="auto"/>
                      <w:sz w:val="21"/>
                      <w:shd w:val="clear" w:color="auto" w:fill="auto"/>
                    </w:rPr>
                    <w:t>监测浓度范围/(μg/m</w:t>
                  </w:r>
                  <w:r>
                    <w:rPr>
                      <w:rFonts w:ascii="Times New Roman" w:hAnsi="Times New Roman" w:eastAsia="宋体"/>
                      <w:b w:val="0"/>
                      <w:bCs w:val="0"/>
                      <w:color w:val="auto"/>
                      <w:sz w:val="21"/>
                      <w:shd w:val="clear" w:color="auto" w:fill="auto"/>
                      <w:vertAlign w:val="superscript"/>
                    </w:rPr>
                    <w:t>3</w:t>
                  </w:r>
                  <w:r>
                    <w:rPr>
                      <w:rFonts w:ascii="Times New Roman" w:hAnsi="Times New Roman" w:eastAsia="宋体"/>
                      <w:b w:val="0"/>
                      <w:bCs w:val="0"/>
                      <w:color w:val="auto"/>
                      <w:sz w:val="21"/>
                      <w:shd w:val="clear" w:color="auto" w:fill="auto"/>
                    </w:rPr>
                    <w:t>)</w:t>
                  </w:r>
                </w:p>
              </w:tc>
              <w:tc>
                <w:tcPr>
                  <w:tcW w:w="596" w:type="pct"/>
                  <w:vMerge w:val="restart"/>
                  <w:shd w:val="clear" w:color="auto" w:fill="auto"/>
                  <w:noWrap w:val="0"/>
                  <w:vAlign w:val="center"/>
                </w:tcPr>
                <w:p w14:paraId="255EF779">
                  <w:pPr>
                    <w:pStyle w:val="12"/>
                    <w:keepNext w:val="0"/>
                    <w:keepLines w:val="0"/>
                    <w:pageBreakBefore w:val="0"/>
                    <w:widowControl w:val="0"/>
                    <w:kinsoku/>
                    <w:wordWrap/>
                    <w:overflowPunct/>
                    <w:topLinePunct w:val="0"/>
                    <w:bidi w:val="0"/>
                    <w:adjustRightInd w:val="0"/>
                    <w:snapToGrid w:val="0"/>
                    <w:spacing w:line="240" w:lineRule="auto"/>
                    <w:ind w:firstLine="0" w:firstLineChars="0"/>
                    <w:jc w:val="center"/>
                    <w:rPr>
                      <w:rFonts w:ascii="Times New Roman" w:hAnsi="Times New Roman" w:eastAsia="宋体"/>
                      <w:b w:val="0"/>
                      <w:bCs w:val="0"/>
                      <w:color w:val="auto"/>
                      <w:sz w:val="21"/>
                      <w:shd w:val="clear" w:color="auto" w:fill="auto"/>
                    </w:rPr>
                  </w:pPr>
                  <w:r>
                    <w:rPr>
                      <w:rFonts w:ascii="Times New Roman" w:hAnsi="Times New Roman" w:eastAsia="宋体"/>
                      <w:b w:val="0"/>
                      <w:bCs w:val="0"/>
                      <w:color w:val="auto"/>
                      <w:sz w:val="21"/>
                      <w:shd w:val="clear" w:color="auto" w:fill="auto"/>
                    </w:rPr>
                    <w:t>最大浓度占标率/%</w:t>
                  </w:r>
                </w:p>
              </w:tc>
              <w:tc>
                <w:tcPr>
                  <w:tcW w:w="296" w:type="pct"/>
                  <w:vMerge w:val="restart"/>
                  <w:shd w:val="clear" w:color="auto" w:fill="auto"/>
                  <w:noWrap w:val="0"/>
                  <w:vAlign w:val="center"/>
                </w:tcPr>
                <w:p w14:paraId="11C83EA6">
                  <w:pPr>
                    <w:pStyle w:val="12"/>
                    <w:keepNext w:val="0"/>
                    <w:keepLines w:val="0"/>
                    <w:pageBreakBefore w:val="0"/>
                    <w:widowControl w:val="0"/>
                    <w:kinsoku/>
                    <w:wordWrap/>
                    <w:overflowPunct/>
                    <w:topLinePunct w:val="0"/>
                    <w:bidi w:val="0"/>
                    <w:adjustRightInd w:val="0"/>
                    <w:snapToGrid w:val="0"/>
                    <w:spacing w:line="240" w:lineRule="auto"/>
                    <w:ind w:firstLine="0" w:firstLineChars="0"/>
                    <w:jc w:val="center"/>
                    <w:rPr>
                      <w:rFonts w:ascii="Times New Roman" w:hAnsi="Times New Roman" w:eastAsia="宋体"/>
                      <w:b w:val="0"/>
                      <w:bCs w:val="0"/>
                      <w:color w:val="auto"/>
                      <w:sz w:val="21"/>
                      <w:shd w:val="clear" w:color="auto" w:fill="auto"/>
                    </w:rPr>
                  </w:pPr>
                  <w:r>
                    <w:rPr>
                      <w:rFonts w:ascii="Times New Roman" w:hAnsi="Times New Roman" w:eastAsia="宋体"/>
                      <w:b w:val="0"/>
                      <w:bCs w:val="0"/>
                      <w:color w:val="auto"/>
                      <w:sz w:val="21"/>
                      <w:shd w:val="clear" w:color="auto" w:fill="auto"/>
                    </w:rPr>
                    <w:t>超标率/%</w:t>
                  </w:r>
                </w:p>
              </w:tc>
              <w:tc>
                <w:tcPr>
                  <w:tcW w:w="281" w:type="pct"/>
                  <w:vMerge w:val="restart"/>
                  <w:shd w:val="clear" w:color="auto" w:fill="auto"/>
                  <w:noWrap w:val="0"/>
                  <w:vAlign w:val="center"/>
                </w:tcPr>
                <w:p w14:paraId="23C14C3F">
                  <w:pPr>
                    <w:pStyle w:val="12"/>
                    <w:keepNext w:val="0"/>
                    <w:keepLines w:val="0"/>
                    <w:pageBreakBefore w:val="0"/>
                    <w:widowControl w:val="0"/>
                    <w:kinsoku/>
                    <w:wordWrap/>
                    <w:overflowPunct/>
                    <w:topLinePunct w:val="0"/>
                    <w:bidi w:val="0"/>
                    <w:adjustRightInd w:val="0"/>
                    <w:snapToGrid w:val="0"/>
                    <w:spacing w:line="240" w:lineRule="auto"/>
                    <w:ind w:firstLine="0" w:firstLineChars="0"/>
                    <w:jc w:val="center"/>
                    <w:rPr>
                      <w:rFonts w:ascii="Times New Roman" w:hAnsi="Times New Roman" w:eastAsia="宋体"/>
                      <w:b w:val="0"/>
                      <w:bCs w:val="0"/>
                      <w:color w:val="auto"/>
                      <w:sz w:val="21"/>
                      <w:shd w:val="clear" w:color="auto" w:fill="auto"/>
                    </w:rPr>
                  </w:pPr>
                  <w:r>
                    <w:rPr>
                      <w:rFonts w:ascii="Times New Roman" w:hAnsi="Times New Roman" w:eastAsia="宋体"/>
                      <w:b w:val="0"/>
                      <w:bCs w:val="0"/>
                      <w:color w:val="auto"/>
                      <w:sz w:val="21"/>
                      <w:shd w:val="clear" w:color="auto" w:fill="auto"/>
                    </w:rPr>
                    <w:t>达标情况</w:t>
                  </w:r>
                </w:p>
              </w:tc>
            </w:tr>
            <w:tr w14:paraId="1C33B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00" w:type="pct"/>
                  <w:vMerge w:val="continue"/>
                  <w:shd w:val="clear" w:color="auto" w:fill="auto"/>
                  <w:noWrap w:val="0"/>
                  <w:vAlign w:val="center"/>
                </w:tcPr>
                <w:p w14:paraId="3C08C077">
                  <w:pPr>
                    <w:pStyle w:val="12"/>
                    <w:keepNext w:val="0"/>
                    <w:keepLines w:val="0"/>
                    <w:pageBreakBefore w:val="0"/>
                    <w:widowControl w:val="0"/>
                    <w:kinsoku/>
                    <w:wordWrap/>
                    <w:overflowPunct/>
                    <w:topLinePunct w:val="0"/>
                    <w:bidi w:val="0"/>
                    <w:adjustRightInd w:val="0"/>
                    <w:snapToGrid w:val="0"/>
                    <w:spacing w:line="240" w:lineRule="auto"/>
                    <w:ind w:firstLine="0"/>
                    <w:jc w:val="center"/>
                    <w:rPr>
                      <w:rFonts w:ascii="Times New Roman" w:hAnsi="Times New Roman" w:eastAsia="宋体"/>
                      <w:color w:val="auto"/>
                      <w:sz w:val="21"/>
                      <w:shd w:val="clear" w:color="auto" w:fill="auto"/>
                    </w:rPr>
                  </w:pPr>
                </w:p>
              </w:tc>
              <w:tc>
                <w:tcPr>
                  <w:tcW w:w="653" w:type="pct"/>
                  <w:shd w:val="clear" w:color="auto" w:fill="auto"/>
                  <w:noWrap w:val="0"/>
                  <w:vAlign w:val="center"/>
                </w:tcPr>
                <w:p w14:paraId="327D3245">
                  <w:pPr>
                    <w:pStyle w:val="12"/>
                    <w:keepNext w:val="0"/>
                    <w:keepLines w:val="0"/>
                    <w:pageBreakBefore w:val="0"/>
                    <w:widowControl w:val="0"/>
                    <w:kinsoku/>
                    <w:wordWrap/>
                    <w:overflowPunct/>
                    <w:topLinePunct w:val="0"/>
                    <w:bidi w:val="0"/>
                    <w:adjustRightInd w:val="0"/>
                    <w:snapToGrid w:val="0"/>
                    <w:spacing w:line="240" w:lineRule="auto"/>
                    <w:ind w:firstLine="0" w:firstLineChars="0"/>
                    <w:jc w:val="center"/>
                    <w:rPr>
                      <w:rFonts w:ascii="Times New Roman" w:hAnsi="Times New Roman" w:eastAsia="宋体"/>
                      <w:b w:val="0"/>
                      <w:bCs w:val="0"/>
                      <w:color w:val="auto"/>
                      <w:sz w:val="21"/>
                      <w:shd w:val="clear" w:color="auto" w:fill="auto"/>
                      <w:lang w:val="en-US"/>
                    </w:rPr>
                  </w:pPr>
                  <w:r>
                    <w:rPr>
                      <w:rFonts w:ascii="Times New Roman" w:hAnsi="Times New Roman" w:eastAsia="宋体"/>
                      <w:b w:val="0"/>
                      <w:bCs w:val="0"/>
                      <w:color w:val="auto"/>
                      <w:sz w:val="21"/>
                      <w:shd w:val="clear" w:color="auto" w:fill="auto"/>
                      <w:lang w:val="en-US"/>
                    </w:rPr>
                    <w:t>经度</w:t>
                  </w:r>
                </w:p>
              </w:tc>
              <w:tc>
                <w:tcPr>
                  <w:tcW w:w="741" w:type="pct"/>
                  <w:shd w:val="clear" w:color="auto" w:fill="auto"/>
                  <w:noWrap w:val="0"/>
                  <w:vAlign w:val="center"/>
                </w:tcPr>
                <w:p w14:paraId="3CBAAB7C">
                  <w:pPr>
                    <w:pStyle w:val="12"/>
                    <w:keepNext w:val="0"/>
                    <w:keepLines w:val="0"/>
                    <w:pageBreakBefore w:val="0"/>
                    <w:widowControl w:val="0"/>
                    <w:kinsoku/>
                    <w:wordWrap/>
                    <w:overflowPunct/>
                    <w:topLinePunct w:val="0"/>
                    <w:bidi w:val="0"/>
                    <w:adjustRightInd w:val="0"/>
                    <w:snapToGrid w:val="0"/>
                    <w:spacing w:line="240" w:lineRule="auto"/>
                    <w:ind w:firstLine="0" w:firstLineChars="0"/>
                    <w:jc w:val="center"/>
                    <w:rPr>
                      <w:rFonts w:ascii="Times New Roman" w:hAnsi="Times New Roman" w:eastAsia="宋体"/>
                      <w:b w:val="0"/>
                      <w:bCs w:val="0"/>
                      <w:color w:val="auto"/>
                      <w:sz w:val="21"/>
                      <w:shd w:val="clear" w:color="auto" w:fill="auto"/>
                      <w:lang w:val="en-US"/>
                    </w:rPr>
                  </w:pPr>
                  <w:r>
                    <w:rPr>
                      <w:rFonts w:ascii="Times New Roman" w:hAnsi="Times New Roman" w:eastAsia="宋体"/>
                      <w:b w:val="0"/>
                      <w:bCs w:val="0"/>
                      <w:color w:val="auto"/>
                      <w:sz w:val="21"/>
                      <w:shd w:val="clear" w:color="auto" w:fill="auto"/>
                      <w:lang w:val="en-US"/>
                    </w:rPr>
                    <w:t>纬度</w:t>
                  </w:r>
                </w:p>
              </w:tc>
              <w:tc>
                <w:tcPr>
                  <w:tcW w:w="601" w:type="pct"/>
                  <w:vMerge w:val="continue"/>
                  <w:shd w:val="clear" w:color="auto" w:fill="auto"/>
                  <w:noWrap w:val="0"/>
                  <w:vAlign w:val="center"/>
                </w:tcPr>
                <w:p w14:paraId="724682F9">
                  <w:pPr>
                    <w:pStyle w:val="55"/>
                    <w:keepNext w:val="0"/>
                    <w:keepLines w:val="0"/>
                    <w:pageBreakBefore w:val="0"/>
                    <w:widowControl w:val="0"/>
                    <w:tabs>
                      <w:tab w:val="left" w:pos="5327"/>
                      <w:tab w:val="left" w:pos="6326"/>
                      <w:tab w:val="left" w:pos="7230"/>
                      <w:tab w:val="left" w:pos="9301"/>
                    </w:tabs>
                    <w:kinsoku/>
                    <w:wordWrap/>
                    <w:overflowPunct/>
                    <w:topLinePunct w:val="0"/>
                    <w:bidi w:val="0"/>
                    <w:adjustRightInd w:val="0"/>
                    <w:snapToGrid w:val="0"/>
                    <w:spacing w:line="240" w:lineRule="auto"/>
                    <w:ind w:firstLine="0"/>
                    <w:rPr>
                      <w:rFonts w:ascii="Times New Roman" w:hAnsi="Times New Roman" w:eastAsia="宋体"/>
                      <w:bCs/>
                      <w:iCs/>
                      <w:snapToGrid w:val="0"/>
                      <w:color w:val="auto"/>
                      <w:sz w:val="21"/>
                      <w:szCs w:val="21"/>
                      <w:shd w:val="clear" w:color="auto" w:fill="auto"/>
                      <w:lang w:val="en-US"/>
                    </w:rPr>
                  </w:pPr>
                </w:p>
              </w:tc>
              <w:tc>
                <w:tcPr>
                  <w:tcW w:w="495" w:type="pct"/>
                  <w:vMerge w:val="continue"/>
                  <w:shd w:val="clear" w:color="auto" w:fill="auto"/>
                  <w:noWrap w:val="0"/>
                  <w:vAlign w:val="center"/>
                </w:tcPr>
                <w:p w14:paraId="246E3F8B">
                  <w:pPr>
                    <w:pStyle w:val="12"/>
                    <w:keepNext w:val="0"/>
                    <w:keepLines w:val="0"/>
                    <w:pageBreakBefore w:val="0"/>
                    <w:widowControl w:val="0"/>
                    <w:kinsoku/>
                    <w:wordWrap/>
                    <w:overflowPunct/>
                    <w:topLinePunct w:val="0"/>
                    <w:bidi w:val="0"/>
                    <w:adjustRightInd w:val="0"/>
                    <w:snapToGrid w:val="0"/>
                    <w:spacing w:line="240" w:lineRule="auto"/>
                    <w:ind w:firstLine="0"/>
                    <w:jc w:val="center"/>
                    <w:rPr>
                      <w:rFonts w:ascii="Times New Roman" w:hAnsi="Times New Roman" w:eastAsia="宋体"/>
                      <w:color w:val="auto"/>
                      <w:sz w:val="21"/>
                      <w:shd w:val="clear" w:color="auto" w:fill="auto"/>
                    </w:rPr>
                  </w:pPr>
                </w:p>
              </w:tc>
              <w:tc>
                <w:tcPr>
                  <w:tcW w:w="533" w:type="pct"/>
                  <w:vMerge w:val="continue"/>
                  <w:shd w:val="clear" w:color="auto" w:fill="auto"/>
                  <w:noWrap w:val="0"/>
                  <w:vAlign w:val="center"/>
                </w:tcPr>
                <w:p w14:paraId="6F28D1E7">
                  <w:pPr>
                    <w:pStyle w:val="12"/>
                    <w:keepNext w:val="0"/>
                    <w:keepLines w:val="0"/>
                    <w:pageBreakBefore w:val="0"/>
                    <w:widowControl w:val="0"/>
                    <w:kinsoku/>
                    <w:wordWrap/>
                    <w:overflowPunct/>
                    <w:topLinePunct w:val="0"/>
                    <w:bidi w:val="0"/>
                    <w:adjustRightInd w:val="0"/>
                    <w:snapToGrid w:val="0"/>
                    <w:spacing w:line="240" w:lineRule="auto"/>
                    <w:ind w:firstLine="0"/>
                    <w:jc w:val="center"/>
                    <w:rPr>
                      <w:rFonts w:ascii="Times New Roman" w:hAnsi="Times New Roman" w:eastAsia="宋体"/>
                      <w:color w:val="auto"/>
                      <w:sz w:val="21"/>
                      <w:shd w:val="clear" w:color="auto" w:fill="auto"/>
                    </w:rPr>
                  </w:pPr>
                </w:p>
              </w:tc>
              <w:tc>
                <w:tcPr>
                  <w:tcW w:w="596" w:type="pct"/>
                  <w:vMerge w:val="continue"/>
                  <w:shd w:val="clear" w:color="auto" w:fill="auto"/>
                  <w:noWrap w:val="0"/>
                  <w:vAlign w:val="center"/>
                </w:tcPr>
                <w:p w14:paraId="30DB75F3">
                  <w:pPr>
                    <w:pStyle w:val="12"/>
                    <w:keepNext w:val="0"/>
                    <w:keepLines w:val="0"/>
                    <w:pageBreakBefore w:val="0"/>
                    <w:widowControl w:val="0"/>
                    <w:kinsoku/>
                    <w:wordWrap/>
                    <w:overflowPunct/>
                    <w:topLinePunct w:val="0"/>
                    <w:bidi w:val="0"/>
                    <w:adjustRightInd w:val="0"/>
                    <w:snapToGrid w:val="0"/>
                    <w:spacing w:line="240" w:lineRule="auto"/>
                    <w:ind w:firstLine="0"/>
                    <w:jc w:val="center"/>
                    <w:rPr>
                      <w:rFonts w:ascii="Times New Roman" w:hAnsi="Times New Roman" w:eastAsia="宋体"/>
                      <w:color w:val="auto"/>
                      <w:sz w:val="21"/>
                      <w:shd w:val="clear" w:color="auto" w:fill="auto"/>
                    </w:rPr>
                  </w:pPr>
                </w:p>
              </w:tc>
              <w:tc>
                <w:tcPr>
                  <w:tcW w:w="296" w:type="pct"/>
                  <w:vMerge w:val="continue"/>
                  <w:shd w:val="clear" w:color="auto" w:fill="auto"/>
                  <w:noWrap w:val="0"/>
                  <w:vAlign w:val="center"/>
                </w:tcPr>
                <w:p w14:paraId="7CDA9577">
                  <w:pPr>
                    <w:pStyle w:val="12"/>
                    <w:keepNext w:val="0"/>
                    <w:keepLines w:val="0"/>
                    <w:pageBreakBefore w:val="0"/>
                    <w:widowControl w:val="0"/>
                    <w:kinsoku/>
                    <w:wordWrap/>
                    <w:overflowPunct/>
                    <w:topLinePunct w:val="0"/>
                    <w:bidi w:val="0"/>
                    <w:adjustRightInd w:val="0"/>
                    <w:snapToGrid w:val="0"/>
                    <w:spacing w:line="240" w:lineRule="auto"/>
                    <w:ind w:firstLine="0"/>
                    <w:jc w:val="center"/>
                    <w:rPr>
                      <w:rFonts w:ascii="Times New Roman" w:hAnsi="Times New Roman" w:eastAsia="宋体"/>
                      <w:color w:val="auto"/>
                      <w:sz w:val="21"/>
                      <w:shd w:val="clear" w:color="auto" w:fill="auto"/>
                    </w:rPr>
                  </w:pPr>
                </w:p>
              </w:tc>
              <w:tc>
                <w:tcPr>
                  <w:tcW w:w="281" w:type="pct"/>
                  <w:vMerge w:val="continue"/>
                  <w:shd w:val="clear" w:color="auto" w:fill="auto"/>
                  <w:noWrap w:val="0"/>
                  <w:vAlign w:val="center"/>
                </w:tcPr>
                <w:p w14:paraId="06DE58BB">
                  <w:pPr>
                    <w:pStyle w:val="12"/>
                    <w:keepNext w:val="0"/>
                    <w:keepLines w:val="0"/>
                    <w:pageBreakBefore w:val="0"/>
                    <w:widowControl w:val="0"/>
                    <w:kinsoku/>
                    <w:wordWrap/>
                    <w:overflowPunct/>
                    <w:topLinePunct w:val="0"/>
                    <w:bidi w:val="0"/>
                    <w:adjustRightInd w:val="0"/>
                    <w:snapToGrid w:val="0"/>
                    <w:spacing w:line="240" w:lineRule="auto"/>
                    <w:ind w:firstLine="0"/>
                    <w:jc w:val="center"/>
                    <w:rPr>
                      <w:rFonts w:ascii="Times New Roman" w:hAnsi="Times New Roman" w:eastAsia="宋体"/>
                      <w:color w:val="auto"/>
                      <w:sz w:val="21"/>
                      <w:shd w:val="clear" w:color="auto" w:fill="auto"/>
                    </w:rPr>
                  </w:pPr>
                </w:p>
              </w:tc>
            </w:tr>
            <w:tr w14:paraId="31013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00" w:type="pct"/>
                  <w:noWrap w:val="0"/>
                  <w:vAlign w:val="center"/>
                </w:tcPr>
                <w:p w14:paraId="6A2D7111">
                  <w:pPr>
                    <w:pStyle w:val="12"/>
                    <w:keepNext w:val="0"/>
                    <w:keepLines w:val="0"/>
                    <w:pageBreakBefore w:val="0"/>
                    <w:widowControl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项目区西南侧约520m处</w:t>
                  </w:r>
                </w:p>
              </w:tc>
              <w:tc>
                <w:tcPr>
                  <w:tcW w:w="653" w:type="pct"/>
                  <w:noWrap w:val="0"/>
                  <w:vAlign w:val="center"/>
                </w:tcPr>
                <w:p w14:paraId="022B7060">
                  <w:pPr>
                    <w:pStyle w:val="12"/>
                    <w:keepNext w:val="0"/>
                    <w:keepLines w:val="0"/>
                    <w:pageBreakBefore w:val="0"/>
                    <w:widowControl w:val="0"/>
                    <w:kinsoku/>
                    <w:wordWrap/>
                    <w:overflowPunct/>
                    <w:topLinePunct w:val="0"/>
                    <w:bidi w:val="0"/>
                    <w:adjustRightInd w:val="0"/>
                    <w:snapToGrid w:val="0"/>
                    <w:spacing w:line="240" w:lineRule="auto"/>
                    <w:ind w:firstLine="0" w:firstLineChars="0"/>
                    <w:jc w:val="center"/>
                    <w:rPr>
                      <w:rFonts w:ascii="Times New Roman" w:hAnsi="Times New Roman" w:eastAsia="宋体"/>
                      <w:color w:val="auto"/>
                      <w:sz w:val="21"/>
                      <w:lang w:val="en-US"/>
                    </w:rPr>
                  </w:pPr>
                  <w:r>
                    <w:rPr>
                      <w:rFonts w:hint="eastAsia" w:ascii="Times New Roman" w:hAnsi="Times New Roman" w:eastAsia="宋体"/>
                      <w:color w:val="auto"/>
                      <w:sz w:val="21"/>
                      <w:lang w:val="en-US"/>
                    </w:rPr>
                    <w:t>102.74238212</w:t>
                  </w:r>
                </w:p>
              </w:tc>
              <w:tc>
                <w:tcPr>
                  <w:tcW w:w="741" w:type="pct"/>
                  <w:noWrap w:val="0"/>
                  <w:vAlign w:val="center"/>
                </w:tcPr>
                <w:p w14:paraId="1E6A586D">
                  <w:pPr>
                    <w:pStyle w:val="12"/>
                    <w:keepNext w:val="0"/>
                    <w:keepLines w:val="0"/>
                    <w:pageBreakBefore w:val="0"/>
                    <w:widowControl w:val="0"/>
                    <w:kinsoku/>
                    <w:wordWrap/>
                    <w:overflowPunct/>
                    <w:topLinePunct w:val="0"/>
                    <w:bidi w:val="0"/>
                    <w:adjustRightInd w:val="0"/>
                    <w:snapToGrid w:val="0"/>
                    <w:spacing w:line="240" w:lineRule="auto"/>
                    <w:ind w:firstLine="0" w:firstLineChars="0"/>
                    <w:jc w:val="center"/>
                    <w:rPr>
                      <w:rFonts w:ascii="Times New Roman" w:hAnsi="Times New Roman" w:eastAsia="宋体"/>
                      <w:color w:val="auto"/>
                      <w:sz w:val="21"/>
                      <w:lang w:val="en-US"/>
                    </w:rPr>
                  </w:pPr>
                  <w:r>
                    <w:rPr>
                      <w:rFonts w:hint="eastAsia" w:ascii="Times New Roman" w:hAnsi="Times New Roman" w:eastAsia="宋体"/>
                      <w:color w:val="auto"/>
                      <w:sz w:val="21"/>
                      <w:lang w:val="en-US"/>
                    </w:rPr>
                    <w:t>24.19735325</w:t>
                  </w:r>
                </w:p>
              </w:tc>
              <w:tc>
                <w:tcPr>
                  <w:tcW w:w="601" w:type="pct"/>
                  <w:noWrap w:val="0"/>
                  <w:vAlign w:val="center"/>
                </w:tcPr>
                <w:p w14:paraId="3DB8ACFF">
                  <w:pPr>
                    <w:pStyle w:val="12"/>
                    <w:keepNext w:val="0"/>
                    <w:keepLines w:val="0"/>
                    <w:pageBreakBefore w:val="0"/>
                    <w:widowControl w:val="0"/>
                    <w:kinsoku/>
                    <w:wordWrap/>
                    <w:overflowPunct/>
                    <w:topLinePunct w:val="0"/>
                    <w:bidi w:val="0"/>
                    <w:adjustRightInd w:val="0"/>
                    <w:snapToGrid w:val="0"/>
                    <w:spacing w:line="240" w:lineRule="auto"/>
                    <w:ind w:firstLine="0" w:firstLineChars="0"/>
                    <w:jc w:val="center"/>
                    <w:rPr>
                      <w:rFonts w:ascii="Times New Roman" w:hAnsi="Times New Roman" w:eastAsia="宋体"/>
                      <w:color w:val="auto"/>
                      <w:sz w:val="21"/>
                      <w:lang w:val="en-US"/>
                    </w:rPr>
                  </w:pPr>
                  <w:r>
                    <w:rPr>
                      <w:rFonts w:ascii="Times New Roman" w:hAnsi="Times New Roman" w:eastAsia="宋体"/>
                      <w:color w:val="auto"/>
                      <w:sz w:val="21"/>
                      <w:lang w:val="en-US"/>
                    </w:rPr>
                    <w:t>TSP</w:t>
                  </w:r>
                </w:p>
              </w:tc>
              <w:tc>
                <w:tcPr>
                  <w:tcW w:w="495" w:type="pct"/>
                  <w:noWrap w:val="0"/>
                  <w:vAlign w:val="center"/>
                </w:tcPr>
                <w:p w14:paraId="74FEF9FC">
                  <w:pPr>
                    <w:pStyle w:val="12"/>
                    <w:keepNext w:val="0"/>
                    <w:keepLines w:val="0"/>
                    <w:pageBreakBefore w:val="0"/>
                    <w:widowControl w:val="0"/>
                    <w:kinsoku/>
                    <w:wordWrap/>
                    <w:overflowPunct/>
                    <w:topLinePunct w:val="0"/>
                    <w:bidi w:val="0"/>
                    <w:adjustRightInd w:val="0"/>
                    <w:snapToGrid w:val="0"/>
                    <w:spacing w:line="240" w:lineRule="auto"/>
                    <w:ind w:firstLine="0" w:firstLineChars="0"/>
                    <w:jc w:val="center"/>
                    <w:rPr>
                      <w:rFonts w:ascii="Times New Roman" w:hAnsi="Times New Roman" w:eastAsia="宋体"/>
                      <w:color w:val="auto"/>
                      <w:sz w:val="21"/>
                    </w:rPr>
                  </w:pPr>
                  <w:r>
                    <w:rPr>
                      <w:rFonts w:ascii="Times New Roman" w:hAnsi="Times New Roman" w:eastAsia="宋体"/>
                      <w:color w:val="auto"/>
                      <w:sz w:val="21"/>
                    </w:rPr>
                    <w:t>300</w:t>
                  </w:r>
                </w:p>
              </w:tc>
              <w:tc>
                <w:tcPr>
                  <w:tcW w:w="533" w:type="pct"/>
                  <w:noWrap w:val="0"/>
                  <w:vAlign w:val="center"/>
                </w:tcPr>
                <w:p w14:paraId="541BA273">
                  <w:pPr>
                    <w:pStyle w:val="12"/>
                    <w:keepNext w:val="0"/>
                    <w:keepLines w:val="0"/>
                    <w:pageBreakBefore w:val="0"/>
                    <w:widowControl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olor w:val="auto"/>
                      <w:sz w:val="21"/>
                      <w:lang w:val="en-US" w:eastAsia="zh-CN"/>
                    </w:rPr>
                  </w:pPr>
                  <w:r>
                    <w:rPr>
                      <w:rFonts w:ascii="Times New Roman" w:hAnsi="Times New Roman" w:eastAsia="宋体"/>
                      <w:color w:val="auto"/>
                      <w:sz w:val="21"/>
                    </w:rPr>
                    <w:t>1</w:t>
                  </w:r>
                  <w:r>
                    <w:rPr>
                      <w:rFonts w:hint="eastAsia" w:ascii="Times New Roman" w:hAnsi="Times New Roman" w:eastAsia="宋体"/>
                      <w:color w:val="auto"/>
                      <w:sz w:val="21"/>
                      <w:lang w:val="en-US" w:eastAsia="zh-CN"/>
                    </w:rPr>
                    <w:t>36</w:t>
                  </w:r>
                  <w:r>
                    <w:rPr>
                      <w:rFonts w:ascii="Times New Roman" w:hAnsi="Times New Roman" w:eastAsia="宋体"/>
                      <w:color w:val="auto"/>
                      <w:sz w:val="21"/>
                    </w:rPr>
                    <w:t>~1</w:t>
                  </w:r>
                  <w:r>
                    <w:rPr>
                      <w:rFonts w:hint="eastAsia" w:ascii="Times New Roman" w:hAnsi="Times New Roman" w:eastAsia="宋体"/>
                      <w:color w:val="auto"/>
                      <w:sz w:val="21"/>
                      <w:lang w:val="en-US" w:eastAsia="zh-CN"/>
                    </w:rPr>
                    <w:t>49</w:t>
                  </w:r>
                </w:p>
              </w:tc>
              <w:tc>
                <w:tcPr>
                  <w:tcW w:w="596" w:type="pct"/>
                  <w:noWrap w:val="0"/>
                  <w:vAlign w:val="center"/>
                </w:tcPr>
                <w:p w14:paraId="3412140E">
                  <w:pPr>
                    <w:pStyle w:val="12"/>
                    <w:keepNext w:val="0"/>
                    <w:keepLines w:val="0"/>
                    <w:pageBreakBefore w:val="0"/>
                    <w:widowControl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49.7</w:t>
                  </w:r>
                </w:p>
              </w:tc>
              <w:tc>
                <w:tcPr>
                  <w:tcW w:w="296" w:type="pct"/>
                  <w:noWrap w:val="0"/>
                  <w:vAlign w:val="center"/>
                </w:tcPr>
                <w:p w14:paraId="692B68BA">
                  <w:pPr>
                    <w:pStyle w:val="12"/>
                    <w:keepNext w:val="0"/>
                    <w:keepLines w:val="0"/>
                    <w:pageBreakBefore w:val="0"/>
                    <w:widowControl w:val="0"/>
                    <w:kinsoku/>
                    <w:wordWrap/>
                    <w:overflowPunct/>
                    <w:topLinePunct w:val="0"/>
                    <w:bidi w:val="0"/>
                    <w:adjustRightInd w:val="0"/>
                    <w:snapToGrid w:val="0"/>
                    <w:spacing w:line="240" w:lineRule="auto"/>
                    <w:ind w:firstLine="0" w:firstLineChars="0"/>
                    <w:jc w:val="center"/>
                    <w:rPr>
                      <w:rFonts w:ascii="Times New Roman" w:hAnsi="Times New Roman" w:eastAsia="宋体"/>
                      <w:color w:val="auto"/>
                      <w:sz w:val="21"/>
                      <w:lang w:val="en-US"/>
                    </w:rPr>
                  </w:pPr>
                  <w:r>
                    <w:rPr>
                      <w:rFonts w:ascii="Times New Roman" w:hAnsi="Times New Roman" w:eastAsia="宋体"/>
                      <w:color w:val="auto"/>
                      <w:sz w:val="21"/>
                      <w:lang w:val="en-US"/>
                    </w:rPr>
                    <w:t>0</w:t>
                  </w:r>
                </w:p>
              </w:tc>
              <w:tc>
                <w:tcPr>
                  <w:tcW w:w="281" w:type="pct"/>
                  <w:noWrap w:val="0"/>
                  <w:vAlign w:val="center"/>
                </w:tcPr>
                <w:p w14:paraId="206835D7">
                  <w:pPr>
                    <w:pStyle w:val="12"/>
                    <w:keepNext w:val="0"/>
                    <w:keepLines w:val="0"/>
                    <w:pageBreakBefore w:val="0"/>
                    <w:widowControl w:val="0"/>
                    <w:kinsoku/>
                    <w:wordWrap/>
                    <w:overflowPunct/>
                    <w:topLinePunct w:val="0"/>
                    <w:bidi w:val="0"/>
                    <w:adjustRightInd w:val="0"/>
                    <w:snapToGrid w:val="0"/>
                    <w:spacing w:line="240" w:lineRule="auto"/>
                    <w:ind w:firstLine="0" w:firstLineChars="0"/>
                    <w:jc w:val="center"/>
                    <w:rPr>
                      <w:rFonts w:ascii="Times New Roman" w:hAnsi="Times New Roman" w:eastAsia="宋体"/>
                      <w:color w:val="auto"/>
                      <w:sz w:val="21"/>
                      <w:lang w:val="en-US"/>
                    </w:rPr>
                  </w:pPr>
                  <w:r>
                    <w:rPr>
                      <w:rFonts w:ascii="Times New Roman" w:hAnsi="Times New Roman" w:eastAsia="宋体"/>
                      <w:color w:val="auto"/>
                      <w:sz w:val="21"/>
                      <w:lang w:val="en-US"/>
                    </w:rPr>
                    <w:t>达标</w:t>
                  </w:r>
                </w:p>
              </w:tc>
            </w:tr>
          </w:tbl>
          <w:p w14:paraId="1A690075">
            <w:pPr>
              <w:bidi w:val="0"/>
              <w:rPr>
                <w:rFonts w:hint="eastAsia"/>
                <w:color w:val="auto"/>
              </w:rPr>
            </w:pPr>
            <w:r>
              <w:rPr>
                <w:rFonts w:hint="eastAsia"/>
                <w:color w:val="auto"/>
              </w:rPr>
              <w:t>根据监测结果，项目区TSP满足《环境空气质量标准》（GB3095-2012）及2018年修改单中的二级标准</w:t>
            </w:r>
            <w:r>
              <w:rPr>
                <w:rFonts w:hint="eastAsia"/>
                <w:color w:val="auto"/>
                <w:lang w:val="en-US" w:eastAsia="zh-CN"/>
              </w:rPr>
              <w:t>限值</w:t>
            </w:r>
            <w:r>
              <w:rPr>
                <w:rFonts w:hint="eastAsia"/>
                <w:color w:val="auto"/>
              </w:rPr>
              <w:t>。</w:t>
            </w:r>
          </w:p>
          <w:p w14:paraId="758B900D">
            <w:pPr>
              <w:pStyle w:val="40"/>
              <w:rPr>
                <w:rFonts w:hint="default"/>
                <w:color w:val="auto"/>
              </w:rPr>
            </w:pPr>
            <w:r>
              <w:rPr>
                <w:rFonts w:hint="eastAsia"/>
                <w:color w:val="auto"/>
                <w:lang w:eastAsia="zh-CN"/>
              </w:rPr>
              <w:t>二、</w:t>
            </w:r>
            <w:r>
              <w:rPr>
                <w:color w:val="auto"/>
              </w:rPr>
              <w:t>地表水环境</w:t>
            </w:r>
          </w:p>
          <w:p w14:paraId="7ABBC8F3">
            <w:pPr>
              <w:pStyle w:val="9"/>
              <w:ind w:firstLine="482"/>
              <w:rPr>
                <w:b/>
                <w:bCs/>
                <w:color w:val="auto"/>
              </w:rPr>
            </w:pPr>
            <w:r>
              <w:rPr>
                <w:rFonts w:hint="eastAsia"/>
                <w:b/>
                <w:bCs/>
                <w:color w:val="auto"/>
              </w:rPr>
              <w:t>（1）地表水环境</w:t>
            </w:r>
            <w:r>
              <w:rPr>
                <w:rFonts w:hint="eastAsia"/>
                <w:b/>
                <w:bCs/>
                <w:color w:val="auto"/>
                <w:lang w:val="en-US" w:eastAsia="zh-CN"/>
              </w:rPr>
              <w:t>功能区划及执行</w:t>
            </w:r>
            <w:r>
              <w:rPr>
                <w:rFonts w:hint="eastAsia"/>
                <w:b/>
                <w:bCs/>
                <w:color w:val="auto"/>
              </w:rPr>
              <w:t>标准</w:t>
            </w:r>
          </w:p>
          <w:p w14:paraId="6EE3C378">
            <w:pPr>
              <w:ind w:firstLine="480"/>
              <w:rPr>
                <w:color w:val="auto"/>
              </w:rPr>
            </w:pPr>
            <w:r>
              <w:rPr>
                <w:rFonts w:hint="eastAsia"/>
                <w:color w:val="auto"/>
                <w:lang w:eastAsia="zh-CN"/>
              </w:rPr>
              <w:t>本项目周边的地表水体为</w:t>
            </w:r>
            <w:r>
              <w:rPr>
                <w:rFonts w:hint="eastAsia"/>
                <w:color w:val="auto"/>
                <w:lang w:val="en-US" w:eastAsia="zh-CN"/>
              </w:rPr>
              <w:t>项目区东南侧约1140m处的六街大沟，六街大沟为季节性河流，为排洪沟，项目区域属于杞麓湖汇水范围。根据云南省水利厅制定的《云南省水功能区划（2014年修订）》（云政复〔2014〕27号），杞麓湖主要为通海农业、景观、渔业用水区，2020年水质目标为Ⅳ类，2030年水质目标为Ⅲ类。杞麓湖执行《地表水环境质量标准》（GB3838-2002）中的Ⅲ类水质标准。具体标准如下：</w:t>
            </w:r>
            <w:r>
              <w:rPr>
                <w:color w:val="auto"/>
              </w:rPr>
              <w:t>。</w:t>
            </w:r>
          </w:p>
          <w:p w14:paraId="11F29B22">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表3-3  《地表水环境质量标准》  单位：mg/L，pH除外</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7"/>
              <w:gridCol w:w="1041"/>
              <w:gridCol w:w="1221"/>
              <w:gridCol w:w="1259"/>
              <w:gridCol w:w="1241"/>
              <w:gridCol w:w="1141"/>
            </w:tblGrid>
            <w:tr w14:paraId="749E6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11" w:type="pct"/>
                  <w:tcBorders>
                    <w:top w:val="single" w:color="auto" w:sz="4" w:space="0"/>
                    <w:left w:val="single" w:color="auto" w:sz="4" w:space="0"/>
                    <w:bottom w:val="single" w:color="auto" w:sz="4" w:space="0"/>
                    <w:right w:val="single" w:color="auto" w:sz="4" w:space="0"/>
                  </w:tcBorders>
                  <w:vAlign w:val="center"/>
                </w:tcPr>
                <w:p w14:paraId="58765B07">
                  <w:pPr>
                    <w:pStyle w:val="31"/>
                    <w:rPr>
                      <w:rFonts w:hint="default"/>
                      <w:color w:val="auto"/>
                    </w:rPr>
                  </w:pPr>
                  <w:r>
                    <w:rPr>
                      <w:color w:val="auto"/>
                    </w:rPr>
                    <w:t>项目</w:t>
                  </w:r>
                </w:p>
              </w:tc>
              <w:tc>
                <w:tcPr>
                  <w:tcW w:w="685" w:type="pct"/>
                  <w:tcBorders>
                    <w:top w:val="single" w:color="auto" w:sz="4" w:space="0"/>
                    <w:left w:val="single" w:color="auto" w:sz="4" w:space="0"/>
                    <w:bottom w:val="single" w:color="auto" w:sz="4" w:space="0"/>
                    <w:right w:val="single" w:color="auto" w:sz="4" w:space="0"/>
                  </w:tcBorders>
                  <w:vAlign w:val="center"/>
                </w:tcPr>
                <w:p w14:paraId="41AA1F1A">
                  <w:pPr>
                    <w:pStyle w:val="31"/>
                    <w:rPr>
                      <w:rFonts w:hint="eastAsia" w:eastAsia="宋体"/>
                      <w:color w:val="auto"/>
                      <w:lang w:eastAsia="zh-CN"/>
                    </w:rPr>
                  </w:pPr>
                  <w:r>
                    <w:rPr>
                      <w:rFonts w:hint="eastAsia"/>
                      <w:color w:val="auto"/>
                      <w:lang w:eastAsia="zh-CN"/>
                    </w:rPr>
                    <w:t>pH</w:t>
                  </w:r>
                </w:p>
              </w:tc>
              <w:tc>
                <w:tcPr>
                  <w:tcW w:w="804" w:type="pct"/>
                  <w:tcBorders>
                    <w:top w:val="single" w:color="auto" w:sz="4" w:space="0"/>
                    <w:left w:val="single" w:color="auto" w:sz="4" w:space="0"/>
                    <w:bottom w:val="single" w:color="auto" w:sz="4" w:space="0"/>
                    <w:right w:val="single" w:color="auto" w:sz="4" w:space="0"/>
                  </w:tcBorders>
                  <w:vAlign w:val="center"/>
                </w:tcPr>
                <w:p w14:paraId="7540F603">
                  <w:pPr>
                    <w:pStyle w:val="31"/>
                    <w:rPr>
                      <w:rFonts w:hint="default"/>
                      <w:color w:val="auto"/>
                    </w:rPr>
                  </w:pPr>
                  <w:r>
                    <w:rPr>
                      <w:color w:val="auto"/>
                    </w:rPr>
                    <w:t>COD</w:t>
                  </w:r>
                </w:p>
              </w:tc>
              <w:tc>
                <w:tcPr>
                  <w:tcW w:w="829" w:type="pct"/>
                  <w:tcBorders>
                    <w:top w:val="single" w:color="auto" w:sz="4" w:space="0"/>
                    <w:left w:val="single" w:color="auto" w:sz="4" w:space="0"/>
                    <w:bottom w:val="single" w:color="auto" w:sz="4" w:space="0"/>
                    <w:right w:val="single" w:color="auto" w:sz="4" w:space="0"/>
                  </w:tcBorders>
                  <w:vAlign w:val="center"/>
                </w:tcPr>
                <w:p w14:paraId="30C9593C">
                  <w:pPr>
                    <w:pStyle w:val="31"/>
                    <w:rPr>
                      <w:rFonts w:hint="default"/>
                      <w:color w:val="auto"/>
                    </w:rPr>
                  </w:pPr>
                  <w:r>
                    <w:rPr>
                      <w:color w:val="auto"/>
                    </w:rPr>
                    <w:t>BOD</w:t>
                  </w:r>
                  <w:r>
                    <w:rPr>
                      <w:color w:val="auto"/>
                      <w:vertAlign w:val="subscript"/>
                    </w:rPr>
                    <w:t>5</w:t>
                  </w:r>
                </w:p>
              </w:tc>
              <w:tc>
                <w:tcPr>
                  <w:tcW w:w="817" w:type="pct"/>
                  <w:tcBorders>
                    <w:top w:val="single" w:color="auto" w:sz="4" w:space="0"/>
                    <w:left w:val="single" w:color="auto" w:sz="4" w:space="0"/>
                    <w:bottom w:val="single" w:color="auto" w:sz="4" w:space="0"/>
                    <w:right w:val="single" w:color="auto" w:sz="4" w:space="0"/>
                  </w:tcBorders>
                  <w:vAlign w:val="center"/>
                </w:tcPr>
                <w:p w14:paraId="606BE1AE">
                  <w:pPr>
                    <w:pStyle w:val="31"/>
                    <w:rPr>
                      <w:rFonts w:hint="default"/>
                      <w:color w:val="auto"/>
                    </w:rPr>
                  </w:pPr>
                  <w:r>
                    <w:rPr>
                      <w:color w:val="auto"/>
                    </w:rPr>
                    <w:t>NH</w:t>
                  </w:r>
                  <w:r>
                    <w:rPr>
                      <w:color w:val="auto"/>
                      <w:vertAlign w:val="subscript"/>
                    </w:rPr>
                    <w:t>3</w:t>
                  </w:r>
                  <w:r>
                    <w:rPr>
                      <w:color w:val="auto"/>
                    </w:rPr>
                    <w:t>-N</w:t>
                  </w:r>
                </w:p>
              </w:tc>
              <w:tc>
                <w:tcPr>
                  <w:tcW w:w="751" w:type="pct"/>
                  <w:tcBorders>
                    <w:top w:val="single" w:color="auto" w:sz="4" w:space="0"/>
                    <w:left w:val="single" w:color="auto" w:sz="4" w:space="0"/>
                    <w:bottom w:val="single" w:color="auto" w:sz="4" w:space="0"/>
                    <w:right w:val="single" w:color="auto" w:sz="4" w:space="0"/>
                  </w:tcBorders>
                  <w:vAlign w:val="center"/>
                </w:tcPr>
                <w:p w14:paraId="6265C5D4">
                  <w:pPr>
                    <w:pStyle w:val="31"/>
                    <w:rPr>
                      <w:rFonts w:hint="default"/>
                      <w:color w:val="auto"/>
                    </w:rPr>
                  </w:pPr>
                  <w:r>
                    <w:rPr>
                      <w:color w:val="auto"/>
                    </w:rPr>
                    <w:t>TP</w:t>
                  </w:r>
                </w:p>
              </w:tc>
            </w:tr>
            <w:tr w14:paraId="4AB9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11" w:type="pct"/>
                  <w:tcBorders>
                    <w:top w:val="single" w:color="auto" w:sz="4" w:space="0"/>
                    <w:left w:val="single" w:color="auto" w:sz="4" w:space="0"/>
                    <w:bottom w:val="single" w:color="auto" w:sz="4" w:space="0"/>
                    <w:right w:val="single" w:color="auto" w:sz="4" w:space="0"/>
                  </w:tcBorders>
                  <w:vAlign w:val="center"/>
                </w:tcPr>
                <w:p w14:paraId="27DA2E84">
                  <w:pPr>
                    <w:pStyle w:val="31"/>
                    <w:rPr>
                      <w:rFonts w:hint="default"/>
                      <w:color w:val="auto"/>
                    </w:rPr>
                  </w:pPr>
                  <w:r>
                    <w:rPr>
                      <w:rFonts w:hint="eastAsia"/>
                      <w:color w:val="auto"/>
                      <w:lang w:val="en-US" w:eastAsia="zh-CN"/>
                    </w:rPr>
                    <w:t>III</w:t>
                  </w:r>
                  <w:r>
                    <w:rPr>
                      <w:color w:val="auto"/>
                    </w:rPr>
                    <w:t>类标准</w:t>
                  </w:r>
                </w:p>
              </w:tc>
              <w:tc>
                <w:tcPr>
                  <w:tcW w:w="685" w:type="pct"/>
                  <w:tcBorders>
                    <w:top w:val="single" w:color="auto" w:sz="4" w:space="0"/>
                    <w:left w:val="single" w:color="auto" w:sz="4" w:space="0"/>
                    <w:bottom w:val="single" w:color="auto" w:sz="4" w:space="0"/>
                    <w:right w:val="single" w:color="auto" w:sz="4" w:space="0"/>
                  </w:tcBorders>
                  <w:vAlign w:val="center"/>
                </w:tcPr>
                <w:p w14:paraId="7E111FED">
                  <w:pPr>
                    <w:pStyle w:val="31"/>
                    <w:rPr>
                      <w:rFonts w:hint="default"/>
                      <w:color w:val="auto"/>
                    </w:rPr>
                  </w:pPr>
                  <w:r>
                    <w:rPr>
                      <w:color w:val="auto"/>
                    </w:rPr>
                    <w:t>6~9</w:t>
                  </w:r>
                </w:p>
              </w:tc>
              <w:tc>
                <w:tcPr>
                  <w:tcW w:w="804" w:type="pct"/>
                  <w:tcBorders>
                    <w:top w:val="single" w:color="auto" w:sz="4" w:space="0"/>
                    <w:left w:val="single" w:color="auto" w:sz="4" w:space="0"/>
                    <w:bottom w:val="single" w:color="auto" w:sz="4" w:space="0"/>
                    <w:right w:val="single" w:color="auto" w:sz="4" w:space="0"/>
                  </w:tcBorders>
                  <w:vAlign w:val="center"/>
                </w:tcPr>
                <w:p w14:paraId="733BA532">
                  <w:pPr>
                    <w:pStyle w:val="31"/>
                    <w:rPr>
                      <w:rFonts w:hint="default" w:eastAsia="宋体"/>
                      <w:color w:val="auto"/>
                      <w:lang w:val="en-US" w:eastAsia="zh-CN"/>
                    </w:rPr>
                  </w:pPr>
                  <w:r>
                    <w:rPr>
                      <w:rFonts w:hint="eastAsia"/>
                      <w:color w:val="auto"/>
                      <w:lang w:val="en-US" w:eastAsia="zh-CN"/>
                    </w:rPr>
                    <w:t>20</w:t>
                  </w:r>
                </w:p>
              </w:tc>
              <w:tc>
                <w:tcPr>
                  <w:tcW w:w="829" w:type="pct"/>
                  <w:tcBorders>
                    <w:top w:val="single" w:color="auto" w:sz="4" w:space="0"/>
                    <w:left w:val="single" w:color="auto" w:sz="4" w:space="0"/>
                    <w:bottom w:val="single" w:color="auto" w:sz="4" w:space="0"/>
                    <w:right w:val="single" w:color="auto" w:sz="4" w:space="0"/>
                  </w:tcBorders>
                  <w:vAlign w:val="center"/>
                </w:tcPr>
                <w:p w14:paraId="72085431">
                  <w:pPr>
                    <w:pStyle w:val="31"/>
                    <w:rPr>
                      <w:rFonts w:hint="eastAsia" w:eastAsia="宋体"/>
                      <w:color w:val="auto"/>
                      <w:lang w:eastAsia="zh-CN"/>
                    </w:rPr>
                  </w:pPr>
                  <w:r>
                    <w:rPr>
                      <w:rFonts w:hint="eastAsia"/>
                      <w:color w:val="auto"/>
                      <w:lang w:val="en-US" w:eastAsia="zh-CN"/>
                    </w:rPr>
                    <w:t>4</w:t>
                  </w:r>
                </w:p>
              </w:tc>
              <w:tc>
                <w:tcPr>
                  <w:tcW w:w="817" w:type="pct"/>
                  <w:tcBorders>
                    <w:top w:val="single" w:color="auto" w:sz="4" w:space="0"/>
                    <w:left w:val="single" w:color="auto" w:sz="4" w:space="0"/>
                    <w:bottom w:val="single" w:color="auto" w:sz="4" w:space="0"/>
                    <w:right w:val="single" w:color="auto" w:sz="4" w:space="0"/>
                  </w:tcBorders>
                  <w:vAlign w:val="center"/>
                </w:tcPr>
                <w:p w14:paraId="76A99F3E">
                  <w:pPr>
                    <w:pStyle w:val="31"/>
                    <w:rPr>
                      <w:rFonts w:hint="default" w:eastAsia="宋体"/>
                      <w:color w:val="auto"/>
                      <w:lang w:val="en-US" w:eastAsia="zh-CN"/>
                    </w:rPr>
                  </w:pPr>
                  <w:r>
                    <w:rPr>
                      <w:color w:val="auto"/>
                    </w:rPr>
                    <w:t>1</w:t>
                  </w:r>
                  <w:r>
                    <w:rPr>
                      <w:rFonts w:hint="eastAsia" w:eastAsia="宋体"/>
                      <w:color w:val="auto"/>
                      <w:lang w:val="en-US" w:eastAsia="zh-CN"/>
                    </w:rPr>
                    <w:t>.</w:t>
                  </w:r>
                  <w:r>
                    <w:rPr>
                      <w:rFonts w:hint="eastAsia"/>
                      <w:color w:val="auto"/>
                      <w:lang w:val="en-US" w:eastAsia="zh-CN"/>
                    </w:rPr>
                    <w:t>0</w:t>
                  </w:r>
                </w:p>
              </w:tc>
              <w:tc>
                <w:tcPr>
                  <w:tcW w:w="751" w:type="pct"/>
                  <w:tcBorders>
                    <w:top w:val="single" w:color="auto" w:sz="4" w:space="0"/>
                    <w:left w:val="single" w:color="auto" w:sz="4" w:space="0"/>
                    <w:bottom w:val="single" w:color="auto" w:sz="4" w:space="0"/>
                    <w:right w:val="single" w:color="auto" w:sz="4" w:space="0"/>
                  </w:tcBorders>
                  <w:vAlign w:val="center"/>
                </w:tcPr>
                <w:p w14:paraId="7D6C3539">
                  <w:pPr>
                    <w:pStyle w:val="31"/>
                    <w:rPr>
                      <w:rFonts w:hint="default" w:eastAsia="宋体"/>
                      <w:color w:val="auto"/>
                      <w:lang w:val="en-US" w:eastAsia="zh-CN"/>
                    </w:rPr>
                  </w:pPr>
                  <w:r>
                    <w:rPr>
                      <w:rFonts w:hint="eastAsia"/>
                      <w:color w:val="auto"/>
                      <w:lang w:val="en-US" w:eastAsia="zh-CN"/>
                    </w:rPr>
                    <w:t>0.2</w:t>
                  </w:r>
                </w:p>
              </w:tc>
            </w:tr>
            <w:tr w14:paraId="1F83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11" w:type="pct"/>
                  <w:tcBorders>
                    <w:top w:val="single" w:color="auto" w:sz="4" w:space="0"/>
                    <w:left w:val="single" w:color="auto" w:sz="4" w:space="0"/>
                    <w:bottom w:val="single" w:color="auto" w:sz="4" w:space="0"/>
                    <w:right w:val="single" w:color="auto" w:sz="4" w:space="0"/>
                  </w:tcBorders>
                  <w:vAlign w:val="center"/>
                </w:tcPr>
                <w:p w14:paraId="30E385F2">
                  <w:pPr>
                    <w:pStyle w:val="31"/>
                    <w:rPr>
                      <w:rFonts w:hint="default"/>
                      <w:color w:val="auto"/>
                    </w:rPr>
                  </w:pPr>
                  <w:r>
                    <w:rPr>
                      <w:color w:val="auto"/>
                    </w:rPr>
                    <w:t>项目</w:t>
                  </w:r>
                </w:p>
              </w:tc>
              <w:tc>
                <w:tcPr>
                  <w:tcW w:w="685" w:type="pct"/>
                  <w:tcBorders>
                    <w:top w:val="single" w:color="auto" w:sz="4" w:space="0"/>
                    <w:left w:val="single" w:color="auto" w:sz="4" w:space="0"/>
                    <w:bottom w:val="single" w:color="auto" w:sz="4" w:space="0"/>
                    <w:right w:val="single" w:color="auto" w:sz="4" w:space="0"/>
                  </w:tcBorders>
                  <w:vAlign w:val="center"/>
                </w:tcPr>
                <w:p w14:paraId="0A01C94A">
                  <w:pPr>
                    <w:pStyle w:val="31"/>
                    <w:rPr>
                      <w:rFonts w:hint="default"/>
                      <w:color w:val="auto"/>
                    </w:rPr>
                  </w:pPr>
                  <w:r>
                    <w:rPr>
                      <w:color w:val="auto"/>
                    </w:rPr>
                    <w:t>总氮</w:t>
                  </w:r>
                </w:p>
              </w:tc>
              <w:tc>
                <w:tcPr>
                  <w:tcW w:w="804" w:type="pct"/>
                  <w:tcBorders>
                    <w:top w:val="single" w:color="auto" w:sz="4" w:space="0"/>
                    <w:left w:val="single" w:color="auto" w:sz="4" w:space="0"/>
                    <w:bottom w:val="single" w:color="auto" w:sz="4" w:space="0"/>
                    <w:right w:val="single" w:color="auto" w:sz="4" w:space="0"/>
                  </w:tcBorders>
                  <w:vAlign w:val="center"/>
                </w:tcPr>
                <w:p w14:paraId="1DF9F782">
                  <w:pPr>
                    <w:pStyle w:val="31"/>
                    <w:rPr>
                      <w:rFonts w:hint="default"/>
                      <w:color w:val="auto"/>
                    </w:rPr>
                  </w:pPr>
                  <w:r>
                    <w:rPr>
                      <w:color w:val="auto"/>
                    </w:rPr>
                    <w:t>铜</w:t>
                  </w:r>
                </w:p>
              </w:tc>
              <w:tc>
                <w:tcPr>
                  <w:tcW w:w="829" w:type="pct"/>
                  <w:tcBorders>
                    <w:top w:val="single" w:color="auto" w:sz="4" w:space="0"/>
                    <w:left w:val="single" w:color="auto" w:sz="4" w:space="0"/>
                    <w:bottom w:val="single" w:color="auto" w:sz="4" w:space="0"/>
                    <w:right w:val="single" w:color="auto" w:sz="4" w:space="0"/>
                  </w:tcBorders>
                  <w:vAlign w:val="center"/>
                </w:tcPr>
                <w:p w14:paraId="65E2E085">
                  <w:pPr>
                    <w:pStyle w:val="31"/>
                    <w:rPr>
                      <w:rFonts w:hint="default"/>
                      <w:color w:val="auto"/>
                    </w:rPr>
                  </w:pPr>
                  <w:r>
                    <w:rPr>
                      <w:color w:val="auto"/>
                    </w:rPr>
                    <w:t>总锌</w:t>
                  </w:r>
                </w:p>
              </w:tc>
              <w:tc>
                <w:tcPr>
                  <w:tcW w:w="817" w:type="pct"/>
                  <w:tcBorders>
                    <w:top w:val="single" w:color="auto" w:sz="4" w:space="0"/>
                    <w:left w:val="single" w:color="auto" w:sz="4" w:space="0"/>
                    <w:bottom w:val="single" w:color="auto" w:sz="4" w:space="0"/>
                    <w:right w:val="single" w:color="auto" w:sz="4" w:space="0"/>
                  </w:tcBorders>
                  <w:vAlign w:val="center"/>
                </w:tcPr>
                <w:p w14:paraId="5C4E47D6">
                  <w:pPr>
                    <w:pStyle w:val="31"/>
                    <w:rPr>
                      <w:rFonts w:hint="default"/>
                      <w:color w:val="auto"/>
                    </w:rPr>
                  </w:pPr>
                  <w:r>
                    <w:rPr>
                      <w:color w:val="auto"/>
                    </w:rPr>
                    <w:t>氟化物</w:t>
                  </w:r>
                </w:p>
              </w:tc>
              <w:tc>
                <w:tcPr>
                  <w:tcW w:w="751" w:type="pct"/>
                  <w:tcBorders>
                    <w:top w:val="single" w:color="auto" w:sz="4" w:space="0"/>
                    <w:left w:val="single" w:color="auto" w:sz="4" w:space="0"/>
                    <w:bottom w:val="single" w:color="auto" w:sz="4" w:space="0"/>
                    <w:right w:val="single" w:color="auto" w:sz="4" w:space="0"/>
                  </w:tcBorders>
                  <w:vAlign w:val="center"/>
                </w:tcPr>
                <w:p w14:paraId="32EFBF86">
                  <w:pPr>
                    <w:pStyle w:val="31"/>
                    <w:rPr>
                      <w:rFonts w:hint="default"/>
                      <w:color w:val="auto"/>
                    </w:rPr>
                  </w:pPr>
                  <w:r>
                    <w:rPr>
                      <w:color w:val="auto"/>
                    </w:rPr>
                    <w:t>砷</w:t>
                  </w:r>
                </w:p>
              </w:tc>
            </w:tr>
            <w:tr w14:paraId="5EF75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11" w:type="pct"/>
                  <w:tcBorders>
                    <w:top w:val="single" w:color="auto" w:sz="4" w:space="0"/>
                    <w:left w:val="single" w:color="auto" w:sz="4" w:space="0"/>
                    <w:bottom w:val="single" w:color="auto" w:sz="4" w:space="0"/>
                    <w:right w:val="single" w:color="auto" w:sz="4" w:space="0"/>
                  </w:tcBorders>
                  <w:vAlign w:val="center"/>
                </w:tcPr>
                <w:p w14:paraId="352D8EC1">
                  <w:pPr>
                    <w:pStyle w:val="31"/>
                    <w:rPr>
                      <w:rFonts w:hint="default"/>
                      <w:color w:val="auto"/>
                    </w:rPr>
                  </w:pPr>
                  <w:r>
                    <w:rPr>
                      <w:rFonts w:hint="eastAsia"/>
                      <w:color w:val="auto"/>
                      <w:lang w:val="en-US" w:eastAsia="zh-CN"/>
                    </w:rPr>
                    <w:t>III</w:t>
                  </w:r>
                  <w:r>
                    <w:rPr>
                      <w:color w:val="auto"/>
                    </w:rPr>
                    <w:t>类标准</w:t>
                  </w:r>
                </w:p>
              </w:tc>
              <w:tc>
                <w:tcPr>
                  <w:tcW w:w="685" w:type="pct"/>
                  <w:tcBorders>
                    <w:top w:val="single" w:color="auto" w:sz="4" w:space="0"/>
                    <w:left w:val="single" w:color="auto" w:sz="4" w:space="0"/>
                    <w:bottom w:val="single" w:color="auto" w:sz="4" w:space="0"/>
                    <w:right w:val="single" w:color="auto" w:sz="4" w:space="0"/>
                  </w:tcBorders>
                  <w:vAlign w:val="center"/>
                </w:tcPr>
                <w:p w14:paraId="6A94F024">
                  <w:pPr>
                    <w:pStyle w:val="31"/>
                    <w:rPr>
                      <w:rFonts w:hint="eastAsia" w:eastAsia="宋体"/>
                      <w:color w:val="auto"/>
                      <w:lang w:val="en-US" w:eastAsia="zh-CN"/>
                    </w:rPr>
                  </w:pPr>
                  <w:r>
                    <w:rPr>
                      <w:color w:val="auto"/>
                    </w:rPr>
                    <w:t>1.</w:t>
                  </w:r>
                  <w:r>
                    <w:rPr>
                      <w:rFonts w:hint="eastAsia"/>
                      <w:color w:val="auto"/>
                      <w:lang w:val="en-US" w:eastAsia="zh-CN"/>
                    </w:rPr>
                    <w:t>0</w:t>
                  </w:r>
                </w:p>
              </w:tc>
              <w:tc>
                <w:tcPr>
                  <w:tcW w:w="804" w:type="pct"/>
                  <w:tcBorders>
                    <w:top w:val="single" w:color="auto" w:sz="4" w:space="0"/>
                    <w:left w:val="single" w:color="auto" w:sz="4" w:space="0"/>
                    <w:bottom w:val="single" w:color="auto" w:sz="4" w:space="0"/>
                    <w:right w:val="single" w:color="auto" w:sz="4" w:space="0"/>
                  </w:tcBorders>
                  <w:vAlign w:val="center"/>
                </w:tcPr>
                <w:p w14:paraId="5D2C0BCD">
                  <w:pPr>
                    <w:pStyle w:val="31"/>
                    <w:rPr>
                      <w:rFonts w:hint="default"/>
                      <w:color w:val="auto"/>
                    </w:rPr>
                  </w:pPr>
                  <w:r>
                    <w:rPr>
                      <w:color w:val="auto"/>
                    </w:rPr>
                    <w:t>1.0</w:t>
                  </w:r>
                </w:p>
              </w:tc>
              <w:tc>
                <w:tcPr>
                  <w:tcW w:w="829" w:type="pct"/>
                  <w:tcBorders>
                    <w:top w:val="single" w:color="auto" w:sz="4" w:space="0"/>
                    <w:left w:val="single" w:color="auto" w:sz="4" w:space="0"/>
                    <w:bottom w:val="single" w:color="auto" w:sz="4" w:space="0"/>
                    <w:right w:val="single" w:color="auto" w:sz="4" w:space="0"/>
                  </w:tcBorders>
                  <w:vAlign w:val="center"/>
                </w:tcPr>
                <w:p w14:paraId="1D07058E">
                  <w:pPr>
                    <w:pStyle w:val="31"/>
                    <w:rPr>
                      <w:rFonts w:hint="default" w:eastAsia="宋体"/>
                      <w:color w:val="auto"/>
                      <w:lang w:val="en-US" w:eastAsia="zh-CN"/>
                    </w:rPr>
                  </w:pPr>
                  <w:r>
                    <w:rPr>
                      <w:rFonts w:hint="eastAsia"/>
                      <w:color w:val="auto"/>
                      <w:lang w:val="en-US" w:eastAsia="zh-CN"/>
                    </w:rPr>
                    <w:t>1.0</w:t>
                  </w:r>
                </w:p>
              </w:tc>
              <w:tc>
                <w:tcPr>
                  <w:tcW w:w="817" w:type="pct"/>
                  <w:tcBorders>
                    <w:top w:val="single" w:color="auto" w:sz="4" w:space="0"/>
                    <w:left w:val="single" w:color="auto" w:sz="4" w:space="0"/>
                    <w:bottom w:val="single" w:color="auto" w:sz="4" w:space="0"/>
                    <w:right w:val="single" w:color="auto" w:sz="4" w:space="0"/>
                  </w:tcBorders>
                  <w:vAlign w:val="center"/>
                </w:tcPr>
                <w:p w14:paraId="260C3194">
                  <w:pPr>
                    <w:pStyle w:val="31"/>
                    <w:rPr>
                      <w:rFonts w:hint="default" w:eastAsia="宋体"/>
                      <w:color w:val="auto"/>
                      <w:lang w:val="en-US" w:eastAsia="zh-CN"/>
                    </w:rPr>
                  </w:pPr>
                  <w:r>
                    <w:rPr>
                      <w:rFonts w:hint="eastAsia"/>
                      <w:color w:val="auto"/>
                      <w:lang w:val="en-US" w:eastAsia="zh-CN"/>
                    </w:rPr>
                    <w:t>1.0</w:t>
                  </w:r>
                </w:p>
              </w:tc>
              <w:tc>
                <w:tcPr>
                  <w:tcW w:w="751" w:type="pct"/>
                  <w:tcBorders>
                    <w:top w:val="single" w:color="auto" w:sz="4" w:space="0"/>
                    <w:left w:val="single" w:color="auto" w:sz="4" w:space="0"/>
                    <w:bottom w:val="single" w:color="auto" w:sz="4" w:space="0"/>
                    <w:right w:val="single" w:color="auto" w:sz="4" w:space="0"/>
                  </w:tcBorders>
                  <w:vAlign w:val="center"/>
                </w:tcPr>
                <w:p w14:paraId="3BBA1FC8">
                  <w:pPr>
                    <w:pStyle w:val="31"/>
                    <w:rPr>
                      <w:rFonts w:hint="default" w:eastAsia="宋体"/>
                      <w:color w:val="auto"/>
                      <w:lang w:val="en-US" w:eastAsia="zh-CN"/>
                    </w:rPr>
                  </w:pPr>
                  <w:r>
                    <w:rPr>
                      <w:rFonts w:hint="eastAsia"/>
                      <w:color w:val="auto"/>
                      <w:lang w:val="en-US" w:eastAsia="zh-CN"/>
                    </w:rPr>
                    <w:t>0.05</w:t>
                  </w:r>
                </w:p>
              </w:tc>
            </w:tr>
            <w:tr w14:paraId="51C99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11" w:type="pct"/>
                  <w:tcBorders>
                    <w:top w:val="single" w:color="auto" w:sz="4" w:space="0"/>
                    <w:left w:val="single" w:color="auto" w:sz="4" w:space="0"/>
                    <w:bottom w:val="single" w:color="auto" w:sz="4" w:space="0"/>
                    <w:right w:val="single" w:color="auto" w:sz="4" w:space="0"/>
                  </w:tcBorders>
                  <w:vAlign w:val="center"/>
                </w:tcPr>
                <w:p w14:paraId="2EB4BE60">
                  <w:pPr>
                    <w:pStyle w:val="31"/>
                    <w:rPr>
                      <w:rFonts w:hint="default"/>
                      <w:color w:val="auto"/>
                    </w:rPr>
                  </w:pPr>
                  <w:r>
                    <w:rPr>
                      <w:color w:val="auto"/>
                    </w:rPr>
                    <w:t>项目</w:t>
                  </w:r>
                </w:p>
              </w:tc>
              <w:tc>
                <w:tcPr>
                  <w:tcW w:w="685" w:type="pct"/>
                  <w:tcBorders>
                    <w:top w:val="single" w:color="auto" w:sz="4" w:space="0"/>
                    <w:left w:val="single" w:color="auto" w:sz="4" w:space="0"/>
                    <w:bottom w:val="single" w:color="auto" w:sz="4" w:space="0"/>
                    <w:right w:val="single" w:color="auto" w:sz="4" w:space="0"/>
                  </w:tcBorders>
                  <w:vAlign w:val="center"/>
                </w:tcPr>
                <w:p w14:paraId="3A4711BF">
                  <w:pPr>
                    <w:pStyle w:val="31"/>
                    <w:rPr>
                      <w:rFonts w:hint="default"/>
                      <w:color w:val="auto"/>
                    </w:rPr>
                  </w:pPr>
                  <w:r>
                    <w:rPr>
                      <w:color w:val="auto"/>
                    </w:rPr>
                    <w:t>汞</w:t>
                  </w:r>
                </w:p>
              </w:tc>
              <w:tc>
                <w:tcPr>
                  <w:tcW w:w="804" w:type="pct"/>
                  <w:tcBorders>
                    <w:top w:val="single" w:color="auto" w:sz="4" w:space="0"/>
                    <w:left w:val="single" w:color="auto" w:sz="4" w:space="0"/>
                    <w:bottom w:val="single" w:color="auto" w:sz="4" w:space="0"/>
                    <w:right w:val="single" w:color="auto" w:sz="4" w:space="0"/>
                  </w:tcBorders>
                  <w:vAlign w:val="center"/>
                </w:tcPr>
                <w:p w14:paraId="135CBC5A">
                  <w:pPr>
                    <w:pStyle w:val="31"/>
                    <w:rPr>
                      <w:rFonts w:hint="default"/>
                      <w:color w:val="auto"/>
                    </w:rPr>
                  </w:pPr>
                  <w:r>
                    <w:rPr>
                      <w:color w:val="auto"/>
                    </w:rPr>
                    <w:t>镉</w:t>
                  </w:r>
                </w:p>
              </w:tc>
              <w:tc>
                <w:tcPr>
                  <w:tcW w:w="829" w:type="pct"/>
                  <w:tcBorders>
                    <w:top w:val="single" w:color="auto" w:sz="4" w:space="0"/>
                    <w:left w:val="single" w:color="auto" w:sz="4" w:space="0"/>
                    <w:bottom w:val="single" w:color="auto" w:sz="4" w:space="0"/>
                    <w:right w:val="single" w:color="auto" w:sz="4" w:space="0"/>
                  </w:tcBorders>
                  <w:vAlign w:val="center"/>
                </w:tcPr>
                <w:p w14:paraId="188219B5">
                  <w:pPr>
                    <w:pStyle w:val="31"/>
                    <w:rPr>
                      <w:rFonts w:hint="default"/>
                      <w:color w:val="auto"/>
                    </w:rPr>
                  </w:pPr>
                  <w:r>
                    <w:rPr>
                      <w:color w:val="auto"/>
                    </w:rPr>
                    <w:t>六价铬</w:t>
                  </w:r>
                </w:p>
              </w:tc>
              <w:tc>
                <w:tcPr>
                  <w:tcW w:w="817" w:type="pct"/>
                  <w:tcBorders>
                    <w:top w:val="single" w:color="auto" w:sz="4" w:space="0"/>
                    <w:left w:val="single" w:color="auto" w:sz="4" w:space="0"/>
                    <w:bottom w:val="single" w:color="auto" w:sz="4" w:space="0"/>
                    <w:right w:val="single" w:color="auto" w:sz="4" w:space="0"/>
                  </w:tcBorders>
                  <w:vAlign w:val="center"/>
                </w:tcPr>
                <w:p w14:paraId="2D1D9F93">
                  <w:pPr>
                    <w:pStyle w:val="31"/>
                    <w:rPr>
                      <w:rFonts w:hint="default"/>
                      <w:color w:val="auto"/>
                    </w:rPr>
                  </w:pPr>
                  <w:r>
                    <w:rPr>
                      <w:color w:val="auto"/>
                    </w:rPr>
                    <w:t>铅</w:t>
                  </w:r>
                </w:p>
              </w:tc>
              <w:tc>
                <w:tcPr>
                  <w:tcW w:w="751" w:type="pct"/>
                  <w:tcBorders>
                    <w:top w:val="single" w:color="auto" w:sz="4" w:space="0"/>
                    <w:left w:val="single" w:color="auto" w:sz="4" w:space="0"/>
                    <w:bottom w:val="single" w:color="auto" w:sz="4" w:space="0"/>
                    <w:right w:val="single" w:color="auto" w:sz="4" w:space="0"/>
                  </w:tcBorders>
                  <w:vAlign w:val="center"/>
                </w:tcPr>
                <w:p w14:paraId="52EA125F">
                  <w:pPr>
                    <w:pStyle w:val="31"/>
                    <w:rPr>
                      <w:rFonts w:hint="default"/>
                      <w:color w:val="auto"/>
                    </w:rPr>
                  </w:pPr>
                  <w:r>
                    <w:rPr>
                      <w:color w:val="auto"/>
                    </w:rPr>
                    <w:t>氰化物</w:t>
                  </w:r>
                </w:p>
              </w:tc>
            </w:tr>
            <w:tr w14:paraId="72379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11" w:type="pct"/>
                  <w:tcBorders>
                    <w:top w:val="single" w:color="auto" w:sz="4" w:space="0"/>
                    <w:left w:val="single" w:color="auto" w:sz="4" w:space="0"/>
                    <w:bottom w:val="single" w:color="auto" w:sz="4" w:space="0"/>
                    <w:right w:val="single" w:color="auto" w:sz="4" w:space="0"/>
                  </w:tcBorders>
                  <w:vAlign w:val="center"/>
                </w:tcPr>
                <w:p w14:paraId="4C02AEC0">
                  <w:pPr>
                    <w:pStyle w:val="31"/>
                    <w:rPr>
                      <w:rFonts w:hint="default"/>
                      <w:color w:val="auto"/>
                    </w:rPr>
                  </w:pPr>
                  <w:r>
                    <w:rPr>
                      <w:rFonts w:hint="eastAsia"/>
                      <w:color w:val="auto"/>
                      <w:lang w:val="en-US" w:eastAsia="zh-CN"/>
                    </w:rPr>
                    <w:t>III</w:t>
                  </w:r>
                  <w:r>
                    <w:rPr>
                      <w:color w:val="auto"/>
                    </w:rPr>
                    <w:t>类标准</w:t>
                  </w:r>
                </w:p>
              </w:tc>
              <w:tc>
                <w:tcPr>
                  <w:tcW w:w="685" w:type="pct"/>
                  <w:tcBorders>
                    <w:top w:val="single" w:color="auto" w:sz="4" w:space="0"/>
                    <w:left w:val="single" w:color="auto" w:sz="4" w:space="0"/>
                    <w:bottom w:val="single" w:color="auto" w:sz="4" w:space="0"/>
                    <w:right w:val="single" w:color="auto" w:sz="4" w:space="0"/>
                  </w:tcBorders>
                  <w:vAlign w:val="center"/>
                </w:tcPr>
                <w:p w14:paraId="4530AAD6">
                  <w:pPr>
                    <w:pStyle w:val="31"/>
                    <w:rPr>
                      <w:rFonts w:hint="default"/>
                      <w:color w:val="auto"/>
                    </w:rPr>
                  </w:pPr>
                  <w:r>
                    <w:rPr>
                      <w:color w:val="auto"/>
                    </w:rPr>
                    <w:t>0.001</w:t>
                  </w:r>
                </w:p>
              </w:tc>
              <w:tc>
                <w:tcPr>
                  <w:tcW w:w="804" w:type="pct"/>
                  <w:tcBorders>
                    <w:top w:val="single" w:color="auto" w:sz="4" w:space="0"/>
                    <w:left w:val="single" w:color="auto" w:sz="4" w:space="0"/>
                    <w:bottom w:val="single" w:color="auto" w:sz="4" w:space="0"/>
                    <w:right w:val="single" w:color="auto" w:sz="4" w:space="0"/>
                  </w:tcBorders>
                  <w:vAlign w:val="center"/>
                </w:tcPr>
                <w:p w14:paraId="34DE41D8">
                  <w:pPr>
                    <w:pStyle w:val="31"/>
                    <w:rPr>
                      <w:rFonts w:hint="default"/>
                      <w:color w:val="auto"/>
                    </w:rPr>
                  </w:pPr>
                  <w:r>
                    <w:rPr>
                      <w:color w:val="auto"/>
                    </w:rPr>
                    <w:t>0.005</w:t>
                  </w:r>
                </w:p>
              </w:tc>
              <w:tc>
                <w:tcPr>
                  <w:tcW w:w="829" w:type="pct"/>
                  <w:tcBorders>
                    <w:top w:val="single" w:color="auto" w:sz="4" w:space="0"/>
                    <w:left w:val="single" w:color="auto" w:sz="4" w:space="0"/>
                    <w:bottom w:val="single" w:color="auto" w:sz="4" w:space="0"/>
                    <w:right w:val="single" w:color="auto" w:sz="4" w:space="0"/>
                  </w:tcBorders>
                  <w:vAlign w:val="center"/>
                </w:tcPr>
                <w:p w14:paraId="27473C20">
                  <w:pPr>
                    <w:pStyle w:val="31"/>
                    <w:rPr>
                      <w:rFonts w:hint="default"/>
                      <w:color w:val="auto"/>
                    </w:rPr>
                  </w:pPr>
                  <w:r>
                    <w:rPr>
                      <w:color w:val="auto"/>
                    </w:rPr>
                    <w:t>0.05</w:t>
                  </w:r>
                </w:p>
              </w:tc>
              <w:tc>
                <w:tcPr>
                  <w:tcW w:w="817" w:type="pct"/>
                  <w:tcBorders>
                    <w:top w:val="single" w:color="auto" w:sz="4" w:space="0"/>
                    <w:left w:val="single" w:color="auto" w:sz="4" w:space="0"/>
                    <w:bottom w:val="single" w:color="auto" w:sz="4" w:space="0"/>
                    <w:right w:val="single" w:color="auto" w:sz="4" w:space="0"/>
                  </w:tcBorders>
                  <w:vAlign w:val="center"/>
                </w:tcPr>
                <w:p w14:paraId="2F1CF74B">
                  <w:pPr>
                    <w:pStyle w:val="31"/>
                    <w:rPr>
                      <w:rFonts w:hint="default"/>
                      <w:color w:val="auto"/>
                    </w:rPr>
                  </w:pPr>
                  <w:r>
                    <w:rPr>
                      <w:color w:val="auto"/>
                    </w:rPr>
                    <w:t>0.05</w:t>
                  </w:r>
                </w:p>
              </w:tc>
              <w:tc>
                <w:tcPr>
                  <w:tcW w:w="751" w:type="pct"/>
                  <w:tcBorders>
                    <w:top w:val="single" w:color="auto" w:sz="4" w:space="0"/>
                    <w:left w:val="single" w:color="auto" w:sz="4" w:space="0"/>
                    <w:bottom w:val="single" w:color="auto" w:sz="4" w:space="0"/>
                    <w:right w:val="single" w:color="auto" w:sz="4" w:space="0"/>
                  </w:tcBorders>
                  <w:vAlign w:val="center"/>
                </w:tcPr>
                <w:p w14:paraId="538A545D">
                  <w:pPr>
                    <w:pStyle w:val="31"/>
                    <w:rPr>
                      <w:rFonts w:hint="default"/>
                      <w:color w:val="auto"/>
                    </w:rPr>
                  </w:pPr>
                  <w:r>
                    <w:rPr>
                      <w:color w:val="auto"/>
                    </w:rPr>
                    <w:t>0.2</w:t>
                  </w:r>
                </w:p>
              </w:tc>
            </w:tr>
            <w:tr w14:paraId="4EFB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11" w:type="pct"/>
                  <w:tcBorders>
                    <w:top w:val="single" w:color="auto" w:sz="4" w:space="0"/>
                    <w:left w:val="single" w:color="auto" w:sz="4" w:space="0"/>
                    <w:bottom w:val="single" w:color="auto" w:sz="4" w:space="0"/>
                    <w:right w:val="single" w:color="auto" w:sz="4" w:space="0"/>
                  </w:tcBorders>
                  <w:vAlign w:val="center"/>
                </w:tcPr>
                <w:p w14:paraId="757C0E4F">
                  <w:pPr>
                    <w:pStyle w:val="31"/>
                    <w:rPr>
                      <w:rFonts w:hint="default"/>
                      <w:color w:val="auto"/>
                    </w:rPr>
                  </w:pPr>
                  <w:r>
                    <w:rPr>
                      <w:color w:val="auto"/>
                    </w:rPr>
                    <w:t>项目</w:t>
                  </w:r>
                </w:p>
              </w:tc>
              <w:tc>
                <w:tcPr>
                  <w:tcW w:w="685" w:type="pct"/>
                  <w:tcBorders>
                    <w:top w:val="single" w:color="auto" w:sz="4" w:space="0"/>
                    <w:left w:val="single" w:color="auto" w:sz="4" w:space="0"/>
                    <w:bottom w:val="single" w:color="auto" w:sz="4" w:space="0"/>
                    <w:right w:val="single" w:color="auto" w:sz="4" w:space="0"/>
                  </w:tcBorders>
                  <w:vAlign w:val="center"/>
                </w:tcPr>
                <w:p w14:paraId="6EC03802">
                  <w:pPr>
                    <w:pStyle w:val="31"/>
                    <w:rPr>
                      <w:rFonts w:hint="default"/>
                      <w:color w:val="auto"/>
                    </w:rPr>
                  </w:pPr>
                  <w:r>
                    <w:rPr>
                      <w:color w:val="auto"/>
                    </w:rPr>
                    <w:t>挥发酚</w:t>
                  </w:r>
                </w:p>
              </w:tc>
              <w:tc>
                <w:tcPr>
                  <w:tcW w:w="804" w:type="pct"/>
                  <w:tcBorders>
                    <w:top w:val="single" w:color="auto" w:sz="4" w:space="0"/>
                    <w:left w:val="single" w:color="auto" w:sz="4" w:space="0"/>
                    <w:bottom w:val="single" w:color="auto" w:sz="4" w:space="0"/>
                    <w:right w:val="single" w:color="auto" w:sz="4" w:space="0"/>
                  </w:tcBorders>
                  <w:vAlign w:val="center"/>
                </w:tcPr>
                <w:p w14:paraId="0FED69F0">
                  <w:pPr>
                    <w:pStyle w:val="31"/>
                    <w:rPr>
                      <w:rFonts w:hint="default"/>
                      <w:color w:val="auto"/>
                    </w:rPr>
                  </w:pPr>
                  <w:r>
                    <w:rPr>
                      <w:color w:val="auto"/>
                    </w:rPr>
                    <w:t>石油类</w:t>
                  </w:r>
                </w:p>
              </w:tc>
              <w:tc>
                <w:tcPr>
                  <w:tcW w:w="829" w:type="pct"/>
                  <w:tcBorders>
                    <w:top w:val="single" w:color="auto" w:sz="4" w:space="0"/>
                    <w:left w:val="single" w:color="auto" w:sz="4" w:space="0"/>
                    <w:bottom w:val="single" w:color="auto" w:sz="4" w:space="0"/>
                    <w:right w:val="single" w:color="auto" w:sz="4" w:space="0"/>
                  </w:tcBorders>
                  <w:vAlign w:val="center"/>
                </w:tcPr>
                <w:p w14:paraId="603BFC77">
                  <w:pPr>
                    <w:pStyle w:val="31"/>
                    <w:rPr>
                      <w:rFonts w:hint="default"/>
                      <w:color w:val="auto"/>
                    </w:rPr>
                  </w:pPr>
                  <w:r>
                    <w:rPr>
                      <w:color w:val="auto"/>
                    </w:rPr>
                    <w:t>阴离子表面活性剂</w:t>
                  </w:r>
                </w:p>
              </w:tc>
              <w:tc>
                <w:tcPr>
                  <w:tcW w:w="817" w:type="pct"/>
                  <w:tcBorders>
                    <w:top w:val="single" w:color="auto" w:sz="4" w:space="0"/>
                    <w:left w:val="single" w:color="auto" w:sz="4" w:space="0"/>
                    <w:bottom w:val="single" w:color="auto" w:sz="4" w:space="0"/>
                    <w:right w:val="single" w:color="auto" w:sz="4" w:space="0"/>
                  </w:tcBorders>
                  <w:vAlign w:val="center"/>
                </w:tcPr>
                <w:p w14:paraId="7C5FCB61">
                  <w:pPr>
                    <w:pStyle w:val="31"/>
                    <w:rPr>
                      <w:rFonts w:hint="default"/>
                      <w:color w:val="auto"/>
                    </w:rPr>
                  </w:pPr>
                  <w:r>
                    <w:rPr>
                      <w:color w:val="auto"/>
                    </w:rPr>
                    <w:t>硫化物</w:t>
                  </w:r>
                </w:p>
              </w:tc>
              <w:tc>
                <w:tcPr>
                  <w:tcW w:w="751" w:type="pct"/>
                  <w:tcBorders>
                    <w:top w:val="single" w:color="auto" w:sz="4" w:space="0"/>
                    <w:left w:val="single" w:color="auto" w:sz="4" w:space="0"/>
                    <w:bottom w:val="single" w:color="auto" w:sz="4" w:space="0"/>
                    <w:right w:val="single" w:color="auto" w:sz="4" w:space="0"/>
                  </w:tcBorders>
                  <w:vAlign w:val="center"/>
                </w:tcPr>
                <w:p w14:paraId="44C7BDA1">
                  <w:pPr>
                    <w:pStyle w:val="31"/>
                    <w:rPr>
                      <w:rFonts w:hint="default"/>
                      <w:color w:val="auto"/>
                    </w:rPr>
                  </w:pPr>
                  <w:r>
                    <w:rPr>
                      <w:color w:val="auto"/>
                    </w:rPr>
                    <w:t>粪大肠菌落（个/L）</w:t>
                  </w:r>
                </w:p>
              </w:tc>
            </w:tr>
            <w:tr w14:paraId="4DBE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11" w:type="pct"/>
                  <w:tcBorders>
                    <w:top w:val="single" w:color="auto" w:sz="4" w:space="0"/>
                    <w:left w:val="single" w:color="auto" w:sz="4" w:space="0"/>
                    <w:bottom w:val="single" w:color="auto" w:sz="4" w:space="0"/>
                    <w:right w:val="single" w:color="auto" w:sz="4" w:space="0"/>
                  </w:tcBorders>
                  <w:vAlign w:val="center"/>
                </w:tcPr>
                <w:p w14:paraId="262E712D">
                  <w:pPr>
                    <w:pStyle w:val="31"/>
                    <w:rPr>
                      <w:rFonts w:hint="default"/>
                      <w:color w:val="auto"/>
                    </w:rPr>
                  </w:pPr>
                  <w:r>
                    <w:rPr>
                      <w:rFonts w:hint="eastAsia"/>
                      <w:color w:val="auto"/>
                      <w:lang w:val="en-US" w:eastAsia="zh-CN"/>
                    </w:rPr>
                    <w:t>III</w:t>
                  </w:r>
                  <w:r>
                    <w:rPr>
                      <w:color w:val="auto"/>
                    </w:rPr>
                    <w:t>类标准</w:t>
                  </w:r>
                </w:p>
              </w:tc>
              <w:tc>
                <w:tcPr>
                  <w:tcW w:w="685" w:type="pct"/>
                  <w:tcBorders>
                    <w:top w:val="single" w:color="auto" w:sz="4" w:space="0"/>
                    <w:left w:val="single" w:color="auto" w:sz="4" w:space="0"/>
                    <w:bottom w:val="single" w:color="auto" w:sz="4" w:space="0"/>
                    <w:right w:val="single" w:color="auto" w:sz="4" w:space="0"/>
                  </w:tcBorders>
                  <w:vAlign w:val="center"/>
                </w:tcPr>
                <w:p w14:paraId="01DCE7A5">
                  <w:pPr>
                    <w:pStyle w:val="31"/>
                    <w:rPr>
                      <w:rFonts w:hint="default"/>
                      <w:color w:val="auto"/>
                      <w:lang w:val="en-US"/>
                    </w:rPr>
                  </w:pPr>
                  <w:r>
                    <w:rPr>
                      <w:color w:val="auto"/>
                    </w:rPr>
                    <w:t>0.0</w:t>
                  </w:r>
                  <w:r>
                    <w:rPr>
                      <w:rFonts w:hint="eastAsia"/>
                      <w:color w:val="auto"/>
                      <w:lang w:val="en-US" w:eastAsia="zh-CN"/>
                    </w:rPr>
                    <w:t>05</w:t>
                  </w:r>
                </w:p>
              </w:tc>
              <w:tc>
                <w:tcPr>
                  <w:tcW w:w="804" w:type="pct"/>
                  <w:tcBorders>
                    <w:top w:val="single" w:color="auto" w:sz="4" w:space="0"/>
                    <w:left w:val="single" w:color="auto" w:sz="4" w:space="0"/>
                    <w:bottom w:val="single" w:color="auto" w:sz="4" w:space="0"/>
                    <w:right w:val="single" w:color="auto" w:sz="4" w:space="0"/>
                  </w:tcBorders>
                  <w:vAlign w:val="center"/>
                </w:tcPr>
                <w:p w14:paraId="1324FCCB">
                  <w:pPr>
                    <w:pStyle w:val="31"/>
                    <w:rPr>
                      <w:rFonts w:hint="default"/>
                      <w:color w:val="auto"/>
                    </w:rPr>
                  </w:pPr>
                  <w:r>
                    <w:rPr>
                      <w:color w:val="auto"/>
                    </w:rPr>
                    <w:t>0.</w:t>
                  </w:r>
                  <w:r>
                    <w:rPr>
                      <w:rFonts w:hint="eastAsia"/>
                      <w:color w:val="auto"/>
                      <w:lang w:val="en-US" w:eastAsia="zh-CN"/>
                    </w:rPr>
                    <w:t>0</w:t>
                  </w:r>
                  <w:r>
                    <w:rPr>
                      <w:color w:val="auto"/>
                    </w:rPr>
                    <w:t>5</w:t>
                  </w:r>
                </w:p>
              </w:tc>
              <w:tc>
                <w:tcPr>
                  <w:tcW w:w="829" w:type="pct"/>
                  <w:tcBorders>
                    <w:top w:val="single" w:color="auto" w:sz="4" w:space="0"/>
                    <w:left w:val="single" w:color="auto" w:sz="4" w:space="0"/>
                    <w:bottom w:val="single" w:color="auto" w:sz="4" w:space="0"/>
                    <w:right w:val="single" w:color="auto" w:sz="4" w:space="0"/>
                  </w:tcBorders>
                  <w:vAlign w:val="center"/>
                </w:tcPr>
                <w:p w14:paraId="6892458E">
                  <w:pPr>
                    <w:pStyle w:val="31"/>
                    <w:rPr>
                      <w:rFonts w:hint="eastAsia" w:eastAsia="宋体"/>
                      <w:color w:val="auto"/>
                      <w:lang w:val="en-US" w:eastAsia="zh-CN"/>
                    </w:rPr>
                  </w:pPr>
                  <w:r>
                    <w:rPr>
                      <w:color w:val="auto"/>
                    </w:rPr>
                    <w:t>0.</w:t>
                  </w:r>
                  <w:r>
                    <w:rPr>
                      <w:rFonts w:hint="eastAsia"/>
                      <w:color w:val="auto"/>
                      <w:lang w:val="en-US" w:eastAsia="zh-CN"/>
                    </w:rPr>
                    <w:t>2</w:t>
                  </w:r>
                </w:p>
              </w:tc>
              <w:tc>
                <w:tcPr>
                  <w:tcW w:w="817" w:type="pct"/>
                  <w:tcBorders>
                    <w:top w:val="single" w:color="auto" w:sz="4" w:space="0"/>
                    <w:left w:val="single" w:color="auto" w:sz="4" w:space="0"/>
                    <w:bottom w:val="single" w:color="auto" w:sz="4" w:space="0"/>
                    <w:right w:val="single" w:color="auto" w:sz="4" w:space="0"/>
                  </w:tcBorders>
                  <w:vAlign w:val="center"/>
                </w:tcPr>
                <w:p w14:paraId="42E3211F">
                  <w:pPr>
                    <w:pStyle w:val="31"/>
                    <w:rPr>
                      <w:rFonts w:hint="eastAsia" w:eastAsia="宋体"/>
                      <w:color w:val="auto"/>
                      <w:lang w:val="en-US" w:eastAsia="zh-CN"/>
                    </w:rPr>
                  </w:pPr>
                  <w:r>
                    <w:rPr>
                      <w:color w:val="auto"/>
                    </w:rPr>
                    <w:t>0.</w:t>
                  </w:r>
                  <w:r>
                    <w:rPr>
                      <w:rFonts w:hint="eastAsia"/>
                      <w:color w:val="auto"/>
                      <w:lang w:val="en-US" w:eastAsia="zh-CN"/>
                    </w:rPr>
                    <w:t>2</w:t>
                  </w:r>
                </w:p>
              </w:tc>
              <w:tc>
                <w:tcPr>
                  <w:tcW w:w="751" w:type="pct"/>
                  <w:tcBorders>
                    <w:top w:val="single" w:color="auto" w:sz="4" w:space="0"/>
                    <w:left w:val="single" w:color="auto" w:sz="4" w:space="0"/>
                    <w:bottom w:val="single" w:color="auto" w:sz="4" w:space="0"/>
                    <w:right w:val="single" w:color="auto" w:sz="4" w:space="0"/>
                  </w:tcBorders>
                  <w:vAlign w:val="center"/>
                </w:tcPr>
                <w:p w14:paraId="392B1ACA">
                  <w:pPr>
                    <w:pStyle w:val="31"/>
                    <w:rPr>
                      <w:rFonts w:hint="default"/>
                      <w:color w:val="auto"/>
                    </w:rPr>
                  </w:pPr>
                  <w:r>
                    <w:rPr>
                      <w:rFonts w:hint="eastAsia"/>
                      <w:color w:val="auto"/>
                      <w:lang w:val="en-US" w:eastAsia="zh-CN"/>
                    </w:rPr>
                    <w:t>1</w:t>
                  </w:r>
                  <w:r>
                    <w:rPr>
                      <w:color w:val="auto"/>
                    </w:rPr>
                    <w:t>0000</w:t>
                  </w:r>
                </w:p>
              </w:tc>
            </w:tr>
          </w:tbl>
          <w:p w14:paraId="6C40B07C">
            <w:pPr>
              <w:pStyle w:val="9"/>
              <w:ind w:firstLine="482"/>
              <w:rPr>
                <w:b/>
                <w:bCs/>
                <w:color w:val="auto"/>
              </w:rPr>
            </w:pPr>
            <w:r>
              <w:rPr>
                <w:rFonts w:hint="eastAsia"/>
                <w:b/>
                <w:bCs/>
                <w:color w:val="auto"/>
              </w:rPr>
              <w:t>（2）地表水环境质量现状</w:t>
            </w:r>
          </w:p>
          <w:p w14:paraId="483CD166">
            <w:pPr>
              <w:ind w:firstLine="48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根据《环境影响评价技术导则地表水环境》（HJ2.3-2018）中“6.6.3水环境质量现状调查”中的规定，在进行水环境质量现状调查时应优先采用国务院生态环境主管部门统一发布的水环境状况信息。根据中国环境全国生态环境信息平台发布的《云南杞麓湖国控断面和全湖平均水质双脱劣》。受多种条件影响，直至2024年湖泊水质仍为劣Ⅴ类，经过省市县三级同题共答、聚力攻坚，2025年，杞麓湖实现了国控断面和全湖平均水质双脱劣。监测数据显示，杞麓湖湖心（国控点）、全湖平均水质类别由2019年至2024年连续6年的劣Ⅴ类，提升为2025年的Ⅴ类；其中，湖心国控点化学需氧量（COD）均值从2024年的41.2mg/L下降为2025年的34.2mg/L，降幅达17.0%；全湖化学需氧量（COD）均值从2024年的44.5mg/L下降为2025年的35.9mg/L，降幅达19.3%。项目所在区域地表水体杞麓湖水质不能满足《地表水环境质量标准》（GB3838-2002）Ⅲ类水质标准，水质超标原因主要是由于周围农田及生活面源污染，农村生活污水、农业灌溉用水直接排入河流水体，河道常年污染严重，失去自净能力。</w:t>
            </w:r>
          </w:p>
          <w:p w14:paraId="7ECFCFE3">
            <w:pPr>
              <w:pStyle w:val="40"/>
              <w:rPr>
                <w:rFonts w:hint="default"/>
                <w:color w:val="auto"/>
              </w:rPr>
            </w:pPr>
            <w:r>
              <w:rPr>
                <w:rFonts w:hint="eastAsia"/>
                <w:color w:val="auto"/>
                <w:lang w:eastAsia="zh-CN"/>
              </w:rPr>
              <w:t>三、</w:t>
            </w:r>
            <w:r>
              <w:rPr>
                <w:color w:val="auto"/>
              </w:rPr>
              <w:t>声环境</w:t>
            </w:r>
          </w:p>
          <w:p w14:paraId="59E50BFE">
            <w:pPr>
              <w:ind w:firstLine="482"/>
              <w:rPr>
                <w:b/>
                <w:bCs/>
                <w:color w:val="auto"/>
              </w:rPr>
            </w:pPr>
            <w:r>
              <w:rPr>
                <w:rFonts w:hint="eastAsia"/>
                <w:b/>
                <w:bCs/>
                <w:color w:val="auto"/>
              </w:rPr>
              <w:t>（1）声环境质量执行标准</w:t>
            </w:r>
          </w:p>
          <w:p w14:paraId="259F00D6">
            <w:pPr>
              <w:ind w:firstLine="480"/>
              <w:rPr>
                <w:color w:val="auto"/>
              </w:rPr>
            </w:pPr>
            <w:r>
              <w:rPr>
                <w:rFonts w:hint="eastAsia"/>
                <w:color w:val="auto"/>
                <w:lang w:eastAsia="zh-CN"/>
              </w:rPr>
              <w:t>项目位于通海县纳古镇，根据《云南省通海县声环境功能区划修编（2025~2035）》</w:t>
            </w:r>
            <w:r>
              <w:rPr>
                <w:rFonts w:hint="eastAsia"/>
                <w:color w:val="auto"/>
                <w:lang w:val="en-US" w:eastAsia="zh-CN"/>
              </w:rPr>
              <w:t>可知，</w:t>
            </w:r>
            <w:r>
              <w:rPr>
                <w:rFonts w:hint="eastAsia"/>
                <w:color w:val="auto"/>
                <w:lang w:eastAsia="zh-CN"/>
              </w:rPr>
              <w:t>项目所在地噪声功能区划为声环境2类区，执行《声环境质量标准》（GB3096-2008）中的2类标准，</w:t>
            </w:r>
            <w:r>
              <w:rPr>
                <w:color w:val="auto"/>
              </w:rPr>
              <w:t>标准值见表</w:t>
            </w:r>
            <w:r>
              <w:rPr>
                <w:rFonts w:hint="eastAsia"/>
                <w:color w:val="auto"/>
              </w:rPr>
              <w:t>3-</w:t>
            </w:r>
            <w:r>
              <w:rPr>
                <w:rFonts w:hint="eastAsia"/>
                <w:color w:val="auto"/>
                <w:lang w:val="en-US" w:eastAsia="zh-CN"/>
              </w:rPr>
              <w:t>4</w:t>
            </w:r>
            <w:r>
              <w:rPr>
                <w:color w:val="auto"/>
              </w:rPr>
              <w:t>。</w:t>
            </w:r>
          </w:p>
          <w:p w14:paraId="2A24CB81">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表3-4  声环境质量标准</w:t>
            </w:r>
          </w:p>
          <w:tbl>
            <w:tblPr>
              <w:tblStyle w:val="22"/>
              <w:tblW w:w="75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9"/>
              <w:gridCol w:w="2340"/>
              <w:gridCol w:w="1921"/>
              <w:gridCol w:w="1923"/>
            </w:tblGrid>
            <w:tr w14:paraId="613AA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1409" w:type="dxa"/>
                  <w:vMerge w:val="restart"/>
                  <w:tcBorders>
                    <w:top w:val="single" w:color="auto" w:sz="4" w:space="0"/>
                    <w:left w:val="single" w:color="auto" w:sz="4" w:space="0"/>
                    <w:bottom w:val="single" w:color="auto" w:sz="4" w:space="0"/>
                    <w:right w:val="single" w:color="auto" w:sz="4" w:space="0"/>
                  </w:tcBorders>
                  <w:vAlign w:val="center"/>
                </w:tcPr>
                <w:p w14:paraId="6A335B74">
                  <w:pPr>
                    <w:pStyle w:val="31"/>
                    <w:rPr>
                      <w:rFonts w:hint="default"/>
                      <w:color w:val="auto"/>
                    </w:rPr>
                  </w:pPr>
                  <w:r>
                    <w:rPr>
                      <w:color w:val="auto"/>
                    </w:rPr>
                    <w:t>类别</w:t>
                  </w:r>
                </w:p>
              </w:tc>
              <w:tc>
                <w:tcPr>
                  <w:tcW w:w="2340" w:type="dxa"/>
                  <w:vMerge w:val="restart"/>
                  <w:tcBorders>
                    <w:top w:val="single" w:color="auto" w:sz="4" w:space="0"/>
                    <w:left w:val="single" w:color="auto" w:sz="4" w:space="0"/>
                    <w:bottom w:val="single" w:color="auto" w:sz="4" w:space="0"/>
                    <w:right w:val="single" w:color="auto" w:sz="4" w:space="0"/>
                  </w:tcBorders>
                  <w:vAlign w:val="center"/>
                </w:tcPr>
                <w:p w14:paraId="4A8AF525">
                  <w:pPr>
                    <w:pStyle w:val="31"/>
                    <w:rPr>
                      <w:rFonts w:hint="default"/>
                      <w:color w:val="auto"/>
                    </w:rPr>
                  </w:pPr>
                  <w:r>
                    <w:rPr>
                      <w:color w:val="auto"/>
                    </w:rPr>
                    <w:t>适用区域</w:t>
                  </w:r>
                </w:p>
              </w:tc>
              <w:tc>
                <w:tcPr>
                  <w:tcW w:w="3844" w:type="dxa"/>
                  <w:gridSpan w:val="2"/>
                  <w:tcBorders>
                    <w:top w:val="single" w:color="auto" w:sz="4" w:space="0"/>
                    <w:left w:val="single" w:color="auto" w:sz="4" w:space="0"/>
                    <w:bottom w:val="single" w:color="auto" w:sz="4" w:space="0"/>
                    <w:right w:val="single" w:color="auto" w:sz="4" w:space="0"/>
                  </w:tcBorders>
                  <w:vAlign w:val="center"/>
                </w:tcPr>
                <w:p w14:paraId="121EED01">
                  <w:pPr>
                    <w:pStyle w:val="31"/>
                    <w:rPr>
                      <w:rFonts w:hint="default"/>
                      <w:color w:val="auto"/>
                    </w:rPr>
                  </w:pPr>
                  <w:r>
                    <w:rPr>
                      <w:color w:val="auto"/>
                    </w:rPr>
                    <w:t>等效声级[dB(A)]</w:t>
                  </w:r>
                </w:p>
              </w:tc>
            </w:tr>
            <w:tr w14:paraId="46435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409" w:type="dxa"/>
                  <w:vMerge w:val="continue"/>
                  <w:tcBorders>
                    <w:top w:val="single" w:color="auto" w:sz="4" w:space="0"/>
                    <w:left w:val="single" w:color="auto" w:sz="4" w:space="0"/>
                    <w:bottom w:val="single" w:color="auto" w:sz="4" w:space="0"/>
                    <w:right w:val="single" w:color="auto" w:sz="4" w:space="0"/>
                  </w:tcBorders>
                  <w:vAlign w:val="center"/>
                </w:tcPr>
                <w:p w14:paraId="12991BEF">
                  <w:pPr>
                    <w:pStyle w:val="31"/>
                    <w:rPr>
                      <w:rFonts w:hint="default"/>
                      <w:color w:val="auto"/>
                    </w:rPr>
                  </w:pPr>
                </w:p>
              </w:tc>
              <w:tc>
                <w:tcPr>
                  <w:tcW w:w="2340" w:type="dxa"/>
                  <w:vMerge w:val="continue"/>
                  <w:tcBorders>
                    <w:top w:val="single" w:color="auto" w:sz="4" w:space="0"/>
                    <w:left w:val="single" w:color="auto" w:sz="4" w:space="0"/>
                    <w:bottom w:val="single" w:color="auto" w:sz="4" w:space="0"/>
                    <w:right w:val="single" w:color="auto" w:sz="4" w:space="0"/>
                  </w:tcBorders>
                  <w:vAlign w:val="center"/>
                </w:tcPr>
                <w:p w14:paraId="02D0BC34">
                  <w:pPr>
                    <w:pStyle w:val="31"/>
                    <w:rPr>
                      <w:rFonts w:hint="default"/>
                      <w:color w:val="auto"/>
                    </w:rPr>
                  </w:pPr>
                </w:p>
              </w:tc>
              <w:tc>
                <w:tcPr>
                  <w:tcW w:w="1921" w:type="dxa"/>
                  <w:tcBorders>
                    <w:top w:val="single" w:color="auto" w:sz="4" w:space="0"/>
                    <w:left w:val="single" w:color="auto" w:sz="4" w:space="0"/>
                    <w:bottom w:val="single" w:color="auto" w:sz="4" w:space="0"/>
                    <w:right w:val="single" w:color="auto" w:sz="4" w:space="0"/>
                  </w:tcBorders>
                  <w:vAlign w:val="center"/>
                </w:tcPr>
                <w:p w14:paraId="7A2B37C6">
                  <w:pPr>
                    <w:pStyle w:val="31"/>
                    <w:rPr>
                      <w:rFonts w:hint="default"/>
                      <w:color w:val="auto"/>
                    </w:rPr>
                  </w:pPr>
                  <w:r>
                    <w:rPr>
                      <w:color w:val="auto"/>
                    </w:rPr>
                    <w:t>昼间</w:t>
                  </w:r>
                </w:p>
              </w:tc>
              <w:tc>
                <w:tcPr>
                  <w:tcW w:w="1923" w:type="dxa"/>
                  <w:tcBorders>
                    <w:top w:val="single" w:color="auto" w:sz="4" w:space="0"/>
                    <w:left w:val="single" w:color="auto" w:sz="4" w:space="0"/>
                    <w:bottom w:val="single" w:color="auto" w:sz="4" w:space="0"/>
                    <w:right w:val="single" w:color="auto" w:sz="4" w:space="0"/>
                  </w:tcBorders>
                  <w:vAlign w:val="center"/>
                </w:tcPr>
                <w:p w14:paraId="2D231FA6">
                  <w:pPr>
                    <w:pStyle w:val="31"/>
                    <w:rPr>
                      <w:rFonts w:hint="default"/>
                      <w:color w:val="auto"/>
                    </w:rPr>
                  </w:pPr>
                  <w:r>
                    <w:rPr>
                      <w:color w:val="auto"/>
                    </w:rPr>
                    <w:t>夜间</w:t>
                  </w:r>
                </w:p>
              </w:tc>
            </w:tr>
            <w:tr w14:paraId="48B7A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409" w:type="dxa"/>
                  <w:tcBorders>
                    <w:top w:val="single" w:color="auto" w:sz="4" w:space="0"/>
                    <w:left w:val="single" w:color="auto" w:sz="4" w:space="0"/>
                    <w:bottom w:val="single" w:color="auto" w:sz="4" w:space="0"/>
                    <w:right w:val="single" w:color="auto" w:sz="4" w:space="0"/>
                  </w:tcBorders>
                  <w:vAlign w:val="center"/>
                </w:tcPr>
                <w:p w14:paraId="0A0B498F">
                  <w:pPr>
                    <w:pStyle w:val="31"/>
                    <w:rPr>
                      <w:rFonts w:hint="default"/>
                      <w:color w:val="auto"/>
                    </w:rPr>
                  </w:pPr>
                  <w:r>
                    <w:rPr>
                      <w:color w:val="auto"/>
                    </w:rPr>
                    <w:t>2类</w:t>
                  </w:r>
                </w:p>
              </w:tc>
              <w:tc>
                <w:tcPr>
                  <w:tcW w:w="2340" w:type="dxa"/>
                  <w:tcBorders>
                    <w:top w:val="single" w:color="auto" w:sz="4" w:space="0"/>
                    <w:left w:val="single" w:color="auto" w:sz="4" w:space="0"/>
                    <w:bottom w:val="single" w:color="auto" w:sz="4" w:space="0"/>
                    <w:right w:val="single" w:color="auto" w:sz="4" w:space="0"/>
                  </w:tcBorders>
                  <w:vAlign w:val="center"/>
                </w:tcPr>
                <w:p w14:paraId="45A0A1CB">
                  <w:pPr>
                    <w:pStyle w:val="31"/>
                    <w:rPr>
                      <w:rFonts w:hint="default"/>
                      <w:color w:val="auto"/>
                    </w:rPr>
                  </w:pPr>
                  <w:r>
                    <w:rPr>
                      <w:color w:val="auto"/>
                    </w:rPr>
                    <w:t>项目区</w:t>
                  </w:r>
                </w:p>
              </w:tc>
              <w:tc>
                <w:tcPr>
                  <w:tcW w:w="1921" w:type="dxa"/>
                  <w:tcBorders>
                    <w:top w:val="single" w:color="auto" w:sz="4" w:space="0"/>
                    <w:left w:val="single" w:color="auto" w:sz="4" w:space="0"/>
                    <w:bottom w:val="single" w:color="auto" w:sz="4" w:space="0"/>
                    <w:right w:val="single" w:color="auto" w:sz="4" w:space="0"/>
                  </w:tcBorders>
                  <w:vAlign w:val="center"/>
                </w:tcPr>
                <w:p w14:paraId="31FE6FE7">
                  <w:pPr>
                    <w:pStyle w:val="31"/>
                    <w:rPr>
                      <w:rFonts w:hint="default"/>
                      <w:color w:val="auto"/>
                    </w:rPr>
                  </w:pPr>
                  <w:r>
                    <w:rPr>
                      <w:color w:val="auto"/>
                    </w:rPr>
                    <w:t>60</w:t>
                  </w:r>
                </w:p>
              </w:tc>
              <w:tc>
                <w:tcPr>
                  <w:tcW w:w="1923" w:type="dxa"/>
                  <w:tcBorders>
                    <w:top w:val="single" w:color="auto" w:sz="4" w:space="0"/>
                    <w:left w:val="single" w:color="auto" w:sz="4" w:space="0"/>
                    <w:bottom w:val="single" w:color="auto" w:sz="4" w:space="0"/>
                    <w:right w:val="single" w:color="auto" w:sz="4" w:space="0"/>
                  </w:tcBorders>
                  <w:vAlign w:val="center"/>
                </w:tcPr>
                <w:p w14:paraId="12EDE09D">
                  <w:pPr>
                    <w:pStyle w:val="31"/>
                    <w:rPr>
                      <w:rFonts w:hint="default"/>
                      <w:color w:val="auto"/>
                    </w:rPr>
                  </w:pPr>
                  <w:r>
                    <w:rPr>
                      <w:color w:val="auto"/>
                    </w:rPr>
                    <w:t>50</w:t>
                  </w:r>
                </w:p>
              </w:tc>
            </w:tr>
          </w:tbl>
          <w:p w14:paraId="5C597017">
            <w:pPr>
              <w:ind w:firstLine="482"/>
              <w:rPr>
                <w:b/>
                <w:bCs/>
                <w:color w:val="auto"/>
              </w:rPr>
            </w:pPr>
            <w:r>
              <w:rPr>
                <w:rFonts w:hint="eastAsia"/>
                <w:b/>
                <w:bCs/>
                <w:color w:val="auto"/>
              </w:rPr>
              <w:t>（2）声环境质量现状</w:t>
            </w:r>
          </w:p>
          <w:p w14:paraId="3EA4D7CB">
            <w:pPr>
              <w:ind w:firstLine="480"/>
              <w:rPr>
                <w:color w:val="auto"/>
              </w:rPr>
            </w:pPr>
            <w:r>
              <w:rPr>
                <w:rFonts w:hint="eastAsia"/>
                <w:color w:val="auto"/>
              </w:rPr>
              <w:t>根据《建设项目环境影响报告表编制技术指南（污染影响类）（试行）》相关内容，项目厂界外50m范围内无声环境敏感目标，无需进行声环境现状监测。根据现场踏勘，项目区域周边存在工业企业生产活动，声环境质量现状能够达到声环境质量2类标准。</w:t>
            </w:r>
          </w:p>
          <w:p w14:paraId="238EA184">
            <w:pPr>
              <w:pStyle w:val="40"/>
              <w:rPr>
                <w:rFonts w:hint="default"/>
                <w:color w:val="auto"/>
              </w:rPr>
            </w:pPr>
            <w:r>
              <w:rPr>
                <w:rFonts w:hint="eastAsia"/>
                <w:color w:val="auto"/>
                <w:lang w:eastAsia="zh-CN"/>
              </w:rPr>
              <w:t>四、</w:t>
            </w:r>
            <w:r>
              <w:rPr>
                <w:color w:val="auto"/>
              </w:rPr>
              <w:t>生态环境</w:t>
            </w:r>
          </w:p>
          <w:p w14:paraId="2F3CDECD">
            <w:pPr>
              <w:ind w:firstLine="480"/>
              <w:rPr>
                <w:rFonts w:hint="eastAsia"/>
                <w:color w:val="auto"/>
              </w:rPr>
            </w:pPr>
            <w:r>
              <w:rPr>
                <w:rFonts w:hint="eastAsia"/>
                <w:color w:val="auto"/>
                <w:lang w:eastAsia="zh-CN"/>
              </w:rPr>
              <w:t>本</w:t>
            </w:r>
            <w:r>
              <w:rPr>
                <w:rFonts w:hint="eastAsia"/>
                <w:color w:val="auto"/>
              </w:rPr>
              <w:t>项目位于玉溪</w:t>
            </w:r>
            <w:r>
              <w:rPr>
                <w:rFonts w:hint="eastAsia"/>
                <w:color w:val="auto"/>
                <w:lang w:eastAsia="zh-CN"/>
              </w:rPr>
              <w:t>市通海县纳古镇</w:t>
            </w:r>
            <w:r>
              <w:rPr>
                <w:rFonts w:hint="eastAsia"/>
                <w:color w:val="auto"/>
              </w:rPr>
              <w:t>，经现场踏勘，项目所在区域内无珍稀野生动、植物，无文物古迹等需特殊保护的目标。</w:t>
            </w:r>
          </w:p>
          <w:p w14:paraId="01C25B5A">
            <w:pPr>
              <w:pStyle w:val="4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五、地下水、土壤环境</w:t>
            </w:r>
          </w:p>
          <w:p w14:paraId="168C70FE">
            <w:pPr>
              <w:ind w:firstLine="480"/>
              <w:rPr>
                <w:rFonts w:hint="eastAsia"/>
                <w:color w:val="auto"/>
              </w:rPr>
            </w:pPr>
            <w:r>
              <w:rPr>
                <w:rFonts w:hint="eastAsia"/>
                <w:color w:val="auto"/>
              </w:rPr>
              <w:t>根据《建设项目环境影响报告表编制技术指南》（污染影响类）（试行）“地下水、土壤环境原则上不开展环境质量现状调查。建设项目存在土壤、地下水环境污染途径的，应结合污染源、保护目标分布情况开展现状调查以留作背景值。”</w:t>
            </w:r>
          </w:p>
          <w:p w14:paraId="08B2ED41">
            <w:pPr>
              <w:ind w:firstLine="480"/>
              <w:rPr>
                <w:rFonts w:hint="eastAsia"/>
                <w:color w:val="auto"/>
              </w:rPr>
            </w:pPr>
            <w:r>
              <w:rPr>
                <w:rFonts w:hint="eastAsia"/>
                <w:color w:val="auto"/>
              </w:rPr>
              <w:t>本项目已采取分区防渗措施，正常情况下无土壤、地下水环境污染途径，原则上不开展环境质量现状调查。</w:t>
            </w:r>
          </w:p>
          <w:p w14:paraId="767381F9">
            <w:pPr>
              <w:ind w:firstLine="480"/>
              <w:rPr>
                <w:rFonts w:hint="eastAsia"/>
                <w:color w:val="auto"/>
              </w:rPr>
            </w:pPr>
            <w:r>
              <w:rPr>
                <w:rFonts w:hint="eastAsia"/>
                <w:color w:val="auto"/>
                <w:highlight w:val="none"/>
              </w:rPr>
              <w:t>项目周边有两口深水井，一个位于项目区</w:t>
            </w:r>
            <w:r>
              <w:rPr>
                <w:rFonts w:hint="eastAsia"/>
                <w:color w:val="auto"/>
                <w:highlight w:val="none"/>
                <w:lang w:val="en-US" w:eastAsia="zh-CN"/>
              </w:rPr>
              <w:t>南</w:t>
            </w:r>
            <w:r>
              <w:rPr>
                <w:rFonts w:hint="eastAsia"/>
                <w:color w:val="auto"/>
                <w:highlight w:val="none"/>
              </w:rPr>
              <w:t>侧</w:t>
            </w:r>
            <w:r>
              <w:rPr>
                <w:rFonts w:hint="eastAsia"/>
                <w:color w:val="auto"/>
                <w:highlight w:val="none"/>
                <w:lang w:val="en-US" w:eastAsia="zh-CN"/>
              </w:rPr>
              <w:t>445</w:t>
            </w:r>
            <w:r>
              <w:rPr>
                <w:rFonts w:hint="eastAsia"/>
                <w:color w:val="auto"/>
                <w:highlight w:val="none"/>
              </w:rPr>
              <w:t>m，属于纳古镇辖区</w:t>
            </w:r>
            <w:r>
              <w:rPr>
                <w:rFonts w:hint="eastAsia"/>
                <w:color w:val="auto"/>
                <w:highlight w:val="none"/>
                <w:lang w:val="en-US" w:eastAsia="zh-CN"/>
              </w:rPr>
              <w:t>3#水井</w:t>
            </w:r>
            <w:r>
              <w:rPr>
                <w:rFonts w:hint="eastAsia"/>
                <w:color w:val="auto"/>
                <w:highlight w:val="none"/>
              </w:rPr>
              <w:t>，另一个位于项目区东</w:t>
            </w:r>
            <w:r>
              <w:rPr>
                <w:rFonts w:hint="eastAsia"/>
                <w:color w:val="auto"/>
                <w:highlight w:val="none"/>
                <w:lang w:val="en-US" w:eastAsia="zh-CN"/>
              </w:rPr>
              <w:t>南</w:t>
            </w:r>
            <w:r>
              <w:rPr>
                <w:rFonts w:hint="eastAsia"/>
                <w:color w:val="auto"/>
                <w:highlight w:val="none"/>
              </w:rPr>
              <w:t>侧</w:t>
            </w:r>
            <w:r>
              <w:rPr>
                <w:rFonts w:hint="eastAsia"/>
                <w:color w:val="auto"/>
                <w:highlight w:val="none"/>
                <w:lang w:val="en-US" w:eastAsia="zh-CN"/>
              </w:rPr>
              <w:t>480</w:t>
            </w:r>
            <w:r>
              <w:rPr>
                <w:rFonts w:hint="eastAsia"/>
                <w:color w:val="auto"/>
                <w:highlight w:val="none"/>
              </w:rPr>
              <w:t>m，属于四街镇辖区</w:t>
            </w:r>
            <w:r>
              <w:rPr>
                <w:rFonts w:hint="eastAsia"/>
                <w:color w:val="auto"/>
                <w:highlight w:val="none"/>
                <w:lang w:val="en-US" w:eastAsia="zh-CN"/>
              </w:rPr>
              <w:t>水井</w:t>
            </w:r>
            <w:r>
              <w:rPr>
                <w:rFonts w:hint="eastAsia"/>
                <w:color w:val="auto"/>
                <w:highlight w:val="none"/>
              </w:rPr>
              <w:t>。两口井现状均为工业用水水井，不属于饮用水井，两口水井均有相应管辖的村委会做出证明（附件</w:t>
            </w:r>
            <w:r>
              <w:rPr>
                <w:rFonts w:hint="eastAsia"/>
                <w:color w:val="auto"/>
                <w:highlight w:val="none"/>
                <w:lang w:val="en-US" w:eastAsia="zh-CN"/>
              </w:rPr>
              <w:t>11</w:t>
            </w:r>
            <w:r>
              <w:rPr>
                <w:rFonts w:hint="eastAsia"/>
                <w:color w:val="auto"/>
                <w:highlight w:val="none"/>
              </w:rPr>
              <w:t>）。</w:t>
            </w:r>
            <w:r>
              <w:rPr>
                <w:rFonts w:hint="eastAsia"/>
                <w:color w:val="auto"/>
              </w:rPr>
              <w:t>项目在防渗层破损等非正常状况下循环水池冷却水、生活污水垂直入渗可能造成地下水环境污染，因此，本次评价地下水环境现状调查引用项目区周边近3年内的现有地下水环境质量现状监测数据，以留作背景值。</w:t>
            </w:r>
          </w:p>
          <w:p w14:paraId="200A37BC">
            <w:pPr>
              <w:ind w:firstLine="480"/>
              <w:rPr>
                <w:rFonts w:hint="eastAsia" w:eastAsia="宋体"/>
                <w:b/>
                <w:bCs/>
                <w:color w:val="auto"/>
                <w:lang w:eastAsia="zh-CN"/>
              </w:rPr>
            </w:pPr>
            <w:r>
              <w:rPr>
                <w:rFonts w:hint="eastAsia"/>
                <w:b/>
                <w:bCs/>
                <w:color w:val="auto"/>
                <w:lang w:eastAsia="zh-CN"/>
              </w:rPr>
              <w:t>（</w:t>
            </w:r>
            <w:r>
              <w:rPr>
                <w:rFonts w:hint="eastAsia"/>
                <w:b/>
                <w:bCs/>
                <w:color w:val="auto"/>
                <w:lang w:val="en-US" w:eastAsia="zh-CN"/>
              </w:rPr>
              <w:t>1</w:t>
            </w:r>
            <w:r>
              <w:rPr>
                <w:rFonts w:hint="eastAsia"/>
                <w:b/>
                <w:bCs/>
                <w:color w:val="auto"/>
                <w:lang w:eastAsia="zh-CN"/>
              </w:rPr>
              <w:t>）地下水环境质量标准</w:t>
            </w:r>
          </w:p>
          <w:p w14:paraId="6CB0E364">
            <w:pPr>
              <w:ind w:firstLine="480"/>
              <w:rPr>
                <w:rFonts w:hint="eastAsia"/>
                <w:color w:val="auto"/>
              </w:rPr>
            </w:pPr>
            <w:r>
              <w:rPr>
                <w:rFonts w:hint="eastAsia"/>
                <w:color w:val="auto"/>
              </w:rPr>
              <w:t>项目区地下水执行《地下水质量标准》（GB/T14848-2017）Ⅲ类标准，其标准值见下表。</w:t>
            </w:r>
          </w:p>
          <w:p w14:paraId="529F3E16">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表3-5  地下水质量标准   单位：mg/L</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77"/>
              <w:gridCol w:w="1322"/>
              <w:gridCol w:w="798"/>
              <w:gridCol w:w="1142"/>
              <w:gridCol w:w="565"/>
              <w:gridCol w:w="991"/>
              <w:gridCol w:w="1156"/>
              <w:gridCol w:w="1039"/>
            </w:tblGrid>
            <w:tr w14:paraId="2D78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blHeader/>
              </w:trPr>
              <w:tc>
                <w:tcPr>
                  <w:tcW w:w="380" w:type="pct"/>
                  <w:shd w:val="clear" w:color="auto" w:fill="auto"/>
                  <w:vAlign w:val="center"/>
                </w:tcPr>
                <w:p w14:paraId="332086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序号</w:t>
                  </w:r>
                </w:p>
              </w:tc>
              <w:tc>
                <w:tcPr>
                  <w:tcW w:w="870" w:type="pct"/>
                  <w:shd w:val="clear" w:color="auto" w:fill="auto"/>
                  <w:vAlign w:val="center"/>
                </w:tcPr>
                <w:p w14:paraId="01C717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项目</w:t>
                  </w:r>
                </w:p>
              </w:tc>
              <w:tc>
                <w:tcPr>
                  <w:tcW w:w="525" w:type="pct"/>
                  <w:shd w:val="clear" w:color="auto" w:fill="auto"/>
                  <w:vAlign w:val="center"/>
                </w:tcPr>
                <w:p w14:paraId="4DD99B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单位</w:t>
                  </w:r>
                </w:p>
              </w:tc>
              <w:tc>
                <w:tcPr>
                  <w:tcW w:w="752" w:type="pct"/>
                  <w:shd w:val="clear" w:color="auto" w:fill="auto"/>
                  <w:vAlign w:val="center"/>
                </w:tcPr>
                <w:p w14:paraId="303798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Ⅲ类标准限值</w:t>
                  </w:r>
                </w:p>
              </w:tc>
              <w:tc>
                <w:tcPr>
                  <w:tcW w:w="372" w:type="pct"/>
                  <w:shd w:val="clear" w:color="auto" w:fill="auto"/>
                  <w:vAlign w:val="center"/>
                </w:tcPr>
                <w:p w14:paraId="5FDE2E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序号</w:t>
                  </w:r>
                </w:p>
              </w:tc>
              <w:tc>
                <w:tcPr>
                  <w:tcW w:w="652" w:type="pct"/>
                  <w:shd w:val="clear" w:color="auto" w:fill="auto"/>
                  <w:vAlign w:val="center"/>
                </w:tcPr>
                <w:p w14:paraId="699DC2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项目</w:t>
                  </w:r>
                </w:p>
              </w:tc>
              <w:tc>
                <w:tcPr>
                  <w:tcW w:w="761" w:type="pct"/>
                  <w:shd w:val="clear" w:color="auto" w:fill="auto"/>
                  <w:vAlign w:val="center"/>
                </w:tcPr>
                <w:p w14:paraId="642B0A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单位</w:t>
                  </w:r>
                </w:p>
              </w:tc>
              <w:tc>
                <w:tcPr>
                  <w:tcW w:w="684" w:type="pct"/>
                  <w:shd w:val="clear" w:color="auto" w:fill="auto"/>
                  <w:vAlign w:val="center"/>
                </w:tcPr>
                <w:p w14:paraId="624FE1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Ⅲ类标准限值</w:t>
                  </w:r>
                </w:p>
              </w:tc>
            </w:tr>
            <w:tr w14:paraId="3106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3" w:hRule="atLeast"/>
              </w:trPr>
              <w:tc>
                <w:tcPr>
                  <w:tcW w:w="380" w:type="pct"/>
                  <w:shd w:val="clear" w:color="auto" w:fill="auto"/>
                  <w:vAlign w:val="center"/>
                </w:tcPr>
                <w:p w14:paraId="7F223F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1</w:t>
                  </w:r>
                </w:p>
              </w:tc>
              <w:tc>
                <w:tcPr>
                  <w:tcW w:w="870" w:type="pct"/>
                  <w:shd w:val="clear" w:color="auto" w:fill="auto"/>
                  <w:vAlign w:val="center"/>
                </w:tcPr>
                <w:p w14:paraId="5FF8DC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pH</w:t>
                  </w:r>
                </w:p>
              </w:tc>
              <w:tc>
                <w:tcPr>
                  <w:tcW w:w="525" w:type="pct"/>
                  <w:shd w:val="clear" w:color="auto" w:fill="auto"/>
                  <w:vAlign w:val="center"/>
                </w:tcPr>
                <w:p w14:paraId="692C0A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w:t>
                  </w:r>
                </w:p>
              </w:tc>
              <w:tc>
                <w:tcPr>
                  <w:tcW w:w="752" w:type="pct"/>
                  <w:shd w:val="clear" w:color="auto" w:fill="auto"/>
                  <w:vAlign w:val="center"/>
                </w:tcPr>
                <w:p w14:paraId="598C41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6.5-8.5</w:t>
                  </w:r>
                </w:p>
              </w:tc>
              <w:tc>
                <w:tcPr>
                  <w:tcW w:w="372" w:type="pct"/>
                  <w:shd w:val="clear" w:color="auto" w:fill="auto"/>
                  <w:vAlign w:val="center"/>
                </w:tcPr>
                <w:p w14:paraId="74ABD6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12</w:t>
                  </w:r>
                </w:p>
              </w:tc>
              <w:tc>
                <w:tcPr>
                  <w:tcW w:w="652" w:type="pct"/>
                  <w:shd w:val="clear" w:color="auto" w:fill="auto"/>
                  <w:vAlign w:val="center"/>
                </w:tcPr>
                <w:p w14:paraId="7F5761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菌落总数</w:t>
                  </w:r>
                </w:p>
              </w:tc>
              <w:tc>
                <w:tcPr>
                  <w:tcW w:w="761" w:type="pct"/>
                  <w:shd w:val="clear" w:color="auto" w:fill="auto"/>
                  <w:vAlign w:val="center"/>
                </w:tcPr>
                <w:p w14:paraId="5634C3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CFU/100ml</w:t>
                  </w:r>
                </w:p>
              </w:tc>
              <w:tc>
                <w:tcPr>
                  <w:tcW w:w="684" w:type="pct"/>
                  <w:shd w:val="clear" w:color="auto" w:fill="auto"/>
                  <w:vAlign w:val="center"/>
                </w:tcPr>
                <w:p w14:paraId="412B31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≤100</w:t>
                  </w:r>
                </w:p>
              </w:tc>
            </w:tr>
            <w:tr w14:paraId="16D2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80" w:type="pct"/>
                  <w:shd w:val="clear" w:color="auto" w:fill="auto"/>
                  <w:vAlign w:val="center"/>
                </w:tcPr>
                <w:p w14:paraId="5D0140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2</w:t>
                  </w:r>
                </w:p>
              </w:tc>
              <w:tc>
                <w:tcPr>
                  <w:tcW w:w="870" w:type="pct"/>
                  <w:shd w:val="clear" w:color="auto" w:fill="auto"/>
                  <w:vAlign w:val="center"/>
                </w:tcPr>
                <w:p w14:paraId="140137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总硬度</w:t>
                  </w:r>
                </w:p>
              </w:tc>
              <w:tc>
                <w:tcPr>
                  <w:tcW w:w="525" w:type="pct"/>
                  <w:shd w:val="clear" w:color="auto" w:fill="auto"/>
                  <w:vAlign w:val="center"/>
                </w:tcPr>
                <w:p w14:paraId="0DBE4B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mg/L</w:t>
                  </w:r>
                </w:p>
              </w:tc>
              <w:tc>
                <w:tcPr>
                  <w:tcW w:w="752" w:type="pct"/>
                  <w:shd w:val="clear" w:color="auto" w:fill="auto"/>
                  <w:vAlign w:val="center"/>
                </w:tcPr>
                <w:p w14:paraId="5860C8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≤450</w:t>
                  </w:r>
                </w:p>
              </w:tc>
              <w:tc>
                <w:tcPr>
                  <w:tcW w:w="372" w:type="pct"/>
                  <w:shd w:val="clear" w:color="auto" w:fill="auto"/>
                  <w:vAlign w:val="center"/>
                </w:tcPr>
                <w:p w14:paraId="13F015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13</w:t>
                  </w:r>
                </w:p>
              </w:tc>
              <w:tc>
                <w:tcPr>
                  <w:tcW w:w="652" w:type="pct"/>
                  <w:shd w:val="clear" w:color="auto" w:fill="auto"/>
                  <w:vAlign w:val="center"/>
                </w:tcPr>
                <w:p w14:paraId="7C6DE5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亚硝酸盐</w:t>
                  </w:r>
                </w:p>
              </w:tc>
              <w:tc>
                <w:tcPr>
                  <w:tcW w:w="761" w:type="pct"/>
                  <w:shd w:val="clear" w:color="auto" w:fill="auto"/>
                  <w:vAlign w:val="center"/>
                </w:tcPr>
                <w:p w14:paraId="1F1286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mg/L</w:t>
                  </w:r>
                </w:p>
              </w:tc>
              <w:tc>
                <w:tcPr>
                  <w:tcW w:w="684" w:type="pct"/>
                  <w:shd w:val="clear" w:color="auto" w:fill="auto"/>
                  <w:vAlign w:val="center"/>
                </w:tcPr>
                <w:p w14:paraId="24CE3B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≤1.0</w:t>
                  </w:r>
                </w:p>
              </w:tc>
            </w:tr>
            <w:tr w14:paraId="000B2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380" w:type="pct"/>
                  <w:shd w:val="clear" w:color="auto" w:fill="auto"/>
                  <w:vAlign w:val="center"/>
                </w:tcPr>
                <w:p w14:paraId="2B9F34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3</w:t>
                  </w:r>
                </w:p>
              </w:tc>
              <w:tc>
                <w:tcPr>
                  <w:tcW w:w="870" w:type="pct"/>
                  <w:shd w:val="clear" w:color="auto" w:fill="auto"/>
                  <w:vAlign w:val="center"/>
                </w:tcPr>
                <w:p w14:paraId="15A503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溶解性总固体</w:t>
                  </w:r>
                </w:p>
              </w:tc>
              <w:tc>
                <w:tcPr>
                  <w:tcW w:w="525" w:type="pct"/>
                  <w:shd w:val="clear" w:color="auto" w:fill="auto"/>
                  <w:vAlign w:val="center"/>
                </w:tcPr>
                <w:p w14:paraId="7687D7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mg/L</w:t>
                  </w:r>
                </w:p>
              </w:tc>
              <w:tc>
                <w:tcPr>
                  <w:tcW w:w="752" w:type="pct"/>
                  <w:shd w:val="clear" w:color="auto" w:fill="auto"/>
                  <w:vAlign w:val="center"/>
                </w:tcPr>
                <w:p w14:paraId="546FB2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≤1000</w:t>
                  </w:r>
                </w:p>
              </w:tc>
              <w:tc>
                <w:tcPr>
                  <w:tcW w:w="372" w:type="pct"/>
                  <w:shd w:val="clear" w:color="auto" w:fill="auto"/>
                  <w:vAlign w:val="center"/>
                </w:tcPr>
                <w:p w14:paraId="5C1785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14</w:t>
                  </w:r>
                </w:p>
              </w:tc>
              <w:tc>
                <w:tcPr>
                  <w:tcW w:w="652" w:type="pct"/>
                  <w:shd w:val="clear" w:color="auto" w:fill="auto"/>
                  <w:vAlign w:val="center"/>
                </w:tcPr>
                <w:p w14:paraId="0D6721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硝酸盐</w:t>
                  </w:r>
                </w:p>
              </w:tc>
              <w:tc>
                <w:tcPr>
                  <w:tcW w:w="761" w:type="pct"/>
                  <w:shd w:val="clear" w:color="auto" w:fill="auto"/>
                  <w:vAlign w:val="center"/>
                </w:tcPr>
                <w:p w14:paraId="488124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mg/L</w:t>
                  </w:r>
                </w:p>
              </w:tc>
              <w:tc>
                <w:tcPr>
                  <w:tcW w:w="684" w:type="pct"/>
                  <w:shd w:val="clear" w:color="auto" w:fill="auto"/>
                  <w:vAlign w:val="center"/>
                </w:tcPr>
                <w:p w14:paraId="1D55CF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≤20</w:t>
                  </w:r>
                </w:p>
              </w:tc>
            </w:tr>
            <w:tr w14:paraId="3258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0" w:type="pct"/>
                  <w:shd w:val="clear" w:color="auto" w:fill="auto"/>
                  <w:vAlign w:val="center"/>
                </w:tcPr>
                <w:p w14:paraId="4621D4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4</w:t>
                  </w:r>
                </w:p>
              </w:tc>
              <w:tc>
                <w:tcPr>
                  <w:tcW w:w="870" w:type="pct"/>
                  <w:shd w:val="clear" w:color="auto" w:fill="auto"/>
                  <w:vAlign w:val="center"/>
                </w:tcPr>
                <w:p w14:paraId="1AEF48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硫酸盐</w:t>
                  </w:r>
                </w:p>
              </w:tc>
              <w:tc>
                <w:tcPr>
                  <w:tcW w:w="525" w:type="pct"/>
                  <w:shd w:val="clear" w:color="auto" w:fill="auto"/>
                  <w:vAlign w:val="center"/>
                </w:tcPr>
                <w:p w14:paraId="68BB2D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mg/L</w:t>
                  </w:r>
                </w:p>
              </w:tc>
              <w:tc>
                <w:tcPr>
                  <w:tcW w:w="752" w:type="pct"/>
                  <w:shd w:val="clear" w:color="auto" w:fill="auto"/>
                  <w:vAlign w:val="center"/>
                </w:tcPr>
                <w:p w14:paraId="6FBC64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≤250</w:t>
                  </w:r>
                </w:p>
              </w:tc>
              <w:tc>
                <w:tcPr>
                  <w:tcW w:w="372" w:type="pct"/>
                  <w:shd w:val="clear" w:color="auto" w:fill="auto"/>
                  <w:vAlign w:val="center"/>
                </w:tcPr>
                <w:p w14:paraId="296E2A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15</w:t>
                  </w:r>
                </w:p>
              </w:tc>
              <w:tc>
                <w:tcPr>
                  <w:tcW w:w="652" w:type="pct"/>
                  <w:shd w:val="clear" w:color="auto" w:fill="auto"/>
                  <w:vAlign w:val="center"/>
                </w:tcPr>
                <w:p w14:paraId="0251A2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氰化物</w:t>
                  </w:r>
                </w:p>
              </w:tc>
              <w:tc>
                <w:tcPr>
                  <w:tcW w:w="761" w:type="pct"/>
                  <w:shd w:val="clear" w:color="auto" w:fill="auto"/>
                  <w:vAlign w:val="center"/>
                </w:tcPr>
                <w:p w14:paraId="10E242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mg/L</w:t>
                  </w:r>
                </w:p>
              </w:tc>
              <w:tc>
                <w:tcPr>
                  <w:tcW w:w="684" w:type="pct"/>
                  <w:shd w:val="clear" w:color="auto" w:fill="auto"/>
                  <w:vAlign w:val="center"/>
                </w:tcPr>
                <w:p w14:paraId="531045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≤0.05</w:t>
                  </w:r>
                </w:p>
              </w:tc>
            </w:tr>
            <w:tr w14:paraId="4256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0" w:type="pct"/>
                  <w:shd w:val="clear" w:color="auto" w:fill="auto"/>
                  <w:vAlign w:val="center"/>
                </w:tcPr>
                <w:p w14:paraId="0D3A2D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5</w:t>
                  </w:r>
                </w:p>
              </w:tc>
              <w:tc>
                <w:tcPr>
                  <w:tcW w:w="870" w:type="pct"/>
                  <w:shd w:val="clear" w:color="auto" w:fill="auto"/>
                  <w:vAlign w:val="center"/>
                </w:tcPr>
                <w:p w14:paraId="0BF66F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氯化物</w:t>
                  </w:r>
                </w:p>
              </w:tc>
              <w:tc>
                <w:tcPr>
                  <w:tcW w:w="525" w:type="pct"/>
                  <w:shd w:val="clear" w:color="auto" w:fill="auto"/>
                  <w:vAlign w:val="center"/>
                </w:tcPr>
                <w:p w14:paraId="082FE4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mg/L</w:t>
                  </w:r>
                </w:p>
              </w:tc>
              <w:tc>
                <w:tcPr>
                  <w:tcW w:w="752" w:type="pct"/>
                  <w:shd w:val="clear" w:color="auto" w:fill="auto"/>
                  <w:vAlign w:val="center"/>
                </w:tcPr>
                <w:p w14:paraId="304AFA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≤250</w:t>
                  </w:r>
                </w:p>
              </w:tc>
              <w:tc>
                <w:tcPr>
                  <w:tcW w:w="372" w:type="pct"/>
                  <w:shd w:val="clear" w:color="auto" w:fill="auto"/>
                  <w:vAlign w:val="center"/>
                </w:tcPr>
                <w:p w14:paraId="477B5E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16</w:t>
                  </w:r>
                </w:p>
              </w:tc>
              <w:tc>
                <w:tcPr>
                  <w:tcW w:w="652" w:type="pct"/>
                  <w:shd w:val="clear" w:color="auto" w:fill="auto"/>
                  <w:vAlign w:val="center"/>
                </w:tcPr>
                <w:p w14:paraId="62DF55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氟化物</w:t>
                  </w:r>
                </w:p>
              </w:tc>
              <w:tc>
                <w:tcPr>
                  <w:tcW w:w="761" w:type="pct"/>
                  <w:shd w:val="clear" w:color="auto" w:fill="auto"/>
                  <w:vAlign w:val="center"/>
                </w:tcPr>
                <w:p w14:paraId="2CE868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mg/L</w:t>
                  </w:r>
                </w:p>
              </w:tc>
              <w:tc>
                <w:tcPr>
                  <w:tcW w:w="684" w:type="pct"/>
                  <w:shd w:val="clear" w:color="auto" w:fill="auto"/>
                  <w:vAlign w:val="center"/>
                </w:tcPr>
                <w:p w14:paraId="6AFB36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≤1.0</w:t>
                  </w:r>
                </w:p>
              </w:tc>
            </w:tr>
            <w:tr w14:paraId="6DC0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80" w:type="pct"/>
                  <w:shd w:val="clear" w:color="auto" w:fill="auto"/>
                  <w:vAlign w:val="center"/>
                </w:tcPr>
                <w:p w14:paraId="081050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6</w:t>
                  </w:r>
                </w:p>
              </w:tc>
              <w:tc>
                <w:tcPr>
                  <w:tcW w:w="870" w:type="pct"/>
                  <w:shd w:val="clear" w:color="auto" w:fill="auto"/>
                  <w:vAlign w:val="center"/>
                </w:tcPr>
                <w:p w14:paraId="74EF3A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铁</w:t>
                  </w:r>
                </w:p>
              </w:tc>
              <w:tc>
                <w:tcPr>
                  <w:tcW w:w="525" w:type="pct"/>
                  <w:shd w:val="clear" w:color="auto" w:fill="auto"/>
                  <w:vAlign w:val="center"/>
                </w:tcPr>
                <w:p w14:paraId="189285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mg/L</w:t>
                  </w:r>
                </w:p>
              </w:tc>
              <w:tc>
                <w:tcPr>
                  <w:tcW w:w="752" w:type="pct"/>
                  <w:shd w:val="clear" w:color="auto" w:fill="auto"/>
                  <w:vAlign w:val="center"/>
                </w:tcPr>
                <w:p w14:paraId="481465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≤0.3</w:t>
                  </w:r>
                </w:p>
              </w:tc>
              <w:tc>
                <w:tcPr>
                  <w:tcW w:w="372" w:type="pct"/>
                  <w:shd w:val="clear" w:color="auto" w:fill="auto"/>
                  <w:vAlign w:val="center"/>
                </w:tcPr>
                <w:p w14:paraId="519841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17</w:t>
                  </w:r>
                </w:p>
              </w:tc>
              <w:tc>
                <w:tcPr>
                  <w:tcW w:w="652" w:type="pct"/>
                  <w:shd w:val="clear" w:color="auto" w:fill="auto"/>
                  <w:vAlign w:val="center"/>
                </w:tcPr>
                <w:p w14:paraId="5925AD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汞</w:t>
                  </w:r>
                </w:p>
              </w:tc>
              <w:tc>
                <w:tcPr>
                  <w:tcW w:w="761" w:type="pct"/>
                  <w:shd w:val="clear" w:color="auto" w:fill="auto"/>
                  <w:vAlign w:val="center"/>
                </w:tcPr>
                <w:p w14:paraId="156B21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mg/L</w:t>
                  </w:r>
                </w:p>
              </w:tc>
              <w:tc>
                <w:tcPr>
                  <w:tcW w:w="684" w:type="pct"/>
                  <w:shd w:val="clear" w:color="auto" w:fill="auto"/>
                  <w:vAlign w:val="center"/>
                </w:tcPr>
                <w:p w14:paraId="49EB95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≤0.001</w:t>
                  </w:r>
                </w:p>
              </w:tc>
            </w:tr>
            <w:tr w14:paraId="37292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80" w:type="pct"/>
                  <w:shd w:val="clear" w:color="auto" w:fill="auto"/>
                  <w:vAlign w:val="center"/>
                </w:tcPr>
                <w:p w14:paraId="18E1CC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7</w:t>
                  </w:r>
                </w:p>
              </w:tc>
              <w:tc>
                <w:tcPr>
                  <w:tcW w:w="870" w:type="pct"/>
                  <w:shd w:val="clear" w:color="auto" w:fill="auto"/>
                  <w:vAlign w:val="center"/>
                </w:tcPr>
                <w:p w14:paraId="297DB6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锰</w:t>
                  </w:r>
                </w:p>
              </w:tc>
              <w:tc>
                <w:tcPr>
                  <w:tcW w:w="525" w:type="pct"/>
                  <w:shd w:val="clear" w:color="auto" w:fill="auto"/>
                  <w:vAlign w:val="center"/>
                </w:tcPr>
                <w:p w14:paraId="56D1C8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mg/L</w:t>
                  </w:r>
                </w:p>
              </w:tc>
              <w:tc>
                <w:tcPr>
                  <w:tcW w:w="752" w:type="pct"/>
                  <w:shd w:val="clear" w:color="auto" w:fill="auto"/>
                  <w:vAlign w:val="center"/>
                </w:tcPr>
                <w:p w14:paraId="4915BC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≤0.10</w:t>
                  </w:r>
                </w:p>
              </w:tc>
              <w:tc>
                <w:tcPr>
                  <w:tcW w:w="372" w:type="pct"/>
                  <w:shd w:val="clear" w:color="auto" w:fill="auto"/>
                  <w:vAlign w:val="center"/>
                </w:tcPr>
                <w:p w14:paraId="61FED7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18</w:t>
                  </w:r>
                </w:p>
              </w:tc>
              <w:tc>
                <w:tcPr>
                  <w:tcW w:w="652" w:type="pct"/>
                  <w:shd w:val="clear" w:color="auto" w:fill="auto"/>
                  <w:vAlign w:val="center"/>
                </w:tcPr>
                <w:p w14:paraId="08AA84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砷</w:t>
                  </w:r>
                </w:p>
              </w:tc>
              <w:tc>
                <w:tcPr>
                  <w:tcW w:w="761" w:type="pct"/>
                  <w:shd w:val="clear" w:color="auto" w:fill="auto"/>
                  <w:vAlign w:val="center"/>
                </w:tcPr>
                <w:p w14:paraId="10B5B3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mg/L</w:t>
                  </w:r>
                </w:p>
              </w:tc>
              <w:tc>
                <w:tcPr>
                  <w:tcW w:w="684" w:type="pct"/>
                  <w:shd w:val="clear" w:color="auto" w:fill="auto"/>
                  <w:vAlign w:val="center"/>
                </w:tcPr>
                <w:p w14:paraId="25BF4E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≤0.01</w:t>
                  </w:r>
                </w:p>
              </w:tc>
            </w:tr>
            <w:tr w14:paraId="47ABF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3" w:hRule="atLeast"/>
              </w:trPr>
              <w:tc>
                <w:tcPr>
                  <w:tcW w:w="380" w:type="pct"/>
                  <w:shd w:val="clear" w:color="auto" w:fill="auto"/>
                  <w:vAlign w:val="center"/>
                </w:tcPr>
                <w:p w14:paraId="408986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8</w:t>
                  </w:r>
                </w:p>
              </w:tc>
              <w:tc>
                <w:tcPr>
                  <w:tcW w:w="870" w:type="pct"/>
                  <w:shd w:val="clear" w:color="auto" w:fill="auto"/>
                  <w:vAlign w:val="center"/>
                </w:tcPr>
                <w:p w14:paraId="76EFCE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挥发性酚类</w:t>
                  </w:r>
                </w:p>
              </w:tc>
              <w:tc>
                <w:tcPr>
                  <w:tcW w:w="525" w:type="pct"/>
                  <w:shd w:val="clear" w:color="auto" w:fill="auto"/>
                  <w:vAlign w:val="center"/>
                </w:tcPr>
                <w:p w14:paraId="68E4B1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mg/L</w:t>
                  </w:r>
                </w:p>
              </w:tc>
              <w:tc>
                <w:tcPr>
                  <w:tcW w:w="752" w:type="pct"/>
                  <w:shd w:val="clear" w:color="auto" w:fill="auto"/>
                  <w:vAlign w:val="center"/>
                </w:tcPr>
                <w:p w14:paraId="2871C3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≤0.002</w:t>
                  </w:r>
                </w:p>
              </w:tc>
              <w:tc>
                <w:tcPr>
                  <w:tcW w:w="372" w:type="pct"/>
                  <w:shd w:val="clear" w:color="auto" w:fill="auto"/>
                  <w:vAlign w:val="center"/>
                </w:tcPr>
                <w:p w14:paraId="2F74C6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19</w:t>
                  </w:r>
                </w:p>
              </w:tc>
              <w:tc>
                <w:tcPr>
                  <w:tcW w:w="652" w:type="pct"/>
                  <w:shd w:val="clear" w:color="auto" w:fill="auto"/>
                  <w:vAlign w:val="center"/>
                </w:tcPr>
                <w:p w14:paraId="2DE305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镉</w:t>
                  </w:r>
                </w:p>
              </w:tc>
              <w:tc>
                <w:tcPr>
                  <w:tcW w:w="761" w:type="pct"/>
                  <w:shd w:val="clear" w:color="auto" w:fill="auto"/>
                  <w:vAlign w:val="center"/>
                </w:tcPr>
                <w:p w14:paraId="79668E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mg/L</w:t>
                  </w:r>
                </w:p>
              </w:tc>
              <w:tc>
                <w:tcPr>
                  <w:tcW w:w="684" w:type="pct"/>
                  <w:shd w:val="clear" w:color="auto" w:fill="auto"/>
                  <w:vAlign w:val="center"/>
                </w:tcPr>
                <w:p w14:paraId="6E7633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≤0.005</w:t>
                  </w:r>
                </w:p>
              </w:tc>
            </w:tr>
            <w:tr w14:paraId="1701C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3" w:hRule="atLeast"/>
              </w:trPr>
              <w:tc>
                <w:tcPr>
                  <w:tcW w:w="380" w:type="pct"/>
                  <w:shd w:val="clear" w:color="auto" w:fill="auto"/>
                  <w:vAlign w:val="center"/>
                </w:tcPr>
                <w:p w14:paraId="2C74C4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9</w:t>
                  </w:r>
                </w:p>
              </w:tc>
              <w:tc>
                <w:tcPr>
                  <w:tcW w:w="870" w:type="pct"/>
                  <w:shd w:val="clear" w:color="auto" w:fill="auto"/>
                  <w:vAlign w:val="center"/>
                </w:tcPr>
                <w:p w14:paraId="169449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耗氧量（CODMn）</w:t>
                  </w:r>
                </w:p>
              </w:tc>
              <w:tc>
                <w:tcPr>
                  <w:tcW w:w="525" w:type="pct"/>
                  <w:shd w:val="clear" w:color="auto" w:fill="auto"/>
                  <w:vAlign w:val="center"/>
                </w:tcPr>
                <w:p w14:paraId="51CFD4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mg/L</w:t>
                  </w:r>
                </w:p>
              </w:tc>
              <w:tc>
                <w:tcPr>
                  <w:tcW w:w="752" w:type="pct"/>
                  <w:shd w:val="clear" w:color="auto" w:fill="auto"/>
                  <w:vAlign w:val="center"/>
                </w:tcPr>
                <w:p w14:paraId="2D1BBA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≤3.0</w:t>
                  </w:r>
                </w:p>
              </w:tc>
              <w:tc>
                <w:tcPr>
                  <w:tcW w:w="372" w:type="pct"/>
                  <w:shd w:val="clear" w:color="auto" w:fill="auto"/>
                  <w:vAlign w:val="center"/>
                </w:tcPr>
                <w:p w14:paraId="1BD0FD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20</w:t>
                  </w:r>
                </w:p>
              </w:tc>
              <w:tc>
                <w:tcPr>
                  <w:tcW w:w="652" w:type="pct"/>
                  <w:shd w:val="clear" w:color="auto" w:fill="auto"/>
                  <w:vAlign w:val="center"/>
                </w:tcPr>
                <w:p w14:paraId="3B86EF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铅</w:t>
                  </w:r>
                </w:p>
              </w:tc>
              <w:tc>
                <w:tcPr>
                  <w:tcW w:w="761" w:type="pct"/>
                  <w:shd w:val="clear" w:color="auto" w:fill="auto"/>
                  <w:vAlign w:val="center"/>
                </w:tcPr>
                <w:p w14:paraId="429617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mg/L</w:t>
                  </w:r>
                </w:p>
              </w:tc>
              <w:tc>
                <w:tcPr>
                  <w:tcW w:w="684" w:type="pct"/>
                  <w:shd w:val="clear" w:color="auto" w:fill="auto"/>
                  <w:vAlign w:val="center"/>
                </w:tcPr>
                <w:p w14:paraId="13008B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≤0.01</w:t>
                  </w:r>
                </w:p>
              </w:tc>
            </w:tr>
            <w:tr w14:paraId="66166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80" w:type="pct"/>
                  <w:shd w:val="clear" w:color="auto" w:fill="auto"/>
                  <w:vAlign w:val="center"/>
                </w:tcPr>
                <w:p w14:paraId="3AB0C3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10</w:t>
                  </w:r>
                </w:p>
              </w:tc>
              <w:tc>
                <w:tcPr>
                  <w:tcW w:w="870" w:type="pct"/>
                  <w:shd w:val="clear" w:color="auto" w:fill="auto"/>
                  <w:vAlign w:val="center"/>
                </w:tcPr>
                <w:p w14:paraId="2A3735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氨氮</w:t>
                  </w:r>
                </w:p>
              </w:tc>
              <w:tc>
                <w:tcPr>
                  <w:tcW w:w="525" w:type="pct"/>
                  <w:shd w:val="clear" w:color="auto" w:fill="auto"/>
                  <w:vAlign w:val="center"/>
                </w:tcPr>
                <w:p w14:paraId="230EDA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mg/L</w:t>
                  </w:r>
                </w:p>
              </w:tc>
              <w:tc>
                <w:tcPr>
                  <w:tcW w:w="752" w:type="pct"/>
                  <w:shd w:val="clear" w:color="auto" w:fill="auto"/>
                  <w:vAlign w:val="center"/>
                </w:tcPr>
                <w:p w14:paraId="0BEE11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≤0.5</w:t>
                  </w:r>
                </w:p>
              </w:tc>
              <w:tc>
                <w:tcPr>
                  <w:tcW w:w="372" w:type="pct"/>
                  <w:shd w:val="clear" w:color="auto" w:fill="auto"/>
                  <w:vAlign w:val="center"/>
                </w:tcPr>
                <w:p w14:paraId="472003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21</w:t>
                  </w:r>
                </w:p>
              </w:tc>
              <w:tc>
                <w:tcPr>
                  <w:tcW w:w="652" w:type="pct"/>
                  <w:shd w:val="clear" w:color="auto" w:fill="auto"/>
                  <w:vAlign w:val="center"/>
                </w:tcPr>
                <w:p w14:paraId="323CC5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铬(六价)</w:t>
                  </w:r>
                </w:p>
              </w:tc>
              <w:tc>
                <w:tcPr>
                  <w:tcW w:w="761" w:type="pct"/>
                  <w:shd w:val="clear" w:color="auto" w:fill="auto"/>
                  <w:vAlign w:val="center"/>
                </w:tcPr>
                <w:p w14:paraId="607476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mg/L</w:t>
                  </w:r>
                </w:p>
              </w:tc>
              <w:tc>
                <w:tcPr>
                  <w:tcW w:w="684" w:type="pct"/>
                  <w:shd w:val="clear" w:color="auto" w:fill="auto"/>
                  <w:vAlign w:val="center"/>
                </w:tcPr>
                <w:p w14:paraId="6EF91E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≤0.05</w:t>
                  </w:r>
                </w:p>
              </w:tc>
            </w:tr>
            <w:tr w14:paraId="2038D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3" w:hRule="atLeast"/>
              </w:trPr>
              <w:tc>
                <w:tcPr>
                  <w:tcW w:w="380" w:type="pct"/>
                  <w:shd w:val="clear" w:color="auto" w:fill="auto"/>
                  <w:vAlign w:val="center"/>
                </w:tcPr>
                <w:p w14:paraId="056462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11</w:t>
                  </w:r>
                </w:p>
              </w:tc>
              <w:tc>
                <w:tcPr>
                  <w:tcW w:w="870" w:type="pct"/>
                  <w:shd w:val="clear" w:color="auto" w:fill="auto"/>
                  <w:vAlign w:val="center"/>
                </w:tcPr>
                <w:p w14:paraId="772E28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总大肠菌群</w:t>
                  </w:r>
                </w:p>
              </w:tc>
              <w:tc>
                <w:tcPr>
                  <w:tcW w:w="525" w:type="pct"/>
                  <w:shd w:val="clear" w:color="auto" w:fill="auto"/>
                  <w:vAlign w:val="center"/>
                </w:tcPr>
                <w:p w14:paraId="40C4AB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CFU/100ml</w:t>
                  </w:r>
                </w:p>
              </w:tc>
              <w:tc>
                <w:tcPr>
                  <w:tcW w:w="752" w:type="pct"/>
                  <w:shd w:val="clear" w:color="auto" w:fill="auto"/>
                  <w:vAlign w:val="center"/>
                </w:tcPr>
                <w:p w14:paraId="5402D9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≤3.0</w:t>
                  </w:r>
                </w:p>
              </w:tc>
              <w:tc>
                <w:tcPr>
                  <w:tcW w:w="372" w:type="pct"/>
                  <w:shd w:val="clear" w:color="auto" w:fill="auto"/>
                  <w:vAlign w:val="center"/>
                </w:tcPr>
                <w:p w14:paraId="0C5E68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22</w:t>
                  </w:r>
                </w:p>
              </w:tc>
              <w:tc>
                <w:tcPr>
                  <w:tcW w:w="652" w:type="pct"/>
                  <w:shd w:val="clear" w:color="auto" w:fill="auto"/>
                  <w:vAlign w:val="center"/>
                </w:tcPr>
                <w:p w14:paraId="1CE84D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苯并[a]芘</w:t>
                  </w:r>
                </w:p>
              </w:tc>
              <w:tc>
                <w:tcPr>
                  <w:tcW w:w="761" w:type="pct"/>
                  <w:shd w:val="clear" w:color="auto" w:fill="auto"/>
                  <w:vAlign w:val="center"/>
                </w:tcPr>
                <w:p w14:paraId="16ED5D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μg/L</w:t>
                  </w:r>
                </w:p>
              </w:tc>
              <w:tc>
                <w:tcPr>
                  <w:tcW w:w="684" w:type="pct"/>
                  <w:shd w:val="clear" w:color="auto" w:fill="auto"/>
                  <w:vAlign w:val="center"/>
                </w:tcPr>
                <w:p w14:paraId="2B1D5B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≤0.01</w:t>
                  </w:r>
                </w:p>
              </w:tc>
            </w:tr>
          </w:tbl>
          <w:p w14:paraId="0E2A2A9C">
            <w:pPr>
              <w:ind w:firstLine="480"/>
              <w:rPr>
                <w:rFonts w:hint="eastAsia"/>
                <w:b/>
                <w:bCs/>
                <w:color w:val="auto"/>
              </w:rPr>
            </w:pPr>
            <w:r>
              <w:rPr>
                <w:rFonts w:hint="eastAsia"/>
                <w:b/>
                <w:bCs/>
                <w:color w:val="auto"/>
              </w:rPr>
              <w:t>（2）地下水环境质量现状</w:t>
            </w:r>
          </w:p>
          <w:p w14:paraId="0829FF3C">
            <w:pPr>
              <w:ind w:firstLine="480"/>
              <w:rPr>
                <w:rFonts w:hint="default" w:eastAsia="宋体"/>
                <w:color w:val="auto"/>
                <w:lang w:val="en-US" w:eastAsia="zh-CN"/>
              </w:rPr>
            </w:pPr>
            <w:r>
              <w:rPr>
                <w:rFonts w:hint="eastAsia"/>
                <w:color w:val="auto"/>
                <w:lang w:val="en-US" w:eastAsia="zh-CN"/>
              </w:rPr>
              <w:t>为了解本次项目周边地下水质量环境现状，公司委托云南长源检测技术有限公司于2026年6月11日至6月12日对项目区南侧约445m处纳古镇3#水井进行检测，监测结果见下表。</w:t>
            </w:r>
          </w:p>
          <w:p w14:paraId="02BD198C">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表3-6  地下水水质监测结果一览表</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94"/>
              <w:gridCol w:w="1336"/>
              <w:gridCol w:w="1492"/>
              <w:gridCol w:w="1158"/>
              <w:gridCol w:w="908"/>
              <w:gridCol w:w="1302"/>
            </w:tblGrid>
            <w:tr w14:paraId="1EF16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1EBE08E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项目</w:t>
                  </w:r>
                </w:p>
              </w:tc>
              <w:tc>
                <w:tcPr>
                  <w:tcW w:w="880" w:type="pct"/>
                  <w:vMerge w:val="restart"/>
                  <w:shd w:val="clear" w:color="auto" w:fill="auto"/>
                  <w:vAlign w:val="center"/>
                </w:tcPr>
                <w:p w14:paraId="7B6803F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日期</w:t>
                  </w:r>
                </w:p>
              </w:tc>
              <w:tc>
                <w:tcPr>
                  <w:tcW w:w="1745" w:type="pct"/>
                  <w:gridSpan w:val="2"/>
                  <w:shd w:val="clear" w:color="auto" w:fill="auto"/>
                  <w:vAlign w:val="center"/>
                </w:tcPr>
                <w:p w14:paraId="572D4FB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监测点位及结果</w:t>
                  </w:r>
                </w:p>
              </w:tc>
              <w:tc>
                <w:tcPr>
                  <w:tcW w:w="598" w:type="pct"/>
                  <w:vMerge w:val="restart"/>
                  <w:shd w:val="clear" w:color="auto" w:fill="auto"/>
                  <w:vAlign w:val="center"/>
                </w:tcPr>
                <w:p w14:paraId="5647423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标准值</w:t>
                  </w:r>
                </w:p>
              </w:tc>
              <w:tc>
                <w:tcPr>
                  <w:tcW w:w="857" w:type="pct"/>
                  <w:vMerge w:val="restart"/>
                  <w:shd w:val="clear" w:color="auto" w:fill="auto"/>
                  <w:vAlign w:val="center"/>
                </w:tcPr>
                <w:p w14:paraId="06C3C1E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达标情况</w:t>
                  </w:r>
                </w:p>
              </w:tc>
            </w:tr>
            <w:tr w14:paraId="54D8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2D213B6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80" w:type="pct"/>
                  <w:vMerge w:val="continue"/>
                  <w:shd w:val="clear" w:color="auto" w:fill="auto"/>
                  <w:vAlign w:val="center"/>
                </w:tcPr>
                <w:p w14:paraId="6EF15C59">
                  <w:pPr>
                    <w:pStyle w:val="34"/>
                    <w:keepNext w:val="0"/>
                    <w:keepLines w:val="0"/>
                    <w:pageBreakBefore w:val="0"/>
                    <w:kinsoku/>
                    <w:wordWrap/>
                    <w:overflowPunct/>
                    <w:topLinePunct w:val="0"/>
                    <w:autoSpaceDE/>
                    <w:autoSpaceDN/>
                    <w:bidi w:val="0"/>
                    <w:adjustRightInd w:val="0"/>
                    <w:snapToGrid w:val="0"/>
                    <w:spacing w:beforeLines="0" w:afterLines="0" w:line="240" w:lineRule="auto"/>
                    <w:ind w:firstLine="0" w:firstLineChars="0"/>
                    <w:jc w:val="center"/>
                    <w:rPr>
                      <w:rFonts w:hint="default" w:ascii="Times New Roman" w:hAnsi="Times New Roman" w:cs="Times New Roman"/>
                      <w:color w:val="auto"/>
                      <w:sz w:val="21"/>
                      <w:szCs w:val="21"/>
                    </w:rPr>
                  </w:pPr>
                </w:p>
              </w:tc>
              <w:tc>
                <w:tcPr>
                  <w:tcW w:w="1745" w:type="pct"/>
                  <w:gridSpan w:val="2"/>
                  <w:shd w:val="clear" w:color="auto" w:fill="auto"/>
                  <w:vAlign w:val="center"/>
                </w:tcPr>
                <w:p w14:paraId="3E1080F3">
                  <w:pPr>
                    <w:pStyle w:val="34"/>
                    <w:keepNext w:val="0"/>
                    <w:keepLines w:val="0"/>
                    <w:pageBreakBefore w:val="0"/>
                    <w:kinsoku/>
                    <w:wordWrap/>
                    <w:overflowPunct/>
                    <w:topLinePunct w:val="0"/>
                    <w:autoSpaceDE/>
                    <w:autoSpaceDN/>
                    <w:bidi w:val="0"/>
                    <w:adjustRightInd w:val="0"/>
                    <w:snapToGrid w:val="0"/>
                    <w:spacing w:beforeLines="0" w:afterLines="0"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纳古镇3#水井</w:t>
                  </w:r>
                </w:p>
              </w:tc>
              <w:tc>
                <w:tcPr>
                  <w:tcW w:w="598" w:type="pct"/>
                  <w:vMerge w:val="continue"/>
                  <w:shd w:val="clear" w:color="auto" w:fill="auto"/>
                  <w:vAlign w:val="center"/>
                </w:tcPr>
                <w:p w14:paraId="1A2FB4A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vMerge w:val="continue"/>
                  <w:shd w:val="clear" w:color="auto" w:fill="auto"/>
                  <w:vAlign w:val="center"/>
                </w:tcPr>
                <w:p w14:paraId="33335F3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r>
            <w:tr w14:paraId="0EC4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0FA4F66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80" w:type="pct"/>
                  <w:vMerge w:val="continue"/>
                  <w:shd w:val="clear" w:color="auto" w:fill="auto"/>
                  <w:vAlign w:val="center"/>
                </w:tcPr>
                <w:p w14:paraId="468E2F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cs="Times New Roman" w:eastAsiaTheme="minorEastAsia"/>
                      <w:color w:val="auto"/>
                      <w:sz w:val="21"/>
                      <w:szCs w:val="21"/>
                    </w:rPr>
                  </w:pPr>
                </w:p>
              </w:tc>
              <w:tc>
                <w:tcPr>
                  <w:tcW w:w="982" w:type="pct"/>
                  <w:shd w:val="clear" w:color="auto" w:fill="auto"/>
                  <w:vAlign w:val="center"/>
                </w:tcPr>
                <w:p w14:paraId="6E3F965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监测值</w:t>
                  </w:r>
                </w:p>
              </w:tc>
              <w:tc>
                <w:tcPr>
                  <w:tcW w:w="762" w:type="pct"/>
                  <w:shd w:val="clear" w:color="auto" w:fill="auto"/>
                  <w:vAlign w:val="center"/>
                </w:tcPr>
                <w:p w14:paraId="2769166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标准指数</w:t>
                  </w:r>
                </w:p>
              </w:tc>
              <w:tc>
                <w:tcPr>
                  <w:tcW w:w="598" w:type="pct"/>
                  <w:vMerge w:val="continue"/>
                  <w:shd w:val="clear" w:color="auto" w:fill="auto"/>
                  <w:vAlign w:val="center"/>
                </w:tcPr>
                <w:p w14:paraId="058C1BE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vMerge w:val="continue"/>
                  <w:shd w:val="clear" w:color="auto" w:fill="auto"/>
                  <w:vAlign w:val="center"/>
                </w:tcPr>
                <w:p w14:paraId="6B17E54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r>
            <w:tr w14:paraId="026E5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2D1995FD">
                  <w:pPr>
                    <w:pStyle w:val="34"/>
                    <w:keepNext w:val="0"/>
                    <w:keepLines w:val="0"/>
                    <w:pageBreakBefore w:val="0"/>
                    <w:kinsoku/>
                    <w:wordWrap/>
                    <w:overflowPunct/>
                    <w:topLinePunct w:val="0"/>
                    <w:autoSpaceDE/>
                    <w:autoSpaceDN/>
                    <w:bidi w:val="0"/>
                    <w:adjustRightInd w:val="0"/>
                    <w:snapToGrid w:val="0"/>
                    <w:spacing w:beforeLines="0" w:afterLines="0"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pH（无</w:t>
                  </w:r>
                </w:p>
                <w:p w14:paraId="499BDA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cs="Times New Roman" w:eastAsiaTheme="minorEastAsia"/>
                      <w:color w:val="auto"/>
                      <w:sz w:val="21"/>
                      <w:szCs w:val="21"/>
                    </w:rPr>
                  </w:pPr>
                  <w:r>
                    <w:rPr>
                      <w:rFonts w:hint="default" w:ascii="Times New Roman" w:hAnsi="Times New Roman" w:cs="Times New Roman"/>
                      <w:color w:val="auto"/>
                      <w:sz w:val="21"/>
                      <w:szCs w:val="21"/>
                    </w:rPr>
                    <w:t>量纲）</w:t>
                  </w:r>
                </w:p>
              </w:tc>
              <w:tc>
                <w:tcPr>
                  <w:tcW w:w="880" w:type="pct"/>
                  <w:shd w:val="clear" w:color="auto" w:fill="auto"/>
                  <w:vAlign w:val="center"/>
                </w:tcPr>
                <w:p w14:paraId="7B0E1DA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2026.6.11</w:t>
                  </w:r>
                </w:p>
              </w:tc>
              <w:tc>
                <w:tcPr>
                  <w:tcW w:w="982" w:type="pct"/>
                  <w:shd w:val="clear" w:color="auto" w:fill="auto"/>
                  <w:vAlign w:val="center"/>
                </w:tcPr>
                <w:p w14:paraId="133A893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8.1</w:t>
                  </w:r>
                </w:p>
              </w:tc>
              <w:tc>
                <w:tcPr>
                  <w:tcW w:w="762" w:type="pct"/>
                  <w:shd w:val="clear" w:color="auto" w:fill="auto"/>
                  <w:vAlign w:val="center"/>
                </w:tcPr>
                <w:p w14:paraId="47AEF30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0.73</w:t>
                  </w:r>
                </w:p>
              </w:tc>
              <w:tc>
                <w:tcPr>
                  <w:tcW w:w="598" w:type="pct"/>
                  <w:vMerge w:val="restart"/>
                  <w:shd w:val="clear" w:color="auto" w:fill="auto"/>
                  <w:vAlign w:val="center"/>
                </w:tcPr>
                <w:p w14:paraId="1DAD0FA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color w:val="auto"/>
                      <w:sz w:val="21"/>
                      <w:szCs w:val="21"/>
                    </w:rPr>
                    <w:t>6.5~8.5</w:t>
                  </w:r>
                </w:p>
              </w:tc>
              <w:tc>
                <w:tcPr>
                  <w:tcW w:w="857" w:type="pct"/>
                  <w:shd w:val="clear" w:color="auto" w:fill="auto"/>
                  <w:vAlign w:val="center"/>
                </w:tcPr>
                <w:p w14:paraId="133F676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7DFF2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5E28195D">
                  <w:pPr>
                    <w:pStyle w:val="34"/>
                    <w:keepNext w:val="0"/>
                    <w:keepLines w:val="0"/>
                    <w:pageBreakBefore w:val="0"/>
                    <w:kinsoku/>
                    <w:wordWrap/>
                    <w:overflowPunct/>
                    <w:topLinePunct w:val="0"/>
                    <w:autoSpaceDE/>
                    <w:autoSpaceDN/>
                    <w:bidi w:val="0"/>
                    <w:adjustRightInd w:val="0"/>
                    <w:snapToGrid w:val="0"/>
                    <w:spacing w:beforeLines="0" w:afterLines="0" w:line="240" w:lineRule="auto"/>
                    <w:ind w:firstLine="0" w:firstLineChars="0"/>
                    <w:jc w:val="center"/>
                    <w:rPr>
                      <w:rFonts w:hint="default" w:ascii="Times New Roman" w:hAnsi="Times New Roman" w:cs="Times New Roman"/>
                      <w:color w:val="auto"/>
                      <w:sz w:val="21"/>
                      <w:szCs w:val="21"/>
                    </w:rPr>
                  </w:pPr>
                </w:p>
              </w:tc>
              <w:tc>
                <w:tcPr>
                  <w:tcW w:w="880" w:type="pct"/>
                  <w:shd w:val="clear" w:color="auto" w:fill="auto"/>
                  <w:vAlign w:val="center"/>
                </w:tcPr>
                <w:p w14:paraId="4361F7B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2026.6.12</w:t>
                  </w:r>
                </w:p>
              </w:tc>
              <w:tc>
                <w:tcPr>
                  <w:tcW w:w="982" w:type="pct"/>
                  <w:shd w:val="clear" w:color="auto" w:fill="auto"/>
                  <w:vAlign w:val="center"/>
                </w:tcPr>
                <w:p w14:paraId="3FE8631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8.2</w:t>
                  </w:r>
                </w:p>
              </w:tc>
              <w:tc>
                <w:tcPr>
                  <w:tcW w:w="762" w:type="pct"/>
                  <w:shd w:val="clear" w:color="auto" w:fill="auto"/>
                  <w:vAlign w:val="center"/>
                </w:tcPr>
                <w:p w14:paraId="512D75E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0.8</w:t>
                  </w:r>
                </w:p>
              </w:tc>
              <w:tc>
                <w:tcPr>
                  <w:tcW w:w="598" w:type="pct"/>
                  <w:vMerge w:val="continue"/>
                  <w:shd w:val="clear" w:color="auto" w:fill="auto"/>
                  <w:vAlign w:val="center"/>
                </w:tcPr>
                <w:p w14:paraId="5810893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57" w:type="pct"/>
                  <w:shd w:val="clear" w:color="auto" w:fill="auto"/>
                  <w:vAlign w:val="center"/>
                </w:tcPr>
                <w:p w14:paraId="0D6BDCB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56318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41E1297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总硬度（mg/L）</w:t>
                  </w:r>
                </w:p>
              </w:tc>
              <w:tc>
                <w:tcPr>
                  <w:tcW w:w="880" w:type="pct"/>
                  <w:shd w:val="clear" w:color="auto" w:fill="auto"/>
                  <w:vAlign w:val="center"/>
                </w:tcPr>
                <w:p w14:paraId="7600C6B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73854E9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181</w:t>
                  </w:r>
                </w:p>
              </w:tc>
              <w:tc>
                <w:tcPr>
                  <w:tcW w:w="762" w:type="pct"/>
                  <w:shd w:val="clear" w:color="auto" w:fill="auto"/>
                  <w:vAlign w:val="center"/>
                </w:tcPr>
                <w:p w14:paraId="5C2408E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0.4</w:t>
                  </w:r>
                </w:p>
              </w:tc>
              <w:tc>
                <w:tcPr>
                  <w:tcW w:w="598" w:type="pct"/>
                  <w:vMerge w:val="restart"/>
                  <w:shd w:val="clear" w:color="auto" w:fill="auto"/>
                  <w:vAlign w:val="center"/>
                </w:tcPr>
                <w:p w14:paraId="6D77A73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450</w:t>
                  </w:r>
                </w:p>
              </w:tc>
              <w:tc>
                <w:tcPr>
                  <w:tcW w:w="857" w:type="pct"/>
                  <w:shd w:val="clear" w:color="auto" w:fill="auto"/>
                  <w:vAlign w:val="center"/>
                </w:tcPr>
                <w:p w14:paraId="2255F1F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6EFD9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45E3C07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80" w:type="pct"/>
                  <w:shd w:val="clear" w:color="auto" w:fill="auto"/>
                  <w:vAlign w:val="center"/>
                </w:tcPr>
                <w:p w14:paraId="4D5BF49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28A4BBF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186</w:t>
                  </w:r>
                </w:p>
              </w:tc>
              <w:tc>
                <w:tcPr>
                  <w:tcW w:w="762" w:type="pct"/>
                  <w:shd w:val="clear" w:color="auto" w:fill="auto"/>
                  <w:vAlign w:val="center"/>
                </w:tcPr>
                <w:p w14:paraId="52CB143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0.41</w:t>
                  </w:r>
                </w:p>
              </w:tc>
              <w:tc>
                <w:tcPr>
                  <w:tcW w:w="598" w:type="pct"/>
                  <w:vMerge w:val="continue"/>
                  <w:shd w:val="clear" w:color="auto" w:fill="auto"/>
                  <w:vAlign w:val="center"/>
                </w:tcPr>
                <w:p w14:paraId="53D48CD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57" w:type="pct"/>
                  <w:shd w:val="clear" w:color="auto" w:fill="auto"/>
                  <w:vAlign w:val="center"/>
                </w:tcPr>
                <w:p w14:paraId="1C2C6A7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0CE40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11AF802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溶解性总固体（mg/L）</w:t>
                  </w:r>
                </w:p>
              </w:tc>
              <w:tc>
                <w:tcPr>
                  <w:tcW w:w="880" w:type="pct"/>
                  <w:shd w:val="clear" w:color="auto" w:fill="auto"/>
                  <w:vAlign w:val="center"/>
                </w:tcPr>
                <w:p w14:paraId="14D4A26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3113C08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214</w:t>
                  </w:r>
                </w:p>
              </w:tc>
              <w:tc>
                <w:tcPr>
                  <w:tcW w:w="762" w:type="pct"/>
                  <w:shd w:val="clear" w:color="auto" w:fill="auto"/>
                  <w:vAlign w:val="center"/>
                </w:tcPr>
                <w:p w14:paraId="5DCD722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0.214</w:t>
                  </w:r>
                </w:p>
              </w:tc>
              <w:tc>
                <w:tcPr>
                  <w:tcW w:w="598" w:type="pct"/>
                  <w:vMerge w:val="restart"/>
                  <w:shd w:val="clear" w:color="auto" w:fill="auto"/>
                  <w:vAlign w:val="center"/>
                </w:tcPr>
                <w:p w14:paraId="2DA01E3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1000</w:t>
                  </w:r>
                </w:p>
              </w:tc>
              <w:tc>
                <w:tcPr>
                  <w:tcW w:w="857" w:type="pct"/>
                  <w:shd w:val="clear" w:color="auto" w:fill="auto"/>
                  <w:vAlign w:val="center"/>
                </w:tcPr>
                <w:p w14:paraId="72B4606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69DE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2331390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80" w:type="pct"/>
                  <w:shd w:val="clear" w:color="auto" w:fill="auto"/>
                  <w:vAlign w:val="center"/>
                </w:tcPr>
                <w:p w14:paraId="32654B4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4F1F63B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207</w:t>
                  </w:r>
                </w:p>
              </w:tc>
              <w:tc>
                <w:tcPr>
                  <w:tcW w:w="762" w:type="pct"/>
                  <w:shd w:val="clear" w:color="auto" w:fill="auto"/>
                  <w:vAlign w:val="center"/>
                </w:tcPr>
                <w:p w14:paraId="02426FB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0.207</w:t>
                  </w:r>
                </w:p>
              </w:tc>
              <w:tc>
                <w:tcPr>
                  <w:tcW w:w="598" w:type="pct"/>
                  <w:vMerge w:val="continue"/>
                  <w:shd w:val="clear" w:color="auto" w:fill="auto"/>
                  <w:vAlign w:val="center"/>
                </w:tcPr>
                <w:p w14:paraId="49C413A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57" w:type="pct"/>
                  <w:shd w:val="clear" w:color="auto" w:fill="auto"/>
                  <w:vAlign w:val="center"/>
                </w:tcPr>
                <w:p w14:paraId="0232972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76515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1D05D8C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氯化物（mg/L）</w:t>
                  </w:r>
                </w:p>
              </w:tc>
              <w:tc>
                <w:tcPr>
                  <w:tcW w:w="880" w:type="pct"/>
                  <w:shd w:val="clear" w:color="auto" w:fill="auto"/>
                  <w:vAlign w:val="center"/>
                </w:tcPr>
                <w:p w14:paraId="0459B1C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38ED6DA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10L</w:t>
                  </w:r>
                </w:p>
              </w:tc>
              <w:tc>
                <w:tcPr>
                  <w:tcW w:w="762" w:type="pct"/>
                  <w:shd w:val="clear" w:color="auto" w:fill="auto"/>
                  <w:vAlign w:val="center"/>
                </w:tcPr>
                <w:p w14:paraId="0795A66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131E3A8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250</w:t>
                  </w:r>
                </w:p>
              </w:tc>
              <w:tc>
                <w:tcPr>
                  <w:tcW w:w="857" w:type="pct"/>
                  <w:shd w:val="clear" w:color="auto" w:fill="auto"/>
                  <w:vAlign w:val="center"/>
                </w:tcPr>
                <w:p w14:paraId="09B816D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0F8F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29E169B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80" w:type="pct"/>
                  <w:shd w:val="clear" w:color="auto" w:fill="auto"/>
                  <w:vAlign w:val="center"/>
                </w:tcPr>
                <w:p w14:paraId="47A182B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38FA12B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10L</w:t>
                  </w:r>
                </w:p>
              </w:tc>
              <w:tc>
                <w:tcPr>
                  <w:tcW w:w="762" w:type="pct"/>
                  <w:shd w:val="clear" w:color="auto" w:fill="auto"/>
                  <w:vAlign w:val="center"/>
                </w:tcPr>
                <w:p w14:paraId="6CAD537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5067092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shd w:val="clear" w:color="auto" w:fill="auto"/>
                  <w:vAlign w:val="center"/>
                </w:tcPr>
                <w:p w14:paraId="1BD683E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5D79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13FB9F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铁（mg/L）</w:t>
                  </w:r>
                </w:p>
              </w:tc>
              <w:tc>
                <w:tcPr>
                  <w:tcW w:w="880" w:type="pct"/>
                  <w:shd w:val="clear" w:color="auto" w:fill="auto"/>
                  <w:vAlign w:val="center"/>
                </w:tcPr>
                <w:p w14:paraId="371E673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40F50EC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0.03L</w:t>
                  </w:r>
                </w:p>
              </w:tc>
              <w:tc>
                <w:tcPr>
                  <w:tcW w:w="762" w:type="pct"/>
                  <w:shd w:val="clear" w:color="auto" w:fill="auto"/>
                  <w:vAlign w:val="center"/>
                </w:tcPr>
                <w:p w14:paraId="1443F29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0DBE0A4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0.3</w:t>
                  </w:r>
                </w:p>
              </w:tc>
              <w:tc>
                <w:tcPr>
                  <w:tcW w:w="857" w:type="pct"/>
                  <w:shd w:val="clear" w:color="auto" w:fill="auto"/>
                  <w:vAlign w:val="center"/>
                </w:tcPr>
                <w:p w14:paraId="4E9C4E6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241BD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23781E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cs="Times New Roman"/>
                      <w:color w:val="auto"/>
                      <w:sz w:val="21"/>
                      <w:szCs w:val="21"/>
                    </w:rPr>
                  </w:pPr>
                </w:p>
              </w:tc>
              <w:tc>
                <w:tcPr>
                  <w:tcW w:w="880" w:type="pct"/>
                  <w:shd w:val="clear" w:color="auto" w:fill="auto"/>
                  <w:vAlign w:val="center"/>
                </w:tcPr>
                <w:p w14:paraId="5230B3A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59B41DC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0.03L</w:t>
                  </w:r>
                </w:p>
              </w:tc>
              <w:tc>
                <w:tcPr>
                  <w:tcW w:w="762" w:type="pct"/>
                  <w:shd w:val="clear" w:color="auto" w:fill="auto"/>
                  <w:vAlign w:val="center"/>
                </w:tcPr>
                <w:p w14:paraId="6DE6E76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4E49512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shd w:val="clear" w:color="auto" w:fill="auto"/>
                  <w:vAlign w:val="center"/>
                </w:tcPr>
                <w:p w14:paraId="6DBA6E0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7E3D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5A755DB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锰（mg/L）</w:t>
                  </w:r>
                </w:p>
              </w:tc>
              <w:tc>
                <w:tcPr>
                  <w:tcW w:w="880" w:type="pct"/>
                  <w:shd w:val="clear" w:color="auto" w:fill="auto"/>
                  <w:vAlign w:val="center"/>
                </w:tcPr>
                <w:p w14:paraId="639867B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0F77961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0.01L</w:t>
                  </w:r>
                </w:p>
              </w:tc>
              <w:tc>
                <w:tcPr>
                  <w:tcW w:w="762" w:type="pct"/>
                  <w:shd w:val="clear" w:color="auto" w:fill="auto"/>
                  <w:vAlign w:val="center"/>
                </w:tcPr>
                <w:p w14:paraId="79C58EA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2AFD78A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0.1</w:t>
                  </w:r>
                </w:p>
              </w:tc>
              <w:tc>
                <w:tcPr>
                  <w:tcW w:w="857" w:type="pct"/>
                  <w:shd w:val="clear" w:color="auto" w:fill="auto"/>
                  <w:vAlign w:val="center"/>
                </w:tcPr>
                <w:p w14:paraId="590A612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6D2C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0732171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80" w:type="pct"/>
                  <w:shd w:val="clear" w:color="auto" w:fill="auto"/>
                  <w:vAlign w:val="center"/>
                </w:tcPr>
                <w:p w14:paraId="27AB66F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6BF4DA0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0.01L</w:t>
                  </w:r>
                </w:p>
              </w:tc>
              <w:tc>
                <w:tcPr>
                  <w:tcW w:w="762" w:type="pct"/>
                  <w:shd w:val="clear" w:color="auto" w:fill="auto"/>
                  <w:vAlign w:val="center"/>
                </w:tcPr>
                <w:p w14:paraId="2B5E382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589E341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shd w:val="clear" w:color="auto" w:fill="auto"/>
                  <w:vAlign w:val="center"/>
                </w:tcPr>
                <w:p w14:paraId="48407DF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4AD8E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588C443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铜（mg/L）</w:t>
                  </w:r>
                </w:p>
              </w:tc>
              <w:tc>
                <w:tcPr>
                  <w:tcW w:w="880" w:type="pct"/>
                  <w:shd w:val="clear" w:color="auto" w:fill="auto"/>
                  <w:vAlign w:val="center"/>
                </w:tcPr>
                <w:p w14:paraId="1822EA5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589748A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0.00008L</w:t>
                  </w:r>
                </w:p>
              </w:tc>
              <w:tc>
                <w:tcPr>
                  <w:tcW w:w="762" w:type="pct"/>
                  <w:shd w:val="clear" w:color="auto" w:fill="auto"/>
                  <w:vAlign w:val="center"/>
                </w:tcPr>
                <w:p w14:paraId="3ECADE6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07C2D49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1.0</w:t>
                  </w:r>
                </w:p>
              </w:tc>
              <w:tc>
                <w:tcPr>
                  <w:tcW w:w="857" w:type="pct"/>
                  <w:shd w:val="clear" w:color="auto" w:fill="auto"/>
                  <w:vAlign w:val="center"/>
                </w:tcPr>
                <w:p w14:paraId="586236B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14353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7D2DEFB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80" w:type="pct"/>
                  <w:shd w:val="clear" w:color="auto" w:fill="auto"/>
                  <w:vAlign w:val="center"/>
                </w:tcPr>
                <w:p w14:paraId="6651B23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4AAAD60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0.00008L</w:t>
                  </w:r>
                </w:p>
              </w:tc>
              <w:tc>
                <w:tcPr>
                  <w:tcW w:w="762" w:type="pct"/>
                  <w:shd w:val="clear" w:color="auto" w:fill="auto"/>
                  <w:vAlign w:val="center"/>
                </w:tcPr>
                <w:p w14:paraId="16E18FA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664FD91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57" w:type="pct"/>
                  <w:shd w:val="clear" w:color="auto" w:fill="auto"/>
                  <w:vAlign w:val="center"/>
                </w:tcPr>
                <w:p w14:paraId="2048641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50CE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58E5E7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锌（mg/L）</w:t>
                  </w:r>
                </w:p>
              </w:tc>
              <w:tc>
                <w:tcPr>
                  <w:tcW w:w="880" w:type="pct"/>
                  <w:shd w:val="clear" w:color="auto" w:fill="auto"/>
                  <w:vAlign w:val="center"/>
                </w:tcPr>
                <w:p w14:paraId="06EEB6A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2BD96E5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0.0019</w:t>
                  </w:r>
                </w:p>
              </w:tc>
              <w:tc>
                <w:tcPr>
                  <w:tcW w:w="762" w:type="pct"/>
                  <w:shd w:val="clear" w:color="auto" w:fill="auto"/>
                  <w:vAlign w:val="center"/>
                </w:tcPr>
                <w:p w14:paraId="4F6A7EA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0.0019</w:t>
                  </w:r>
                </w:p>
              </w:tc>
              <w:tc>
                <w:tcPr>
                  <w:tcW w:w="598" w:type="pct"/>
                  <w:vMerge w:val="restart"/>
                  <w:shd w:val="clear" w:color="auto" w:fill="auto"/>
                  <w:vAlign w:val="center"/>
                </w:tcPr>
                <w:p w14:paraId="4388D8D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1.0</w:t>
                  </w:r>
                </w:p>
              </w:tc>
              <w:tc>
                <w:tcPr>
                  <w:tcW w:w="857" w:type="pct"/>
                  <w:shd w:val="clear" w:color="auto" w:fill="auto"/>
                  <w:vAlign w:val="center"/>
                </w:tcPr>
                <w:p w14:paraId="73F31DE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3FB5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29D10F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cs="Times New Roman"/>
                      <w:color w:val="auto"/>
                      <w:sz w:val="21"/>
                      <w:szCs w:val="21"/>
                    </w:rPr>
                  </w:pPr>
                </w:p>
              </w:tc>
              <w:tc>
                <w:tcPr>
                  <w:tcW w:w="880" w:type="pct"/>
                  <w:shd w:val="clear" w:color="auto" w:fill="auto"/>
                  <w:vAlign w:val="center"/>
                </w:tcPr>
                <w:p w14:paraId="544E38F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5E772D0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0.00223</w:t>
                  </w:r>
                </w:p>
              </w:tc>
              <w:tc>
                <w:tcPr>
                  <w:tcW w:w="762" w:type="pct"/>
                  <w:shd w:val="clear" w:color="auto" w:fill="auto"/>
                  <w:vAlign w:val="center"/>
                </w:tcPr>
                <w:p w14:paraId="1D07045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0.00223</w:t>
                  </w:r>
                </w:p>
              </w:tc>
              <w:tc>
                <w:tcPr>
                  <w:tcW w:w="598" w:type="pct"/>
                  <w:vMerge w:val="continue"/>
                  <w:shd w:val="clear" w:color="auto" w:fill="auto"/>
                  <w:vAlign w:val="center"/>
                </w:tcPr>
                <w:p w14:paraId="313E4A2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57" w:type="pct"/>
                  <w:shd w:val="clear" w:color="auto" w:fill="auto"/>
                  <w:vAlign w:val="center"/>
                </w:tcPr>
                <w:p w14:paraId="3DB0B8F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4C834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23E88CF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铝（mg/L）</w:t>
                  </w:r>
                </w:p>
              </w:tc>
              <w:tc>
                <w:tcPr>
                  <w:tcW w:w="880" w:type="pct"/>
                  <w:shd w:val="clear" w:color="auto" w:fill="auto"/>
                  <w:vAlign w:val="center"/>
                </w:tcPr>
                <w:p w14:paraId="2B73A87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2BE8573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0.00115L</w:t>
                  </w:r>
                </w:p>
              </w:tc>
              <w:tc>
                <w:tcPr>
                  <w:tcW w:w="762" w:type="pct"/>
                  <w:shd w:val="clear" w:color="auto" w:fill="auto"/>
                  <w:vAlign w:val="center"/>
                </w:tcPr>
                <w:p w14:paraId="0B65D48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5C9653A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0.2</w:t>
                  </w:r>
                </w:p>
              </w:tc>
              <w:tc>
                <w:tcPr>
                  <w:tcW w:w="857" w:type="pct"/>
                  <w:shd w:val="clear" w:color="auto" w:fill="auto"/>
                  <w:vAlign w:val="center"/>
                </w:tcPr>
                <w:p w14:paraId="0E14BC2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6F3AF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623EB25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80" w:type="pct"/>
                  <w:shd w:val="clear" w:color="auto" w:fill="auto"/>
                  <w:vAlign w:val="center"/>
                </w:tcPr>
                <w:p w14:paraId="1A4C4A0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6A59D1A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0.00115L</w:t>
                  </w:r>
                </w:p>
              </w:tc>
              <w:tc>
                <w:tcPr>
                  <w:tcW w:w="762" w:type="pct"/>
                  <w:shd w:val="clear" w:color="auto" w:fill="auto"/>
                  <w:vAlign w:val="center"/>
                </w:tcPr>
                <w:p w14:paraId="12CC3D9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4062DE5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57" w:type="pct"/>
                  <w:shd w:val="clear" w:color="auto" w:fill="auto"/>
                  <w:vAlign w:val="center"/>
                </w:tcPr>
                <w:p w14:paraId="2BF849F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16C7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448747F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挥发酚（mg/L）</w:t>
                  </w:r>
                </w:p>
              </w:tc>
              <w:tc>
                <w:tcPr>
                  <w:tcW w:w="880" w:type="pct"/>
                  <w:shd w:val="clear" w:color="auto" w:fill="auto"/>
                  <w:vAlign w:val="center"/>
                </w:tcPr>
                <w:p w14:paraId="14E19F3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55639C3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0.0003L</w:t>
                  </w:r>
                </w:p>
              </w:tc>
              <w:tc>
                <w:tcPr>
                  <w:tcW w:w="762" w:type="pct"/>
                  <w:shd w:val="clear" w:color="auto" w:fill="auto"/>
                  <w:vAlign w:val="center"/>
                </w:tcPr>
                <w:p w14:paraId="696DFAD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3B3D282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0.002</w:t>
                  </w:r>
                </w:p>
              </w:tc>
              <w:tc>
                <w:tcPr>
                  <w:tcW w:w="857" w:type="pct"/>
                  <w:shd w:val="clear" w:color="auto" w:fill="auto"/>
                  <w:vAlign w:val="center"/>
                </w:tcPr>
                <w:p w14:paraId="343956E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222F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022DD7D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80" w:type="pct"/>
                  <w:shd w:val="clear" w:color="auto" w:fill="auto"/>
                  <w:vAlign w:val="center"/>
                </w:tcPr>
                <w:p w14:paraId="33BE570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50EC58B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0.0003L</w:t>
                  </w:r>
                </w:p>
              </w:tc>
              <w:tc>
                <w:tcPr>
                  <w:tcW w:w="762" w:type="pct"/>
                  <w:shd w:val="clear" w:color="auto" w:fill="auto"/>
                  <w:vAlign w:val="center"/>
                </w:tcPr>
                <w:p w14:paraId="1614290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1E77463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57" w:type="pct"/>
                  <w:shd w:val="clear" w:color="auto" w:fill="auto"/>
                  <w:vAlign w:val="center"/>
                </w:tcPr>
                <w:p w14:paraId="60CC8C4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5C39B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14BF40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阴离子表面活性剂（mg/L）</w:t>
                  </w:r>
                </w:p>
              </w:tc>
              <w:tc>
                <w:tcPr>
                  <w:tcW w:w="880" w:type="pct"/>
                  <w:shd w:val="clear" w:color="auto" w:fill="auto"/>
                  <w:vAlign w:val="center"/>
                </w:tcPr>
                <w:p w14:paraId="0827A57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43D4D2A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0.05L</w:t>
                  </w:r>
                </w:p>
              </w:tc>
              <w:tc>
                <w:tcPr>
                  <w:tcW w:w="762" w:type="pct"/>
                  <w:shd w:val="clear" w:color="auto" w:fill="auto"/>
                  <w:vAlign w:val="center"/>
                </w:tcPr>
                <w:p w14:paraId="56A2DED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414C779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0.3</w:t>
                  </w:r>
                </w:p>
              </w:tc>
              <w:tc>
                <w:tcPr>
                  <w:tcW w:w="857" w:type="pct"/>
                  <w:shd w:val="clear" w:color="auto" w:fill="auto"/>
                  <w:vAlign w:val="center"/>
                </w:tcPr>
                <w:p w14:paraId="2D9585C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533B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2D5C4A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cs="Times New Roman"/>
                      <w:color w:val="auto"/>
                      <w:sz w:val="21"/>
                      <w:szCs w:val="21"/>
                    </w:rPr>
                  </w:pPr>
                </w:p>
              </w:tc>
              <w:tc>
                <w:tcPr>
                  <w:tcW w:w="880" w:type="pct"/>
                  <w:shd w:val="clear" w:color="auto" w:fill="auto"/>
                  <w:vAlign w:val="center"/>
                </w:tcPr>
                <w:p w14:paraId="488FDB2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1279FDF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0.05L</w:t>
                  </w:r>
                </w:p>
              </w:tc>
              <w:tc>
                <w:tcPr>
                  <w:tcW w:w="762" w:type="pct"/>
                  <w:shd w:val="clear" w:color="auto" w:fill="auto"/>
                  <w:vAlign w:val="center"/>
                </w:tcPr>
                <w:p w14:paraId="6D0FD0C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12CA48E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57" w:type="pct"/>
                  <w:shd w:val="clear" w:color="auto" w:fill="auto"/>
                  <w:vAlign w:val="center"/>
                </w:tcPr>
                <w:p w14:paraId="755B864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08962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25F0938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高锰酸盐指数（mg/L）</w:t>
                  </w:r>
                </w:p>
              </w:tc>
              <w:tc>
                <w:tcPr>
                  <w:tcW w:w="880" w:type="pct"/>
                  <w:shd w:val="clear" w:color="auto" w:fill="auto"/>
                  <w:vAlign w:val="center"/>
                </w:tcPr>
                <w:p w14:paraId="1958253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2EB0517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1.1</w:t>
                  </w:r>
                </w:p>
              </w:tc>
              <w:tc>
                <w:tcPr>
                  <w:tcW w:w="762" w:type="pct"/>
                  <w:shd w:val="clear" w:color="auto" w:fill="auto"/>
                  <w:vAlign w:val="center"/>
                </w:tcPr>
                <w:p w14:paraId="3D32C6E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0.37</w:t>
                  </w:r>
                </w:p>
              </w:tc>
              <w:tc>
                <w:tcPr>
                  <w:tcW w:w="598" w:type="pct"/>
                  <w:vMerge w:val="restart"/>
                  <w:shd w:val="clear" w:color="auto" w:fill="auto"/>
                  <w:vAlign w:val="center"/>
                </w:tcPr>
                <w:p w14:paraId="6005895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3.0</w:t>
                  </w:r>
                </w:p>
              </w:tc>
              <w:tc>
                <w:tcPr>
                  <w:tcW w:w="857" w:type="pct"/>
                  <w:shd w:val="clear" w:color="auto" w:fill="auto"/>
                  <w:vAlign w:val="center"/>
                </w:tcPr>
                <w:p w14:paraId="4F72F7B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6BC2F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034698B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80" w:type="pct"/>
                  <w:shd w:val="clear" w:color="auto" w:fill="auto"/>
                  <w:vAlign w:val="center"/>
                </w:tcPr>
                <w:p w14:paraId="465D0C5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13A1325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1.2</w:t>
                  </w:r>
                </w:p>
              </w:tc>
              <w:tc>
                <w:tcPr>
                  <w:tcW w:w="762" w:type="pct"/>
                  <w:shd w:val="clear" w:color="auto" w:fill="auto"/>
                  <w:vAlign w:val="center"/>
                </w:tcPr>
                <w:p w14:paraId="2A15E9C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0.4</w:t>
                  </w:r>
                </w:p>
              </w:tc>
              <w:tc>
                <w:tcPr>
                  <w:tcW w:w="598" w:type="pct"/>
                  <w:vMerge w:val="continue"/>
                  <w:shd w:val="clear" w:color="auto" w:fill="auto"/>
                  <w:vAlign w:val="center"/>
                </w:tcPr>
                <w:p w14:paraId="25B783B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shd w:val="clear" w:color="auto" w:fill="auto"/>
                  <w:vAlign w:val="center"/>
                </w:tcPr>
                <w:p w14:paraId="0C45C5D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7DC1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30F75E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氨氮（mg/L）</w:t>
                  </w:r>
                </w:p>
              </w:tc>
              <w:tc>
                <w:tcPr>
                  <w:tcW w:w="880" w:type="pct"/>
                  <w:shd w:val="clear" w:color="auto" w:fill="auto"/>
                  <w:vAlign w:val="center"/>
                </w:tcPr>
                <w:p w14:paraId="1D03C36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6D9E8BA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0.109</w:t>
                  </w:r>
                </w:p>
              </w:tc>
              <w:tc>
                <w:tcPr>
                  <w:tcW w:w="762" w:type="pct"/>
                  <w:shd w:val="clear" w:color="auto" w:fill="auto"/>
                  <w:vAlign w:val="center"/>
                </w:tcPr>
                <w:p w14:paraId="76608CE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0.218</w:t>
                  </w:r>
                </w:p>
              </w:tc>
              <w:tc>
                <w:tcPr>
                  <w:tcW w:w="598" w:type="pct"/>
                  <w:vMerge w:val="restart"/>
                  <w:shd w:val="clear" w:color="auto" w:fill="auto"/>
                  <w:vAlign w:val="center"/>
                </w:tcPr>
                <w:p w14:paraId="710AC19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0.5</w:t>
                  </w:r>
                </w:p>
              </w:tc>
              <w:tc>
                <w:tcPr>
                  <w:tcW w:w="857" w:type="pct"/>
                  <w:shd w:val="clear" w:color="auto" w:fill="auto"/>
                  <w:vAlign w:val="center"/>
                </w:tcPr>
                <w:p w14:paraId="44B20DA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09EF0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0F0301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cs="Times New Roman"/>
                      <w:color w:val="auto"/>
                      <w:sz w:val="21"/>
                      <w:szCs w:val="21"/>
                    </w:rPr>
                  </w:pPr>
                </w:p>
              </w:tc>
              <w:tc>
                <w:tcPr>
                  <w:tcW w:w="880" w:type="pct"/>
                  <w:shd w:val="clear" w:color="auto" w:fill="auto"/>
                  <w:vAlign w:val="center"/>
                </w:tcPr>
                <w:p w14:paraId="0159CB2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1F7A0B2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0.124</w:t>
                  </w:r>
                </w:p>
              </w:tc>
              <w:tc>
                <w:tcPr>
                  <w:tcW w:w="762" w:type="pct"/>
                  <w:shd w:val="clear" w:color="auto" w:fill="auto"/>
                  <w:vAlign w:val="center"/>
                </w:tcPr>
                <w:p w14:paraId="2809C01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0.248</w:t>
                  </w:r>
                </w:p>
              </w:tc>
              <w:tc>
                <w:tcPr>
                  <w:tcW w:w="598" w:type="pct"/>
                  <w:vMerge w:val="continue"/>
                  <w:shd w:val="clear" w:color="auto" w:fill="auto"/>
                  <w:vAlign w:val="center"/>
                </w:tcPr>
                <w:p w14:paraId="191BEB2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57" w:type="pct"/>
                  <w:shd w:val="clear" w:color="auto" w:fill="auto"/>
                  <w:vAlign w:val="center"/>
                </w:tcPr>
                <w:p w14:paraId="5F1A2AF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04B4B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3195E40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硫化物（mg/L）</w:t>
                  </w:r>
                </w:p>
              </w:tc>
              <w:tc>
                <w:tcPr>
                  <w:tcW w:w="880" w:type="pct"/>
                  <w:shd w:val="clear" w:color="auto" w:fill="auto"/>
                  <w:vAlign w:val="center"/>
                </w:tcPr>
                <w:p w14:paraId="5E590BA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285FFFF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0.01L</w:t>
                  </w:r>
                </w:p>
              </w:tc>
              <w:tc>
                <w:tcPr>
                  <w:tcW w:w="762" w:type="pct"/>
                  <w:shd w:val="clear" w:color="auto" w:fill="auto"/>
                  <w:vAlign w:val="center"/>
                </w:tcPr>
                <w:p w14:paraId="05EC537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564BE6A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0.02</w:t>
                  </w:r>
                </w:p>
              </w:tc>
              <w:tc>
                <w:tcPr>
                  <w:tcW w:w="857" w:type="pct"/>
                  <w:shd w:val="clear" w:color="auto" w:fill="auto"/>
                  <w:vAlign w:val="center"/>
                </w:tcPr>
                <w:p w14:paraId="38DCABB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331D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24333B9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80" w:type="pct"/>
                  <w:shd w:val="clear" w:color="auto" w:fill="auto"/>
                  <w:vAlign w:val="center"/>
                </w:tcPr>
                <w:p w14:paraId="5C82E9C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1795550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0.01L</w:t>
                  </w:r>
                </w:p>
              </w:tc>
              <w:tc>
                <w:tcPr>
                  <w:tcW w:w="762" w:type="pct"/>
                  <w:shd w:val="clear" w:color="auto" w:fill="auto"/>
                  <w:vAlign w:val="center"/>
                </w:tcPr>
                <w:p w14:paraId="56EB0A9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1201122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57" w:type="pct"/>
                  <w:shd w:val="clear" w:color="auto" w:fill="auto"/>
                  <w:vAlign w:val="center"/>
                </w:tcPr>
                <w:p w14:paraId="4E23165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3393E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020279D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总大肠菌群（MPN/L）</w:t>
                  </w:r>
                </w:p>
              </w:tc>
              <w:tc>
                <w:tcPr>
                  <w:tcW w:w="880" w:type="pct"/>
                  <w:shd w:val="clear" w:color="auto" w:fill="auto"/>
                  <w:vAlign w:val="center"/>
                </w:tcPr>
                <w:p w14:paraId="3408E68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54DA1EC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未检出</w:t>
                  </w:r>
                </w:p>
              </w:tc>
              <w:tc>
                <w:tcPr>
                  <w:tcW w:w="762" w:type="pct"/>
                  <w:shd w:val="clear" w:color="auto" w:fill="auto"/>
                  <w:vAlign w:val="center"/>
                </w:tcPr>
                <w:p w14:paraId="4EDC994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7FF12DD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30</w:t>
                  </w:r>
                </w:p>
              </w:tc>
              <w:tc>
                <w:tcPr>
                  <w:tcW w:w="857" w:type="pct"/>
                  <w:shd w:val="clear" w:color="auto" w:fill="auto"/>
                  <w:vAlign w:val="center"/>
                </w:tcPr>
                <w:p w14:paraId="6278139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264B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4D2FC23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80" w:type="pct"/>
                  <w:shd w:val="clear" w:color="auto" w:fill="auto"/>
                  <w:vAlign w:val="center"/>
                </w:tcPr>
                <w:p w14:paraId="3C3B7FC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46153B4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未检出</w:t>
                  </w:r>
                </w:p>
              </w:tc>
              <w:tc>
                <w:tcPr>
                  <w:tcW w:w="762" w:type="pct"/>
                  <w:shd w:val="clear" w:color="auto" w:fill="auto"/>
                  <w:vAlign w:val="center"/>
                </w:tcPr>
                <w:p w14:paraId="378FD07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233D052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shd w:val="clear" w:color="auto" w:fill="auto"/>
                  <w:vAlign w:val="center"/>
                </w:tcPr>
                <w:p w14:paraId="76FB6B2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5C8B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3E0D5A3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细菌总数（CFU/mL）</w:t>
                  </w:r>
                </w:p>
              </w:tc>
              <w:tc>
                <w:tcPr>
                  <w:tcW w:w="880" w:type="pct"/>
                  <w:shd w:val="clear" w:color="auto" w:fill="auto"/>
                  <w:vAlign w:val="center"/>
                </w:tcPr>
                <w:p w14:paraId="214ABA2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7F0E64F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45</w:t>
                  </w:r>
                </w:p>
              </w:tc>
              <w:tc>
                <w:tcPr>
                  <w:tcW w:w="762" w:type="pct"/>
                  <w:shd w:val="clear" w:color="auto" w:fill="auto"/>
                  <w:vAlign w:val="center"/>
                </w:tcPr>
                <w:p w14:paraId="66447D7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0.45</w:t>
                  </w:r>
                </w:p>
              </w:tc>
              <w:tc>
                <w:tcPr>
                  <w:tcW w:w="598" w:type="pct"/>
                  <w:vMerge w:val="restart"/>
                  <w:shd w:val="clear" w:color="auto" w:fill="auto"/>
                  <w:vAlign w:val="center"/>
                </w:tcPr>
                <w:p w14:paraId="6C8E5CB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100</w:t>
                  </w:r>
                </w:p>
              </w:tc>
              <w:tc>
                <w:tcPr>
                  <w:tcW w:w="857" w:type="pct"/>
                  <w:shd w:val="clear" w:color="auto" w:fill="auto"/>
                  <w:vAlign w:val="center"/>
                </w:tcPr>
                <w:p w14:paraId="2C8745C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1A11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73AC7D6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80" w:type="pct"/>
                  <w:shd w:val="clear" w:color="auto" w:fill="auto"/>
                  <w:vAlign w:val="center"/>
                </w:tcPr>
                <w:p w14:paraId="3B54A52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11489A2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51</w:t>
                  </w:r>
                </w:p>
              </w:tc>
              <w:tc>
                <w:tcPr>
                  <w:tcW w:w="762" w:type="pct"/>
                  <w:shd w:val="clear" w:color="auto" w:fill="auto"/>
                  <w:vAlign w:val="center"/>
                </w:tcPr>
                <w:p w14:paraId="294EC85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0.51</w:t>
                  </w:r>
                </w:p>
              </w:tc>
              <w:tc>
                <w:tcPr>
                  <w:tcW w:w="598" w:type="pct"/>
                  <w:vMerge w:val="continue"/>
                  <w:shd w:val="clear" w:color="auto" w:fill="auto"/>
                  <w:vAlign w:val="center"/>
                </w:tcPr>
                <w:p w14:paraId="4E68D3A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shd w:val="clear" w:color="auto" w:fill="auto"/>
                  <w:vAlign w:val="center"/>
                </w:tcPr>
                <w:p w14:paraId="268D696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3651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3D7D084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亚硝酸盐氮（mg/L）</w:t>
                  </w:r>
                </w:p>
              </w:tc>
              <w:tc>
                <w:tcPr>
                  <w:tcW w:w="880" w:type="pct"/>
                  <w:shd w:val="clear" w:color="auto" w:fill="auto"/>
                  <w:vAlign w:val="center"/>
                </w:tcPr>
                <w:p w14:paraId="00B4047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264293D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0.003L</w:t>
                  </w:r>
                </w:p>
              </w:tc>
              <w:tc>
                <w:tcPr>
                  <w:tcW w:w="762" w:type="pct"/>
                  <w:shd w:val="clear" w:color="auto" w:fill="auto"/>
                  <w:vAlign w:val="center"/>
                </w:tcPr>
                <w:p w14:paraId="632EF3A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1B4719C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1.0</w:t>
                  </w:r>
                </w:p>
              </w:tc>
              <w:tc>
                <w:tcPr>
                  <w:tcW w:w="857" w:type="pct"/>
                  <w:shd w:val="clear" w:color="auto" w:fill="auto"/>
                  <w:vAlign w:val="center"/>
                </w:tcPr>
                <w:p w14:paraId="11B3B5C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7BFD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7C5070A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80" w:type="pct"/>
                  <w:shd w:val="clear" w:color="auto" w:fill="auto"/>
                  <w:vAlign w:val="center"/>
                </w:tcPr>
                <w:p w14:paraId="34FFBDC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47BC1C2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0.003L</w:t>
                  </w:r>
                </w:p>
              </w:tc>
              <w:tc>
                <w:tcPr>
                  <w:tcW w:w="762" w:type="pct"/>
                  <w:shd w:val="clear" w:color="auto" w:fill="auto"/>
                  <w:vAlign w:val="center"/>
                </w:tcPr>
                <w:p w14:paraId="1690F21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51A421B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57" w:type="pct"/>
                  <w:shd w:val="clear" w:color="auto" w:fill="auto"/>
                  <w:vAlign w:val="center"/>
                </w:tcPr>
                <w:p w14:paraId="20AF312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58CB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378DD33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硝酸盐氮（mg/L）</w:t>
                  </w:r>
                </w:p>
              </w:tc>
              <w:tc>
                <w:tcPr>
                  <w:tcW w:w="880" w:type="pct"/>
                  <w:shd w:val="clear" w:color="auto" w:fill="auto"/>
                  <w:vAlign w:val="center"/>
                </w:tcPr>
                <w:p w14:paraId="56ECFFD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3221B03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0.29</w:t>
                  </w:r>
                </w:p>
              </w:tc>
              <w:tc>
                <w:tcPr>
                  <w:tcW w:w="762" w:type="pct"/>
                  <w:shd w:val="clear" w:color="auto" w:fill="auto"/>
                  <w:vAlign w:val="center"/>
                </w:tcPr>
                <w:p w14:paraId="5171D0D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0.0145</w:t>
                  </w:r>
                </w:p>
              </w:tc>
              <w:tc>
                <w:tcPr>
                  <w:tcW w:w="598" w:type="pct"/>
                  <w:vMerge w:val="restart"/>
                  <w:shd w:val="clear" w:color="auto" w:fill="auto"/>
                  <w:vAlign w:val="center"/>
                </w:tcPr>
                <w:p w14:paraId="1664F3E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20</w:t>
                  </w:r>
                </w:p>
              </w:tc>
              <w:tc>
                <w:tcPr>
                  <w:tcW w:w="857" w:type="pct"/>
                  <w:shd w:val="clear" w:color="auto" w:fill="auto"/>
                  <w:vAlign w:val="center"/>
                </w:tcPr>
                <w:p w14:paraId="39ED1F0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327F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11A8AE4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80" w:type="pct"/>
                  <w:shd w:val="clear" w:color="auto" w:fill="auto"/>
                  <w:vAlign w:val="center"/>
                </w:tcPr>
                <w:p w14:paraId="0F33951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5F4BA37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0.27</w:t>
                  </w:r>
                </w:p>
              </w:tc>
              <w:tc>
                <w:tcPr>
                  <w:tcW w:w="762" w:type="pct"/>
                  <w:shd w:val="clear" w:color="auto" w:fill="auto"/>
                  <w:vAlign w:val="center"/>
                </w:tcPr>
                <w:p w14:paraId="73CAC3D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0.0135</w:t>
                  </w:r>
                </w:p>
              </w:tc>
              <w:tc>
                <w:tcPr>
                  <w:tcW w:w="598" w:type="pct"/>
                  <w:vMerge w:val="continue"/>
                  <w:shd w:val="clear" w:color="auto" w:fill="auto"/>
                  <w:vAlign w:val="center"/>
                </w:tcPr>
                <w:p w14:paraId="44C76D5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57" w:type="pct"/>
                  <w:shd w:val="clear" w:color="auto" w:fill="auto"/>
                  <w:vAlign w:val="center"/>
                </w:tcPr>
                <w:p w14:paraId="31B9730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4DFD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5FF153A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氰化物（mg/L）</w:t>
                  </w:r>
                </w:p>
              </w:tc>
              <w:tc>
                <w:tcPr>
                  <w:tcW w:w="880" w:type="pct"/>
                  <w:shd w:val="clear" w:color="auto" w:fill="auto"/>
                  <w:vAlign w:val="center"/>
                </w:tcPr>
                <w:p w14:paraId="48230BA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09A1C03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0.004L</w:t>
                  </w:r>
                </w:p>
              </w:tc>
              <w:tc>
                <w:tcPr>
                  <w:tcW w:w="762" w:type="pct"/>
                  <w:shd w:val="clear" w:color="auto" w:fill="auto"/>
                  <w:vAlign w:val="center"/>
                </w:tcPr>
                <w:p w14:paraId="1D57AC7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477F0FD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0.05</w:t>
                  </w:r>
                </w:p>
              </w:tc>
              <w:tc>
                <w:tcPr>
                  <w:tcW w:w="857" w:type="pct"/>
                  <w:shd w:val="clear" w:color="auto" w:fill="auto"/>
                  <w:vAlign w:val="center"/>
                </w:tcPr>
                <w:p w14:paraId="708F8C0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24EC0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0259E49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80" w:type="pct"/>
                  <w:shd w:val="clear" w:color="auto" w:fill="auto"/>
                  <w:vAlign w:val="center"/>
                </w:tcPr>
                <w:p w14:paraId="4DA2877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3EF42FB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0.004L</w:t>
                  </w:r>
                </w:p>
              </w:tc>
              <w:tc>
                <w:tcPr>
                  <w:tcW w:w="762" w:type="pct"/>
                  <w:shd w:val="clear" w:color="auto" w:fill="auto"/>
                  <w:vAlign w:val="center"/>
                </w:tcPr>
                <w:p w14:paraId="38D7137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2E1368F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57" w:type="pct"/>
                  <w:shd w:val="clear" w:color="auto" w:fill="auto"/>
                  <w:vAlign w:val="center"/>
                </w:tcPr>
                <w:p w14:paraId="39AFB62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2DE6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0EC424B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氟化物（mg/L）</w:t>
                  </w:r>
                </w:p>
              </w:tc>
              <w:tc>
                <w:tcPr>
                  <w:tcW w:w="880" w:type="pct"/>
                  <w:shd w:val="clear" w:color="auto" w:fill="auto"/>
                  <w:vAlign w:val="center"/>
                </w:tcPr>
                <w:p w14:paraId="15C2491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0682999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0.05</w:t>
                  </w:r>
                </w:p>
              </w:tc>
              <w:tc>
                <w:tcPr>
                  <w:tcW w:w="762" w:type="pct"/>
                  <w:shd w:val="clear" w:color="auto" w:fill="auto"/>
                  <w:vAlign w:val="center"/>
                </w:tcPr>
                <w:p w14:paraId="5B4C106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0.05</w:t>
                  </w:r>
                </w:p>
              </w:tc>
              <w:tc>
                <w:tcPr>
                  <w:tcW w:w="598" w:type="pct"/>
                  <w:vMerge w:val="restart"/>
                  <w:shd w:val="clear" w:color="auto" w:fill="auto"/>
                  <w:vAlign w:val="center"/>
                </w:tcPr>
                <w:p w14:paraId="101DF64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1.0</w:t>
                  </w:r>
                </w:p>
              </w:tc>
              <w:tc>
                <w:tcPr>
                  <w:tcW w:w="857" w:type="pct"/>
                  <w:shd w:val="clear" w:color="auto" w:fill="auto"/>
                  <w:vAlign w:val="center"/>
                </w:tcPr>
                <w:p w14:paraId="687D670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0BC71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0FAEFB3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80" w:type="pct"/>
                  <w:shd w:val="clear" w:color="auto" w:fill="auto"/>
                  <w:vAlign w:val="center"/>
                </w:tcPr>
                <w:p w14:paraId="46E79A4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3B2FD7E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0.06</w:t>
                  </w:r>
                </w:p>
              </w:tc>
              <w:tc>
                <w:tcPr>
                  <w:tcW w:w="762" w:type="pct"/>
                  <w:shd w:val="clear" w:color="auto" w:fill="auto"/>
                  <w:vAlign w:val="center"/>
                </w:tcPr>
                <w:p w14:paraId="3579EF0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0.06</w:t>
                  </w:r>
                </w:p>
              </w:tc>
              <w:tc>
                <w:tcPr>
                  <w:tcW w:w="598" w:type="pct"/>
                  <w:vMerge w:val="continue"/>
                  <w:shd w:val="clear" w:color="auto" w:fill="auto"/>
                  <w:vAlign w:val="center"/>
                </w:tcPr>
                <w:p w14:paraId="21D428B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shd w:val="clear" w:color="auto" w:fill="auto"/>
                  <w:vAlign w:val="center"/>
                </w:tcPr>
                <w:p w14:paraId="632B361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0BBA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70E3F7D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砷（mg/L）</w:t>
                  </w:r>
                </w:p>
              </w:tc>
              <w:tc>
                <w:tcPr>
                  <w:tcW w:w="880" w:type="pct"/>
                  <w:shd w:val="clear" w:color="auto" w:fill="auto"/>
                  <w:vAlign w:val="center"/>
                </w:tcPr>
                <w:p w14:paraId="74A73C0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6B121BA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0.00012L</w:t>
                  </w:r>
                </w:p>
              </w:tc>
              <w:tc>
                <w:tcPr>
                  <w:tcW w:w="762" w:type="pct"/>
                  <w:shd w:val="clear" w:color="auto" w:fill="auto"/>
                  <w:vAlign w:val="center"/>
                </w:tcPr>
                <w:p w14:paraId="30BAFB4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1047B71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0.01</w:t>
                  </w:r>
                </w:p>
              </w:tc>
              <w:tc>
                <w:tcPr>
                  <w:tcW w:w="857" w:type="pct"/>
                  <w:shd w:val="clear" w:color="auto" w:fill="auto"/>
                  <w:vAlign w:val="center"/>
                </w:tcPr>
                <w:p w14:paraId="2A4748A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3370C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0FFD3BC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80" w:type="pct"/>
                  <w:shd w:val="clear" w:color="auto" w:fill="auto"/>
                  <w:vAlign w:val="center"/>
                </w:tcPr>
                <w:p w14:paraId="00EC091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6B5D376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0.00012L</w:t>
                  </w:r>
                </w:p>
              </w:tc>
              <w:tc>
                <w:tcPr>
                  <w:tcW w:w="762" w:type="pct"/>
                  <w:shd w:val="clear" w:color="auto" w:fill="auto"/>
                  <w:vAlign w:val="center"/>
                </w:tcPr>
                <w:p w14:paraId="7222C88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3B749F2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shd w:val="clear" w:color="auto" w:fill="auto"/>
                  <w:vAlign w:val="center"/>
                </w:tcPr>
                <w:p w14:paraId="040AF54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571A6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5280226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汞</w:t>
                  </w:r>
                  <w:r>
                    <w:rPr>
                      <w:rFonts w:hint="eastAsia" w:cs="Times New Roman" w:eastAsiaTheme="minorEastAsia"/>
                      <w:color w:val="auto"/>
                      <w:sz w:val="21"/>
                      <w:szCs w:val="21"/>
                      <w:lang w:val="en-US" w:eastAsia="zh-CN"/>
                    </w:rPr>
                    <w:t>（mg/L）</w:t>
                  </w:r>
                </w:p>
              </w:tc>
              <w:tc>
                <w:tcPr>
                  <w:tcW w:w="880" w:type="pct"/>
                  <w:shd w:val="clear" w:color="auto" w:fill="auto"/>
                  <w:vAlign w:val="center"/>
                </w:tcPr>
                <w:p w14:paraId="67A55AF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1866D97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0.00004L</w:t>
                  </w:r>
                </w:p>
              </w:tc>
              <w:tc>
                <w:tcPr>
                  <w:tcW w:w="762" w:type="pct"/>
                  <w:shd w:val="clear" w:color="auto" w:fill="auto"/>
                  <w:vAlign w:val="center"/>
                </w:tcPr>
                <w:p w14:paraId="62B049A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579030C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0.001</w:t>
                  </w:r>
                </w:p>
              </w:tc>
              <w:tc>
                <w:tcPr>
                  <w:tcW w:w="857" w:type="pct"/>
                  <w:shd w:val="clear" w:color="auto" w:fill="auto"/>
                  <w:vAlign w:val="center"/>
                </w:tcPr>
                <w:p w14:paraId="55DFC3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3237C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5630F46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80" w:type="pct"/>
                  <w:shd w:val="clear" w:color="auto" w:fill="auto"/>
                  <w:vAlign w:val="center"/>
                </w:tcPr>
                <w:p w14:paraId="7625C45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73792D2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0.00004L</w:t>
                  </w:r>
                </w:p>
              </w:tc>
              <w:tc>
                <w:tcPr>
                  <w:tcW w:w="762" w:type="pct"/>
                  <w:shd w:val="clear" w:color="auto" w:fill="auto"/>
                  <w:vAlign w:val="center"/>
                </w:tcPr>
                <w:p w14:paraId="22C960F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39C88D4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shd w:val="clear" w:color="auto" w:fill="auto"/>
                  <w:vAlign w:val="center"/>
                </w:tcPr>
                <w:p w14:paraId="4A464A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24DC0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653E4E8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六价铬</w:t>
                  </w:r>
                  <w:r>
                    <w:rPr>
                      <w:rFonts w:hint="eastAsia" w:cs="Times New Roman" w:eastAsiaTheme="minorEastAsia"/>
                      <w:color w:val="auto"/>
                      <w:sz w:val="21"/>
                      <w:szCs w:val="21"/>
                      <w:lang w:val="en-US" w:eastAsia="zh-CN"/>
                    </w:rPr>
                    <w:t>（mg/L）</w:t>
                  </w:r>
                </w:p>
              </w:tc>
              <w:tc>
                <w:tcPr>
                  <w:tcW w:w="880" w:type="pct"/>
                  <w:shd w:val="clear" w:color="auto" w:fill="auto"/>
                  <w:vAlign w:val="center"/>
                </w:tcPr>
                <w:p w14:paraId="3BB85CB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7777E71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0.004L</w:t>
                  </w:r>
                </w:p>
              </w:tc>
              <w:tc>
                <w:tcPr>
                  <w:tcW w:w="762" w:type="pct"/>
                  <w:shd w:val="clear" w:color="auto" w:fill="auto"/>
                  <w:vAlign w:val="center"/>
                </w:tcPr>
                <w:p w14:paraId="1E639C6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25A2873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0.05</w:t>
                  </w:r>
                </w:p>
              </w:tc>
              <w:tc>
                <w:tcPr>
                  <w:tcW w:w="857" w:type="pct"/>
                  <w:shd w:val="clear" w:color="auto" w:fill="auto"/>
                  <w:vAlign w:val="center"/>
                </w:tcPr>
                <w:p w14:paraId="69F3A2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26BB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4972D5E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80" w:type="pct"/>
                  <w:shd w:val="clear" w:color="auto" w:fill="auto"/>
                  <w:vAlign w:val="center"/>
                </w:tcPr>
                <w:p w14:paraId="2FEBAD0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463580E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0.004L</w:t>
                  </w:r>
                </w:p>
              </w:tc>
              <w:tc>
                <w:tcPr>
                  <w:tcW w:w="762" w:type="pct"/>
                  <w:shd w:val="clear" w:color="auto" w:fill="auto"/>
                  <w:vAlign w:val="center"/>
                </w:tcPr>
                <w:p w14:paraId="5FF14B7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0E2DFE7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shd w:val="clear" w:color="auto" w:fill="auto"/>
                  <w:vAlign w:val="center"/>
                </w:tcPr>
                <w:p w14:paraId="7109B1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7B57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2C8D29E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铅</w:t>
                  </w:r>
                  <w:r>
                    <w:rPr>
                      <w:rFonts w:hint="eastAsia" w:cs="Times New Roman" w:eastAsiaTheme="minorEastAsia"/>
                      <w:color w:val="auto"/>
                      <w:sz w:val="21"/>
                      <w:szCs w:val="21"/>
                      <w:lang w:val="en-US" w:eastAsia="zh-CN"/>
                    </w:rPr>
                    <w:t>（mg/L）</w:t>
                  </w:r>
                </w:p>
              </w:tc>
              <w:tc>
                <w:tcPr>
                  <w:tcW w:w="880" w:type="pct"/>
                  <w:shd w:val="clear" w:color="auto" w:fill="auto"/>
                  <w:vAlign w:val="center"/>
                </w:tcPr>
                <w:p w14:paraId="3BA8344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3A59D71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0.00009L</w:t>
                  </w:r>
                </w:p>
              </w:tc>
              <w:tc>
                <w:tcPr>
                  <w:tcW w:w="762" w:type="pct"/>
                  <w:shd w:val="clear" w:color="auto" w:fill="auto"/>
                  <w:vAlign w:val="center"/>
                </w:tcPr>
                <w:p w14:paraId="6C33FDA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194F1D1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0.01</w:t>
                  </w:r>
                </w:p>
              </w:tc>
              <w:tc>
                <w:tcPr>
                  <w:tcW w:w="857" w:type="pct"/>
                  <w:shd w:val="clear" w:color="auto" w:fill="auto"/>
                  <w:vAlign w:val="center"/>
                </w:tcPr>
                <w:p w14:paraId="0FE15F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3D50C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4A47F21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p>
              </w:tc>
              <w:tc>
                <w:tcPr>
                  <w:tcW w:w="880" w:type="pct"/>
                  <w:shd w:val="clear" w:color="auto" w:fill="auto"/>
                  <w:vAlign w:val="center"/>
                </w:tcPr>
                <w:p w14:paraId="4AB3F9D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5E63F55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0.00009L</w:t>
                  </w:r>
                </w:p>
              </w:tc>
              <w:tc>
                <w:tcPr>
                  <w:tcW w:w="762" w:type="pct"/>
                  <w:shd w:val="clear" w:color="auto" w:fill="auto"/>
                  <w:vAlign w:val="center"/>
                </w:tcPr>
                <w:p w14:paraId="3E0BA13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1E636AD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shd w:val="clear" w:color="auto" w:fill="auto"/>
                  <w:vAlign w:val="center"/>
                </w:tcPr>
                <w:p w14:paraId="4FB491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40C4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1C61C15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镉</w:t>
                  </w:r>
                  <w:r>
                    <w:rPr>
                      <w:rFonts w:hint="eastAsia" w:cs="Times New Roman" w:eastAsiaTheme="minorEastAsia"/>
                      <w:color w:val="auto"/>
                      <w:sz w:val="21"/>
                      <w:szCs w:val="21"/>
                      <w:lang w:val="en-US" w:eastAsia="zh-CN"/>
                    </w:rPr>
                    <w:t>（mg/L）</w:t>
                  </w:r>
                </w:p>
              </w:tc>
              <w:tc>
                <w:tcPr>
                  <w:tcW w:w="880" w:type="pct"/>
                  <w:shd w:val="clear" w:color="auto" w:fill="auto"/>
                  <w:vAlign w:val="center"/>
                </w:tcPr>
                <w:p w14:paraId="1208ABD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36ACFB3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0.00005L</w:t>
                  </w:r>
                </w:p>
              </w:tc>
              <w:tc>
                <w:tcPr>
                  <w:tcW w:w="762" w:type="pct"/>
                  <w:shd w:val="clear" w:color="auto" w:fill="auto"/>
                  <w:vAlign w:val="center"/>
                </w:tcPr>
                <w:p w14:paraId="6AD309A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365A771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0.005</w:t>
                  </w:r>
                </w:p>
              </w:tc>
              <w:tc>
                <w:tcPr>
                  <w:tcW w:w="857" w:type="pct"/>
                  <w:shd w:val="clear" w:color="auto" w:fill="auto"/>
                  <w:vAlign w:val="center"/>
                </w:tcPr>
                <w:p w14:paraId="346E2C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0EB0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044744E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p>
              </w:tc>
              <w:tc>
                <w:tcPr>
                  <w:tcW w:w="880" w:type="pct"/>
                  <w:shd w:val="clear" w:color="auto" w:fill="auto"/>
                  <w:vAlign w:val="center"/>
                </w:tcPr>
                <w:p w14:paraId="4529D69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2536B54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0.00005L</w:t>
                  </w:r>
                </w:p>
              </w:tc>
              <w:tc>
                <w:tcPr>
                  <w:tcW w:w="762" w:type="pct"/>
                  <w:shd w:val="clear" w:color="auto" w:fill="auto"/>
                  <w:vAlign w:val="center"/>
                </w:tcPr>
                <w:p w14:paraId="14FFB20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7586894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shd w:val="clear" w:color="auto" w:fill="auto"/>
                  <w:vAlign w:val="center"/>
                </w:tcPr>
                <w:p w14:paraId="1CDA26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3982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4CA64D0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石油类</w:t>
                  </w:r>
                  <w:r>
                    <w:rPr>
                      <w:rFonts w:hint="eastAsia" w:cs="Times New Roman" w:eastAsiaTheme="minorEastAsia"/>
                      <w:color w:val="auto"/>
                      <w:sz w:val="21"/>
                      <w:szCs w:val="21"/>
                      <w:lang w:val="en-US" w:eastAsia="zh-CN"/>
                    </w:rPr>
                    <w:t>（mg/L）</w:t>
                  </w:r>
                </w:p>
              </w:tc>
              <w:tc>
                <w:tcPr>
                  <w:tcW w:w="880" w:type="pct"/>
                  <w:shd w:val="clear" w:color="auto" w:fill="auto"/>
                  <w:vAlign w:val="center"/>
                </w:tcPr>
                <w:p w14:paraId="6CAA74E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7F2CB07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0.01L</w:t>
                  </w:r>
                </w:p>
              </w:tc>
              <w:tc>
                <w:tcPr>
                  <w:tcW w:w="762" w:type="pct"/>
                  <w:shd w:val="clear" w:color="auto" w:fill="auto"/>
                  <w:vAlign w:val="center"/>
                </w:tcPr>
                <w:p w14:paraId="3360E82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15D3624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w:t>
                  </w:r>
                </w:p>
              </w:tc>
              <w:tc>
                <w:tcPr>
                  <w:tcW w:w="857" w:type="pct"/>
                  <w:shd w:val="clear" w:color="auto" w:fill="auto"/>
                  <w:vAlign w:val="center"/>
                </w:tcPr>
                <w:p w14:paraId="15DB949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w:t>
                  </w:r>
                </w:p>
              </w:tc>
            </w:tr>
            <w:tr w14:paraId="5CF97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3846525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p>
              </w:tc>
              <w:tc>
                <w:tcPr>
                  <w:tcW w:w="880" w:type="pct"/>
                  <w:shd w:val="clear" w:color="auto" w:fill="auto"/>
                  <w:vAlign w:val="center"/>
                </w:tcPr>
                <w:p w14:paraId="25D2989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156AA7B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0.01</w:t>
                  </w:r>
                </w:p>
              </w:tc>
              <w:tc>
                <w:tcPr>
                  <w:tcW w:w="762" w:type="pct"/>
                  <w:shd w:val="clear" w:color="auto" w:fill="auto"/>
                  <w:vAlign w:val="center"/>
                </w:tcPr>
                <w:p w14:paraId="7666683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58D4D66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shd w:val="clear" w:color="auto" w:fill="auto"/>
                  <w:vAlign w:val="center"/>
                </w:tcPr>
                <w:p w14:paraId="7E2468F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w:t>
                  </w:r>
                </w:p>
              </w:tc>
            </w:tr>
            <w:tr w14:paraId="5526E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045E5DE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K+</w:t>
                  </w:r>
                  <w:r>
                    <w:rPr>
                      <w:rFonts w:hint="eastAsia" w:cs="Times New Roman" w:eastAsiaTheme="minorEastAsia"/>
                      <w:color w:val="auto"/>
                      <w:sz w:val="21"/>
                      <w:szCs w:val="21"/>
                      <w:lang w:val="en-US" w:eastAsia="zh-CN"/>
                    </w:rPr>
                    <w:t>（mg/L）</w:t>
                  </w:r>
                </w:p>
              </w:tc>
              <w:tc>
                <w:tcPr>
                  <w:tcW w:w="880" w:type="pct"/>
                  <w:shd w:val="clear" w:color="auto" w:fill="auto"/>
                  <w:vAlign w:val="center"/>
                </w:tcPr>
                <w:p w14:paraId="5837709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2147E05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0.27</w:t>
                  </w:r>
                </w:p>
              </w:tc>
              <w:tc>
                <w:tcPr>
                  <w:tcW w:w="762" w:type="pct"/>
                  <w:shd w:val="clear" w:color="auto" w:fill="auto"/>
                  <w:vAlign w:val="center"/>
                </w:tcPr>
                <w:p w14:paraId="44BA41A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1A2D622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w:t>
                  </w:r>
                </w:p>
              </w:tc>
              <w:tc>
                <w:tcPr>
                  <w:tcW w:w="857" w:type="pct"/>
                  <w:shd w:val="clear" w:color="auto" w:fill="auto"/>
                  <w:vAlign w:val="center"/>
                </w:tcPr>
                <w:p w14:paraId="1F4D7A9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w:t>
                  </w:r>
                </w:p>
              </w:tc>
            </w:tr>
            <w:tr w14:paraId="24D59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63E4CA9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80" w:type="pct"/>
                  <w:shd w:val="clear" w:color="auto" w:fill="auto"/>
                  <w:vAlign w:val="center"/>
                </w:tcPr>
                <w:p w14:paraId="157EA0F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62CC168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0.27</w:t>
                  </w:r>
                </w:p>
              </w:tc>
              <w:tc>
                <w:tcPr>
                  <w:tcW w:w="762" w:type="pct"/>
                  <w:shd w:val="clear" w:color="auto" w:fill="auto"/>
                  <w:vAlign w:val="center"/>
                </w:tcPr>
                <w:p w14:paraId="7A1BD0E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15FF214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shd w:val="clear" w:color="auto" w:fill="auto"/>
                  <w:vAlign w:val="center"/>
                </w:tcPr>
                <w:p w14:paraId="46C9468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w:t>
                  </w:r>
                </w:p>
              </w:tc>
            </w:tr>
            <w:tr w14:paraId="1D90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479FA71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Na+</w:t>
                  </w:r>
                  <w:r>
                    <w:rPr>
                      <w:rFonts w:hint="eastAsia" w:cs="Times New Roman" w:eastAsiaTheme="minorEastAsia"/>
                      <w:color w:val="auto"/>
                      <w:sz w:val="21"/>
                      <w:szCs w:val="21"/>
                      <w:lang w:val="en-US" w:eastAsia="zh-CN"/>
                    </w:rPr>
                    <w:t>（mg/L）</w:t>
                  </w:r>
                </w:p>
              </w:tc>
              <w:tc>
                <w:tcPr>
                  <w:tcW w:w="880" w:type="pct"/>
                  <w:shd w:val="clear" w:color="auto" w:fill="auto"/>
                  <w:vAlign w:val="center"/>
                </w:tcPr>
                <w:p w14:paraId="7A24E7F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1BFDB4D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3.59</w:t>
                  </w:r>
                </w:p>
              </w:tc>
              <w:tc>
                <w:tcPr>
                  <w:tcW w:w="762" w:type="pct"/>
                  <w:shd w:val="clear" w:color="auto" w:fill="auto"/>
                  <w:vAlign w:val="center"/>
                </w:tcPr>
                <w:p w14:paraId="463DD46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0.018</w:t>
                  </w:r>
                </w:p>
              </w:tc>
              <w:tc>
                <w:tcPr>
                  <w:tcW w:w="598" w:type="pct"/>
                  <w:vMerge w:val="restart"/>
                  <w:shd w:val="clear" w:color="auto" w:fill="auto"/>
                  <w:vAlign w:val="center"/>
                </w:tcPr>
                <w:p w14:paraId="4CD5F1E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200</w:t>
                  </w:r>
                </w:p>
              </w:tc>
              <w:tc>
                <w:tcPr>
                  <w:tcW w:w="857" w:type="pct"/>
                  <w:shd w:val="clear" w:color="auto" w:fill="auto"/>
                  <w:vAlign w:val="center"/>
                </w:tcPr>
                <w:p w14:paraId="363FE29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4E7F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4D0CAE9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880" w:type="pct"/>
                  <w:shd w:val="clear" w:color="auto" w:fill="auto"/>
                  <w:vAlign w:val="center"/>
                </w:tcPr>
                <w:p w14:paraId="5F45E96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67F10A7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3.59</w:t>
                  </w:r>
                </w:p>
              </w:tc>
              <w:tc>
                <w:tcPr>
                  <w:tcW w:w="762" w:type="pct"/>
                  <w:shd w:val="clear" w:color="auto" w:fill="auto"/>
                  <w:vAlign w:val="center"/>
                </w:tcPr>
                <w:p w14:paraId="5CDC7E3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0.018</w:t>
                  </w:r>
                </w:p>
              </w:tc>
              <w:tc>
                <w:tcPr>
                  <w:tcW w:w="598" w:type="pct"/>
                  <w:vMerge w:val="continue"/>
                  <w:shd w:val="clear" w:color="auto" w:fill="auto"/>
                  <w:vAlign w:val="center"/>
                </w:tcPr>
                <w:p w14:paraId="3FDC6FD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shd w:val="clear" w:color="auto" w:fill="auto"/>
                  <w:vAlign w:val="center"/>
                </w:tcPr>
                <w:p w14:paraId="1D5EAB5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b/>
                      <w:bCs/>
                      <w:color w:val="auto"/>
                      <w:sz w:val="21"/>
                      <w:szCs w:val="21"/>
                    </w:rPr>
                  </w:pPr>
                  <w:r>
                    <w:rPr>
                      <w:rFonts w:hint="default" w:ascii="Times New Roman" w:hAnsi="Times New Roman" w:cs="Times New Roman" w:eastAsiaTheme="minorEastAsia"/>
                      <w:color w:val="auto"/>
                      <w:sz w:val="21"/>
                      <w:szCs w:val="21"/>
                    </w:rPr>
                    <w:t>达标</w:t>
                  </w:r>
                </w:p>
              </w:tc>
            </w:tr>
            <w:tr w14:paraId="1910F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55D13AD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Ca</w:t>
                  </w:r>
                  <w:r>
                    <w:rPr>
                      <w:rFonts w:hint="eastAsia" w:cs="Times New Roman"/>
                      <w:color w:val="auto"/>
                      <w:sz w:val="21"/>
                      <w:szCs w:val="21"/>
                      <w:vertAlign w:val="superscript"/>
                      <w:lang w:val="en-US" w:eastAsia="zh-CN"/>
                    </w:rPr>
                    <w:t>2+</w:t>
                  </w:r>
                  <w:r>
                    <w:rPr>
                      <w:rFonts w:hint="eastAsia" w:cs="Times New Roman" w:eastAsiaTheme="minorEastAsia"/>
                      <w:color w:val="auto"/>
                      <w:sz w:val="21"/>
                      <w:szCs w:val="21"/>
                      <w:lang w:val="en-US" w:eastAsia="zh-CN"/>
                    </w:rPr>
                    <w:t>（mg/L）</w:t>
                  </w:r>
                </w:p>
              </w:tc>
              <w:tc>
                <w:tcPr>
                  <w:tcW w:w="880" w:type="pct"/>
                  <w:shd w:val="clear" w:color="auto" w:fill="auto"/>
                  <w:vAlign w:val="center"/>
                </w:tcPr>
                <w:p w14:paraId="7735DF9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5FF7030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30.8</w:t>
                  </w:r>
                </w:p>
              </w:tc>
              <w:tc>
                <w:tcPr>
                  <w:tcW w:w="762" w:type="pct"/>
                  <w:shd w:val="clear" w:color="auto" w:fill="auto"/>
                  <w:vAlign w:val="center"/>
                </w:tcPr>
                <w:p w14:paraId="57C673A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59F61F0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w:t>
                  </w:r>
                </w:p>
              </w:tc>
              <w:tc>
                <w:tcPr>
                  <w:tcW w:w="857" w:type="pct"/>
                  <w:shd w:val="clear" w:color="auto" w:fill="auto"/>
                  <w:vAlign w:val="center"/>
                </w:tcPr>
                <w:p w14:paraId="5B8EE05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w:t>
                  </w:r>
                </w:p>
              </w:tc>
            </w:tr>
            <w:tr w14:paraId="41BE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7D5C179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cs="Times New Roman"/>
                      <w:color w:val="auto"/>
                      <w:sz w:val="21"/>
                      <w:szCs w:val="21"/>
                      <w:lang w:val="en-US" w:eastAsia="zh-CN"/>
                    </w:rPr>
                  </w:pPr>
                </w:p>
              </w:tc>
              <w:tc>
                <w:tcPr>
                  <w:tcW w:w="880" w:type="pct"/>
                  <w:shd w:val="clear" w:color="auto" w:fill="auto"/>
                  <w:vAlign w:val="center"/>
                </w:tcPr>
                <w:p w14:paraId="64EA595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6EC5B63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28.0</w:t>
                  </w:r>
                </w:p>
              </w:tc>
              <w:tc>
                <w:tcPr>
                  <w:tcW w:w="762" w:type="pct"/>
                  <w:shd w:val="clear" w:color="auto" w:fill="auto"/>
                  <w:vAlign w:val="center"/>
                </w:tcPr>
                <w:p w14:paraId="40F8F6E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3F3071D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shd w:val="clear" w:color="auto" w:fill="auto"/>
                  <w:vAlign w:val="center"/>
                </w:tcPr>
                <w:p w14:paraId="0CA59FA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w:t>
                  </w:r>
                </w:p>
              </w:tc>
            </w:tr>
            <w:tr w14:paraId="113B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0E2596C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Mg</w:t>
                  </w:r>
                  <w:r>
                    <w:rPr>
                      <w:rFonts w:hint="eastAsia" w:cs="Times New Roman"/>
                      <w:color w:val="auto"/>
                      <w:sz w:val="21"/>
                      <w:szCs w:val="21"/>
                      <w:vertAlign w:val="superscript"/>
                      <w:lang w:val="en-US" w:eastAsia="zh-CN"/>
                    </w:rPr>
                    <w:t>2+</w:t>
                  </w:r>
                  <w:r>
                    <w:rPr>
                      <w:rFonts w:hint="eastAsia" w:cs="Times New Roman" w:eastAsiaTheme="minorEastAsia"/>
                      <w:color w:val="auto"/>
                      <w:sz w:val="21"/>
                      <w:szCs w:val="21"/>
                      <w:lang w:val="en-US" w:eastAsia="zh-CN"/>
                    </w:rPr>
                    <w:t>（mg/L）</w:t>
                  </w:r>
                </w:p>
              </w:tc>
              <w:tc>
                <w:tcPr>
                  <w:tcW w:w="880" w:type="pct"/>
                  <w:shd w:val="clear" w:color="auto" w:fill="auto"/>
                  <w:vAlign w:val="center"/>
                </w:tcPr>
                <w:p w14:paraId="14CA529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57B956B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29.4</w:t>
                  </w:r>
                </w:p>
              </w:tc>
              <w:tc>
                <w:tcPr>
                  <w:tcW w:w="762" w:type="pct"/>
                  <w:shd w:val="clear" w:color="auto" w:fill="auto"/>
                  <w:vAlign w:val="center"/>
                </w:tcPr>
                <w:p w14:paraId="31D5FB8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6F384AF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w:t>
                  </w:r>
                </w:p>
              </w:tc>
              <w:tc>
                <w:tcPr>
                  <w:tcW w:w="857" w:type="pct"/>
                  <w:shd w:val="clear" w:color="auto" w:fill="auto"/>
                  <w:vAlign w:val="center"/>
                </w:tcPr>
                <w:p w14:paraId="7F02B47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w:t>
                  </w:r>
                </w:p>
              </w:tc>
            </w:tr>
            <w:tr w14:paraId="6A78F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3C94B9D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cs="Times New Roman"/>
                      <w:color w:val="auto"/>
                      <w:sz w:val="21"/>
                      <w:szCs w:val="21"/>
                      <w:lang w:val="en-US" w:eastAsia="zh-CN"/>
                    </w:rPr>
                  </w:pPr>
                </w:p>
              </w:tc>
              <w:tc>
                <w:tcPr>
                  <w:tcW w:w="880" w:type="pct"/>
                  <w:shd w:val="clear" w:color="auto" w:fill="auto"/>
                  <w:vAlign w:val="center"/>
                </w:tcPr>
                <w:p w14:paraId="40BFF0F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4CE2E72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29.1</w:t>
                  </w:r>
                </w:p>
              </w:tc>
              <w:tc>
                <w:tcPr>
                  <w:tcW w:w="762" w:type="pct"/>
                  <w:shd w:val="clear" w:color="auto" w:fill="auto"/>
                  <w:vAlign w:val="center"/>
                </w:tcPr>
                <w:p w14:paraId="40E594D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6706544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shd w:val="clear" w:color="auto" w:fill="auto"/>
                  <w:vAlign w:val="center"/>
                </w:tcPr>
                <w:p w14:paraId="7CADBE2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w:t>
                  </w:r>
                </w:p>
              </w:tc>
            </w:tr>
            <w:tr w14:paraId="3C75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7A4861F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cs="Times New Roman"/>
                      <w:color w:val="auto"/>
                      <w:sz w:val="21"/>
                      <w:szCs w:val="21"/>
                      <w:lang w:val="en-US" w:eastAsia="zh-CN"/>
                    </w:rPr>
                  </w:pPr>
                  <w:r>
                    <w:rPr>
                      <w:rFonts w:hint="eastAsia" w:cs="Times New Roman"/>
                      <w:color w:val="auto"/>
                      <w:sz w:val="21"/>
                      <w:szCs w:val="21"/>
                      <w:lang w:val="en-US" w:eastAsia="zh-CN"/>
                    </w:rPr>
                    <w:t>碳酸盐（CO</w:t>
                  </w:r>
                  <w:r>
                    <w:rPr>
                      <w:rFonts w:hint="eastAsia" w:cs="Times New Roman"/>
                      <w:color w:val="auto"/>
                      <w:sz w:val="21"/>
                      <w:szCs w:val="21"/>
                      <w:vertAlign w:val="subscript"/>
                      <w:lang w:val="en-US" w:eastAsia="zh-CN"/>
                    </w:rPr>
                    <w:t>3</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w:t>
                  </w:r>
                  <w:r>
                    <w:rPr>
                      <w:rFonts w:hint="eastAsia" w:cs="Times New Roman" w:eastAsiaTheme="minorEastAsia"/>
                      <w:color w:val="auto"/>
                      <w:sz w:val="21"/>
                      <w:szCs w:val="21"/>
                      <w:lang w:val="en-US" w:eastAsia="zh-CN"/>
                    </w:rPr>
                    <w:t>（mg/L）</w:t>
                  </w:r>
                </w:p>
              </w:tc>
              <w:tc>
                <w:tcPr>
                  <w:tcW w:w="880" w:type="pct"/>
                  <w:shd w:val="clear" w:color="auto" w:fill="auto"/>
                  <w:vAlign w:val="center"/>
                </w:tcPr>
                <w:p w14:paraId="00648BB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1246223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未检出</w:t>
                  </w:r>
                </w:p>
              </w:tc>
              <w:tc>
                <w:tcPr>
                  <w:tcW w:w="762" w:type="pct"/>
                  <w:shd w:val="clear" w:color="auto" w:fill="auto"/>
                  <w:vAlign w:val="center"/>
                </w:tcPr>
                <w:p w14:paraId="5258A14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255F9C8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w:t>
                  </w:r>
                </w:p>
              </w:tc>
              <w:tc>
                <w:tcPr>
                  <w:tcW w:w="857" w:type="pct"/>
                  <w:shd w:val="clear" w:color="auto" w:fill="auto"/>
                  <w:vAlign w:val="center"/>
                </w:tcPr>
                <w:p w14:paraId="0ABA4EA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w:t>
                  </w:r>
                </w:p>
              </w:tc>
            </w:tr>
            <w:tr w14:paraId="11BBB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64F2DF8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cs="Times New Roman"/>
                      <w:color w:val="auto"/>
                      <w:sz w:val="21"/>
                      <w:szCs w:val="21"/>
                      <w:lang w:val="en-US" w:eastAsia="zh-CN"/>
                    </w:rPr>
                  </w:pPr>
                </w:p>
              </w:tc>
              <w:tc>
                <w:tcPr>
                  <w:tcW w:w="880" w:type="pct"/>
                  <w:shd w:val="clear" w:color="auto" w:fill="auto"/>
                  <w:vAlign w:val="center"/>
                </w:tcPr>
                <w:p w14:paraId="53227F3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21D367A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未检出</w:t>
                  </w:r>
                </w:p>
              </w:tc>
              <w:tc>
                <w:tcPr>
                  <w:tcW w:w="762" w:type="pct"/>
                  <w:shd w:val="clear" w:color="auto" w:fill="auto"/>
                  <w:vAlign w:val="center"/>
                </w:tcPr>
                <w:p w14:paraId="785210C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36D96BF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shd w:val="clear" w:color="auto" w:fill="auto"/>
                  <w:vAlign w:val="center"/>
                </w:tcPr>
                <w:p w14:paraId="71CF087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w:t>
                  </w:r>
                </w:p>
              </w:tc>
            </w:tr>
            <w:tr w14:paraId="5082D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7E5F42B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cs="Times New Roman"/>
                      <w:color w:val="auto"/>
                      <w:sz w:val="21"/>
                      <w:szCs w:val="21"/>
                      <w:lang w:val="en-US" w:eastAsia="zh-CN"/>
                    </w:rPr>
                  </w:pPr>
                  <w:r>
                    <w:rPr>
                      <w:rFonts w:hint="eastAsia" w:cs="Times New Roman"/>
                      <w:color w:val="auto"/>
                      <w:sz w:val="21"/>
                      <w:szCs w:val="21"/>
                      <w:lang w:val="en-US" w:eastAsia="zh-CN"/>
                    </w:rPr>
                    <w:t>重碳酸盐（HCO</w:t>
                  </w:r>
                  <w:r>
                    <w:rPr>
                      <w:rFonts w:hint="eastAsia" w:cs="Times New Roman"/>
                      <w:color w:val="auto"/>
                      <w:sz w:val="21"/>
                      <w:szCs w:val="21"/>
                      <w:vertAlign w:val="subscript"/>
                      <w:lang w:val="en-US" w:eastAsia="zh-CN"/>
                    </w:rPr>
                    <w:t>3</w:t>
                  </w:r>
                  <w:r>
                    <w:rPr>
                      <w:rFonts w:hint="eastAsia" w:cs="Times New Roman"/>
                      <w:color w:val="auto"/>
                      <w:sz w:val="21"/>
                      <w:szCs w:val="21"/>
                      <w:vertAlign w:val="superscript"/>
                      <w:lang w:val="en-US" w:eastAsia="zh-CN"/>
                    </w:rPr>
                    <w:t>-</w:t>
                  </w:r>
                  <w:r>
                    <w:rPr>
                      <w:rFonts w:hint="eastAsia" w:cs="Times New Roman"/>
                      <w:color w:val="auto"/>
                      <w:sz w:val="21"/>
                      <w:szCs w:val="21"/>
                      <w:lang w:val="en-US" w:eastAsia="zh-CN"/>
                    </w:rPr>
                    <w:t>）</w:t>
                  </w:r>
                  <w:r>
                    <w:rPr>
                      <w:rFonts w:hint="eastAsia" w:cs="Times New Roman" w:eastAsiaTheme="minorEastAsia"/>
                      <w:color w:val="auto"/>
                      <w:sz w:val="21"/>
                      <w:szCs w:val="21"/>
                      <w:lang w:val="en-US" w:eastAsia="zh-CN"/>
                    </w:rPr>
                    <w:t>（mg/L）</w:t>
                  </w:r>
                </w:p>
              </w:tc>
              <w:tc>
                <w:tcPr>
                  <w:tcW w:w="880" w:type="pct"/>
                  <w:shd w:val="clear" w:color="auto" w:fill="auto"/>
                  <w:vAlign w:val="center"/>
                </w:tcPr>
                <w:p w14:paraId="7F41A3C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517C7AB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189</w:t>
                  </w:r>
                </w:p>
              </w:tc>
              <w:tc>
                <w:tcPr>
                  <w:tcW w:w="762" w:type="pct"/>
                  <w:shd w:val="clear" w:color="auto" w:fill="auto"/>
                  <w:vAlign w:val="center"/>
                </w:tcPr>
                <w:p w14:paraId="0F19CC6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0F7BDDE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w:t>
                  </w:r>
                </w:p>
              </w:tc>
              <w:tc>
                <w:tcPr>
                  <w:tcW w:w="857" w:type="pct"/>
                  <w:shd w:val="clear" w:color="auto" w:fill="auto"/>
                  <w:vAlign w:val="center"/>
                </w:tcPr>
                <w:p w14:paraId="55FF794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w:t>
                  </w:r>
                </w:p>
              </w:tc>
            </w:tr>
            <w:tr w14:paraId="33D1E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2ACCA1F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cs="Times New Roman"/>
                      <w:color w:val="auto"/>
                      <w:sz w:val="21"/>
                      <w:szCs w:val="21"/>
                      <w:lang w:val="en-US" w:eastAsia="zh-CN"/>
                    </w:rPr>
                  </w:pPr>
                </w:p>
              </w:tc>
              <w:tc>
                <w:tcPr>
                  <w:tcW w:w="880" w:type="pct"/>
                  <w:shd w:val="clear" w:color="auto" w:fill="auto"/>
                  <w:vAlign w:val="center"/>
                </w:tcPr>
                <w:p w14:paraId="1935D73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2092EE5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186</w:t>
                  </w:r>
                </w:p>
              </w:tc>
              <w:tc>
                <w:tcPr>
                  <w:tcW w:w="762" w:type="pct"/>
                  <w:shd w:val="clear" w:color="auto" w:fill="auto"/>
                  <w:vAlign w:val="center"/>
                </w:tcPr>
                <w:p w14:paraId="02490E3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21915F2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shd w:val="clear" w:color="auto" w:fill="auto"/>
                  <w:vAlign w:val="center"/>
                </w:tcPr>
                <w:p w14:paraId="52F4F89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w:t>
                  </w:r>
                </w:p>
              </w:tc>
            </w:tr>
            <w:tr w14:paraId="48FE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1E1380E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cs="Times New Roman"/>
                      <w:color w:val="auto"/>
                      <w:sz w:val="21"/>
                      <w:szCs w:val="21"/>
                      <w:lang w:val="en-US" w:eastAsia="zh-CN"/>
                    </w:rPr>
                  </w:pPr>
                  <w:r>
                    <w:rPr>
                      <w:rFonts w:hint="eastAsia" w:cs="Times New Roman"/>
                      <w:color w:val="auto"/>
                      <w:sz w:val="21"/>
                      <w:szCs w:val="21"/>
                      <w:lang w:val="en-US" w:eastAsia="zh-CN"/>
                    </w:rPr>
                    <w:t>Cl</w:t>
                  </w:r>
                  <w:r>
                    <w:rPr>
                      <w:rFonts w:hint="eastAsia" w:cs="Times New Roman"/>
                      <w:color w:val="auto"/>
                      <w:sz w:val="21"/>
                      <w:szCs w:val="21"/>
                      <w:vertAlign w:val="superscript"/>
                      <w:lang w:val="en-US" w:eastAsia="zh-CN"/>
                    </w:rPr>
                    <w:t>-</w:t>
                  </w:r>
                  <w:r>
                    <w:rPr>
                      <w:rFonts w:hint="eastAsia" w:cs="Times New Roman" w:eastAsiaTheme="minorEastAsia"/>
                      <w:color w:val="auto"/>
                      <w:sz w:val="21"/>
                      <w:szCs w:val="21"/>
                      <w:lang w:val="en-US" w:eastAsia="zh-CN"/>
                    </w:rPr>
                    <w:t>（mg/L）</w:t>
                  </w:r>
                </w:p>
              </w:tc>
              <w:tc>
                <w:tcPr>
                  <w:tcW w:w="880" w:type="pct"/>
                  <w:shd w:val="clear" w:color="auto" w:fill="auto"/>
                  <w:vAlign w:val="center"/>
                </w:tcPr>
                <w:p w14:paraId="778630E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4145B75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4.72</w:t>
                  </w:r>
                </w:p>
              </w:tc>
              <w:tc>
                <w:tcPr>
                  <w:tcW w:w="762" w:type="pct"/>
                  <w:shd w:val="clear" w:color="auto" w:fill="auto"/>
                  <w:vAlign w:val="center"/>
                </w:tcPr>
                <w:p w14:paraId="65AD6A4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restart"/>
                  <w:shd w:val="clear" w:color="auto" w:fill="auto"/>
                  <w:vAlign w:val="center"/>
                </w:tcPr>
                <w:p w14:paraId="64D7AFB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w:t>
                  </w:r>
                </w:p>
              </w:tc>
              <w:tc>
                <w:tcPr>
                  <w:tcW w:w="857" w:type="pct"/>
                  <w:shd w:val="clear" w:color="auto" w:fill="auto"/>
                  <w:vAlign w:val="center"/>
                </w:tcPr>
                <w:p w14:paraId="5E5A388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w:t>
                  </w:r>
                </w:p>
              </w:tc>
            </w:tr>
            <w:tr w14:paraId="30EE6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4CE7E04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cs="Times New Roman"/>
                      <w:color w:val="auto"/>
                      <w:sz w:val="21"/>
                      <w:szCs w:val="21"/>
                      <w:lang w:val="en-US" w:eastAsia="zh-CN"/>
                    </w:rPr>
                  </w:pPr>
                </w:p>
              </w:tc>
              <w:tc>
                <w:tcPr>
                  <w:tcW w:w="880" w:type="pct"/>
                  <w:shd w:val="clear" w:color="auto" w:fill="auto"/>
                  <w:vAlign w:val="center"/>
                </w:tcPr>
                <w:p w14:paraId="5CDE017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6B5A0FC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4.90</w:t>
                  </w:r>
                </w:p>
              </w:tc>
              <w:tc>
                <w:tcPr>
                  <w:tcW w:w="762" w:type="pct"/>
                  <w:shd w:val="clear" w:color="auto" w:fill="auto"/>
                  <w:vAlign w:val="center"/>
                </w:tcPr>
                <w:p w14:paraId="3998A81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98" w:type="pct"/>
                  <w:vMerge w:val="continue"/>
                  <w:shd w:val="clear" w:color="auto" w:fill="auto"/>
                  <w:vAlign w:val="center"/>
                </w:tcPr>
                <w:p w14:paraId="78C5AB4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shd w:val="clear" w:color="auto" w:fill="auto"/>
                  <w:vAlign w:val="center"/>
                </w:tcPr>
                <w:p w14:paraId="573029D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w:t>
                  </w:r>
                </w:p>
              </w:tc>
            </w:tr>
            <w:tr w14:paraId="3890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restart"/>
                  <w:shd w:val="clear" w:color="auto" w:fill="auto"/>
                  <w:vAlign w:val="center"/>
                </w:tcPr>
                <w:p w14:paraId="463752C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cs="Times New Roman"/>
                      <w:color w:val="auto"/>
                      <w:sz w:val="21"/>
                      <w:szCs w:val="21"/>
                      <w:lang w:val="en-US" w:eastAsia="zh-CN"/>
                    </w:rPr>
                  </w:pPr>
                  <w:r>
                    <w:rPr>
                      <w:rFonts w:hint="eastAsia" w:cs="Times New Roman"/>
                      <w:color w:val="auto"/>
                      <w:sz w:val="21"/>
                      <w:szCs w:val="21"/>
                      <w:lang w:val="en-US" w:eastAsia="zh-CN"/>
                    </w:rPr>
                    <w:t>SO</w:t>
                  </w:r>
                  <w:r>
                    <w:rPr>
                      <w:rFonts w:hint="eastAsia" w:cs="Times New Roman"/>
                      <w:color w:val="auto"/>
                      <w:sz w:val="21"/>
                      <w:szCs w:val="21"/>
                      <w:vertAlign w:val="subscript"/>
                      <w:lang w:val="en-US" w:eastAsia="zh-CN"/>
                    </w:rPr>
                    <w:t>4</w:t>
                  </w:r>
                  <w:r>
                    <w:rPr>
                      <w:rFonts w:hint="eastAsia" w:cs="Times New Roman"/>
                      <w:color w:val="auto"/>
                      <w:sz w:val="21"/>
                      <w:szCs w:val="21"/>
                      <w:vertAlign w:val="superscript"/>
                      <w:lang w:val="en-US" w:eastAsia="zh-CN"/>
                    </w:rPr>
                    <w:t>2-</w:t>
                  </w:r>
                  <w:r>
                    <w:rPr>
                      <w:rFonts w:hint="eastAsia" w:cs="Times New Roman" w:eastAsiaTheme="minorEastAsia"/>
                      <w:color w:val="auto"/>
                      <w:sz w:val="21"/>
                      <w:szCs w:val="21"/>
                      <w:lang w:val="en-US" w:eastAsia="zh-CN"/>
                    </w:rPr>
                    <w:t>（mg/L）</w:t>
                  </w:r>
                </w:p>
              </w:tc>
              <w:tc>
                <w:tcPr>
                  <w:tcW w:w="880" w:type="pct"/>
                  <w:shd w:val="clear" w:color="auto" w:fill="auto"/>
                  <w:vAlign w:val="center"/>
                </w:tcPr>
                <w:p w14:paraId="4095115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2026.6.11</w:t>
                  </w:r>
                </w:p>
              </w:tc>
              <w:tc>
                <w:tcPr>
                  <w:tcW w:w="982" w:type="pct"/>
                  <w:shd w:val="clear" w:color="auto" w:fill="auto"/>
                  <w:vAlign w:val="center"/>
                </w:tcPr>
                <w:p w14:paraId="33F06E1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3.70</w:t>
                  </w:r>
                </w:p>
              </w:tc>
              <w:tc>
                <w:tcPr>
                  <w:tcW w:w="762" w:type="pct"/>
                  <w:shd w:val="clear" w:color="auto" w:fill="auto"/>
                  <w:vAlign w:val="center"/>
                </w:tcPr>
                <w:p w14:paraId="4C92382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0.0148</w:t>
                  </w:r>
                </w:p>
              </w:tc>
              <w:tc>
                <w:tcPr>
                  <w:tcW w:w="598" w:type="pct"/>
                  <w:vMerge w:val="restart"/>
                  <w:shd w:val="clear" w:color="auto" w:fill="auto"/>
                  <w:vAlign w:val="center"/>
                </w:tcPr>
                <w:p w14:paraId="7D46E1F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250</w:t>
                  </w:r>
                </w:p>
              </w:tc>
              <w:tc>
                <w:tcPr>
                  <w:tcW w:w="857" w:type="pct"/>
                  <w:shd w:val="clear" w:color="auto" w:fill="auto"/>
                  <w:vAlign w:val="center"/>
                </w:tcPr>
                <w:p w14:paraId="71EBADB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4D551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8" w:type="pct"/>
                  <w:vMerge w:val="continue"/>
                  <w:shd w:val="clear" w:color="auto" w:fill="auto"/>
                  <w:vAlign w:val="center"/>
                </w:tcPr>
                <w:p w14:paraId="451C9E5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cs="Times New Roman"/>
                      <w:color w:val="auto"/>
                      <w:sz w:val="21"/>
                      <w:szCs w:val="21"/>
                      <w:lang w:val="en-US" w:eastAsia="zh-CN"/>
                    </w:rPr>
                  </w:pPr>
                </w:p>
              </w:tc>
              <w:tc>
                <w:tcPr>
                  <w:tcW w:w="880" w:type="pct"/>
                  <w:shd w:val="clear" w:color="auto" w:fill="auto"/>
                  <w:vAlign w:val="center"/>
                </w:tcPr>
                <w:p w14:paraId="6B842AD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2026.6.12</w:t>
                  </w:r>
                </w:p>
              </w:tc>
              <w:tc>
                <w:tcPr>
                  <w:tcW w:w="982" w:type="pct"/>
                  <w:shd w:val="clear" w:color="auto" w:fill="auto"/>
                  <w:vAlign w:val="center"/>
                </w:tcPr>
                <w:p w14:paraId="1FC7466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3.76</w:t>
                  </w:r>
                </w:p>
              </w:tc>
              <w:tc>
                <w:tcPr>
                  <w:tcW w:w="762" w:type="pct"/>
                  <w:shd w:val="clear" w:color="auto" w:fill="auto"/>
                  <w:vAlign w:val="center"/>
                </w:tcPr>
                <w:p w14:paraId="3F6A674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0.015</w:t>
                  </w:r>
                </w:p>
              </w:tc>
              <w:tc>
                <w:tcPr>
                  <w:tcW w:w="598" w:type="pct"/>
                  <w:vMerge w:val="continue"/>
                  <w:shd w:val="clear" w:color="auto" w:fill="auto"/>
                  <w:vAlign w:val="center"/>
                </w:tcPr>
                <w:p w14:paraId="5D1AC12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p>
              </w:tc>
              <w:tc>
                <w:tcPr>
                  <w:tcW w:w="857" w:type="pct"/>
                  <w:shd w:val="clear" w:color="auto" w:fill="auto"/>
                  <w:vAlign w:val="center"/>
                </w:tcPr>
                <w:p w14:paraId="7C2125C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达标</w:t>
                  </w:r>
                </w:p>
              </w:tc>
            </w:tr>
            <w:tr w14:paraId="2C6AB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918" w:type="pct"/>
                  <w:shd w:val="clear" w:color="auto" w:fill="auto"/>
                  <w:vAlign w:val="center"/>
                </w:tcPr>
                <w:p w14:paraId="6176B1F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备注</w:t>
                  </w:r>
                </w:p>
              </w:tc>
              <w:tc>
                <w:tcPr>
                  <w:tcW w:w="4081" w:type="pct"/>
                  <w:gridSpan w:val="5"/>
                  <w:shd w:val="clear" w:color="auto" w:fill="auto"/>
                  <w:vAlign w:val="center"/>
                </w:tcPr>
                <w:p w14:paraId="4D7872F7">
                  <w:pPr>
                    <w:keepNext w:val="0"/>
                    <w:keepLines w:val="0"/>
                    <w:pageBreakBefore w:val="0"/>
                    <w:kinsoku/>
                    <w:wordWrap/>
                    <w:overflowPunct/>
                    <w:topLinePunct w:val="0"/>
                    <w:autoSpaceDE/>
                    <w:autoSpaceDN/>
                    <w:bidi w:val="0"/>
                    <w:adjustRightInd w:val="0"/>
                    <w:snapToGrid w:val="0"/>
                    <w:spacing w:line="240" w:lineRule="auto"/>
                    <w:ind w:firstLine="0" w:firstLineChars="0"/>
                    <w:jc w:val="both"/>
                    <w:rPr>
                      <w:rFonts w:hint="eastAsia" w:cs="Times New Roman" w:eastAsiaTheme="minorEastAsia"/>
                      <w:color w:val="auto"/>
                      <w:sz w:val="21"/>
                      <w:szCs w:val="21"/>
                      <w:lang w:eastAsia="zh-CN"/>
                    </w:rPr>
                  </w:pPr>
                  <w:r>
                    <w:rPr>
                      <w:rFonts w:hint="eastAsia" w:cs="Times New Roman" w:eastAsiaTheme="minorEastAsia"/>
                      <w:color w:val="auto"/>
                      <w:sz w:val="21"/>
                      <w:szCs w:val="21"/>
                      <w:lang w:eastAsia="zh-CN"/>
                    </w:rPr>
                    <w:t>1、采样方法依据：《地下水环境监测技术规范》（HJ164-2020）；</w:t>
                  </w:r>
                </w:p>
                <w:p w14:paraId="588B0ADB">
                  <w:pPr>
                    <w:keepNext w:val="0"/>
                    <w:keepLines w:val="0"/>
                    <w:pageBreakBefore w:val="0"/>
                    <w:kinsoku/>
                    <w:wordWrap/>
                    <w:overflowPunct/>
                    <w:topLinePunct w:val="0"/>
                    <w:autoSpaceDE/>
                    <w:autoSpaceDN/>
                    <w:bidi w:val="0"/>
                    <w:adjustRightInd w:val="0"/>
                    <w:snapToGrid w:val="0"/>
                    <w:spacing w:line="240" w:lineRule="auto"/>
                    <w:ind w:firstLine="0" w:firstLineChars="0"/>
                    <w:jc w:val="both"/>
                    <w:rPr>
                      <w:rFonts w:hint="eastAsia" w:cs="Times New Roman" w:eastAsiaTheme="minorEastAsia"/>
                      <w:color w:val="auto"/>
                      <w:sz w:val="21"/>
                      <w:szCs w:val="21"/>
                      <w:lang w:eastAsia="zh-CN"/>
                    </w:rPr>
                  </w:pPr>
                  <w:r>
                    <w:rPr>
                      <w:rFonts w:hint="eastAsia" w:cs="Times New Roman" w:eastAsiaTheme="minorEastAsia"/>
                      <w:color w:val="auto"/>
                      <w:sz w:val="21"/>
                      <w:szCs w:val="21"/>
                      <w:lang w:eastAsia="zh-CN"/>
                    </w:rPr>
                    <w:t>2、检测结果低于标准方法检出限的，用“检出限+L”表示；</w:t>
                  </w:r>
                </w:p>
                <w:p w14:paraId="33331177">
                  <w:pPr>
                    <w:keepNext w:val="0"/>
                    <w:keepLines w:val="0"/>
                    <w:pageBreakBefore w:val="0"/>
                    <w:kinsoku/>
                    <w:wordWrap/>
                    <w:overflowPunct/>
                    <w:topLinePunct w:val="0"/>
                    <w:autoSpaceDE/>
                    <w:autoSpaceDN/>
                    <w:bidi w:val="0"/>
                    <w:adjustRightInd w:val="0"/>
                    <w:snapToGrid w:val="0"/>
                    <w:spacing w:line="240" w:lineRule="auto"/>
                    <w:ind w:firstLine="0" w:firstLineChars="0"/>
                    <w:jc w:val="both"/>
                    <w:rPr>
                      <w:rFonts w:hint="eastAsia" w:cs="Times New Roman" w:eastAsiaTheme="minorEastAsia"/>
                      <w:color w:val="auto"/>
                      <w:sz w:val="21"/>
                      <w:szCs w:val="21"/>
                      <w:lang w:eastAsia="zh-CN"/>
                    </w:rPr>
                  </w:pPr>
                  <w:r>
                    <w:rPr>
                      <w:rFonts w:hint="eastAsia" w:cs="Times New Roman" w:eastAsiaTheme="minorEastAsia"/>
                      <w:color w:val="auto"/>
                      <w:sz w:val="21"/>
                      <w:szCs w:val="21"/>
                      <w:lang w:eastAsia="zh-CN"/>
                    </w:rPr>
                    <w:t>3、碳酸盐碱度,重碳酸盐碱度均以碳酸钙计，1/2CaCO</w:t>
                  </w:r>
                  <w:r>
                    <w:rPr>
                      <w:rFonts w:hint="eastAsia" w:cs="Times New Roman" w:eastAsiaTheme="minorEastAsia"/>
                      <w:color w:val="auto"/>
                      <w:sz w:val="21"/>
                      <w:szCs w:val="21"/>
                      <w:vertAlign w:val="subscript"/>
                      <w:lang w:eastAsia="zh-CN"/>
                    </w:rPr>
                    <w:t>3</w:t>
                  </w:r>
                  <w:r>
                    <w:rPr>
                      <w:rFonts w:hint="eastAsia" w:cs="Times New Roman" w:eastAsiaTheme="minorEastAsia"/>
                      <w:color w:val="auto"/>
                      <w:sz w:val="21"/>
                      <w:szCs w:val="21"/>
                      <w:lang w:eastAsia="zh-CN"/>
                    </w:rPr>
                    <w:t>摩尔质量50.05g/mol。</w:t>
                  </w:r>
                </w:p>
              </w:tc>
            </w:tr>
          </w:tbl>
          <w:p w14:paraId="5281A28C">
            <w:pPr>
              <w:ind w:firstLine="480"/>
              <w:rPr>
                <w:rFonts w:hint="eastAsia"/>
                <w:color w:val="auto"/>
              </w:rPr>
            </w:pPr>
            <w:r>
              <w:rPr>
                <w:rFonts w:hint="default" w:ascii="Times New Roman" w:hAnsi="Times New Roman" w:cs="Times New Roman"/>
                <w:color w:val="auto"/>
              </w:rPr>
              <w:t>根据</w:t>
            </w:r>
            <w:r>
              <w:rPr>
                <w:rFonts w:hint="eastAsia" w:cs="Times New Roman"/>
                <w:color w:val="auto"/>
                <w:lang w:val="en-US" w:eastAsia="zh-CN"/>
              </w:rPr>
              <w:t>上表监测结果可知</w:t>
            </w:r>
            <w:r>
              <w:rPr>
                <w:rFonts w:hint="default" w:ascii="Times New Roman" w:hAnsi="Times New Roman" w:cs="Times New Roman"/>
                <w:color w:val="auto"/>
              </w:rPr>
              <w:t>，项目区域地下水质能够满足《地下水质量标准》</w:t>
            </w:r>
            <w:r>
              <w:rPr>
                <w:rFonts w:hint="default" w:ascii="Times New Roman" w:hAnsi="Times New Roman" w:cs="Times New Roman"/>
                <w:color w:val="auto"/>
                <w:lang w:eastAsia="zh-CN"/>
              </w:rPr>
              <w:t>（</w:t>
            </w:r>
            <w:r>
              <w:rPr>
                <w:rFonts w:hint="default" w:ascii="Times New Roman" w:hAnsi="Times New Roman" w:cs="Times New Roman"/>
                <w:color w:val="auto"/>
              </w:rPr>
              <w:t>GB/T14848-2017</w:t>
            </w:r>
            <w:r>
              <w:rPr>
                <w:rFonts w:hint="default" w:ascii="Times New Roman" w:hAnsi="Times New Roman" w:cs="Times New Roman"/>
                <w:color w:val="auto"/>
                <w:lang w:eastAsia="zh-CN"/>
              </w:rPr>
              <w:t>）</w:t>
            </w:r>
            <w:r>
              <w:rPr>
                <w:rFonts w:hint="default" w:ascii="Times New Roman" w:hAnsi="Times New Roman" w:cs="Times New Roman"/>
                <w:color w:val="auto"/>
              </w:rPr>
              <w:t>Ⅲ类标准要求。</w:t>
            </w:r>
          </w:p>
        </w:tc>
      </w:tr>
      <w:tr w14:paraId="303C4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Align w:val="center"/>
          </w:tcPr>
          <w:p w14:paraId="38F7BD7F">
            <w:pPr>
              <w:ind w:firstLine="0" w:firstLineChars="0"/>
              <w:jc w:val="center"/>
              <w:rPr>
                <w:color w:val="auto"/>
              </w:rPr>
            </w:pPr>
            <w:r>
              <w:rPr>
                <w:rFonts w:hint="eastAsia"/>
                <w:color w:val="auto"/>
              </w:rPr>
              <w:t>环境保护目标</w:t>
            </w:r>
          </w:p>
        </w:tc>
        <w:tc>
          <w:tcPr>
            <w:tcW w:w="7819" w:type="dxa"/>
          </w:tcPr>
          <w:p w14:paraId="702493FF">
            <w:pPr>
              <w:adjustRightInd w:val="0"/>
              <w:snapToGrid w:val="0"/>
              <w:spacing w:line="360" w:lineRule="auto"/>
              <w:ind w:firstLine="480" w:firstLineChars="200"/>
              <w:rPr>
                <w:rFonts w:ascii="Times New Roman" w:hAnsi="Times New Roman" w:eastAsia="宋体"/>
                <w:color w:val="auto"/>
                <w:sz w:val="24"/>
                <w:lang w:val="zh-CN"/>
              </w:rPr>
            </w:pPr>
            <w:r>
              <w:rPr>
                <w:rFonts w:hint="eastAsia" w:ascii="Times New Roman" w:hAnsi="Times New Roman" w:eastAsia="宋体"/>
                <w:color w:val="auto"/>
                <w:sz w:val="24"/>
                <w:lang w:val="zh-CN"/>
              </w:rPr>
              <w:t>根据《建设项目环境影响报告表编制技术指南（污染影响类）（试行）》（环办环评〔2020〕33号），环境影响报告表环境保护目标设置范围如下，</w:t>
            </w:r>
            <w:r>
              <w:rPr>
                <w:rFonts w:ascii="Times New Roman" w:hAnsi="Times New Roman" w:eastAsia="宋体"/>
                <w:color w:val="auto"/>
                <w:sz w:val="24"/>
                <w:lang w:val="zh-CN"/>
              </w:rPr>
              <w:t>项目主要环境保护目标如下：</w:t>
            </w:r>
          </w:p>
          <w:p w14:paraId="6C103B78">
            <w:pPr>
              <w:adjustRightInd w:val="0"/>
              <w:snapToGrid w:val="0"/>
              <w:spacing w:line="360" w:lineRule="auto"/>
              <w:ind w:firstLine="480" w:firstLineChars="200"/>
              <w:rPr>
                <w:rFonts w:ascii="Times New Roman" w:hAnsi="Times New Roman" w:eastAsia="宋体"/>
                <w:color w:val="auto"/>
                <w:sz w:val="24"/>
                <w:lang w:val="zh-CN"/>
              </w:rPr>
            </w:pPr>
            <w:r>
              <w:rPr>
                <w:rFonts w:ascii="Times New Roman" w:hAnsi="Times New Roman" w:eastAsia="宋体"/>
                <w:color w:val="auto"/>
                <w:sz w:val="24"/>
                <w:lang w:val="zh-CN"/>
              </w:rPr>
              <w:t>（1）环境空气保护目标</w:t>
            </w:r>
          </w:p>
          <w:p w14:paraId="16772CD3">
            <w:pPr>
              <w:adjustRightInd w:val="0"/>
              <w:snapToGrid w:val="0"/>
              <w:spacing w:line="360" w:lineRule="auto"/>
              <w:ind w:firstLine="480" w:firstLineChars="200"/>
              <w:rPr>
                <w:rFonts w:hint="eastAsia" w:ascii="Times New Roman" w:hAnsi="Times New Roman" w:eastAsia="宋体"/>
                <w:color w:val="auto"/>
                <w:sz w:val="24"/>
                <w:lang w:val="en-US" w:eastAsia="zh-CN"/>
              </w:rPr>
            </w:pPr>
            <w:r>
              <w:rPr>
                <w:rFonts w:hint="eastAsia" w:ascii="Times New Roman" w:hAnsi="Times New Roman" w:eastAsia="宋体"/>
                <w:color w:val="auto"/>
                <w:sz w:val="24"/>
                <w:lang w:val="en-US" w:eastAsia="zh-CN"/>
              </w:rPr>
              <w:t>项目500m范围内均为工业企业，</w:t>
            </w:r>
            <w:r>
              <w:rPr>
                <w:rFonts w:ascii="Times New Roman" w:hAnsi="Times New Roman" w:eastAsia="宋体"/>
                <w:color w:val="auto"/>
                <w:sz w:val="24"/>
                <w:lang w:val="zh-CN"/>
              </w:rPr>
              <w:t>无自然保护区、风景名胜区、文化和自然遗产地等分布</w:t>
            </w:r>
            <w:r>
              <w:rPr>
                <w:rFonts w:hint="eastAsia" w:ascii="Times New Roman" w:hAnsi="Times New Roman" w:eastAsia="宋体"/>
                <w:color w:val="auto"/>
                <w:sz w:val="24"/>
                <w:lang w:val="zh-CN"/>
              </w:rPr>
              <w:t>。</w:t>
            </w:r>
          </w:p>
          <w:p w14:paraId="36B60F56">
            <w:pPr>
              <w:adjustRightInd w:val="0"/>
              <w:snapToGrid w:val="0"/>
              <w:spacing w:line="360" w:lineRule="auto"/>
              <w:ind w:firstLine="480" w:firstLineChars="200"/>
              <w:rPr>
                <w:rFonts w:ascii="Times New Roman" w:hAnsi="Times New Roman" w:eastAsia="宋体"/>
                <w:color w:val="auto"/>
                <w:sz w:val="24"/>
                <w:lang w:val="zh-CN"/>
              </w:rPr>
            </w:pPr>
            <w:r>
              <w:rPr>
                <w:rFonts w:ascii="Times New Roman" w:hAnsi="Times New Roman" w:eastAsia="宋体"/>
                <w:color w:val="auto"/>
                <w:sz w:val="24"/>
                <w:lang w:val="zh-CN"/>
              </w:rPr>
              <w:t>（2）地表水保护目标</w:t>
            </w:r>
          </w:p>
          <w:p w14:paraId="1F22FED3">
            <w:pPr>
              <w:adjustRightInd w:val="0"/>
              <w:snapToGrid w:val="0"/>
              <w:spacing w:line="360" w:lineRule="auto"/>
              <w:ind w:firstLine="480" w:firstLineChars="200"/>
              <w:rPr>
                <w:rFonts w:ascii="Times New Roman" w:hAnsi="Times New Roman" w:eastAsia="宋体"/>
                <w:color w:val="auto"/>
                <w:sz w:val="24"/>
                <w:lang w:val="zh-CN"/>
              </w:rPr>
            </w:pPr>
            <w:r>
              <w:rPr>
                <w:rFonts w:ascii="Times New Roman" w:hAnsi="Times New Roman" w:eastAsia="宋体"/>
                <w:color w:val="auto"/>
                <w:sz w:val="24"/>
              </w:rPr>
              <w:t>项目最近地表水保护目标为</w:t>
            </w:r>
            <w:r>
              <w:rPr>
                <w:rFonts w:hint="eastAsia" w:ascii="Times New Roman" w:hAnsi="Times New Roman" w:eastAsia="宋体"/>
                <w:color w:val="auto"/>
                <w:sz w:val="24"/>
                <w:lang w:val="en-US" w:eastAsia="zh-CN"/>
              </w:rPr>
              <w:t>六街大沟</w:t>
            </w:r>
            <w:r>
              <w:rPr>
                <w:rFonts w:hint="eastAsia" w:ascii="Times New Roman" w:hAnsi="Times New Roman" w:eastAsia="宋体"/>
                <w:color w:val="auto"/>
                <w:sz w:val="24"/>
              </w:rPr>
              <w:t>，区域属于</w:t>
            </w:r>
            <w:r>
              <w:rPr>
                <w:rFonts w:hint="default" w:ascii="Times New Roman" w:hAnsi="Times New Roman" w:eastAsia="宋体" w:cs="Times New Roman"/>
                <w:color w:val="auto"/>
                <w:sz w:val="24"/>
                <w:szCs w:val="24"/>
                <w:lang w:val="en-US" w:eastAsia="zh-CN"/>
              </w:rPr>
              <w:t>杞麓湖</w:t>
            </w:r>
            <w:r>
              <w:rPr>
                <w:rFonts w:hint="eastAsia" w:ascii="Times New Roman" w:hAnsi="Times New Roman" w:eastAsia="宋体"/>
                <w:color w:val="auto"/>
                <w:sz w:val="24"/>
                <w:lang w:eastAsia="zh-CN"/>
              </w:rPr>
              <w:t>汇水区</w:t>
            </w:r>
            <w:r>
              <w:rPr>
                <w:rFonts w:hint="eastAsia" w:ascii="Times New Roman" w:hAnsi="Times New Roman" w:eastAsia="宋体"/>
                <w:color w:val="auto"/>
                <w:sz w:val="24"/>
              </w:rPr>
              <w:t>，按《地表水环境质量标准》（GB3838-2002）中</w:t>
            </w:r>
            <w:r>
              <w:rPr>
                <w:rFonts w:hint="eastAsia" w:ascii="Times New Roman" w:hAnsi="Times New Roman" w:eastAsia="宋体"/>
                <w:color w:val="auto"/>
                <w:sz w:val="24"/>
                <w:lang w:val="en-US" w:eastAsia="zh-CN"/>
              </w:rPr>
              <w:t>Ⅲ</w:t>
            </w:r>
            <w:r>
              <w:rPr>
                <w:rFonts w:hint="eastAsia" w:ascii="Times New Roman" w:hAnsi="Times New Roman" w:eastAsia="宋体"/>
                <w:color w:val="auto"/>
                <w:sz w:val="24"/>
              </w:rPr>
              <w:t>类水标准保护</w:t>
            </w:r>
            <w:r>
              <w:rPr>
                <w:rFonts w:ascii="Times New Roman" w:hAnsi="Times New Roman" w:eastAsia="宋体"/>
                <w:color w:val="auto"/>
                <w:sz w:val="24"/>
              </w:rPr>
              <w:t>。</w:t>
            </w:r>
          </w:p>
          <w:p w14:paraId="6CCAE5BB">
            <w:pPr>
              <w:adjustRightInd w:val="0"/>
              <w:snapToGrid w:val="0"/>
              <w:spacing w:line="360" w:lineRule="auto"/>
              <w:ind w:firstLine="480" w:firstLineChars="200"/>
              <w:rPr>
                <w:rFonts w:ascii="Times New Roman" w:hAnsi="Times New Roman" w:eastAsia="宋体"/>
                <w:color w:val="auto"/>
                <w:sz w:val="24"/>
                <w:lang w:val="zh-CN"/>
              </w:rPr>
            </w:pPr>
            <w:r>
              <w:rPr>
                <w:rFonts w:ascii="Times New Roman" w:hAnsi="Times New Roman" w:eastAsia="宋体"/>
                <w:color w:val="auto"/>
                <w:sz w:val="24"/>
                <w:lang w:val="zh-CN"/>
              </w:rPr>
              <w:t>（3）声环境</w:t>
            </w:r>
          </w:p>
          <w:p w14:paraId="2DFFF033">
            <w:pPr>
              <w:adjustRightInd w:val="0"/>
              <w:snapToGrid w:val="0"/>
              <w:spacing w:line="360" w:lineRule="auto"/>
              <w:ind w:firstLine="480" w:firstLineChars="200"/>
              <w:rPr>
                <w:rFonts w:hint="eastAsia" w:ascii="Times New Roman" w:hAnsi="Times New Roman" w:eastAsia="宋体" w:cs="宋体"/>
                <w:color w:val="auto"/>
                <w:sz w:val="24"/>
                <w:lang w:val="zh-CN"/>
              </w:rPr>
            </w:pPr>
            <w:r>
              <w:rPr>
                <w:rFonts w:hint="eastAsia" w:ascii="Times New Roman" w:hAnsi="Times New Roman" w:eastAsia="宋体"/>
                <w:color w:val="auto"/>
                <w:sz w:val="24"/>
                <w:lang w:val="zh-CN"/>
              </w:rPr>
              <w:t>声环境</w:t>
            </w:r>
            <w:r>
              <w:rPr>
                <w:rFonts w:ascii="Times New Roman" w:hAnsi="Times New Roman" w:eastAsia="宋体"/>
                <w:color w:val="auto"/>
                <w:sz w:val="24"/>
                <w:lang w:val="zh-CN"/>
              </w:rPr>
              <w:t>影响范围为各</w:t>
            </w:r>
            <w:r>
              <w:rPr>
                <w:rFonts w:hint="eastAsia" w:ascii="Times New Roman" w:hAnsi="Times New Roman" w:eastAsia="宋体" w:cs="宋体"/>
                <w:color w:val="auto"/>
                <w:sz w:val="24"/>
                <w:lang w:val="en-US" w:eastAsia="zh-CN"/>
              </w:rPr>
              <w:t>场界</w:t>
            </w:r>
            <w:r>
              <w:rPr>
                <w:rFonts w:ascii="Times New Roman" w:hAnsi="Times New Roman" w:eastAsia="宋体"/>
                <w:color w:val="auto"/>
                <w:sz w:val="24"/>
                <w:lang w:val="zh-CN"/>
              </w:rPr>
              <w:t>外50m范围内的噪声敏感区，声环境质量按《声环境质量标准》（GB3096-2008）2类标准保护</w:t>
            </w:r>
            <w:r>
              <w:rPr>
                <w:rFonts w:hint="eastAsia" w:ascii="Times New Roman" w:hAnsi="Times New Roman" w:eastAsia="宋体"/>
                <w:color w:val="auto"/>
                <w:sz w:val="24"/>
                <w:lang w:val="zh-CN"/>
              </w:rPr>
              <w:t>。</w:t>
            </w:r>
            <w:r>
              <w:rPr>
                <w:rFonts w:hint="eastAsia" w:ascii="Times New Roman" w:hAnsi="Times New Roman" w:eastAsia="宋体" w:cs="宋体"/>
                <w:color w:val="auto"/>
                <w:sz w:val="24"/>
                <w:lang w:val="zh-CN"/>
              </w:rPr>
              <w:t>项目区周边50m范围内无人群</w:t>
            </w:r>
            <w:r>
              <w:rPr>
                <w:rFonts w:hint="eastAsia" w:cs="宋体"/>
                <w:color w:val="auto"/>
                <w:sz w:val="24"/>
                <w:lang w:val="zh-CN"/>
              </w:rPr>
              <w:t>集中</w:t>
            </w:r>
            <w:r>
              <w:rPr>
                <w:rFonts w:hint="eastAsia" w:ascii="Times New Roman" w:hAnsi="Times New Roman" w:eastAsia="宋体" w:cs="宋体"/>
                <w:color w:val="auto"/>
                <w:sz w:val="24"/>
                <w:lang w:val="zh-CN"/>
              </w:rPr>
              <w:t>居住区分布。</w:t>
            </w:r>
          </w:p>
          <w:p w14:paraId="70E87220">
            <w:pPr>
              <w:adjustRightInd w:val="0"/>
              <w:snapToGrid w:val="0"/>
              <w:spacing w:line="360" w:lineRule="auto"/>
              <w:ind w:firstLine="480" w:firstLineChars="200"/>
              <w:rPr>
                <w:rFonts w:ascii="Times New Roman" w:hAnsi="Times New Roman" w:eastAsia="宋体"/>
                <w:color w:val="auto"/>
                <w:sz w:val="24"/>
                <w:lang w:val="zh-CN"/>
              </w:rPr>
            </w:pPr>
            <w:r>
              <w:rPr>
                <w:rFonts w:ascii="Times New Roman" w:hAnsi="Times New Roman" w:eastAsia="宋体"/>
                <w:color w:val="auto"/>
                <w:sz w:val="24"/>
                <w:lang w:val="zh-CN"/>
              </w:rPr>
              <w:t>根据调查了解，项目涉及的环境保护目标见下表。</w:t>
            </w:r>
          </w:p>
          <w:p w14:paraId="2B3E80A7">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表3-7 环境保护目标一览表</w:t>
            </w:r>
          </w:p>
          <w:tbl>
            <w:tblPr>
              <w:tblStyle w:val="2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675"/>
              <w:gridCol w:w="873"/>
              <w:gridCol w:w="5"/>
              <w:gridCol w:w="862"/>
              <w:gridCol w:w="705"/>
              <w:gridCol w:w="937"/>
              <w:gridCol w:w="788"/>
              <w:gridCol w:w="2047"/>
              <w:gridCol w:w="3"/>
              <w:gridCol w:w="20"/>
            </w:tblGrid>
            <w:tr w14:paraId="1F09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pct"/>
                <w:trHeight w:val="362" w:hRule="atLeast"/>
                <w:jc w:val="center"/>
              </w:trPr>
              <w:tc>
                <w:tcPr>
                  <w:tcW w:w="442" w:type="pct"/>
                  <w:vMerge w:val="restart"/>
                  <w:vAlign w:val="center"/>
                </w:tcPr>
                <w:p w14:paraId="6B4F9CD0">
                  <w:pPr>
                    <w:pStyle w:val="31"/>
                    <w:rPr>
                      <w:rFonts w:hint="default"/>
                      <w:color w:val="auto"/>
                      <w:szCs w:val="21"/>
                    </w:rPr>
                  </w:pPr>
                  <w:r>
                    <w:rPr>
                      <w:rFonts w:hint="default" w:cs="Times New Roman"/>
                      <w:color w:val="auto"/>
                      <w:szCs w:val="21"/>
                    </w:rPr>
                    <w:t>环境要素</w:t>
                  </w:r>
                </w:p>
              </w:tc>
              <w:tc>
                <w:tcPr>
                  <w:tcW w:w="444" w:type="pct"/>
                  <w:vMerge w:val="restart"/>
                  <w:vAlign w:val="center"/>
                </w:tcPr>
                <w:p w14:paraId="4C5D0A1C">
                  <w:pPr>
                    <w:pStyle w:val="31"/>
                    <w:rPr>
                      <w:rFonts w:hint="default"/>
                      <w:color w:val="auto"/>
                      <w:szCs w:val="21"/>
                    </w:rPr>
                  </w:pPr>
                  <w:r>
                    <w:rPr>
                      <w:rFonts w:hint="default" w:cs="Times New Roman"/>
                      <w:color w:val="auto"/>
                      <w:szCs w:val="21"/>
                    </w:rPr>
                    <w:t>名称</w:t>
                  </w:r>
                </w:p>
              </w:tc>
              <w:tc>
                <w:tcPr>
                  <w:tcW w:w="1146" w:type="pct"/>
                  <w:gridSpan w:val="3"/>
                  <w:vAlign w:val="center"/>
                </w:tcPr>
                <w:p w14:paraId="0AC639EC">
                  <w:pPr>
                    <w:pStyle w:val="31"/>
                    <w:rPr>
                      <w:rFonts w:hint="default"/>
                      <w:color w:val="auto"/>
                      <w:szCs w:val="21"/>
                    </w:rPr>
                  </w:pPr>
                  <w:r>
                    <w:rPr>
                      <w:rFonts w:hint="default" w:cs="Times New Roman"/>
                      <w:color w:val="auto"/>
                      <w:szCs w:val="21"/>
                    </w:rPr>
                    <w:t>坐标</w:t>
                  </w:r>
                </w:p>
              </w:tc>
              <w:tc>
                <w:tcPr>
                  <w:tcW w:w="464" w:type="pct"/>
                  <w:vMerge w:val="restart"/>
                  <w:vAlign w:val="center"/>
                </w:tcPr>
                <w:p w14:paraId="44FC4B34">
                  <w:pPr>
                    <w:pStyle w:val="31"/>
                    <w:rPr>
                      <w:rFonts w:hint="default"/>
                      <w:color w:val="auto"/>
                      <w:szCs w:val="21"/>
                    </w:rPr>
                  </w:pPr>
                  <w:r>
                    <w:rPr>
                      <w:rFonts w:hint="default" w:cs="Times New Roman"/>
                      <w:color w:val="auto"/>
                      <w:szCs w:val="21"/>
                    </w:rPr>
                    <w:t>规模</w:t>
                  </w:r>
                  <w:r>
                    <w:rPr>
                      <w:rFonts w:cs="Times New Roman"/>
                      <w:color w:val="auto"/>
                      <w:szCs w:val="21"/>
                    </w:rPr>
                    <w:t>（人）</w:t>
                  </w:r>
                </w:p>
              </w:tc>
              <w:tc>
                <w:tcPr>
                  <w:tcW w:w="617" w:type="pct"/>
                  <w:vMerge w:val="restart"/>
                  <w:vAlign w:val="center"/>
                </w:tcPr>
                <w:p w14:paraId="4746D48A">
                  <w:pPr>
                    <w:pStyle w:val="31"/>
                    <w:rPr>
                      <w:rFonts w:hint="default"/>
                      <w:color w:val="auto"/>
                      <w:szCs w:val="21"/>
                    </w:rPr>
                  </w:pPr>
                  <w:r>
                    <w:rPr>
                      <w:rFonts w:hint="default" w:cs="Times New Roman"/>
                      <w:color w:val="auto"/>
                      <w:szCs w:val="21"/>
                    </w:rPr>
                    <w:t>方位</w:t>
                  </w:r>
                </w:p>
              </w:tc>
              <w:tc>
                <w:tcPr>
                  <w:tcW w:w="519" w:type="pct"/>
                  <w:vMerge w:val="restart"/>
                  <w:vAlign w:val="center"/>
                </w:tcPr>
                <w:p w14:paraId="57B8D3AD">
                  <w:pPr>
                    <w:pStyle w:val="31"/>
                    <w:rPr>
                      <w:rFonts w:hint="default"/>
                      <w:color w:val="auto"/>
                      <w:szCs w:val="21"/>
                    </w:rPr>
                  </w:pPr>
                  <w:r>
                    <w:rPr>
                      <w:rFonts w:hint="default" w:cs="Times New Roman"/>
                      <w:color w:val="auto"/>
                      <w:szCs w:val="21"/>
                    </w:rPr>
                    <w:t>距离</w:t>
                  </w:r>
                </w:p>
                <w:p w14:paraId="39170357">
                  <w:pPr>
                    <w:pStyle w:val="31"/>
                    <w:rPr>
                      <w:rFonts w:hint="default"/>
                      <w:color w:val="auto"/>
                      <w:szCs w:val="21"/>
                    </w:rPr>
                  </w:pPr>
                  <w:r>
                    <w:rPr>
                      <w:rFonts w:hint="default" w:cs="Times New Roman"/>
                      <w:color w:val="auto"/>
                      <w:szCs w:val="21"/>
                    </w:rPr>
                    <w:t>（m）</w:t>
                  </w:r>
                </w:p>
              </w:tc>
              <w:tc>
                <w:tcPr>
                  <w:tcW w:w="1350" w:type="pct"/>
                  <w:gridSpan w:val="2"/>
                  <w:vAlign w:val="center"/>
                </w:tcPr>
                <w:p w14:paraId="4AFC1C51">
                  <w:pPr>
                    <w:pStyle w:val="31"/>
                    <w:rPr>
                      <w:rFonts w:hint="default"/>
                      <w:color w:val="auto"/>
                      <w:szCs w:val="21"/>
                    </w:rPr>
                  </w:pPr>
                  <w:r>
                    <w:rPr>
                      <w:rFonts w:hint="default" w:cs="Times New Roman"/>
                      <w:color w:val="auto"/>
                      <w:szCs w:val="21"/>
                    </w:rPr>
                    <w:t>执行标准</w:t>
                  </w:r>
                </w:p>
              </w:tc>
            </w:tr>
            <w:tr w14:paraId="2C84A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2" w:type="pct"/>
                  <w:vMerge w:val="continue"/>
                  <w:vAlign w:val="center"/>
                </w:tcPr>
                <w:p w14:paraId="675AB573">
                  <w:pPr>
                    <w:pStyle w:val="31"/>
                    <w:rPr>
                      <w:rFonts w:hint="default"/>
                      <w:color w:val="auto"/>
                      <w:szCs w:val="21"/>
                    </w:rPr>
                  </w:pPr>
                </w:p>
              </w:tc>
              <w:tc>
                <w:tcPr>
                  <w:tcW w:w="444" w:type="pct"/>
                  <w:vMerge w:val="continue"/>
                  <w:vAlign w:val="center"/>
                </w:tcPr>
                <w:p w14:paraId="400A63FF">
                  <w:pPr>
                    <w:pStyle w:val="31"/>
                    <w:rPr>
                      <w:rFonts w:hint="default"/>
                      <w:color w:val="auto"/>
                      <w:szCs w:val="21"/>
                    </w:rPr>
                  </w:pPr>
                </w:p>
              </w:tc>
              <w:tc>
                <w:tcPr>
                  <w:tcW w:w="578" w:type="pct"/>
                  <w:gridSpan w:val="2"/>
                  <w:vAlign w:val="center"/>
                </w:tcPr>
                <w:p w14:paraId="360C4384">
                  <w:pPr>
                    <w:pStyle w:val="31"/>
                    <w:rPr>
                      <w:rFonts w:hint="default"/>
                      <w:color w:val="auto"/>
                      <w:szCs w:val="21"/>
                    </w:rPr>
                  </w:pPr>
                  <w:r>
                    <w:rPr>
                      <w:rFonts w:hint="default" w:cs="Times New Roman"/>
                      <w:color w:val="auto"/>
                      <w:szCs w:val="21"/>
                    </w:rPr>
                    <w:t>经度</w:t>
                  </w:r>
                </w:p>
              </w:tc>
              <w:tc>
                <w:tcPr>
                  <w:tcW w:w="568" w:type="pct"/>
                  <w:vAlign w:val="center"/>
                </w:tcPr>
                <w:p w14:paraId="6E0A4D0F">
                  <w:pPr>
                    <w:pStyle w:val="31"/>
                    <w:rPr>
                      <w:rFonts w:hint="default"/>
                      <w:color w:val="auto"/>
                      <w:szCs w:val="21"/>
                    </w:rPr>
                  </w:pPr>
                  <w:r>
                    <w:rPr>
                      <w:rFonts w:hint="default" w:cs="Times New Roman"/>
                      <w:color w:val="auto"/>
                      <w:szCs w:val="21"/>
                    </w:rPr>
                    <w:t>纬度</w:t>
                  </w:r>
                </w:p>
              </w:tc>
              <w:tc>
                <w:tcPr>
                  <w:tcW w:w="464" w:type="pct"/>
                  <w:vMerge w:val="continue"/>
                  <w:vAlign w:val="center"/>
                </w:tcPr>
                <w:p w14:paraId="3FC4B366">
                  <w:pPr>
                    <w:pStyle w:val="31"/>
                    <w:rPr>
                      <w:rFonts w:hint="default"/>
                      <w:color w:val="auto"/>
                      <w:szCs w:val="21"/>
                    </w:rPr>
                  </w:pPr>
                </w:p>
              </w:tc>
              <w:tc>
                <w:tcPr>
                  <w:tcW w:w="617" w:type="pct"/>
                  <w:vMerge w:val="continue"/>
                  <w:vAlign w:val="center"/>
                </w:tcPr>
                <w:p w14:paraId="59A7B2CA">
                  <w:pPr>
                    <w:pStyle w:val="31"/>
                    <w:rPr>
                      <w:rFonts w:hint="default"/>
                      <w:color w:val="auto"/>
                      <w:szCs w:val="21"/>
                    </w:rPr>
                  </w:pPr>
                </w:p>
              </w:tc>
              <w:tc>
                <w:tcPr>
                  <w:tcW w:w="519" w:type="pct"/>
                  <w:vMerge w:val="continue"/>
                  <w:vAlign w:val="center"/>
                </w:tcPr>
                <w:p w14:paraId="3B3A8096">
                  <w:pPr>
                    <w:pStyle w:val="31"/>
                    <w:rPr>
                      <w:rFonts w:hint="default"/>
                      <w:color w:val="auto"/>
                      <w:szCs w:val="21"/>
                    </w:rPr>
                  </w:pPr>
                </w:p>
              </w:tc>
              <w:tc>
                <w:tcPr>
                  <w:tcW w:w="1364" w:type="pct"/>
                  <w:gridSpan w:val="3"/>
                  <w:vAlign w:val="center"/>
                </w:tcPr>
                <w:p w14:paraId="41CF4E1A">
                  <w:pPr>
                    <w:pStyle w:val="31"/>
                    <w:rPr>
                      <w:rFonts w:hint="default"/>
                      <w:color w:val="auto"/>
                      <w:szCs w:val="21"/>
                    </w:rPr>
                  </w:pPr>
                </w:p>
              </w:tc>
            </w:tr>
            <w:tr w14:paraId="2BE6A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2" w:type="pct"/>
                  <w:vAlign w:val="center"/>
                </w:tcPr>
                <w:p w14:paraId="7821EF37">
                  <w:pPr>
                    <w:pStyle w:val="31"/>
                    <w:rPr>
                      <w:rFonts w:hint="default"/>
                      <w:color w:val="auto"/>
                      <w:szCs w:val="21"/>
                    </w:rPr>
                  </w:pPr>
                  <w:r>
                    <w:rPr>
                      <w:color w:val="auto"/>
                      <w:szCs w:val="21"/>
                    </w:rPr>
                    <w:t>环境空气</w:t>
                  </w:r>
                </w:p>
              </w:tc>
              <w:tc>
                <w:tcPr>
                  <w:tcW w:w="3192" w:type="pct"/>
                  <w:gridSpan w:val="7"/>
                  <w:vAlign w:val="center"/>
                </w:tcPr>
                <w:p w14:paraId="26DBABEF">
                  <w:pPr>
                    <w:pStyle w:val="31"/>
                    <w:bidi w:val="0"/>
                    <w:rPr>
                      <w:rFonts w:hint="default"/>
                      <w:color w:val="auto"/>
                      <w:lang w:val="en-US" w:eastAsia="zh-CN"/>
                    </w:rPr>
                  </w:pPr>
                  <w:r>
                    <w:rPr>
                      <w:rFonts w:hint="eastAsia"/>
                      <w:color w:val="auto"/>
                      <w:lang w:val="en-US" w:eastAsia="zh-CN"/>
                    </w:rPr>
                    <w:t>厂界外500m范围内无自然保护区、风景名胜区、居住区、文化区和农村地区中人数较集中的区域</w:t>
                  </w:r>
                </w:p>
              </w:tc>
              <w:tc>
                <w:tcPr>
                  <w:tcW w:w="1364" w:type="pct"/>
                  <w:gridSpan w:val="3"/>
                  <w:vAlign w:val="center"/>
                </w:tcPr>
                <w:p w14:paraId="570EB5FF">
                  <w:pPr>
                    <w:pStyle w:val="31"/>
                    <w:rPr>
                      <w:rFonts w:hint="default"/>
                      <w:color w:val="auto"/>
                      <w:szCs w:val="21"/>
                    </w:rPr>
                  </w:pPr>
                  <w:r>
                    <w:rPr>
                      <w:rFonts w:hint="default" w:cs="Times New Roman"/>
                      <w:color w:val="auto"/>
                      <w:szCs w:val="21"/>
                    </w:rPr>
                    <w:t>《环境空气质量标准》（GB3095-20</w:t>
                  </w:r>
                  <w:r>
                    <w:rPr>
                      <w:rFonts w:hint="eastAsia" w:cs="Times New Roman"/>
                      <w:color w:val="auto"/>
                      <w:szCs w:val="21"/>
                      <w:lang w:val="en-US" w:eastAsia="zh-CN"/>
                    </w:rPr>
                    <w:t>26</w:t>
                  </w:r>
                  <w:r>
                    <w:rPr>
                      <w:rFonts w:hint="default" w:cs="Times New Roman"/>
                      <w:color w:val="auto"/>
                      <w:szCs w:val="21"/>
                    </w:rPr>
                    <w:t>）</w:t>
                  </w:r>
                  <w:r>
                    <w:rPr>
                      <w:rFonts w:hint="eastAsia" w:cs="Times New Roman"/>
                      <w:color w:val="auto"/>
                      <w:szCs w:val="21"/>
                      <w:lang w:val="en-US" w:eastAsia="zh-CN"/>
                    </w:rPr>
                    <w:t>过渡阶段</w:t>
                  </w:r>
                  <w:r>
                    <w:rPr>
                      <w:rFonts w:hint="default" w:cs="Times New Roman"/>
                      <w:color w:val="auto"/>
                      <w:szCs w:val="21"/>
                    </w:rPr>
                    <w:t>二级标准</w:t>
                  </w:r>
                </w:p>
              </w:tc>
            </w:tr>
            <w:tr w14:paraId="4EC67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2" w:type="pct"/>
                  <w:vAlign w:val="center"/>
                </w:tcPr>
                <w:p w14:paraId="59C34513">
                  <w:pPr>
                    <w:pStyle w:val="31"/>
                    <w:rPr>
                      <w:rFonts w:hint="default"/>
                      <w:color w:val="auto"/>
                      <w:szCs w:val="21"/>
                    </w:rPr>
                  </w:pPr>
                  <w:r>
                    <w:rPr>
                      <w:rFonts w:hint="default" w:cs="Times New Roman"/>
                      <w:color w:val="auto"/>
                      <w:szCs w:val="21"/>
                    </w:rPr>
                    <w:t>声环境</w:t>
                  </w:r>
                </w:p>
              </w:tc>
              <w:tc>
                <w:tcPr>
                  <w:tcW w:w="3192" w:type="pct"/>
                  <w:gridSpan w:val="7"/>
                  <w:vAlign w:val="center"/>
                </w:tcPr>
                <w:p w14:paraId="38C7DC9B">
                  <w:pPr>
                    <w:pStyle w:val="31"/>
                    <w:rPr>
                      <w:rFonts w:hint="default"/>
                      <w:color w:val="auto"/>
                      <w:szCs w:val="21"/>
                    </w:rPr>
                  </w:pPr>
                  <w:r>
                    <w:rPr>
                      <w:rFonts w:hint="default" w:cs="Times New Roman"/>
                      <w:color w:val="auto"/>
                      <w:szCs w:val="21"/>
                    </w:rPr>
                    <w:t>50m范围内无敏感点</w:t>
                  </w:r>
                </w:p>
              </w:tc>
              <w:tc>
                <w:tcPr>
                  <w:tcW w:w="1364" w:type="pct"/>
                  <w:gridSpan w:val="3"/>
                  <w:vAlign w:val="center"/>
                </w:tcPr>
                <w:p w14:paraId="29BF3703">
                  <w:pPr>
                    <w:pStyle w:val="31"/>
                    <w:rPr>
                      <w:rFonts w:hint="default"/>
                      <w:color w:val="auto"/>
                      <w:szCs w:val="21"/>
                    </w:rPr>
                  </w:pPr>
                  <w:r>
                    <w:rPr>
                      <w:rFonts w:hint="default" w:cs="Times New Roman"/>
                      <w:color w:val="auto"/>
                      <w:szCs w:val="21"/>
                    </w:rPr>
                    <w:t>《声环境质量标准》（GB3096-2008）</w:t>
                  </w:r>
                  <w:r>
                    <w:rPr>
                      <w:rFonts w:hint="eastAsia" w:eastAsia="宋体" w:cs="Times New Roman"/>
                      <w:color w:val="auto"/>
                      <w:szCs w:val="21"/>
                      <w:lang w:val="en-US" w:eastAsia="zh-CN"/>
                    </w:rPr>
                    <w:t>2</w:t>
                  </w:r>
                  <w:r>
                    <w:rPr>
                      <w:rFonts w:hint="default" w:cs="Times New Roman"/>
                      <w:color w:val="auto"/>
                      <w:szCs w:val="21"/>
                    </w:rPr>
                    <w:t>类区标准</w:t>
                  </w:r>
                </w:p>
              </w:tc>
            </w:tr>
            <w:tr w14:paraId="36000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pct"/>
                <w:jc w:val="center"/>
              </w:trPr>
              <w:tc>
                <w:tcPr>
                  <w:tcW w:w="442" w:type="pct"/>
                  <w:vMerge w:val="restart"/>
                  <w:vAlign w:val="center"/>
                </w:tcPr>
                <w:p w14:paraId="70093762">
                  <w:pPr>
                    <w:pStyle w:val="31"/>
                    <w:rPr>
                      <w:rFonts w:hint="default"/>
                      <w:color w:val="auto"/>
                      <w:szCs w:val="21"/>
                    </w:rPr>
                  </w:pPr>
                  <w:r>
                    <w:rPr>
                      <w:rFonts w:hint="default" w:cs="Times New Roman"/>
                      <w:color w:val="auto"/>
                      <w:szCs w:val="21"/>
                    </w:rPr>
                    <w:t>地表水</w:t>
                  </w:r>
                </w:p>
              </w:tc>
              <w:tc>
                <w:tcPr>
                  <w:tcW w:w="444" w:type="pct"/>
                  <w:vAlign w:val="center"/>
                </w:tcPr>
                <w:p w14:paraId="598AF233">
                  <w:pPr>
                    <w:pStyle w:val="31"/>
                    <w:rPr>
                      <w:rFonts w:hint="default"/>
                      <w:color w:val="auto"/>
                      <w:lang w:val="en-US" w:eastAsia="zh-CN"/>
                    </w:rPr>
                  </w:pPr>
                  <w:r>
                    <w:rPr>
                      <w:rFonts w:hint="eastAsia"/>
                      <w:color w:val="auto"/>
                      <w:lang w:val="en-US" w:eastAsia="zh-CN"/>
                    </w:rPr>
                    <w:t>六街大沟</w:t>
                  </w:r>
                </w:p>
              </w:tc>
              <w:tc>
                <w:tcPr>
                  <w:tcW w:w="1611" w:type="pct"/>
                  <w:gridSpan w:val="4"/>
                  <w:vAlign w:val="center"/>
                </w:tcPr>
                <w:p w14:paraId="16499D4A">
                  <w:pPr>
                    <w:pStyle w:val="31"/>
                    <w:rPr>
                      <w:rFonts w:hint="eastAsia" w:eastAsia="宋体" w:cs="Times New Roman"/>
                      <w:color w:val="auto"/>
                      <w:szCs w:val="21"/>
                      <w:lang w:val="en-US" w:eastAsia="zh-CN"/>
                    </w:rPr>
                  </w:pPr>
                  <w:r>
                    <w:rPr>
                      <w:rFonts w:hint="eastAsia" w:cs="Times New Roman"/>
                      <w:color w:val="auto"/>
                      <w:szCs w:val="21"/>
                      <w:lang w:val="en-US" w:eastAsia="zh-CN"/>
                    </w:rPr>
                    <w:t>-</w:t>
                  </w:r>
                </w:p>
              </w:tc>
              <w:tc>
                <w:tcPr>
                  <w:tcW w:w="617" w:type="pct"/>
                  <w:vAlign w:val="center"/>
                </w:tcPr>
                <w:p w14:paraId="7794EF00">
                  <w:pPr>
                    <w:pStyle w:val="31"/>
                    <w:rPr>
                      <w:rFonts w:hint="default" w:cs="Times New Roman"/>
                      <w:color w:val="auto"/>
                      <w:szCs w:val="21"/>
                      <w:lang w:val="en-US" w:eastAsia="zh-CN"/>
                    </w:rPr>
                  </w:pPr>
                  <w:r>
                    <w:rPr>
                      <w:rFonts w:hint="eastAsia" w:cs="Times New Roman"/>
                      <w:color w:val="auto"/>
                      <w:szCs w:val="21"/>
                      <w:lang w:val="en-US" w:eastAsia="zh-CN"/>
                    </w:rPr>
                    <w:t>东南侧</w:t>
                  </w:r>
                </w:p>
              </w:tc>
              <w:tc>
                <w:tcPr>
                  <w:tcW w:w="519" w:type="pct"/>
                  <w:vAlign w:val="center"/>
                </w:tcPr>
                <w:p w14:paraId="071DD5EF">
                  <w:pPr>
                    <w:pStyle w:val="31"/>
                    <w:rPr>
                      <w:rFonts w:hint="default" w:cs="Times New Roman"/>
                      <w:color w:val="auto"/>
                      <w:szCs w:val="21"/>
                      <w:lang w:val="en-US" w:eastAsia="zh-CN"/>
                    </w:rPr>
                  </w:pPr>
                  <w:r>
                    <w:rPr>
                      <w:rFonts w:hint="eastAsia" w:cs="Times New Roman"/>
                      <w:color w:val="auto"/>
                      <w:szCs w:val="21"/>
                      <w:lang w:val="en-US" w:eastAsia="zh-CN"/>
                    </w:rPr>
                    <w:t>1140</w:t>
                  </w:r>
                </w:p>
              </w:tc>
              <w:tc>
                <w:tcPr>
                  <w:tcW w:w="1350" w:type="pct"/>
                  <w:gridSpan w:val="2"/>
                  <w:vMerge w:val="restart"/>
                  <w:vAlign w:val="center"/>
                </w:tcPr>
                <w:p w14:paraId="71808642">
                  <w:pPr>
                    <w:pStyle w:val="31"/>
                    <w:rPr>
                      <w:rFonts w:hint="default"/>
                      <w:color w:val="auto"/>
                      <w:szCs w:val="21"/>
                    </w:rPr>
                  </w:pPr>
                  <w:r>
                    <w:rPr>
                      <w:rFonts w:hint="default" w:cs="Times New Roman"/>
                      <w:color w:val="auto"/>
                      <w:szCs w:val="21"/>
                    </w:rPr>
                    <w:t>《地表水环境质量标准》（GB3838-2002）</w:t>
                  </w:r>
                  <w:r>
                    <w:rPr>
                      <w:rFonts w:hint="eastAsia" w:cs="Times New Roman"/>
                      <w:color w:val="auto"/>
                      <w:szCs w:val="21"/>
                      <w:lang w:val="en-US" w:eastAsia="zh-CN"/>
                    </w:rPr>
                    <w:t>III</w:t>
                  </w:r>
                  <w:r>
                    <w:rPr>
                      <w:rFonts w:hint="default" w:cs="Times New Roman"/>
                      <w:color w:val="auto"/>
                      <w:szCs w:val="21"/>
                    </w:rPr>
                    <w:t>类标准</w:t>
                  </w:r>
                </w:p>
              </w:tc>
            </w:tr>
            <w:tr w14:paraId="47B2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pct"/>
                <w:jc w:val="center"/>
              </w:trPr>
              <w:tc>
                <w:tcPr>
                  <w:tcW w:w="442" w:type="pct"/>
                  <w:vMerge w:val="continue"/>
                  <w:vAlign w:val="center"/>
                </w:tcPr>
                <w:p w14:paraId="2B49A9B1">
                  <w:pPr>
                    <w:pStyle w:val="31"/>
                    <w:rPr>
                      <w:rFonts w:hint="default"/>
                      <w:color w:val="auto"/>
                      <w:szCs w:val="21"/>
                    </w:rPr>
                  </w:pPr>
                </w:p>
              </w:tc>
              <w:tc>
                <w:tcPr>
                  <w:tcW w:w="444" w:type="pct"/>
                  <w:vAlign w:val="center"/>
                </w:tcPr>
                <w:p w14:paraId="0C05F70E">
                  <w:pPr>
                    <w:pStyle w:val="31"/>
                    <w:rPr>
                      <w:rFonts w:hint="eastAsia" w:eastAsia="宋体" w:cs="Times New Roman"/>
                      <w:color w:val="auto"/>
                      <w:szCs w:val="21"/>
                      <w:lang w:eastAsia="zh-CN"/>
                    </w:rPr>
                  </w:pPr>
                  <w:r>
                    <w:rPr>
                      <w:rFonts w:hint="eastAsia"/>
                      <w:color w:val="auto"/>
                      <w:lang w:eastAsia="zh-CN"/>
                    </w:rPr>
                    <w:t>杞麓湖</w:t>
                  </w:r>
                </w:p>
              </w:tc>
              <w:tc>
                <w:tcPr>
                  <w:tcW w:w="1611" w:type="pct"/>
                  <w:gridSpan w:val="4"/>
                  <w:vAlign w:val="center"/>
                </w:tcPr>
                <w:p w14:paraId="54AD16F5">
                  <w:pPr>
                    <w:pStyle w:val="31"/>
                    <w:rPr>
                      <w:rFonts w:hint="eastAsia" w:eastAsia="宋体" w:cs="Times New Roman"/>
                      <w:color w:val="auto"/>
                      <w:szCs w:val="21"/>
                      <w:lang w:eastAsia="zh-CN"/>
                    </w:rPr>
                  </w:pPr>
                  <w:r>
                    <w:rPr>
                      <w:rFonts w:hint="eastAsia" w:cs="Times New Roman"/>
                      <w:color w:val="auto"/>
                      <w:szCs w:val="21"/>
                      <w:lang w:val="en-US" w:eastAsia="zh-CN"/>
                    </w:rPr>
                    <w:t>-</w:t>
                  </w:r>
                </w:p>
              </w:tc>
              <w:tc>
                <w:tcPr>
                  <w:tcW w:w="617" w:type="pct"/>
                  <w:vAlign w:val="center"/>
                </w:tcPr>
                <w:p w14:paraId="490A15B4">
                  <w:pPr>
                    <w:pStyle w:val="31"/>
                    <w:rPr>
                      <w:rFonts w:hint="default" w:cs="Times New Roman"/>
                      <w:color w:val="auto"/>
                      <w:szCs w:val="21"/>
                    </w:rPr>
                  </w:pPr>
                  <w:r>
                    <w:rPr>
                      <w:rFonts w:hint="eastAsia" w:cs="Times New Roman"/>
                      <w:color w:val="auto"/>
                      <w:szCs w:val="21"/>
                      <w:lang w:eastAsia="zh-CN"/>
                    </w:rPr>
                    <w:t>东</w:t>
                  </w:r>
                  <w:r>
                    <w:rPr>
                      <w:rFonts w:cs="Times New Roman"/>
                      <w:color w:val="auto"/>
                      <w:szCs w:val="21"/>
                    </w:rPr>
                    <w:t>南</w:t>
                  </w:r>
                </w:p>
              </w:tc>
              <w:tc>
                <w:tcPr>
                  <w:tcW w:w="519" w:type="pct"/>
                  <w:vAlign w:val="center"/>
                </w:tcPr>
                <w:p w14:paraId="7D60A0E9">
                  <w:pPr>
                    <w:pStyle w:val="31"/>
                    <w:rPr>
                      <w:rFonts w:hint="default" w:eastAsia="宋体" w:cs="Times New Roman"/>
                      <w:color w:val="auto"/>
                      <w:szCs w:val="21"/>
                      <w:lang w:val="en-US" w:eastAsia="zh-CN"/>
                    </w:rPr>
                  </w:pPr>
                  <w:r>
                    <w:rPr>
                      <w:rFonts w:hint="eastAsia" w:cs="Times New Roman"/>
                      <w:color w:val="auto"/>
                      <w:szCs w:val="21"/>
                      <w:lang w:val="en-US" w:eastAsia="zh-CN"/>
                    </w:rPr>
                    <w:t>2890</w:t>
                  </w:r>
                </w:p>
              </w:tc>
              <w:tc>
                <w:tcPr>
                  <w:tcW w:w="1350" w:type="pct"/>
                  <w:gridSpan w:val="2"/>
                  <w:vMerge w:val="continue"/>
                  <w:vAlign w:val="center"/>
                </w:tcPr>
                <w:p w14:paraId="42AF5439">
                  <w:pPr>
                    <w:pStyle w:val="31"/>
                    <w:rPr>
                      <w:rFonts w:hint="default"/>
                      <w:color w:val="auto"/>
                      <w:szCs w:val="21"/>
                    </w:rPr>
                  </w:pPr>
                </w:p>
              </w:tc>
            </w:tr>
            <w:tr w14:paraId="0B0D8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5" w:type="pct"/>
                <w:jc w:val="center"/>
              </w:trPr>
              <w:tc>
                <w:tcPr>
                  <w:tcW w:w="442" w:type="pct"/>
                  <w:vMerge w:val="restart"/>
                  <w:vAlign w:val="center"/>
                </w:tcPr>
                <w:p w14:paraId="6D6F0517">
                  <w:pPr>
                    <w:pStyle w:val="31"/>
                    <w:rPr>
                      <w:rFonts w:hint="default" w:cs="Times New Roman"/>
                      <w:color w:val="auto"/>
                      <w:szCs w:val="21"/>
                    </w:rPr>
                  </w:pPr>
                  <w:r>
                    <w:rPr>
                      <w:rFonts w:cs="Times New Roman"/>
                      <w:color w:val="auto"/>
                      <w:szCs w:val="21"/>
                    </w:rPr>
                    <w:t>地下水</w:t>
                  </w:r>
                </w:p>
              </w:tc>
              <w:tc>
                <w:tcPr>
                  <w:tcW w:w="444" w:type="pct"/>
                  <w:vAlign w:val="center"/>
                </w:tcPr>
                <w:p w14:paraId="68A870C9">
                  <w:pPr>
                    <w:pStyle w:val="31"/>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纳古镇3#水井</w:t>
                  </w:r>
                </w:p>
              </w:tc>
              <w:tc>
                <w:tcPr>
                  <w:tcW w:w="575" w:type="pct"/>
                  <w:vAlign w:val="center"/>
                </w:tcPr>
                <w:p w14:paraId="5F1CCC6B">
                  <w:pPr>
                    <w:pStyle w:val="31"/>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102°44′</w:t>
                  </w:r>
                  <w:r>
                    <w:rPr>
                      <w:rFonts w:hint="eastAsia" w:ascii="Times New Roman" w:hAnsi="Times New Roman" w:eastAsia="宋体" w:cs="Times New Roman"/>
                      <w:color w:val="auto"/>
                      <w:szCs w:val="21"/>
                      <w:lang w:val="en-US" w:eastAsia="zh-CN"/>
                    </w:rPr>
                    <w:t>37.15</w:t>
                  </w:r>
                  <w:r>
                    <w:rPr>
                      <w:rFonts w:hint="default" w:ascii="Times New Roman" w:hAnsi="Times New Roman" w:eastAsia="宋体" w:cs="Times New Roman"/>
                      <w:color w:val="auto"/>
                      <w:szCs w:val="21"/>
                      <w:lang w:val="en-US" w:eastAsia="zh-CN"/>
                    </w:rPr>
                    <w:t>″</w:t>
                  </w:r>
                </w:p>
              </w:tc>
              <w:tc>
                <w:tcPr>
                  <w:tcW w:w="571" w:type="pct"/>
                  <w:gridSpan w:val="2"/>
                  <w:vAlign w:val="center"/>
                </w:tcPr>
                <w:p w14:paraId="5E58B3BE">
                  <w:pPr>
                    <w:pStyle w:val="31"/>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24°11′</w:t>
                  </w:r>
                  <w:r>
                    <w:rPr>
                      <w:rFonts w:hint="eastAsia" w:ascii="Times New Roman" w:hAnsi="Times New Roman" w:eastAsia="宋体" w:cs="Times New Roman"/>
                      <w:color w:val="auto"/>
                      <w:szCs w:val="21"/>
                      <w:lang w:val="en-US" w:eastAsia="zh-CN"/>
                    </w:rPr>
                    <w:t>53.17</w:t>
                  </w:r>
                  <w:r>
                    <w:rPr>
                      <w:rFonts w:hint="default" w:ascii="Times New Roman" w:hAnsi="Times New Roman" w:eastAsia="宋体" w:cs="Times New Roman"/>
                      <w:color w:val="auto"/>
                      <w:szCs w:val="21"/>
                      <w:lang w:val="en-US" w:eastAsia="zh-CN"/>
                    </w:rPr>
                    <w:t>″</w:t>
                  </w:r>
                </w:p>
              </w:tc>
              <w:tc>
                <w:tcPr>
                  <w:tcW w:w="464" w:type="pct"/>
                  <w:vAlign w:val="center"/>
                </w:tcPr>
                <w:p w14:paraId="5EDD39DC">
                  <w:pPr>
                    <w:pStyle w:val="31"/>
                    <w:rPr>
                      <w:rFonts w:hint="eastAsia" w:eastAsia="宋体" w:cs="Times New Roman"/>
                      <w:color w:val="auto"/>
                      <w:szCs w:val="21"/>
                      <w:lang w:val="en-US" w:eastAsia="zh-CN"/>
                    </w:rPr>
                  </w:pPr>
                  <w:r>
                    <w:rPr>
                      <w:rFonts w:hint="eastAsia" w:cs="Times New Roman"/>
                      <w:color w:val="auto"/>
                      <w:szCs w:val="21"/>
                      <w:lang w:val="en-US" w:eastAsia="zh-CN"/>
                    </w:rPr>
                    <w:t>-</w:t>
                  </w:r>
                </w:p>
              </w:tc>
              <w:tc>
                <w:tcPr>
                  <w:tcW w:w="617" w:type="pct"/>
                  <w:vAlign w:val="center"/>
                </w:tcPr>
                <w:p w14:paraId="1D8C1E91">
                  <w:pPr>
                    <w:pStyle w:val="31"/>
                    <w:rPr>
                      <w:rFonts w:hint="eastAsia" w:eastAsia="宋体" w:cs="Times New Roman"/>
                      <w:color w:val="auto"/>
                      <w:szCs w:val="21"/>
                      <w:lang w:val="en-US" w:eastAsia="zh-CN"/>
                    </w:rPr>
                  </w:pPr>
                  <w:r>
                    <w:rPr>
                      <w:rFonts w:hint="eastAsia" w:cs="Times New Roman"/>
                      <w:color w:val="auto"/>
                      <w:szCs w:val="21"/>
                      <w:lang w:val="en-US" w:eastAsia="zh-CN"/>
                    </w:rPr>
                    <w:t>南侧</w:t>
                  </w:r>
                </w:p>
              </w:tc>
              <w:tc>
                <w:tcPr>
                  <w:tcW w:w="519" w:type="pct"/>
                  <w:vAlign w:val="center"/>
                </w:tcPr>
                <w:p w14:paraId="43D5246E">
                  <w:pPr>
                    <w:pStyle w:val="31"/>
                    <w:rPr>
                      <w:rFonts w:hint="default" w:eastAsia="宋体" w:cs="Times New Roman"/>
                      <w:color w:val="auto"/>
                      <w:szCs w:val="21"/>
                      <w:lang w:val="en-US" w:eastAsia="zh-CN"/>
                    </w:rPr>
                  </w:pPr>
                  <w:r>
                    <w:rPr>
                      <w:rFonts w:hint="eastAsia" w:cs="Times New Roman"/>
                      <w:color w:val="auto"/>
                      <w:szCs w:val="21"/>
                      <w:lang w:val="en-US" w:eastAsia="zh-CN"/>
                    </w:rPr>
                    <w:t>445</w:t>
                  </w:r>
                </w:p>
              </w:tc>
              <w:tc>
                <w:tcPr>
                  <w:tcW w:w="1349" w:type="pct"/>
                  <w:vMerge w:val="restart"/>
                  <w:vAlign w:val="center"/>
                </w:tcPr>
                <w:p w14:paraId="1B261C66">
                  <w:pPr>
                    <w:pStyle w:val="31"/>
                    <w:rPr>
                      <w:rFonts w:hint="default" w:cs="Times New Roman"/>
                      <w:color w:val="auto"/>
                      <w:szCs w:val="21"/>
                    </w:rPr>
                  </w:pPr>
                  <w:r>
                    <w:rPr>
                      <w:rFonts w:hint="default" w:cs="Times New Roman"/>
                      <w:color w:val="auto"/>
                      <w:szCs w:val="21"/>
                    </w:rPr>
                    <w:t>《地下水质量标准》</w:t>
                  </w:r>
                  <w:r>
                    <w:rPr>
                      <w:rFonts w:hint="eastAsia" w:cs="Times New Roman"/>
                      <w:color w:val="auto"/>
                      <w:szCs w:val="21"/>
                      <w:lang w:eastAsia="zh-CN"/>
                    </w:rPr>
                    <w:t>（</w:t>
                  </w:r>
                  <w:r>
                    <w:rPr>
                      <w:rFonts w:hint="default" w:cs="Times New Roman"/>
                      <w:color w:val="auto"/>
                      <w:szCs w:val="21"/>
                    </w:rPr>
                    <w:t>GB/T14848-2017</w:t>
                  </w:r>
                  <w:r>
                    <w:rPr>
                      <w:rFonts w:hint="eastAsia" w:cs="Times New Roman"/>
                      <w:color w:val="auto"/>
                      <w:szCs w:val="21"/>
                      <w:lang w:eastAsia="zh-CN"/>
                    </w:rPr>
                    <w:t>）</w:t>
                  </w:r>
                  <w:r>
                    <w:rPr>
                      <w:rFonts w:hint="default" w:cs="Times New Roman"/>
                      <w:color w:val="auto"/>
                      <w:szCs w:val="21"/>
                    </w:rPr>
                    <w:t>Ⅲ类</w:t>
                  </w:r>
                </w:p>
              </w:tc>
            </w:tr>
            <w:tr w14:paraId="662C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5" w:type="pct"/>
                <w:jc w:val="center"/>
              </w:trPr>
              <w:tc>
                <w:tcPr>
                  <w:tcW w:w="442" w:type="pct"/>
                  <w:vMerge w:val="continue"/>
                  <w:vAlign w:val="center"/>
                </w:tcPr>
                <w:p w14:paraId="41659587">
                  <w:pPr>
                    <w:pStyle w:val="31"/>
                    <w:rPr>
                      <w:rFonts w:cs="Times New Roman"/>
                      <w:color w:val="auto"/>
                      <w:szCs w:val="21"/>
                    </w:rPr>
                  </w:pPr>
                </w:p>
              </w:tc>
              <w:tc>
                <w:tcPr>
                  <w:tcW w:w="444" w:type="pct"/>
                  <w:vAlign w:val="center"/>
                </w:tcPr>
                <w:p w14:paraId="6832EDE1">
                  <w:pPr>
                    <w:pStyle w:val="31"/>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二街村地下水井</w:t>
                  </w:r>
                </w:p>
              </w:tc>
              <w:tc>
                <w:tcPr>
                  <w:tcW w:w="575" w:type="pct"/>
                  <w:vAlign w:val="center"/>
                </w:tcPr>
                <w:p w14:paraId="3A9212B3">
                  <w:pPr>
                    <w:pStyle w:val="31"/>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102°44′</w:t>
                  </w:r>
                  <w:r>
                    <w:rPr>
                      <w:rFonts w:hint="eastAsia" w:ascii="Times New Roman" w:hAnsi="Times New Roman" w:eastAsia="宋体" w:cs="Times New Roman"/>
                      <w:color w:val="auto"/>
                      <w:szCs w:val="21"/>
                      <w:lang w:val="en-US" w:eastAsia="zh-CN"/>
                    </w:rPr>
                    <w:t>48.19</w:t>
                  </w:r>
                  <w:r>
                    <w:rPr>
                      <w:rFonts w:hint="default" w:ascii="Times New Roman" w:hAnsi="Times New Roman" w:eastAsia="宋体" w:cs="Times New Roman"/>
                      <w:color w:val="auto"/>
                      <w:szCs w:val="21"/>
                      <w:lang w:val="en-US" w:eastAsia="zh-CN"/>
                    </w:rPr>
                    <w:t>″</w:t>
                  </w:r>
                </w:p>
              </w:tc>
              <w:tc>
                <w:tcPr>
                  <w:tcW w:w="571" w:type="pct"/>
                  <w:gridSpan w:val="2"/>
                  <w:vAlign w:val="center"/>
                </w:tcPr>
                <w:p w14:paraId="51D6A6DE">
                  <w:pPr>
                    <w:pStyle w:val="31"/>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24°11′</w:t>
                  </w:r>
                  <w:r>
                    <w:rPr>
                      <w:rFonts w:hint="eastAsia" w:ascii="Times New Roman" w:hAnsi="Times New Roman" w:eastAsia="宋体" w:cs="Times New Roman"/>
                      <w:color w:val="auto"/>
                      <w:szCs w:val="21"/>
                      <w:lang w:val="en-US" w:eastAsia="zh-CN"/>
                    </w:rPr>
                    <w:t>53.33</w:t>
                  </w:r>
                  <w:r>
                    <w:rPr>
                      <w:rFonts w:hint="default" w:ascii="Times New Roman" w:hAnsi="Times New Roman" w:eastAsia="宋体" w:cs="Times New Roman"/>
                      <w:color w:val="auto"/>
                      <w:szCs w:val="21"/>
                      <w:lang w:val="en-US" w:eastAsia="zh-CN"/>
                    </w:rPr>
                    <w:t>″</w:t>
                  </w:r>
                </w:p>
              </w:tc>
              <w:tc>
                <w:tcPr>
                  <w:tcW w:w="464" w:type="pct"/>
                  <w:vAlign w:val="center"/>
                </w:tcPr>
                <w:p w14:paraId="64D2BA61">
                  <w:pPr>
                    <w:pStyle w:val="31"/>
                    <w:rPr>
                      <w:rFonts w:hint="default" w:eastAsia="宋体" w:cs="Times New Roman"/>
                      <w:color w:val="auto"/>
                      <w:szCs w:val="21"/>
                      <w:lang w:val="en-US" w:eastAsia="zh-CN"/>
                    </w:rPr>
                  </w:pPr>
                  <w:r>
                    <w:rPr>
                      <w:rFonts w:hint="eastAsia" w:cs="Times New Roman"/>
                      <w:color w:val="auto"/>
                      <w:szCs w:val="21"/>
                      <w:lang w:val="en-US" w:eastAsia="zh-CN"/>
                    </w:rPr>
                    <w:t>-</w:t>
                  </w:r>
                </w:p>
              </w:tc>
              <w:tc>
                <w:tcPr>
                  <w:tcW w:w="617" w:type="pct"/>
                  <w:vAlign w:val="center"/>
                </w:tcPr>
                <w:p w14:paraId="41E0CCBD">
                  <w:pPr>
                    <w:pStyle w:val="31"/>
                    <w:rPr>
                      <w:rFonts w:hint="eastAsia" w:eastAsia="宋体" w:cs="Times New Roman"/>
                      <w:color w:val="auto"/>
                      <w:szCs w:val="21"/>
                      <w:lang w:val="en-US" w:eastAsia="zh-CN"/>
                    </w:rPr>
                  </w:pPr>
                  <w:r>
                    <w:rPr>
                      <w:rFonts w:hint="eastAsia" w:cs="Times New Roman"/>
                      <w:color w:val="auto"/>
                      <w:szCs w:val="21"/>
                      <w:lang w:val="en-US" w:eastAsia="zh-CN"/>
                    </w:rPr>
                    <w:t>东南</w:t>
                  </w:r>
                </w:p>
              </w:tc>
              <w:tc>
                <w:tcPr>
                  <w:tcW w:w="519" w:type="pct"/>
                  <w:vAlign w:val="center"/>
                </w:tcPr>
                <w:p w14:paraId="6429842B">
                  <w:pPr>
                    <w:pStyle w:val="31"/>
                    <w:rPr>
                      <w:rFonts w:hint="default" w:eastAsia="宋体" w:cs="Times New Roman"/>
                      <w:color w:val="auto"/>
                      <w:szCs w:val="21"/>
                      <w:lang w:val="en-US" w:eastAsia="zh-CN"/>
                    </w:rPr>
                  </w:pPr>
                  <w:r>
                    <w:rPr>
                      <w:rFonts w:hint="eastAsia" w:cs="Times New Roman"/>
                      <w:color w:val="auto"/>
                      <w:szCs w:val="21"/>
                      <w:lang w:val="en-US" w:eastAsia="zh-CN"/>
                    </w:rPr>
                    <w:t>480</w:t>
                  </w:r>
                </w:p>
              </w:tc>
              <w:tc>
                <w:tcPr>
                  <w:tcW w:w="1349" w:type="pct"/>
                  <w:vMerge w:val="continue"/>
                  <w:vAlign w:val="center"/>
                </w:tcPr>
                <w:p w14:paraId="04F4418F">
                  <w:pPr>
                    <w:pStyle w:val="31"/>
                    <w:rPr>
                      <w:rFonts w:hint="default" w:cs="Times New Roman"/>
                      <w:color w:val="auto"/>
                      <w:szCs w:val="21"/>
                    </w:rPr>
                  </w:pPr>
                </w:p>
              </w:tc>
            </w:tr>
          </w:tbl>
          <w:p w14:paraId="3EB267E1">
            <w:pPr>
              <w:ind w:firstLine="480"/>
              <w:rPr>
                <w:color w:val="auto"/>
              </w:rPr>
            </w:pPr>
          </w:p>
        </w:tc>
      </w:tr>
      <w:tr w14:paraId="133C3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03" w:type="dxa"/>
            <w:vAlign w:val="center"/>
          </w:tcPr>
          <w:p w14:paraId="1E0E0C81">
            <w:pPr>
              <w:ind w:firstLine="0" w:firstLineChars="0"/>
              <w:jc w:val="center"/>
              <w:rPr>
                <w:color w:val="auto"/>
              </w:rPr>
            </w:pPr>
            <w:r>
              <w:rPr>
                <w:rFonts w:hint="eastAsia"/>
                <w:color w:val="auto"/>
              </w:rPr>
              <w:t>污染物排放控制标准</w:t>
            </w:r>
          </w:p>
        </w:tc>
        <w:tc>
          <w:tcPr>
            <w:tcW w:w="7819" w:type="dxa"/>
          </w:tcPr>
          <w:p w14:paraId="2202949F">
            <w:pPr>
              <w:ind w:left="0" w:leftChars="0" w:firstLine="0" w:firstLineChars="0"/>
              <w:rPr>
                <w:rFonts w:hint="eastAsia" w:eastAsia="宋体"/>
                <w:b/>
                <w:bCs/>
                <w:color w:val="auto"/>
                <w:lang w:eastAsia="zh-CN"/>
              </w:rPr>
            </w:pPr>
            <w:r>
              <w:rPr>
                <w:rFonts w:hint="eastAsia"/>
                <w:b/>
                <w:bCs/>
                <w:color w:val="auto"/>
                <w:lang w:eastAsia="zh-CN"/>
              </w:rPr>
              <w:t>六、污染物排放标准</w:t>
            </w:r>
          </w:p>
          <w:p w14:paraId="2ABB7FB0">
            <w:pPr>
              <w:ind w:firstLine="482"/>
              <w:rPr>
                <w:b/>
                <w:bCs/>
                <w:color w:val="auto"/>
              </w:rPr>
            </w:pPr>
            <w:r>
              <w:rPr>
                <w:rFonts w:hint="eastAsia"/>
                <w:b/>
                <w:bCs/>
                <w:color w:val="auto"/>
              </w:rPr>
              <w:t>1、废气</w:t>
            </w:r>
          </w:p>
          <w:p w14:paraId="3AED7F3F">
            <w:pPr>
              <w:ind w:firstLine="480"/>
              <w:rPr>
                <w:rFonts w:hint="eastAsia"/>
                <w:b w:val="0"/>
                <w:bCs w:val="0"/>
                <w:color w:val="auto"/>
                <w:lang w:eastAsia="zh-CN"/>
              </w:rPr>
            </w:pPr>
            <w:r>
              <w:rPr>
                <w:rFonts w:hint="eastAsia"/>
                <w:b w:val="0"/>
                <w:bCs w:val="0"/>
                <w:color w:val="auto"/>
                <w:lang w:eastAsia="zh-CN"/>
              </w:rPr>
              <w:t>（</w:t>
            </w:r>
            <w:r>
              <w:rPr>
                <w:rFonts w:hint="eastAsia"/>
                <w:b w:val="0"/>
                <w:bCs w:val="0"/>
                <w:color w:val="auto"/>
                <w:lang w:val="en-US" w:eastAsia="zh-CN"/>
              </w:rPr>
              <w:t>1</w:t>
            </w:r>
            <w:r>
              <w:rPr>
                <w:rFonts w:hint="eastAsia"/>
                <w:b w:val="0"/>
                <w:bCs w:val="0"/>
                <w:color w:val="auto"/>
                <w:lang w:eastAsia="zh-CN"/>
              </w:rPr>
              <w:t>）施工期</w:t>
            </w:r>
          </w:p>
          <w:p w14:paraId="4F8CB884">
            <w:pPr>
              <w:bidi w:val="0"/>
              <w:rPr>
                <w:rFonts w:hint="eastAsia"/>
                <w:color w:val="auto"/>
                <w:lang w:eastAsia="zh-CN"/>
              </w:rPr>
            </w:pPr>
            <w:r>
              <w:rPr>
                <w:rFonts w:hint="eastAsia"/>
                <w:bCs/>
                <w:color w:val="auto"/>
                <w:sz w:val="24"/>
              </w:rPr>
              <w:t>施工扬尘执行《大气污染物综合排放标准》（GB16297-1996）无组织排放限值，厂界外浓度最高点≤1.0mg/m</w:t>
            </w:r>
            <w:r>
              <w:rPr>
                <w:rFonts w:hint="eastAsia"/>
                <w:bCs/>
                <w:color w:val="auto"/>
                <w:sz w:val="24"/>
                <w:vertAlign w:val="superscript"/>
              </w:rPr>
              <w:t>3</w:t>
            </w:r>
            <w:r>
              <w:rPr>
                <w:rFonts w:hint="eastAsia"/>
                <w:bCs/>
                <w:color w:val="auto"/>
                <w:sz w:val="24"/>
              </w:rPr>
              <w:t>。</w:t>
            </w:r>
          </w:p>
          <w:p w14:paraId="3920F5FD">
            <w:pPr>
              <w:bidi w:val="0"/>
              <w:rPr>
                <w:rFonts w:hint="eastAsia"/>
                <w:b w:val="0"/>
                <w:bCs w:val="0"/>
                <w:color w:val="auto"/>
                <w:lang w:eastAsia="zh-CN"/>
              </w:rPr>
            </w:pPr>
            <w:r>
              <w:rPr>
                <w:rFonts w:hint="eastAsia"/>
                <w:b w:val="0"/>
                <w:bCs w:val="0"/>
                <w:color w:val="auto"/>
                <w:lang w:eastAsia="zh-CN"/>
              </w:rPr>
              <w:t>（</w:t>
            </w:r>
            <w:r>
              <w:rPr>
                <w:rFonts w:hint="eastAsia"/>
                <w:b w:val="0"/>
                <w:bCs w:val="0"/>
                <w:color w:val="auto"/>
                <w:lang w:val="en-US" w:eastAsia="zh-CN"/>
              </w:rPr>
              <w:t>2</w:t>
            </w:r>
            <w:r>
              <w:rPr>
                <w:rFonts w:hint="eastAsia"/>
                <w:b w:val="0"/>
                <w:bCs w:val="0"/>
                <w:color w:val="auto"/>
                <w:lang w:eastAsia="zh-CN"/>
              </w:rPr>
              <w:t>）运营期</w:t>
            </w:r>
          </w:p>
          <w:p w14:paraId="6A7390F4">
            <w:pPr>
              <w:ind w:firstLine="480"/>
              <w:rPr>
                <w:rFonts w:hint="default" w:eastAsia="宋体"/>
                <w:color w:val="auto"/>
                <w:lang w:val="en-US" w:eastAsia="zh-CN"/>
              </w:rPr>
            </w:pPr>
            <w:r>
              <w:rPr>
                <w:rFonts w:hint="eastAsia"/>
                <w:color w:val="auto"/>
              </w:rPr>
              <w:t>①</w:t>
            </w:r>
            <w:r>
              <w:rPr>
                <w:rFonts w:hint="eastAsia"/>
                <w:color w:val="auto"/>
                <w:lang w:val="en-US" w:eastAsia="zh-CN"/>
              </w:rPr>
              <w:t>有组织废气</w:t>
            </w:r>
          </w:p>
          <w:p w14:paraId="47F1FBA3">
            <w:pPr>
              <w:ind w:firstLine="480"/>
              <w:rPr>
                <w:color w:val="auto"/>
              </w:rPr>
            </w:pPr>
            <w:r>
              <w:rPr>
                <w:rFonts w:hint="eastAsia"/>
                <w:color w:val="auto"/>
              </w:rPr>
              <w:t>项目生产过程中焊接</w:t>
            </w:r>
            <w:r>
              <w:rPr>
                <w:rFonts w:hint="eastAsia"/>
                <w:color w:val="auto"/>
                <w:lang w:val="en-US" w:eastAsia="zh-CN"/>
              </w:rPr>
              <w:t>工序产生的焊接烟尘经集气罩（8个）收集后进入布袋除尘器（2套）处理后分别2根由15m高排气筒（DA001、DA002）排放，排放</w:t>
            </w:r>
            <w:r>
              <w:rPr>
                <w:rFonts w:hint="eastAsia"/>
                <w:color w:val="auto"/>
              </w:rPr>
              <w:t>执行《大气污染物综合排放标准》（GB16297-1996）表2标准，具体限值见表3-</w:t>
            </w:r>
            <w:r>
              <w:rPr>
                <w:rFonts w:hint="eastAsia"/>
                <w:color w:val="auto"/>
                <w:lang w:val="en-US" w:eastAsia="zh-CN"/>
              </w:rPr>
              <w:t>8</w:t>
            </w:r>
            <w:r>
              <w:rPr>
                <w:rFonts w:hint="eastAsia"/>
                <w:color w:val="auto"/>
              </w:rPr>
              <w:t>。</w:t>
            </w:r>
          </w:p>
          <w:p w14:paraId="403A5C8C">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表3-8  项目有组织废气排放浓度限值 单位mg/m</w:t>
            </w:r>
            <w:r>
              <w:rPr>
                <w:rFonts w:hint="eastAsia" w:ascii="Times New Roman" w:hAnsi="Times New Roman" w:eastAsia="宋体"/>
                <w:color w:val="auto"/>
                <w:sz w:val="24"/>
                <w:szCs w:val="24"/>
                <w:vertAlign w:val="superscript"/>
                <w:lang w:val="en-US" w:eastAsia="zh-CN"/>
              </w:rPr>
              <w:t>3</w:t>
            </w:r>
          </w:p>
          <w:tbl>
            <w:tblPr>
              <w:tblStyle w:val="2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609"/>
              <w:gridCol w:w="1534"/>
              <w:gridCol w:w="2255"/>
              <w:gridCol w:w="2193"/>
            </w:tblGrid>
            <w:tr w14:paraId="46199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97" w:hRule="atLeast"/>
                <w:jc w:val="center"/>
              </w:trPr>
              <w:tc>
                <w:tcPr>
                  <w:tcW w:w="1060" w:type="pct"/>
                  <w:vMerge w:val="restart"/>
                  <w:shd w:val="clear" w:color="auto" w:fill="auto"/>
                  <w:vAlign w:val="center"/>
                </w:tcPr>
                <w:p w14:paraId="38D433F8">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snapToGrid w:val="0"/>
                      <w:color w:val="auto"/>
                      <w:kern w:val="0"/>
                      <w:sz w:val="21"/>
                      <w:szCs w:val="21"/>
                      <w:lang w:val="zh-CN"/>
                    </w:rPr>
                  </w:pPr>
                  <w:r>
                    <w:rPr>
                      <w:rFonts w:hint="eastAsia"/>
                      <w:snapToGrid w:val="0"/>
                      <w:color w:val="auto"/>
                      <w:kern w:val="0"/>
                      <w:sz w:val="21"/>
                      <w:szCs w:val="21"/>
                      <w:lang w:val="zh-CN"/>
                    </w:rPr>
                    <w:t>废气</w:t>
                  </w:r>
                </w:p>
              </w:tc>
              <w:tc>
                <w:tcPr>
                  <w:tcW w:w="3939" w:type="pct"/>
                  <w:gridSpan w:val="3"/>
                  <w:shd w:val="clear" w:color="auto" w:fill="auto"/>
                  <w:vAlign w:val="center"/>
                </w:tcPr>
                <w:p w14:paraId="3FDA7E58">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snapToGrid w:val="0"/>
                      <w:color w:val="auto"/>
                      <w:kern w:val="0"/>
                      <w:sz w:val="21"/>
                      <w:szCs w:val="21"/>
                      <w:lang w:val="zh-CN"/>
                    </w:rPr>
                  </w:pPr>
                  <w:r>
                    <w:rPr>
                      <w:rFonts w:hint="eastAsia"/>
                      <w:snapToGrid w:val="0"/>
                      <w:color w:val="auto"/>
                      <w:kern w:val="0"/>
                      <w:sz w:val="21"/>
                      <w:szCs w:val="21"/>
                      <w:lang w:val="zh-CN"/>
                    </w:rPr>
                    <w:t>有组织排放</w:t>
                  </w:r>
                </w:p>
              </w:tc>
            </w:tr>
            <w:tr w14:paraId="1C5C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0" w:type="pct"/>
                  <w:vMerge w:val="continue"/>
                  <w:shd w:val="clear" w:color="auto" w:fill="auto"/>
                  <w:vAlign w:val="center"/>
                </w:tcPr>
                <w:p w14:paraId="5EE50834">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snapToGrid w:val="0"/>
                      <w:color w:val="auto"/>
                      <w:kern w:val="0"/>
                      <w:sz w:val="21"/>
                      <w:szCs w:val="21"/>
                      <w:lang w:val="zh-CN"/>
                    </w:rPr>
                  </w:pPr>
                </w:p>
              </w:tc>
              <w:tc>
                <w:tcPr>
                  <w:tcW w:w="1010" w:type="pct"/>
                  <w:shd w:val="clear" w:color="auto" w:fill="auto"/>
                  <w:vAlign w:val="center"/>
                </w:tcPr>
                <w:p w14:paraId="13788ED5">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snapToGrid w:val="0"/>
                      <w:color w:val="auto"/>
                      <w:kern w:val="0"/>
                      <w:sz w:val="21"/>
                      <w:szCs w:val="21"/>
                      <w:lang w:val="zh-CN"/>
                    </w:rPr>
                  </w:pPr>
                  <w:r>
                    <w:rPr>
                      <w:rFonts w:hint="eastAsia"/>
                      <w:snapToGrid w:val="0"/>
                      <w:color w:val="auto"/>
                      <w:kern w:val="0"/>
                      <w:sz w:val="21"/>
                      <w:szCs w:val="21"/>
                      <w:lang w:val="zh-CN"/>
                    </w:rPr>
                    <w:t>排放浓度</w:t>
                  </w:r>
                </w:p>
                <w:p w14:paraId="130C2FFD">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snapToGrid w:val="0"/>
                      <w:color w:val="auto"/>
                      <w:kern w:val="0"/>
                      <w:sz w:val="21"/>
                      <w:szCs w:val="21"/>
                      <w:lang w:val="zh-CN"/>
                    </w:rPr>
                  </w:pPr>
                  <w:r>
                    <w:rPr>
                      <w:rFonts w:hint="eastAsia"/>
                      <w:snapToGrid w:val="0"/>
                      <w:color w:val="auto"/>
                      <w:kern w:val="0"/>
                      <w:sz w:val="21"/>
                      <w:szCs w:val="21"/>
                      <w:lang w:val="zh-CN"/>
                    </w:rPr>
                    <w:t>（mg/m</w:t>
                  </w:r>
                  <w:r>
                    <w:rPr>
                      <w:rFonts w:hint="eastAsia"/>
                      <w:snapToGrid w:val="0"/>
                      <w:color w:val="auto"/>
                      <w:kern w:val="0"/>
                      <w:sz w:val="21"/>
                      <w:szCs w:val="21"/>
                      <w:vertAlign w:val="superscript"/>
                      <w:lang w:val="zh-CN"/>
                    </w:rPr>
                    <w:t>3</w:t>
                  </w:r>
                  <w:r>
                    <w:rPr>
                      <w:rFonts w:hint="eastAsia"/>
                      <w:snapToGrid w:val="0"/>
                      <w:color w:val="auto"/>
                      <w:kern w:val="0"/>
                      <w:sz w:val="21"/>
                      <w:szCs w:val="21"/>
                      <w:lang w:val="zh-CN"/>
                    </w:rPr>
                    <w:t>）</w:t>
                  </w:r>
                </w:p>
              </w:tc>
              <w:tc>
                <w:tcPr>
                  <w:tcW w:w="1485" w:type="pct"/>
                  <w:shd w:val="clear" w:color="auto" w:fill="auto"/>
                  <w:vAlign w:val="center"/>
                </w:tcPr>
                <w:p w14:paraId="5599AFA3">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snapToGrid w:val="0"/>
                      <w:color w:val="auto"/>
                      <w:kern w:val="0"/>
                      <w:sz w:val="21"/>
                      <w:szCs w:val="21"/>
                      <w:lang w:val="zh-CN"/>
                    </w:rPr>
                  </w:pPr>
                  <w:r>
                    <w:rPr>
                      <w:rFonts w:hint="eastAsia"/>
                      <w:snapToGrid w:val="0"/>
                      <w:color w:val="auto"/>
                      <w:kern w:val="0"/>
                      <w:sz w:val="21"/>
                      <w:szCs w:val="21"/>
                      <w:lang w:val="zh-CN"/>
                    </w:rPr>
                    <w:t>排放速率（kg/h）</w:t>
                  </w:r>
                </w:p>
              </w:tc>
              <w:tc>
                <w:tcPr>
                  <w:tcW w:w="1442" w:type="pct"/>
                  <w:shd w:val="clear" w:color="auto" w:fill="auto"/>
                  <w:vAlign w:val="center"/>
                </w:tcPr>
                <w:p w14:paraId="3CD5FEB3">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snapToGrid w:val="0"/>
                      <w:color w:val="auto"/>
                      <w:kern w:val="0"/>
                      <w:sz w:val="21"/>
                      <w:szCs w:val="21"/>
                      <w:lang w:val="zh-CN"/>
                    </w:rPr>
                  </w:pPr>
                  <w:r>
                    <w:rPr>
                      <w:rFonts w:hint="eastAsia"/>
                      <w:snapToGrid w:val="0"/>
                      <w:color w:val="auto"/>
                      <w:kern w:val="0"/>
                      <w:sz w:val="21"/>
                      <w:szCs w:val="21"/>
                      <w:lang w:val="zh-CN"/>
                    </w:rPr>
                    <w:t>排气筒高度（m）</w:t>
                  </w:r>
                </w:p>
              </w:tc>
            </w:tr>
            <w:tr w14:paraId="49B72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0" w:type="pct"/>
                  <w:shd w:val="clear" w:color="auto" w:fill="auto"/>
                  <w:vAlign w:val="center"/>
                </w:tcPr>
                <w:p w14:paraId="547CC402">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eastAsia" w:eastAsia="宋体"/>
                      <w:snapToGrid w:val="0"/>
                      <w:color w:val="auto"/>
                      <w:kern w:val="0"/>
                      <w:sz w:val="21"/>
                      <w:szCs w:val="21"/>
                      <w:lang w:val="en-US" w:eastAsia="zh-CN"/>
                    </w:rPr>
                  </w:pPr>
                  <w:r>
                    <w:rPr>
                      <w:rFonts w:hint="eastAsia"/>
                      <w:snapToGrid w:val="0"/>
                      <w:color w:val="auto"/>
                      <w:kern w:val="0"/>
                      <w:sz w:val="21"/>
                      <w:szCs w:val="21"/>
                      <w:lang w:val="en-US" w:eastAsia="zh-CN"/>
                    </w:rPr>
                    <w:t>颗粒物</w:t>
                  </w:r>
                </w:p>
              </w:tc>
              <w:tc>
                <w:tcPr>
                  <w:tcW w:w="1010" w:type="pct"/>
                  <w:shd w:val="clear" w:color="auto" w:fill="auto"/>
                  <w:vAlign w:val="center"/>
                </w:tcPr>
                <w:p w14:paraId="5C43B170">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eastAsia="宋体"/>
                      <w:snapToGrid w:val="0"/>
                      <w:color w:val="auto"/>
                      <w:kern w:val="0"/>
                      <w:sz w:val="21"/>
                      <w:szCs w:val="21"/>
                      <w:lang w:val="en-US" w:eastAsia="zh-CN"/>
                    </w:rPr>
                  </w:pPr>
                  <w:r>
                    <w:rPr>
                      <w:rFonts w:hint="eastAsia"/>
                      <w:snapToGrid w:val="0"/>
                      <w:color w:val="auto"/>
                      <w:kern w:val="0"/>
                      <w:sz w:val="21"/>
                      <w:szCs w:val="21"/>
                      <w:lang w:val="en-US" w:eastAsia="zh-CN"/>
                    </w:rPr>
                    <w:t>120</w:t>
                  </w:r>
                </w:p>
              </w:tc>
              <w:tc>
                <w:tcPr>
                  <w:tcW w:w="1485" w:type="pct"/>
                  <w:shd w:val="clear" w:color="auto" w:fill="auto"/>
                  <w:vAlign w:val="center"/>
                </w:tcPr>
                <w:p w14:paraId="46F5294C">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eastAsia="宋体"/>
                      <w:snapToGrid w:val="0"/>
                      <w:color w:val="auto"/>
                      <w:kern w:val="0"/>
                      <w:sz w:val="21"/>
                      <w:szCs w:val="21"/>
                      <w:lang w:val="en-US" w:eastAsia="zh-CN"/>
                    </w:rPr>
                  </w:pPr>
                  <w:r>
                    <w:rPr>
                      <w:rFonts w:hint="eastAsia"/>
                      <w:snapToGrid w:val="0"/>
                      <w:color w:val="auto"/>
                      <w:kern w:val="0"/>
                      <w:sz w:val="21"/>
                      <w:szCs w:val="21"/>
                      <w:lang w:val="en-US" w:eastAsia="zh-CN"/>
                    </w:rPr>
                    <w:t>3.5</w:t>
                  </w:r>
                </w:p>
              </w:tc>
              <w:tc>
                <w:tcPr>
                  <w:tcW w:w="1442" w:type="pct"/>
                  <w:shd w:val="clear" w:color="auto" w:fill="auto"/>
                  <w:vAlign w:val="center"/>
                </w:tcPr>
                <w:p w14:paraId="4D59FF1F">
                  <w:pPr>
                    <w:keepNext w:val="0"/>
                    <w:keepLines w:val="0"/>
                    <w:pageBreakBefore w:val="0"/>
                    <w:widowControl/>
                    <w:tabs>
                      <w:tab w:val="left" w:pos="-2400"/>
                      <w:tab w:val="left" w:pos="1320"/>
                      <w:tab w:val="left" w:pos="3878"/>
                      <w:tab w:val="left" w:pos="6080"/>
                      <w:tab w:val="left" w:pos="6580"/>
                      <w:tab w:val="left" w:pos="8137"/>
                    </w:tabs>
                    <w:kinsoku/>
                    <w:wordWrap/>
                    <w:overflowPunct/>
                    <w:topLinePunct w:val="0"/>
                    <w:autoSpaceDE/>
                    <w:autoSpaceDN/>
                    <w:bidi w:val="0"/>
                    <w:adjustRightInd w:val="0"/>
                    <w:snapToGrid w:val="0"/>
                    <w:spacing w:line="240" w:lineRule="auto"/>
                    <w:ind w:firstLine="0" w:firstLineChars="0"/>
                    <w:jc w:val="center"/>
                    <w:textAlignment w:val="center"/>
                    <w:rPr>
                      <w:rFonts w:hint="default" w:eastAsia="宋体"/>
                      <w:snapToGrid w:val="0"/>
                      <w:color w:val="auto"/>
                      <w:kern w:val="0"/>
                      <w:sz w:val="21"/>
                      <w:szCs w:val="21"/>
                      <w:lang w:val="en-US" w:eastAsia="zh-CN"/>
                    </w:rPr>
                  </w:pPr>
                  <w:r>
                    <w:rPr>
                      <w:rFonts w:hint="eastAsia"/>
                      <w:snapToGrid w:val="0"/>
                      <w:color w:val="auto"/>
                      <w:kern w:val="0"/>
                      <w:sz w:val="21"/>
                      <w:szCs w:val="21"/>
                      <w:lang w:val="en-US" w:eastAsia="zh-CN"/>
                    </w:rPr>
                    <w:t>15</w:t>
                  </w:r>
                </w:p>
              </w:tc>
            </w:tr>
          </w:tbl>
          <w:p w14:paraId="5273CD79">
            <w:pPr>
              <w:ind w:firstLine="482"/>
              <w:rPr>
                <w:rFonts w:hint="default" w:eastAsia="宋体"/>
                <w:b w:val="0"/>
                <w:bCs w:val="0"/>
                <w:color w:val="auto"/>
                <w:lang w:val="en-US" w:eastAsia="zh-CN"/>
              </w:rPr>
            </w:pPr>
            <w:r>
              <w:rPr>
                <w:rFonts w:hint="eastAsia"/>
                <w:b w:val="0"/>
                <w:bCs w:val="0"/>
                <w:color w:val="auto"/>
              </w:rPr>
              <w:t>②</w:t>
            </w:r>
            <w:r>
              <w:rPr>
                <w:rFonts w:hint="eastAsia"/>
                <w:b w:val="0"/>
                <w:bCs w:val="0"/>
                <w:color w:val="auto"/>
                <w:lang w:val="en-US" w:eastAsia="zh-CN"/>
              </w:rPr>
              <w:t>无组织废气</w:t>
            </w:r>
          </w:p>
          <w:p w14:paraId="6BCC5F26">
            <w:pPr>
              <w:ind w:firstLine="482"/>
              <w:rPr>
                <w:rFonts w:hint="default" w:eastAsia="宋体"/>
                <w:b w:val="0"/>
                <w:bCs w:val="0"/>
                <w:color w:val="auto"/>
                <w:lang w:val="en-US" w:eastAsia="zh-CN"/>
              </w:rPr>
            </w:pPr>
            <w:r>
              <w:rPr>
                <w:rFonts w:hint="eastAsia"/>
                <w:b w:val="0"/>
                <w:bCs w:val="0"/>
                <w:color w:val="auto"/>
                <w:lang w:val="en-US" w:eastAsia="zh-CN"/>
              </w:rPr>
              <w:t>项目生产过程中产生的厂界无组织粉尘排放浓度执行《大气污染物综合排放标准》（GB16297-1996）表2无组织排放监控浓度限值，</w:t>
            </w:r>
            <w:r>
              <w:rPr>
                <w:rFonts w:hint="eastAsia"/>
                <w:color w:val="auto"/>
              </w:rPr>
              <w:t>具体限值见表3-</w:t>
            </w:r>
            <w:r>
              <w:rPr>
                <w:rFonts w:hint="eastAsia"/>
                <w:color w:val="auto"/>
                <w:lang w:val="en-US" w:eastAsia="zh-CN"/>
              </w:rPr>
              <w:t>9</w:t>
            </w:r>
            <w:r>
              <w:rPr>
                <w:rFonts w:hint="eastAsia"/>
                <w:color w:val="auto"/>
              </w:rPr>
              <w:t>。</w:t>
            </w:r>
          </w:p>
          <w:p w14:paraId="5324FC04">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 xml:space="preserve">表3-9  </w:t>
            </w:r>
            <w:r>
              <w:rPr>
                <w:rFonts w:hint="eastAsia" w:ascii="Times New Roman" w:hAnsi="Times New Roman" w:eastAsia="宋体" w:cs="Times New Roman"/>
                <w:b/>
                <w:color w:val="auto"/>
                <w:sz w:val="24"/>
                <w:szCs w:val="32"/>
                <w:highlight w:val="none"/>
                <w:lang w:val="en-US" w:eastAsia="zh-CN"/>
              </w:rPr>
              <w:t xml:space="preserve"> 厂界无组织废气排放标准单位：mg/m</w:t>
            </w:r>
            <w:r>
              <w:rPr>
                <w:rFonts w:hint="eastAsia" w:ascii="Times New Roman" w:hAnsi="Times New Roman" w:eastAsia="宋体" w:cs="Times New Roman"/>
                <w:b/>
                <w:color w:val="auto"/>
                <w:sz w:val="24"/>
                <w:szCs w:val="32"/>
                <w:highlight w:val="none"/>
                <w:vertAlign w:val="superscript"/>
                <w:lang w:val="en-US" w:eastAsia="zh-CN"/>
              </w:rPr>
              <w:t>3</w:t>
            </w:r>
          </w:p>
          <w:tbl>
            <w:tblPr>
              <w:tblStyle w:val="22"/>
              <w:tblW w:w="4998" w:type="pct"/>
              <w:tblInd w:w="10" w:type="dxa"/>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Layout w:type="fixed"/>
              <w:tblCellMar>
                <w:top w:w="0" w:type="dxa"/>
                <w:left w:w="108" w:type="dxa"/>
                <w:bottom w:w="0" w:type="dxa"/>
                <w:right w:w="108" w:type="dxa"/>
              </w:tblCellMar>
            </w:tblPr>
            <w:tblGrid>
              <w:gridCol w:w="2223"/>
              <w:gridCol w:w="2238"/>
              <w:gridCol w:w="3129"/>
            </w:tblGrid>
            <w:tr w14:paraId="31C24977">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PrEx>
              <w:trPr>
                <w:trHeight w:val="397" w:hRule="atLeast"/>
              </w:trPr>
              <w:tc>
                <w:tcPr>
                  <w:tcW w:w="1464" w:type="pct"/>
                  <w:vMerge w:val="restart"/>
                  <w:tcBorders>
                    <w:tl2br w:val="nil"/>
                    <w:tr2bl w:val="nil"/>
                  </w:tcBorders>
                  <w:vAlign w:val="center"/>
                </w:tcPr>
                <w:p w14:paraId="302C63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shd w:val="clear" w:color="auto" w:fill="FFFFFF"/>
                    </w:rPr>
                  </w:pPr>
                  <w:r>
                    <w:rPr>
                      <w:rFonts w:hint="default" w:ascii="Times New Roman" w:hAnsi="Times New Roman" w:cs="Times New Roman"/>
                      <w:b w:val="0"/>
                      <w:bCs w:val="0"/>
                      <w:color w:val="auto"/>
                      <w:sz w:val="21"/>
                      <w:szCs w:val="21"/>
                      <w:shd w:val="clear" w:color="auto" w:fill="FFFFFF"/>
                    </w:rPr>
                    <w:t>污染物</w:t>
                  </w:r>
                </w:p>
              </w:tc>
              <w:tc>
                <w:tcPr>
                  <w:tcW w:w="3535" w:type="pct"/>
                  <w:gridSpan w:val="2"/>
                  <w:tcBorders>
                    <w:tl2br w:val="nil"/>
                    <w:tr2bl w:val="nil"/>
                  </w:tcBorders>
                  <w:vAlign w:val="center"/>
                </w:tcPr>
                <w:p w14:paraId="50F457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shd w:val="clear" w:color="auto" w:fill="FFFFFF"/>
                    </w:rPr>
                  </w:pPr>
                  <w:r>
                    <w:rPr>
                      <w:rFonts w:hint="default" w:ascii="Times New Roman" w:hAnsi="Times New Roman" w:cs="Times New Roman"/>
                      <w:b w:val="0"/>
                      <w:bCs w:val="0"/>
                      <w:color w:val="auto"/>
                      <w:sz w:val="21"/>
                      <w:szCs w:val="21"/>
                      <w:shd w:val="clear" w:color="auto" w:fill="FFFFFF"/>
                    </w:rPr>
                    <w:t>无组织排放监控浓度限值</w:t>
                  </w:r>
                </w:p>
              </w:tc>
            </w:tr>
            <w:tr w14:paraId="04BD8637">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64" w:type="pct"/>
                  <w:vMerge w:val="continue"/>
                  <w:tcBorders>
                    <w:tl2br w:val="nil"/>
                    <w:tr2bl w:val="nil"/>
                  </w:tcBorders>
                  <w:vAlign w:val="center"/>
                </w:tcPr>
                <w:p w14:paraId="1D54E3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shd w:val="clear" w:color="auto" w:fill="FFFFFF"/>
                    </w:rPr>
                  </w:pPr>
                </w:p>
              </w:tc>
              <w:tc>
                <w:tcPr>
                  <w:tcW w:w="1474" w:type="pct"/>
                  <w:tcBorders>
                    <w:tl2br w:val="nil"/>
                    <w:tr2bl w:val="nil"/>
                  </w:tcBorders>
                  <w:vAlign w:val="center"/>
                </w:tcPr>
                <w:p w14:paraId="74C430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shd w:val="clear" w:color="auto" w:fill="FFFFFF"/>
                    </w:rPr>
                  </w:pPr>
                  <w:r>
                    <w:rPr>
                      <w:rFonts w:hint="default" w:ascii="Times New Roman" w:hAnsi="Times New Roman" w:cs="Times New Roman"/>
                      <w:b w:val="0"/>
                      <w:bCs w:val="0"/>
                      <w:color w:val="auto"/>
                      <w:sz w:val="21"/>
                      <w:szCs w:val="21"/>
                      <w:shd w:val="clear" w:color="auto" w:fill="FFFFFF"/>
                    </w:rPr>
                    <w:t>监控点</w:t>
                  </w:r>
                </w:p>
              </w:tc>
              <w:tc>
                <w:tcPr>
                  <w:tcW w:w="2060" w:type="pct"/>
                  <w:tcBorders>
                    <w:tl2br w:val="nil"/>
                    <w:tr2bl w:val="nil"/>
                  </w:tcBorders>
                  <w:vAlign w:val="center"/>
                </w:tcPr>
                <w:p w14:paraId="08D80E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shd w:val="clear" w:color="auto" w:fill="FFFFFF"/>
                    </w:rPr>
                  </w:pPr>
                  <w:r>
                    <w:rPr>
                      <w:rFonts w:hint="default" w:ascii="Times New Roman" w:hAnsi="Times New Roman" w:cs="Times New Roman"/>
                      <w:b w:val="0"/>
                      <w:bCs w:val="0"/>
                      <w:color w:val="auto"/>
                      <w:sz w:val="21"/>
                      <w:szCs w:val="21"/>
                      <w:shd w:val="clear" w:color="auto" w:fill="FFFFFF"/>
                    </w:rPr>
                    <w:t>浓度（mg/m</w:t>
                  </w:r>
                  <w:r>
                    <w:rPr>
                      <w:rFonts w:hint="default" w:ascii="Times New Roman" w:hAnsi="Times New Roman" w:cs="Times New Roman"/>
                      <w:b w:val="0"/>
                      <w:bCs w:val="0"/>
                      <w:color w:val="auto"/>
                      <w:sz w:val="21"/>
                      <w:szCs w:val="21"/>
                      <w:shd w:val="clear" w:color="auto" w:fill="FFFFFF"/>
                      <w:vertAlign w:val="superscript"/>
                    </w:rPr>
                    <w:t>3</w:t>
                  </w:r>
                  <w:r>
                    <w:rPr>
                      <w:rFonts w:hint="default" w:ascii="Times New Roman" w:hAnsi="Times New Roman" w:cs="Times New Roman"/>
                      <w:b w:val="0"/>
                      <w:bCs w:val="0"/>
                      <w:color w:val="auto"/>
                      <w:sz w:val="21"/>
                      <w:szCs w:val="21"/>
                      <w:shd w:val="clear" w:color="auto" w:fill="FFFFFF"/>
                    </w:rPr>
                    <w:t>）</w:t>
                  </w:r>
                </w:p>
              </w:tc>
            </w:tr>
            <w:tr w14:paraId="7A9E7D58">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64" w:type="pct"/>
                  <w:tcBorders>
                    <w:tl2br w:val="nil"/>
                    <w:tr2bl w:val="nil"/>
                  </w:tcBorders>
                  <w:vAlign w:val="center"/>
                </w:tcPr>
                <w:p w14:paraId="5947A2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颗粒物</w:t>
                  </w:r>
                </w:p>
              </w:tc>
              <w:tc>
                <w:tcPr>
                  <w:tcW w:w="1474" w:type="pct"/>
                  <w:tcBorders>
                    <w:tl2br w:val="nil"/>
                    <w:tr2bl w:val="nil"/>
                  </w:tcBorders>
                  <w:vAlign w:val="center"/>
                </w:tcPr>
                <w:p w14:paraId="7C377C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周界外浓度最高点</w:t>
                  </w:r>
                </w:p>
              </w:tc>
              <w:tc>
                <w:tcPr>
                  <w:tcW w:w="2060" w:type="pct"/>
                  <w:tcBorders>
                    <w:tl2br w:val="nil"/>
                    <w:tr2bl w:val="nil"/>
                  </w:tcBorders>
                  <w:vAlign w:val="center"/>
                </w:tcPr>
                <w:p w14:paraId="3AF98B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1.0</w:t>
                  </w:r>
                </w:p>
              </w:tc>
            </w:tr>
          </w:tbl>
          <w:p w14:paraId="350A85DA">
            <w:pPr>
              <w:ind w:firstLine="482"/>
              <w:rPr>
                <w:b/>
                <w:bCs/>
                <w:color w:val="auto"/>
              </w:rPr>
            </w:pPr>
            <w:r>
              <w:rPr>
                <w:rFonts w:hint="eastAsia"/>
                <w:b/>
                <w:bCs/>
                <w:color w:val="auto"/>
              </w:rPr>
              <w:t>2、废水</w:t>
            </w:r>
          </w:p>
          <w:p w14:paraId="487A9268">
            <w:pPr>
              <w:bidi w:val="0"/>
              <w:rPr>
                <w:rFonts w:hint="eastAsia" w:eastAsia="宋体"/>
                <w:color w:val="auto"/>
                <w:lang w:eastAsia="zh-CN"/>
              </w:rPr>
            </w:pPr>
            <w:r>
              <w:rPr>
                <w:rFonts w:hint="eastAsia"/>
                <w:color w:val="auto"/>
                <w:lang w:eastAsia="zh-CN"/>
              </w:rPr>
              <w:t>（</w:t>
            </w:r>
            <w:r>
              <w:rPr>
                <w:rFonts w:hint="eastAsia"/>
                <w:color w:val="auto"/>
                <w:lang w:val="en-US" w:eastAsia="zh-CN"/>
              </w:rPr>
              <w:t>1</w:t>
            </w:r>
            <w:r>
              <w:rPr>
                <w:rFonts w:hint="eastAsia"/>
                <w:color w:val="auto"/>
                <w:lang w:eastAsia="zh-CN"/>
              </w:rPr>
              <w:t>）施工期</w:t>
            </w:r>
          </w:p>
          <w:p w14:paraId="10BBB337">
            <w:pPr>
              <w:bidi w:val="0"/>
              <w:rPr>
                <w:rFonts w:hint="eastAsia" w:eastAsia="宋体"/>
                <w:color w:val="auto"/>
                <w:lang w:eastAsia="zh-CN"/>
              </w:rPr>
            </w:pPr>
            <w:r>
              <w:rPr>
                <w:rFonts w:hint="eastAsia"/>
                <w:color w:val="auto"/>
              </w:rPr>
              <w:t>施工期废水主要为施工人员盥洗废水，</w:t>
            </w:r>
            <w:r>
              <w:rPr>
                <w:rFonts w:hint="eastAsia"/>
                <w:color w:val="auto"/>
                <w:lang w:val="en-US" w:eastAsia="zh-CN"/>
              </w:rPr>
              <w:t>经</w:t>
            </w:r>
            <w:r>
              <w:rPr>
                <w:rFonts w:hint="eastAsia"/>
                <w:color w:val="auto"/>
              </w:rPr>
              <w:t>厂区内</w:t>
            </w:r>
            <w:r>
              <w:rPr>
                <w:rFonts w:hint="eastAsia"/>
                <w:color w:val="auto"/>
                <w:lang w:val="en-US" w:eastAsia="zh-CN"/>
              </w:rPr>
              <w:t>已建</w:t>
            </w:r>
            <w:r>
              <w:rPr>
                <w:rFonts w:hint="eastAsia"/>
                <w:color w:val="auto"/>
              </w:rPr>
              <w:t>化粪池处理</w:t>
            </w:r>
            <w:r>
              <w:rPr>
                <w:rFonts w:hint="eastAsia"/>
                <w:color w:val="auto"/>
                <w:lang w:eastAsia="zh-CN"/>
              </w:rPr>
              <w:t>。</w:t>
            </w:r>
          </w:p>
          <w:p w14:paraId="03264E0D">
            <w:pPr>
              <w:bidi w:val="0"/>
              <w:rPr>
                <w:rFonts w:hint="default" w:eastAsia="宋体"/>
                <w:color w:val="auto"/>
                <w:lang w:val="en-US" w:eastAsia="zh-CN"/>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lang w:val="en-US" w:eastAsia="zh-CN"/>
              </w:rPr>
              <w:t>运营期</w:t>
            </w:r>
          </w:p>
          <w:p w14:paraId="71987161">
            <w:pPr>
              <w:bidi w:val="0"/>
              <w:rPr>
                <w:rFonts w:hint="eastAsia"/>
                <w:color w:val="auto"/>
              </w:rPr>
            </w:pPr>
            <w:r>
              <w:rPr>
                <w:rFonts w:hint="eastAsia"/>
                <w:color w:val="auto"/>
              </w:rPr>
              <w:t>项目实行雨污分流，项目</w:t>
            </w:r>
            <w:r>
              <w:rPr>
                <w:rFonts w:hint="eastAsia"/>
                <w:color w:val="auto"/>
                <w:lang w:val="en-US" w:eastAsia="zh-CN"/>
              </w:rPr>
              <w:t>厂区初期雨水经初期雨水收集池收集沉淀后晴天回用于厂区洒水降尘，不外排。</w:t>
            </w:r>
          </w:p>
          <w:p w14:paraId="74B27829">
            <w:pPr>
              <w:bidi w:val="0"/>
              <w:rPr>
                <w:rFonts w:hint="eastAsia" w:eastAsia="宋体"/>
                <w:color w:val="auto"/>
                <w:lang w:eastAsia="zh-CN"/>
              </w:rPr>
            </w:pPr>
            <w:r>
              <w:rPr>
                <w:rFonts w:hint="eastAsia"/>
                <w:color w:val="auto"/>
              </w:rPr>
              <w:t>本项目产生的废水主要是生产废水和生活污水。其中生产废水</w:t>
            </w:r>
            <w:r>
              <w:rPr>
                <w:rFonts w:hint="eastAsia"/>
                <w:color w:val="auto"/>
                <w:lang w:eastAsia="zh-CN"/>
              </w:rPr>
              <w:t>经</w:t>
            </w:r>
            <w:r>
              <w:rPr>
                <w:rFonts w:hint="eastAsia"/>
                <w:color w:val="auto"/>
              </w:rPr>
              <w:t>项目区设置的循环</w:t>
            </w:r>
            <w:r>
              <w:rPr>
                <w:rFonts w:hint="eastAsia"/>
                <w:color w:val="auto"/>
                <w:lang w:val="en-US" w:eastAsia="zh-CN"/>
              </w:rPr>
              <w:t>冷却</w:t>
            </w:r>
            <w:r>
              <w:rPr>
                <w:rFonts w:hint="eastAsia"/>
                <w:color w:val="auto"/>
              </w:rPr>
              <w:t>水池</w:t>
            </w:r>
            <w:r>
              <w:rPr>
                <w:rFonts w:hint="eastAsia"/>
                <w:color w:val="auto"/>
                <w:lang w:val="en-US" w:eastAsia="zh-CN"/>
              </w:rPr>
              <w:t>处理后循环使用，</w:t>
            </w:r>
            <w:r>
              <w:rPr>
                <w:rFonts w:hint="eastAsia"/>
                <w:color w:val="auto"/>
              </w:rPr>
              <w:t>不外排。生活污水</w:t>
            </w:r>
            <w:r>
              <w:rPr>
                <w:rFonts w:hint="eastAsia"/>
                <w:color w:val="auto"/>
                <w:lang w:eastAsia="zh-CN"/>
              </w:rPr>
              <w:t>经化粪池</w:t>
            </w:r>
            <w:r>
              <w:rPr>
                <w:rFonts w:hint="eastAsia"/>
                <w:color w:val="auto"/>
                <w:lang w:val="en-US" w:eastAsia="zh-CN"/>
              </w:rPr>
              <w:t>预处理后进入自建</w:t>
            </w:r>
            <w:r>
              <w:rPr>
                <w:rFonts w:hint="eastAsia"/>
                <w:color w:val="auto"/>
                <w:lang w:eastAsia="zh-CN"/>
              </w:rPr>
              <w:t>一体化污水处理</w:t>
            </w:r>
            <w:r>
              <w:rPr>
                <w:rFonts w:hint="eastAsia"/>
                <w:color w:val="auto"/>
                <w:lang w:val="en-US" w:eastAsia="zh-CN"/>
              </w:rPr>
              <w:t>设施</w:t>
            </w:r>
            <w:r>
              <w:rPr>
                <w:rFonts w:hint="eastAsia"/>
                <w:color w:val="auto"/>
                <w:lang w:eastAsia="zh-CN"/>
              </w:rPr>
              <w:t>处理</w:t>
            </w:r>
            <w:r>
              <w:rPr>
                <w:rFonts w:hint="eastAsia"/>
                <w:color w:val="auto"/>
                <w:lang w:val="en-US" w:eastAsia="zh-CN"/>
              </w:rPr>
              <w:t>达到《城市污水再生利用 城市杂用水水质》（GB/T 18920-2020）中城市绿化、道路清扫标准后回用于厂区绿化及道路空地洒水降尘，不外排。具体标准限值见下表。</w:t>
            </w:r>
          </w:p>
          <w:p w14:paraId="783080D2">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表3-10  城市污水再生利用工业用水水质（单位：mg/L，pH无量纲）</w:t>
            </w:r>
          </w:p>
          <w:tbl>
            <w:tblPr>
              <w:tblStyle w:val="23"/>
              <w:tblW w:w="79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4950"/>
              <w:gridCol w:w="2200"/>
            </w:tblGrid>
            <w:tr w14:paraId="7290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4" w:type="dxa"/>
                  <w:tcBorders>
                    <w:tl2br w:val="nil"/>
                    <w:tr2bl w:val="nil"/>
                  </w:tcBorders>
                  <w:vAlign w:val="center"/>
                </w:tcPr>
                <w:p w14:paraId="06951337">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序号</w:t>
                  </w:r>
                </w:p>
              </w:tc>
              <w:tc>
                <w:tcPr>
                  <w:tcW w:w="4950" w:type="dxa"/>
                  <w:tcBorders>
                    <w:tl2br w:val="nil"/>
                    <w:tr2bl w:val="nil"/>
                  </w:tcBorders>
                  <w:vAlign w:val="center"/>
                </w:tcPr>
                <w:p w14:paraId="1200CBD6">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项目</w:t>
                  </w:r>
                </w:p>
              </w:tc>
              <w:tc>
                <w:tcPr>
                  <w:tcW w:w="2200" w:type="dxa"/>
                  <w:tcBorders>
                    <w:tl2br w:val="nil"/>
                    <w:tr2bl w:val="nil"/>
                  </w:tcBorders>
                  <w:vAlign w:val="center"/>
                </w:tcPr>
                <w:p w14:paraId="7550AB90">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城市绿化、道路清扫</w:t>
                  </w:r>
                </w:p>
              </w:tc>
            </w:tr>
            <w:tr w14:paraId="6D99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4" w:type="dxa"/>
                  <w:tcBorders>
                    <w:tl2br w:val="nil"/>
                    <w:tr2bl w:val="nil"/>
                  </w:tcBorders>
                  <w:vAlign w:val="center"/>
                </w:tcPr>
                <w:p w14:paraId="3AB9098F">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1</w:t>
                  </w:r>
                </w:p>
              </w:tc>
              <w:tc>
                <w:tcPr>
                  <w:tcW w:w="4950" w:type="dxa"/>
                  <w:tcBorders>
                    <w:tl2br w:val="nil"/>
                    <w:tr2bl w:val="nil"/>
                  </w:tcBorders>
                  <w:vAlign w:val="center"/>
                </w:tcPr>
                <w:p w14:paraId="4850DF1D">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pH</w:t>
                  </w:r>
                </w:p>
              </w:tc>
              <w:tc>
                <w:tcPr>
                  <w:tcW w:w="2200" w:type="dxa"/>
                  <w:tcBorders>
                    <w:tl2br w:val="nil"/>
                    <w:tr2bl w:val="nil"/>
                  </w:tcBorders>
                  <w:vAlign w:val="center"/>
                </w:tcPr>
                <w:p w14:paraId="75E23134">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6~9</w:t>
                  </w:r>
                </w:p>
              </w:tc>
            </w:tr>
            <w:tr w14:paraId="6510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4" w:type="dxa"/>
                  <w:tcBorders>
                    <w:tl2br w:val="nil"/>
                    <w:tr2bl w:val="nil"/>
                  </w:tcBorders>
                  <w:vAlign w:val="center"/>
                </w:tcPr>
                <w:p w14:paraId="6932D20D">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2</w:t>
                  </w:r>
                </w:p>
              </w:tc>
              <w:tc>
                <w:tcPr>
                  <w:tcW w:w="4950" w:type="dxa"/>
                  <w:tcBorders>
                    <w:tl2br w:val="nil"/>
                    <w:tr2bl w:val="nil"/>
                  </w:tcBorders>
                  <w:vAlign w:val="center"/>
                </w:tcPr>
                <w:p w14:paraId="664287A0">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色度，铂钻色度单位                         ≤</w:t>
                  </w:r>
                </w:p>
              </w:tc>
              <w:tc>
                <w:tcPr>
                  <w:tcW w:w="2200" w:type="dxa"/>
                  <w:tcBorders>
                    <w:tl2br w:val="nil"/>
                    <w:tr2bl w:val="nil"/>
                  </w:tcBorders>
                  <w:vAlign w:val="center"/>
                </w:tcPr>
                <w:p w14:paraId="47FA16F1">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30</w:t>
                  </w:r>
                </w:p>
              </w:tc>
            </w:tr>
            <w:tr w14:paraId="08D48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4" w:type="dxa"/>
                  <w:tcBorders>
                    <w:tl2br w:val="nil"/>
                    <w:tr2bl w:val="nil"/>
                  </w:tcBorders>
                  <w:vAlign w:val="center"/>
                </w:tcPr>
                <w:p w14:paraId="0A01D992">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3</w:t>
                  </w:r>
                </w:p>
              </w:tc>
              <w:tc>
                <w:tcPr>
                  <w:tcW w:w="4950" w:type="dxa"/>
                  <w:tcBorders>
                    <w:tl2br w:val="nil"/>
                    <w:tr2bl w:val="nil"/>
                  </w:tcBorders>
                  <w:vAlign w:val="center"/>
                </w:tcPr>
                <w:p w14:paraId="746404BF">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浊度/NTU                                  ≤</w:t>
                  </w:r>
                </w:p>
              </w:tc>
              <w:tc>
                <w:tcPr>
                  <w:tcW w:w="2200" w:type="dxa"/>
                  <w:tcBorders>
                    <w:tl2br w:val="nil"/>
                    <w:tr2bl w:val="nil"/>
                  </w:tcBorders>
                  <w:vAlign w:val="center"/>
                </w:tcPr>
                <w:p w14:paraId="3BE20366">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10</w:t>
                  </w:r>
                </w:p>
              </w:tc>
            </w:tr>
            <w:tr w14:paraId="2F8F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4" w:type="dxa"/>
                  <w:tcBorders>
                    <w:tl2br w:val="nil"/>
                    <w:tr2bl w:val="nil"/>
                  </w:tcBorders>
                  <w:vAlign w:val="center"/>
                </w:tcPr>
                <w:p w14:paraId="44048F61">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4</w:t>
                  </w:r>
                </w:p>
              </w:tc>
              <w:tc>
                <w:tcPr>
                  <w:tcW w:w="4950" w:type="dxa"/>
                  <w:tcBorders>
                    <w:tl2br w:val="nil"/>
                    <w:tr2bl w:val="nil"/>
                  </w:tcBorders>
                  <w:vAlign w:val="center"/>
                </w:tcPr>
                <w:p w14:paraId="57F39320">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五日生化需氧量（BOD</w:t>
                  </w:r>
                  <w:r>
                    <w:rPr>
                      <w:rFonts w:hint="eastAsia"/>
                      <w:snapToGrid w:val="0"/>
                      <w:color w:val="auto"/>
                      <w:sz w:val="21"/>
                      <w:szCs w:val="21"/>
                      <w:highlight w:val="none"/>
                      <w:vertAlign w:val="subscript"/>
                      <w:lang w:val="en-US" w:eastAsia="zh-CN"/>
                    </w:rPr>
                    <w:t>5</w:t>
                  </w:r>
                  <w:r>
                    <w:rPr>
                      <w:rFonts w:hint="eastAsia"/>
                      <w:snapToGrid w:val="0"/>
                      <w:color w:val="auto"/>
                      <w:sz w:val="21"/>
                      <w:szCs w:val="21"/>
                      <w:highlight w:val="none"/>
                      <w:vertAlign w:val="baseline"/>
                      <w:lang w:val="en-US" w:eastAsia="zh-CN"/>
                    </w:rPr>
                    <w:t>）/（mg/L）           ≤</w:t>
                  </w:r>
                </w:p>
              </w:tc>
              <w:tc>
                <w:tcPr>
                  <w:tcW w:w="2200" w:type="dxa"/>
                  <w:tcBorders>
                    <w:tl2br w:val="nil"/>
                    <w:tr2bl w:val="nil"/>
                  </w:tcBorders>
                  <w:vAlign w:val="center"/>
                </w:tcPr>
                <w:p w14:paraId="225B9512">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10</w:t>
                  </w:r>
                </w:p>
              </w:tc>
            </w:tr>
            <w:tr w14:paraId="31FF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4" w:type="dxa"/>
                  <w:tcBorders>
                    <w:tl2br w:val="nil"/>
                    <w:tr2bl w:val="nil"/>
                  </w:tcBorders>
                  <w:vAlign w:val="center"/>
                </w:tcPr>
                <w:p w14:paraId="79DF1553">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5</w:t>
                  </w:r>
                </w:p>
              </w:tc>
              <w:tc>
                <w:tcPr>
                  <w:tcW w:w="4950" w:type="dxa"/>
                  <w:tcBorders>
                    <w:tl2br w:val="nil"/>
                    <w:tr2bl w:val="nil"/>
                  </w:tcBorders>
                  <w:vAlign w:val="center"/>
                </w:tcPr>
                <w:p w14:paraId="22B7C0E1">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氨氮/（mg/L）                              ≤</w:t>
                  </w:r>
                </w:p>
              </w:tc>
              <w:tc>
                <w:tcPr>
                  <w:tcW w:w="2200" w:type="dxa"/>
                  <w:tcBorders>
                    <w:tl2br w:val="nil"/>
                    <w:tr2bl w:val="nil"/>
                  </w:tcBorders>
                  <w:vAlign w:val="center"/>
                </w:tcPr>
                <w:p w14:paraId="37657462">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8</w:t>
                  </w:r>
                </w:p>
              </w:tc>
            </w:tr>
            <w:tr w14:paraId="38613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4" w:type="dxa"/>
                  <w:tcBorders>
                    <w:tl2br w:val="nil"/>
                    <w:tr2bl w:val="nil"/>
                  </w:tcBorders>
                  <w:vAlign w:val="center"/>
                </w:tcPr>
                <w:p w14:paraId="70F1CE8B">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6</w:t>
                  </w:r>
                </w:p>
              </w:tc>
              <w:tc>
                <w:tcPr>
                  <w:tcW w:w="4950" w:type="dxa"/>
                  <w:tcBorders>
                    <w:tl2br w:val="nil"/>
                    <w:tr2bl w:val="nil"/>
                  </w:tcBorders>
                  <w:vAlign w:val="center"/>
                </w:tcPr>
                <w:p w14:paraId="400BB099">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阴离子表面活性剂/（mg/L）                  ≤</w:t>
                  </w:r>
                </w:p>
              </w:tc>
              <w:tc>
                <w:tcPr>
                  <w:tcW w:w="2200" w:type="dxa"/>
                  <w:tcBorders>
                    <w:tl2br w:val="nil"/>
                    <w:tr2bl w:val="nil"/>
                  </w:tcBorders>
                  <w:vAlign w:val="center"/>
                </w:tcPr>
                <w:p w14:paraId="1BAD7C45">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0.5</w:t>
                  </w:r>
                </w:p>
              </w:tc>
            </w:tr>
            <w:tr w14:paraId="57A10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4" w:type="dxa"/>
                  <w:tcBorders>
                    <w:tl2br w:val="nil"/>
                    <w:tr2bl w:val="nil"/>
                  </w:tcBorders>
                  <w:vAlign w:val="center"/>
                </w:tcPr>
                <w:p w14:paraId="53F584AE">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7</w:t>
                  </w:r>
                </w:p>
              </w:tc>
              <w:tc>
                <w:tcPr>
                  <w:tcW w:w="4950" w:type="dxa"/>
                  <w:tcBorders>
                    <w:tl2br w:val="nil"/>
                    <w:tr2bl w:val="nil"/>
                  </w:tcBorders>
                  <w:vAlign w:val="center"/>
                </w:tcPr>
                <w:p w14:paraId="4EAE2AB0">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溶解性总固体/（mg/L）                      ≤</w:t>
                  </w:r>
                </w:p>
              </w:tc>
              <w:tc>
                <w:tcPr>
                  <w:tcW w:w="2200" w:type="dxa"/>
                  <w:tcBorders>
                    <w:tl2br w:val="nil"/>
                    <w:tr2bl w:val="nil"/>
                  </w:tcBorders>
                  <w:vAlign w:val="center"/>
                </w:tcPr>
                <w:p w14:paraId="1783095B">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1000</w:t>
                  </w:r>
                </w:p>
              </w:tc>
            </w:tr>
            <w:tr w14:paraId="67AE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4" w:type="dxa"/>
                  <w:tcBorders>
                    <w:tl2br w:val="nil"/>
                    <w:tr2bl w:val="nil"/>
                  </w:tcBorders>
                  <w:vAlign w:val="center"/>
                </w:tcPr>
                <w:p w14:paraId="7BAAD84B">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8</w:t>
                  </w:r>
                </w:p>
              </w:tc>
              <w:tc>
                <w:tcPr>
                  <w:tcW w:w="4950" w:type="dxa"/>
                  <w:tcBorders>
                    <w:tl2br w:val="nil"/>
                    <w:tr2bl w:val="nil"/>
                  </w:tcBorders>
                  <w:vAlign w:val="center"/>
                </w:tcPr>
                <w:p w14:paraId="60D1AA33">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溶解氧/（mg/L）                            ≥</w:t>
                  </w:r>
                </w:p>
              </w:tc>
              <w:tc>
                <w:tcPr>
                  <w:tcW w:w="2200" w:type="dxa"/>
                  <w:tcBorders>
                    <w:tl2br w:val="nil"/>
                    <w:tr2bl w:val="nil"/>
                  </w:tcBorders>
                  <w:vAlign w:val="center"/>
                </w:tcPr>
                <w:p w14:paraId="68D7A887">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2.0</w:t>
                  </w:r>
                </w:p>
              </w:tc>
            </w:tr>
            <w:tr w14:paraId="493A5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4" w:type="dxa"/>
                  <w:tcBorders>
                    <w:tl2br w:val="nil"/>
                    <w:tr2bl w:val="nil"/>
                  </w:tcBorders>
                  <w:vAlign w:val="center"/>
                </w:tcPr>
                <w:p w14:paraId="263C29C3">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9</w:t>
                  </w:r>
                </w:p>
              </w:tc>
              <w:tc>
                <w:tcPr>
                  <w:tcW w:w="4950" w:type="dxa"/>
                  <w:tcBorders>
                    <w:tl2br w:val="nil"/>
                    <w:tr2bl w:val="nil"/>
                  </w:tcBorders>
                  <w:vAlign w:val="center"/>
                </w:tcPr>
                <w:p w14:paraId="64DFDA26">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总氯/（mg/L）                               ≥</w:t>
                  </w:r>
                </w:p>
              </w:tc>
              <w:tc>
                <w:tcPr>
                  <w:tcW w:w="2200" w:type="dxa"/>
                  <w:tcBorders>
                    <w:tl2br w:val="nil"/>
                    <w:tr2bl w:val="nil"/>
                  </w:tcBorders>
                  <w:vAlign w:val="center"/>
                </w:tcPr>
                <w:p w14:paraId="6D223364">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default"/>
                      <w:snapToGrid w:val="0"/>
                      <w:color w:val="auto"/>
                      <w:sz w:val="21"/>
                      <w:szCs w:val="21"/>
                      <w:highlight w:val="none"/>
                      <w:vertAlign w:val="baseline"/>
                      <w:lang w:val="en-US" w:eastAsia="zh-CN"/>
                    </w:rPr>
                    <w:t>1.0</w:t>
                  </w:r>
                  <w:r>
                    <w:rPr>
                      <w:rFonts w:hint="eastAsia"/>
                      <w:snapToGrid w:val="0"/>
                      <w:color w:val="auto"/>
                      <w:sz w:val="21"/>
                      <w:szCs w:val="21"/>
                      <w:highlight w:val="none"/>
                      <w:vertAlign w:val="baseline"/>
                      <w:lang w:val="en-US" w:eastAsia="zh-CN"/>
                    </w:rPr>
                    <w:t>（</w:t>
                  </w:r>
                  <w:r>
                    <w:rPr>
                      <w:rFonts w:hint="default"/>
                      <w:snapToGrid w:val="0"/>
                      <w:color w:val="auto"/>
                      <w:sz w:val="21"/>
                      <w:szCs w:val="21"/>
                      <w:highlight w:val="none"/>
                      <w:vertAlign w:val="baseline"/>
                      <w:lang w:val="en-US" w:eastAsia="zh-CN"/>
                    </w:rPr>
                    <w:t>出厂</w:t>
                  </w:r>
                  <w:r>
                    <w:rPr>
                      <w:rFonts w:hint="eastAsia"/>
                      <w:snapToGrid w:val="0"/>
                      <w:color w:val="auto"/>
                      <w:sz w:val="21"/>
                      <w:szCs w:val="21"/>
                      <w:highlight w:val="none"/>
                      <w:vertAlign w:val="baseline"/>
                      <w:lang w:val="en-US" w:eastAsia="zh-CN"/>
                    </w:rPr>
                    <w:t>），</w:t>
                  </w:r>
                  <w:r>
                    <w:rPr>
                      <w:rFonts w:hint="default"/>
                      <w:snapToGrid w:val="0"/>
                      <w:color w:val="auto"/>
                      <w:sz w:val="21"/>
                      <w:szCs w:val="21"/>
                      <w:highlight w:val="none"/>
                      <w:vertAlign w:val="baseline"/>
                      <w:lang w:val="en-US" w:eastAsia="zh-CN"/>
                    </w:rPr>
                    <w:t>0.2</w:t>
                  </w:r>
                  <w:r>
                    <w:rPr>
                      <w:rFonts w:hint="eastAsia"/>
                      <w:snapToGrid w:val="0"/>
                      <w:color w:val="auto"/>
                      <w:sz w:val="21"/>
                      <w:szCs w:val="21"/>
                      <w:highlight w:val="none"/>
                      <w:vertAlign w:val="baseline"/>
                      <w:lang w:val="en-US" w:eastAsia="zh-CN"/>
                    </w:rPr>
                    <w:t>（</w:t>
                  </w:r>
                  <w:r>
                    <w:rPr>
                      <w:rFonts w:hint="default"/>
                      <w:snapToGrid w:val="0"/>
                      <w:color w:val="auto"/>
                      <w:sz w:val="21"/>
                      <w:szCs w:val="21"/>
                      <w:highlight w:val="none"/>
                      <w:vertAlign w:val="baseline"/>
                      <w:lang w:val="en-US" w:eastAsia="zh-CN"/>
                    </w:rPr>
                    <w:t>管网末端</w:t>
                  </w:r>
                  <w:r>
                    <w:rPr>
                      <w:rFonts w:hint="eastAsia"/>
                      <w:snapToGrid w:val="0"/>
                      <w:color w:val="auto"/>
                      <w:sz w:val="21"/>
                      <w:szCs w:val="21"/>
                      <w:highlight w:val="none"/>
                      <w:vertAlign w:val="baseline"/>
                      <w:lang w:val="en-US" w:eastAsia="zh-CN"/>
                    </w:rPr>
                    <w:t>）</w:t>
                  </w:r>
                </w:p>
              </w:tc>
            </w:tr>
            <w:tr w14:paraId="0466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4" w:type="dxa"/>
                  <w:tcBorders>
                    <w:tl2br w:val="nil"/>
                    <w:tr2bl w:val="nil"/>
                  </w:tcBorders>
                  <w:vAlign w:val="center"/>
                </w:tcPr>
                <w:p w14:paraId="467A5D0F">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10</w:t>
                  </w:r>
                </w:p>
              </w:tc>
              <w:tc>
                <w:tcPr>
                  <w:tcW w:w="4950" w:type="dxa"/>
                  <w:tcBorders>
                    <w:tl2br w:val="nil"/>
                    <w:tr2bl w:val="nil"/>
                  </w:tcBorders>
                  <w:vAlign w:val="center"/>
                </w:tcPr>
                <w:p w14:paraId="3966F982">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大肠埃希氏菌/（MPN/100ml或CFU/100ml）</w:t>
                  </w:r>
                </w:p>
              </w:tc>
              <w:tc>
                <w:tcPr>
                  <w:tcW w:w="2200" w:type="dxa"/>
                  <w:tcBorders>
                    <w:tl2br w:val="nil"/>
                    <w:tr2bl w:val="nil"/>
                  </w:tcBorders>
                  <w:vAlign w:val="center"/>
                </w:tcPr>
                <w:p w14:paraId="454A5B84">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snapToGrid w:val="0"/>
                      <w:color w:val="auto"/>
                      <w:sz w:val="21"/>
                      <w:szCs w:val="21"/>
                      <w:highlight w:val="none"/>
                      <w:vertAlign w:val="baseline"/>
                      <w:lang w:val="en-US" w:eastAsia="zh-CN"/>
                    </w:rPr>
                  </w:pPr>
                  <w:r>
                    <w:rPr>
                      <w:rFonts w:hint="eastAsia"/>
                      <w:snapToGrid w:val="0"/>
                      <w:color w:val="auto"/>
                      <w:sz w:val="21"/>
                      <w:szCs w:val="21"/>
                      <w:highlight w:val="none"/>
                      <w:vertAlign w:val="baseline"/>
                      <w:lang w:val="en-US" w:eastAsia="zh-CN"/>
                    </w:rPr>
                    <w:t>无</w:t>
                  </w:r>
                </w:p>
              </w:tc>
            </w:tr>
          </w:tbl>
          <w:p w14:paraId="0FD6DCDA">
            <w:pPr>
              <w:bidi w:val="0"/>
              <w:rPr>
                <w:rFonts w:hint="default"/>
                <w:b/>
                <w:bCs/>
                <w:color w:val="auto"/>
              </w:rPr>
            </w:pPr>
            <w:r>
              <w:rPr>
                <w:b/>
                <w:bCs/>
                <w:color w:val="auto"/>
              </w:rPr>
              <w:t>3</w:t>
            </w:r>
            <w:r>
              <w:rPr>
                <w:rFonts w:hint="eastAsia"/>
                <w:b/>
                <w:bCs/>
                <w:color w:val="auto"/>
                <w:lang w:eastAsia="zh-CN"/>
              </w:rPr>
              <w:t>、</w:t>
            </w:r>
            <w:r>
              <w:rPr>
                <w:b/>
                <w:bCs/>
                <w:color w:val="auto"/>
              </w:rPr>
              <w:t>噪声</w:t>
            </w:r>
          </w:p>
          <w:p w14:paraId="2A476228">
            <w:pPr>
              <w:bidi w:val="0"/>
              <w:rPr>
                <w:rFonts w:hint="default"/>
                <w:b/>
                <w:bCs/>
                <w:color w:val="auto"/>
                <w:lang w:val="en-US" w:eastAsia="zh-CN"/>
              </w:rPr>
            </w:pPr>
            <w:r>
              <w:rPr>
                <w:rFonts w:hint="eastAsia"/>
                <w:b/>
                <w:bCs/>
                <w:color w:val="auto"/>
                <w:lang w:val="en-US" w:eastAsia="zh-CN"/>
              </w:rPr>
              <w:t>（1）施工期</w:t>
            </w:r>
          </w:p>
          <w:p w14:paraId="4197E821">
            <w:pPr>
              <w:bidi w:val="0"/>
              <w:rPr>
                <w:rFonts w:hint="eastAsia" w:eastAsia="宋体"/>
                <w:color w:val="auto"/>
                <w:lang w:eastAsia="zh-CN"/>
              </w:rPr>
            </w:pPr>
            <w:r>
              <w:rPr>
                <w:rFonts w:hint="eastAsia" w:eastAsia="宋体"/>
                <w:color w:val="auto"/>
                <w:lang w:eastAsia="zh-CN"/>
              </w:rPr>
              <w:t>项目施工期噪声排放执行《建筑施工噪声排放标准》（GB12523-2025），标准限值详见下表。</w:t>
            </w:r>
          </w:p>
          <w:p w14:paraId="6F0B5C0D">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表3-11   建筑施工场界噪声排放限值    单位：dB（A）</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1"/>
              <w:gridCol w:w="3802"/>
            </w:tblGrid>
            <w:tr w14:paraId="505F5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01" w:type="dxa"/>
                  <w:vAlign w:val="center"/>
                </w:tcPr>
                <w:p w14:paraId="063E0E1F">
                  <w:pPr>
                    <w:pStyle w:val="31"/>
                    <w:bidi w:val="0"/>
                    <w:jc w:val="center"/>
                    <w:rPr>
                      <w:rFonts w:hint="eastAsia" w:eastAsia="宋体"/>
                      <w:color w:val="auto"/>
                      <w:vertAlign w:val="baseline"/>
                      <w:lang w:eastAsia="zh-CN"/>
                    </w:rPr>
                  </w:pPr>
                  <w:r>
                    <w:rPr>
                      <w:rFonts w:hint="eastAsia"/>
                      <w:color w:val="auto"/>
                      <w:vertAlign w:val="baseline"/>
                      <w:lang w:eastAsia="zh-CN"/>
                    </w:rPr>
                    <w:t>昼间</w:t>
                  </w:r>
                </w:p>
              </w:tc>
              <w:tc>
                <w:tcPr>
                  <w:tcW w:w="3802" w:type="dxa"/>
                  <w:vAlign w:val="center"/>
                </w:tcPr>
                <w:p w14:paraId="747B02DA">
                  <w:pPr>
                    <w:pStyle w:val="31"/>
                    <w:bidi w:val="0"/>
                    <w:jc w:val="center"/>
                    <w:rPr>
                      <w:rFonts w:hint="eastAsia" w:eastAsia="宋体"/>
                      <w:color w:val="auto"/>
                      <w:vertAlign w:val="baseline"/>
                      <w:lang w:eastAsia="zh-CN"/>
                    </w:rPr>
                  </w:pPr>
                  <w:r>
                    <w:rPr>
                      <w:rFonts w:hint="eastAsia"/>
                      <w:color w:val="auto"/>
                      <w:vertAlign w:val="baseline"/>
                      <w:lang w:eastAsia="zh-CN"/>
                    </w:rPr>
                    <w:t>夜间</w:t>
                  </w:r>
                </w:p>
              </w:tc>
            </w:tr>
            <w:tr w14:paraId="0BA37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01" w:type="dxa"/>
                  <w:vAlign w:val="center"/>
                </w:tcPr>
                <w:p w14:paraId="30422ACD">
                  <w:pPr>
                    <w:pStyle w:val="31"/>
                    <w:bidi w:val="0"/>
                    <w:jc w:val="center"/>
                    <w:rPr>
                      <w:rFonts w:hint="default" w:eastAsia="宋体"/>
                      <w:color w:val="auto"/>
                      <w:vertAlign w:val="baseline"/>
                      <w:lang w:val="en-US" w:eastAsia="zh-CN"/>
                    </w:rPr>
                  </w:pPr>
                  <w:r>
                    <w:rPr>
                      <w:rFonts w:hint="eastAsia"/>
                      <w:color w:val="auto"/>
                      <w:vertAlign w:val="baseline"/>
                      <w:lang w:val="en-US" w:eastAsia="zh-CN"/>
                    </w:rPr>
                    <w:t>70</w:t>
                  </w:r>
                </w:p>
              </w:tc>
              <w:tc>
                <w:tcPr>
                  <w:tcW w:w="3802" w:type="dxa"/>
                  <w:vAlign w:val="center"/>
                </w:tcPr>
                <w:p w14:paraId="430B1B70">
                  <w:pPr>
                    <w:pStyle w:val="31"/>
                    <w:bidi w:val="0"/>
                    <w:jc w:val="center"/>
                    <w:rPr>
                      <w:rFonts w:hint="default" w:eastAsia="宋体"/>
                      <w:color w:val="auto"/>
                      <w:vertAlign w:val="baseline"/>
                      <w:lang w:val="en-US" w:eastAsia="zh-CN"/>
                    </w:rPr>
                  </w:pPr>
                  <w:r>
                    <w:rPr>
                      <w:rFonts w:hint="eastAsia"/>
                      <w:color w:val="auto"/>
                      <w:vertAlign w:val="baseline"/>
                      <w:lang w:val="en-US" w:eastAsia="zh-CN"/>
                    </w:rPr>
                    <w:t>50</w:t>
                  </w:r>
                </w:p>
              </w:tc>
            </w:tr>
          </w:tbl>
          <w:p w14:paraId="5275D4B8">
            <w:pPr>
              <w:bidi w:val="0"/>
              <w:rPr>
                <w:rFonts w:hint="eastAsia" w:eastAsia="宋体"/>
                <w:b/>
                <w:bCs/>
                <w:color w:val="auto"/>
                <w:lang w:eastAsia="zh-CN"/>
              </w:rPr>
            </w:pPr>
            <w:r>
              <w:rPr>
                <w:rFonts w:hint="eastAsia"/>
                <w:b/>
                <w:bCs/>
                <w:color w:val="auto"/>
                <w:lang w:eastAsia="zh-CN"/>
              </w:rPr>
              <w:t>（</w:t>
            </w:r>
            <w:r>
              <w:rPr>
                <w:rFonts w:hint="eastAsia"/>
                <w:b/>
                <w:bCs/>
                <w:color w:val="auto"/>
                <w:lang w:val="en-US" w:eastAsia="zh-CN"/>
              </w:rPr>
              <w:t>2</w:t>
            </w:r>
            <w:r>
              <w:rPr>
                <w:rFonts w:hint="eastAsia"/>
                <w:b/>
                <w:bCs/>
                <w:color w:val="auto"/>
                <w:lang w:eastAsia="zh-CN"/>
              </w:rPr>
              <w:t>）运营期</w:t>
            </w:r>
          </w:p>
          <w:p w14:paraId="44B23B62">
            <w:pPr>
              <w:ind w:firstLine="480"/>
              <w:rPr>
                <w:rFonts w:cs="Times New Roman"/>
                <w:color w:val="auto"/>
              </w:rPr>
            </w:pPr>
            <w:r>
              <w:rPr>
                <w:rFonts w:hint="eastAsia"/>
                <w:color w:val="auto"/>
                <w:lang w:eastAsia="zh-CN"/>
              </w:rPr>
              <w:t>本项目运营期</w:t>
            </w:r>
            <w:r>
              <w:rPr>
                <w:rFonts w:hint="eastAsia"/>
                <w:color w:val="auto"/>
              </w:rPr>
              <w:t>噪声执</w:t>
            </w:r>
            <w:r>
              <w:rPr>
                <w:rFonts w:hint="eastAsia" w:cs="Times New Roman"/>
                <w:color w:val="auto"/>
              </w:rPr>
              <w:t>行《工业企业厂界环境噪声排放标准》（</w:t>
            </w:r>
            <w:r>
              <w:rPr>
                <w:rFonts w:cs="Times New Roman"/>
                <w:color w:val="auto"/>
              </w:rPr>
              <w:t>GB12348-2008</w:t>
            </w:r>
            <w:r>
              <w:rPr>
                <w:rFonts w:hint="eastAsia" w:cs="Times New Roman"/>
                <w:color w:val="auto"/>
              </w:rPr>
              <w:t>）2类标准。</w:t>
            </w:r>
          </w:p>
          <w:p w14:paraId="16786B02">
            <w:pPr>
              <w:pStyle w:val="3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表3-12  工业企业厂界环境噪声排放标准 单位：dB(A)</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122"/>
              <w:gridCol w:w="2237"/>
              <w:gridCol w:w="2231"/>
            </w:tblGrid>
            <w:tr w14:paraId="3A6F32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57" w:type="pct"/>
                  <w:vAlign w:val="center"/>
                </w:tcPr>
                <w:p w14:paraId="7554F080">
                  <w:pPr>
                    <w:pStyle w:val="31"/>
                    <w:rPr>
                      <w:rFonts w:hint="default"/>
                      <w:color w:val="auto"/>
                    </w:rPr>
                  </w:pPr>
                  <w:r>
                    <w:rPr>
                      <w:color w:val="auto"/>
                    </w:rPr>
                    <w:t>类别</w:t>
                  </w:r>
                </w:p>
              </w:tc>
              <w:tc>
                <w:tcPr>
                  <w:tcW w:w="1473" w:type="pct"/>
                  <w:vAlign w:val="center"/>
                </w:tcPr>
                <w:p w14:paraId="4714078A">
                  <w:pPr>
                    <w:pStyle w:val="31"/>
                    <w:rPr>
                      <w:rFonts w:hint="default"/>
                      <w:color w:val="auto"/>
                    </w:rPr>
                  </w:pPr>
                  <w:r>
                    <w:rPr>
                      <w:color w:val="auto"/>
                    </w:rPr>
                    <w:t>昼间</w:t>
                  </w:r>
                </w:p>
              </w:tc>
              <w:tc>
                <w:tcPr>
                  <w:tcW w:w="1469" w:type="pct"/>
                  <w:vAlign w:val="center"/>
                </w:tcPr>
                <w:p w14:paraId="36B9F89D">
                  <w:pPr>
                    <w:pStyle w:val="31"/>
                    <w:rPr>
                      <w:rFonts w:hint="default"/>
                      <w:color w:val="auto"/>
                    </w:rPr>
                  </w:pPr>
                  <w:r>
                    <w:rPr>
                      <w:color w:val="auto"/>
                    </w:rPr>
                    <w:t>夜间</w:t>
                  </w:r>
                </w:p>
              </w:tc>
            </w:tr>
            <w:tr w14:paraId="557D93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57" w:type="pct"/>
                  <w:vAlign w:val="center"/>
                </w:tcPr>
                <w:p w14:paraId="0A81F4D1">
                  <w:pPr>
                    <w:pStyle w:val="31"/>
                    <w:rPr>
                      <w:rFonts w:hint="default"/>
                      <w:color w:val="auto"/>
                    </w:rPr>
                  </w:pPr>
                  <w:r>
                    <w:rPr>
                      <w:color w:val="auto"/>
                    </w:rPr>
                    <w:t>2类</w:t>
                  </w:r>
                </w:p>
              </w:tc>
              <w:tc>
                <w:tcPr>
                  <w:tcW w:w="1473" w:type="pct"/>
                  <w:vAlign w:val="center"/>
                </w:tcPr>
                <w:p w14:paraId="7BC201C8">
                  <w:pPr>
                    <w:pStyle w:val="31"/>
                    <w:rPr>
                      <w:rFonts w:hint="default"/>
                      <w:color w:val="auto"/>
                    </w:rPr>
                  </w:pPr>
                  <w:r>
                    <w:rPr>
                      <w:color w:val="auto"/>
                    </w:rPr>
                    <w:t>≤60</w:t>
                  </w:r>
                </w:p>
              </w:tc>
              <w:tc>
                <w:tcPr>
                  <w:tcW w:w="1469" w:type="pct"/>
                  <w:vAlign w:val="center"/>
                </w:tcPr>
                <w:p w14:paraId="5D1D384E">
                  <w:pPr>
                    <w:pStyle w:val="31"/>
                    <w:rPr>
                      <w:rFonts w:hint="default"/>
                      <w:color w:val="auto"/>
                    </w:rPr>
                  </w:pPr>
                  <w:r>
                    <w:rPr>
                      <w:color w:val="auto"/>
                    </w:rPr>
                    <w:t>≤50</w:t>
                  </w:r>
                </w:p>
              </w:tc>
            </w:tr>
          </w:tbl>
          <w:p w14:paraId="63D27F0C">
            <w:pPr>
              <w:bidi w:val="0"/>
              <w:rPr>
                <w:rFonts w:hint="default"/>
                <w:b/>
                <w:bCs/>
                <w:color w:val="auto"/>
              </w:rPr>
            </w:pPr>
            <w:r>
              <w:rPr>
                <w:rFonts w:hint="eastAsia"/>
                <w:b/>
                <w:bCs/>
                <w:color w:val="auto"/>
                <w:lang w:val="en-US" w:eastAsia="zh-CN"/>
              </w:rPr>
              <w:t>4、</w:t>
            </w:r>
            <w:r>
              <w:rPr>
                <w:b/>
                <w:bCs/>
                <w:color w:val="auto"/>
              </w:rPr>
              <w:t>固体废物</w:t>
            </w:r>
          </w:p>
          <w:p w14:paraId="58E56A0A">
            <w:pPr>
              <w:bidi w:val="0"/>
              <w:rPr>
                <w:rFonts w:hint="eastAsia" w:eastAsia="宋体"/>
                <w:b/>
                <w:bCs/>
                <w:color w:val="auto"/>
                <w:lang w:eastAsia="zh-CN"/>
              </w:rPr>
            </w:pPr>
            <w:r>
              <w:rPr>
                <w:rFonts w:hint="eastAsia"/>
                <w:b/>
                <w:bCs/>
                <w:color w:val="auto"/>
                <w:lang w:eastAsia="zh-CN"/>
              </w:rPr>
              <w:t>（</w:t>
            </w:r>
            <w:r>
              <w:rPr>
                <w:rFonts w:hint="eastAsia"/>
                <w:b/>
                <w:bCs/>
                <w:color w:val="auto"/>
                <w:lang w:val="en-US" w:eastAsia="zh-CN"/>
              </w:rPr>
              <w:t>1</w:t>
            </w:r>
            <w:r>
              <w:rPr>
                <w:rFonts w:hint="eastAsia"/>
                <w:b/>
                <w:bCs/>
                <w:color w:val="auto"/>
                <w:lang w:eastAsia="zh-CN"/>
              </w:rPr>
              <w:t>）一般固废</w:t>
            </w:r>
          </w:p>
          <w:p w14:paraId="08EB51B5">
            <w:pPr>
              <w:bidi w:val="0"/>
              <w:rPr>
                <w:rFonts w:hint="eastAsia"/>
                <w:b w:val="0"/>
                <w:bCs w:val="0"/>
                <w:color w:val="auto"/>
                <w:lang w:eastAsia="zh-CN"/>
              </w:rPr>
            </w:pPr>
            <w:r>
              <w:rPr>
                <w:rFonts w:hint="eastAsia"/>
                <w:b w:val="0"/>
                <w:bCs w:val="0"/>
                <w:color w:val="auto"/>
                <w:lang w:eastAsia="zh-CN"/>
              </w:rPr>
              <w:t>固废管理应遵照《中华人民共和国固体废物污染环境防治法》（中华人民共和国主席令 第四十三号）中的相关要求，一般工业固废还应参照《一般工业固体废物贮存和填埋污染控制标准》（GB18599-2020）中的贮存过程应满足相应防渗漏、防雨淋、防扬尘等环境保护要求及《一般固体废物分类与代码》（GB/T39198-2020）。</w:t>
            </w:r>
          </w:p>
          <w:p w14:paraId="63D617F9">
            <w:pPr>
              <w:bidi w:val="0"/>
              <w:rPr>
                <w:rFonts w:hint="eastAsia" w:eastAsia="宋体"/>
                <w:b/>
                <w:bCs/>
                <w:color w:val="auto"/>
                <w:lang w:eastAsia="zh-CN"/>
              </w:rPr>
            </w:pPr>
            <w:r>
              <w:rPr>
                <w:rFonts w:hint="eastAsia"/>
                <w:b/>
                <w:bCs/>
                <w:color w:val="auto"/>
                <w:lang w:eastAsia="zh-CN"/>
              </w:rPr>
              <w:t>（</w:t>
            </w:r>
            <w:r>
              <w:rPr>
                <w:rFonts w:hint="eastAsia"/>
                <w:b/>
                <w:bCs/>
                <w:color w:val="auto"/>
                <w:lang w:val="en-US" w:eastAsia="zh-CN"/>
              </w:rPr>
              <w:t>2</w:t>
            </w:r>
            <w:r>
              <w:rPr>
                <w:rFonts w:hint="eastAsia"/>
                <w:b/>
                <w:bCs/>
                <w:color w:val="auto"/>
                <w:lang w:eastAsia="zh-CN"/>
              </w:rPr>
              <w:t>）危险废物收集、暂存、转移及处置</w:t>
            </w:r>
          </w:p>
          <w:p w14:paraId="7AA232F8">
            <w:pPr>
              <w:ind w:firstLine="480"/>
              <w:rPr>
                <w:color w:val="auto"/>
              </w:rPr>
            </w:pPr>
            <w:r>
              <w:rPr>
                <w:rFonts w:hint="eastAsia"/>
                <w:color w:val="auto"/>
              </w:rPr>
              <w:t>危险废物按《国家危险废物名录（2025年版）》（自2025年1月1日起施行）进行分类；危险废物暂存及处置执行《危险废物贮存污染控制标准》（GB18597-2023）的相关建设标准要求。</w:t>
            </w:r>
          </w:p>
        </w:tc>
      </w:tr>
      <w:tr w14:paraId="1FC03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Align w:val="center"/>
          </w:tcPr>
          <w:p w14:paraId="54324CC5">
            <w:pPr>
              <w:ind w:firstLine="0" w:firstLineChars="0"/>
              <w:jc w:val="center"/>
              <w:rPr>
                <w:color w:val="auto"/>
              </w:rPr>
            </w:pPr>
            <w:r>
              <w:rPr>
                <w:rFonts w:hint="eastAsia"/>
                <w:color w:val="auto"/>
              </w:rPr>
              <w:t>总量控制指标</w:t>
            </w:r>
          </w:p>
        </w:tc>
        <w:tc>
          <w:tcPr>
            <w:tcW w:w="7819" w:type="dxa"/>
          </w:tcPr>
          <w:p w14:paraId="6A4D98F6">
            <w:pPr>
              <w:ind w:firstLine="482"/>
              <w:rPr>
                <w:rFonts w:hint="eastAsia"/>
                <w:b w:val="0"/>
                <w:bCs w:val="0"/>
                <w:color w:val="auto"/>
              </w:rPr>
            </w:pPr>
            <w:r>
              <w:rPr>
                <w:rFonts w:hint="eastAsia"/>
                <w:b w:val="0"/>
                <w:bCs w:val="0"/>
                <w:color w:val="auto"/>
              </w:rPr>
              <w:t>根据本工程的具体情况，结合国家污染物排放总量控制原则，总量指标如下：</w:t>
            </w:r>
          </w:p>
          <w:p w14:paraId="7255E8BB">
            <w:pPr>
              <w:ind w:firstLine="482"/>
              <w:rPr>
                <w:rFonts w:hint="eastAsia" w:ascii="Times New Roman" w:hAnsi="Times New Roman" w:eastAsia="宋体" w:cs="Times New Roman"/>
                <w:bCs/>
                <w:color w:val="auto"/>
                <w:sz w:val="24"/>
              </w:rPr>
            </w:pPr>
            <w:r>
              <w:rPr>
                <w:rFonts w:hint="eastAsia"/>
                <w:b/>
                <w:bCs/>
                <w:color w:val="auto"/>
              </w:rPr>
              <w:t>废气：</w:t>
            </w:r>
            <w:r>
              <w:rPr>
                <w:rFonts w:hint="eastAsia"/>
                <w:color w:val="auto"/>
              </w:rPr>
              <w:t>本项目废气主要是粉尘，</w:t>
            </w:r>
            <w:r>
              <w:rPr>
                <w:rFonts w:hint="eastAsia" w:ascii="Times New Roman" w:hAnsi="Times New Roman" w:eastAsia="宋体" w:cs="Times New Roman"/>
                <w:bCs/>
                <w:color w:val="auto"/>
                <w:sz w:val="24"/>
              </w:rPr>
              <w:t>废气</w:t>
            </w:r>
            <w:r>
              <w:rPr>
                <w:rFonts w:hint="eastAsia" w:cs="Times New Roman"/>
                <w:bCs/>
                <w:color w:val="auto"/>
                <w:sz w:val="24"/>
                <w:lang w:val="en-US" w:eastAsia="zh-CN"/>
              </w:rPr>
              <w:t>排放</w:t>
            </w:r>
            <w:r>
              <w:rPr>
                <w:rFonts w:hint="eastAsia" w:ascii="Times New Roman" w:hAnsi="Times New Roman" w:eastAsia="宋体" w:cs="Times New Roman"/>
                <w:bCs/>
                <w:color w:val="auto"/>
                <w:sz w:val="24"/>
              </w:rPr>
              <w:t>量</w:t>
            </w:r>
            <w:r>
              <w:rPr>
                <w:rFonts w:hint="eastAsia" w:cs="Times New Roman"/>
                <w:bCs/>
                <w:color w:val="auto"/>
                <w:sz w:val="24"/>
                <w:lang w:val="en-US" w:eastAsia="zh-CN"/>
              </w:rPr>
              <w:t>为1440万m</w:t>
            </w:r>
            <w:r>
              <w:rPr>
                <w:rFonts w:hint="eastAsia" w:cs="Times New Roman"/>
                <w:bCs/>
                <w:color w:val="auto"/>
                <w:sz w:val="24"/>
                <w:vertAlign w:val="superscript"/>
                <w:lang w:val="en-US" w:eastAsia="zh-CN"/>
              </w:rPr>
              <w:t>3</w:t>
            </w:r>
            <w:r>
              <w:rPr>
                <w:rFonts w:hint="eastAsia" w:cs="Times New Roman"/>
                <w:bCs/>
                <w:color w:val="auto"/>
                <w:sz w:val="24"/>
                <w:lang w:val="en-US" w:eastAsia="zh-CN"/>
              </w:rPr>
              <w:t>/a</w:t>
            </w:r>
            <w:r>
              <w:rPr>
                <w:rFonts w:hint="eastAsia" w:ascii="Times New Roman" w:hAnsi="Times New Roman" w:eastAsia="宋体" w:cs="Times New Roman"/>
                <w:bCs/>
                <w:color w:val="auto"/>
                <w:sz w:val="24"/>
              </w:rPr>
              <w:t>，其中颗粒物排放量0.</w:t>
            </w:r>
            <w:r>
              <w:rPr>
                <w:rFonts w:hint="eastAsia" w:cs="Times New Roman"/>
                <w:bCs/>
                <w:color w:val="auto"/>
                <w:sz w:val="24"/>
                <w:lang w:val="en-US" w:eastAsia="zh-CN"/>
              </w:rPr>
              <w:t>376</w:t>
            </w:r>
            <w:r>
              <w:rPr>
                <w:rFonts w:hint="eastAsia" w:ascii="Times New Roman" w:hAnsi="Times New Roman" w:eastAsia="宋体" w:cs="Times New Roman"/>
                <w:bCs/>
                <w:color w:val="auto"/>
                <w:sz w:val="24"/>
              </w:rPr>
              <w:t>t/a（有组织：0.0</w:t>
            </w:r>
            <w:r>
              <w:rPr>
                <w:rFonts w:hint="eastAsia" w:cs="Times New Roman"/>
                <w:bCs/>
                <w:color w:val="auto"/>
                <w:sz w:val="24"/>
                <w:lang w:val="en-US" w:eastAsia="zh-CN"/>
              </w:rPr>
              <w:t>44</w:t>
            </w:r>
            <w:r>
              <w:rPr>
                <w:rFonts w:hint="eastAsia" w:ascii="Times New Roman" w:hAnsi="Times New Roman" w:eastAsia="宋体" w:cs="Times New Roman"/>
                <w:bCs/>
                <w:color w:val="auto"/>
                <w:sz w:val="24"/>
              </w:rPr>
              <w:t>t/a，无组织0.</w:t>
            </w:r>
            <w:r>
              <w:rPr>
                <w:rFonts w:hint="eastAsia" w:cs="Times New Roman"/>
                <w:bCs/>
                <w:color w:val="auto"/>
                <w:sz w:val="24"/>
                <w:lang w:val="en-US" w:eastAsia="zh-CN"/>
              </w:rPr>
              <w:t>332</w:t>
            </w:r>
            <w:r>
              <w:rPr>
                <w:rFonts w:hint="eastAsia" w:ascii="Times New Roman" w:hAnsi="Times New Roman" w:eastAsia="宋体" w:cs="Times New Roman"/>
                <w:bCs/>
                <w:color w:val="auto"/>
                <w:sz w:val="24"/>
              </w:rPr>
              <w:t>t/a）。</w:t>
            </w:r>
          </w:p>
          <w:p w14:paraId="06559444">
            <w:pPr>
              <w:ind w:firstLine="482"/>
              <w:rPr>
                <w:color w:val="auto"/>
              </w:rPr>
            </w:pPr>
            <w:r>
              <w:rPr>
                <w:rFonts w:hint="eastAsia"/>
                <w:b/>
                <w:bCs/>
                <w:color w:val="auto"/>
              </w:rPr>
              <w:t>废水：</w:t>
            </w:r>
            <w:r>
              <w:rPr>
                <w:rFonts w:hint="eastAsia"/>
                <w:b w:val="0"/>
                <w:bCs w:val="0"/>
                <w:color w:val="auto"/>
              </w:rPr>
              <w:t>项目生产废水处理后循环使用，不外排；生活污水经化粪池处理后</w:t>
            </w:r>
            <w:r>
              <w:rPr>
                <w:rFonts w:hint="eastAsia"/>
                <w:b w:val="0"/>
                <w:bCs w:val="0"/>
                <w:color w:val="auto"/>
                <w:lang w:val="en-US" w:eastAsia="zh-CN"/>
              </w:rPr>
              <w:t>进入自建一体化污水处理设施处理达标后回用于厂区绿化及道路空地浇洒，不外排</w:t>
            </w:r>
            <w:r>
              <w:rPr>
                <w:rFonts w:hint="eastAsia"/>
                <w:b w:val="0"/>
                <w:bCs w:val="0"/>
                <w:color w:val="auto"/>
                <w:lang w:eastAsia="zh-CN"/>
              </w:rPr>
              <w:t>。</w:t>
            </w:r>
            <w:r>
              <w:rPr>
                <w:rFonts w:hint="eastAsia"/>
                <w:b w:val="0"/>
                <w:bCs w:val="0"/>
                <w:color w:val="auto"/>
              </w:rPr>
              <w:t>本项目无废水外排，不设废水污染物总量控制指标。</w:t>
            </w:r>
          </w:p>
          <w:p w14:paraId="754218F9">
            <w:pPr>
              <w:ind w:firstLine="482"/>
              <w:rPr>
                <w:color w:val="auto"/>
              </w:rPr>
            </w:pPr>
            <w:r>
              <w:rPr>
                <w:rFonts w:hint="eastAsia"/>
                <w:b/>
                <w:bCs/>
                <w:color w:val="auto"/>
              </w:rPr>
              <w:t>固废：</w:t>
            </w:r>
            <w:r>
              <w:rPr>
                <w:rFonts w:hint="eastAsia"/>
                <w:color w:val="auto"/>
              </w:rPr>
              <w:t>固体废物处置率100%。</w:t>
            </w:r>
          </w:p>
          <w:p w14:paraId="020DAA6E">
            <w:pPr>
              <w:ind w:firstLine="482"/>
              <w:rPr>
                <w:rFonts w:hint="eastAsia"/>
                <w:b w:val="0"/>
                <w:bCs w:val="0"/>
                <w:color w:val="auto"/>
              </w:rPr>
            </w:pPr>
            <w:r>
              <w:rPr>
                <w:rFonts w:hint="eastAsia"/>
                <w:b w:val="0"/>
                <w:bCs w:val="0"/>
                <w:color w:val="auto"/>
              </w:rPr>
              <w:t>本项目所需的排污权交易指标，承诺在实际排污行为发生前，按照《云南省排污权有偿使用和交易管理办法（试行）》（云政办规〔2025〕8号）的有关规定进行核定，并通过交易方式依法取得。</w:t>
            </w:r>
          </w:p>
          <w:p w14:paraId="0074DAD4">
            <w:pPr>
              <w:ind w:firstLine="482"/>
              <w:rPr>
                <w:rFonts w:hint="eastAsia"/>
                <w:b w:val="0"/>
                <w:bCs w:val="0"/>
                <w:color w:val="auto"/>
              </w:rPr>
            </w:pPr>
          </w:p>
          <w:p w14:paraId="69A756F5">
            <w:pPr>
              <w:ind w:firstLine="0" w:firstLineChars="0"/>
              <w:rPr>
                <w:color w:val="auto"/>
              </w:rPr>
            </w:pPr>
          </w:p>
          <w:p w14:paraId="79F97E75">
            <w:pPr>
              <w:ind w:firstLine="0" w:firstLineChars="0"/>
              <w:rPr>
                <w:color w:val="auto"/>
              </w:rPr>
            </w:pPr>
          </w:p>
          <w:p w14:paraId="2791109B">
            <w:pPr>
              <w:ind w:firstLine="0" w:firstLineChars="0"/>
              <w:rPr>
                <w:color w:val="auto"/>
              </w:rPr>
            </w:pPr>
          </w:p>
          <w:p w14:paraId="029D0571">
            <w:pPr>
              <w:ind w:firstLine="0" w:firstLineChars="0"/>
              <w:rPr>
                <w:color w:val="auto"/>
              </w:rPr>
            </w:pPr>
          </w:p>
          <w:p w14:paraId="3F201660">
            <w:pPr>
              <w:ind w:firstLine="0" w:firstLineChars="0"/>
              <w:rPr>
                <w:color w:val="auto"/>
              </w:rPr>
            </w:pPr>
          </w:p>
          <w:p w14:paraId="7DAFB0B7">
            <w:pPr>
              <w:ind w:firstLine="0" w:firstLineChars="0"/>
              <w:rPr>
                <w:color w:val="auto"/>
              </w:rPr>
            </w:pPr>
          </w:p>
          <w:p w14:paraId="4F72EB73">
            <w:pPr>
              <w:ind w:firstLine="0" w:firstLineChars="0"/>
              <w:rPr>
                <w:color w:val="auto"/>
              </w:rPr>
            </w:pPr>
          </w:p>
          <w:p w14:paraId="416BE48D">
            <w:pPr>
              <w:ind w:firstLine="0" w:firstLineChars="0"/>
              <w:rPr>
                <w:color w:val="auto"/>
              </w:rPr>
            </w:pPr>
          </w:p>
          <w:p w14:paraId="67A248ED">
            <w:pPr>
              <w:ind w:firstLine="0" w:firstLineChars="0"/>
              <w:rPr>
                <w:color w:val="auto"/>
              </w:rPr>
            </w:pPr>
          </w:p>
          <w:p w14:paraId="12960335">
            <w:pPr>
              <w:ind w:firstLine="0" w:firstLineChars="0"/>
              <w:rPr>
                <w:color w:val="auto"/>
              </w:rPr>
            </w:pPr>
          </w:p>
          <w:p w14:paraId="652289C3">
            <w:pPr>
              <w:ind w:firstLine="0" w:firstLineChars="0"/>
              <w:rPr>
                <w:color w:val="auto"/>
              </w:rPr>
            </w:pPr>
          </w:p>
          <w:p w14:paraId="79BAE881">
            <w:pPr>
              <w:ind w:firstLine="0" w:firstLineChars="0"/>
              <w:rPr>
                <w:color w:val="auto"/>
              </w:rPr>
            </w:pPr>
          </w:p>
          <w:p w14:paraId="496D628B">
            <w:pPr>
              <w:ind w:firstLine="0" w:firstLineChars="0"/>
              <w:rPr>
                <w:color w:val="auto"/>
              </w:rPr>
            </w:pPr>
          </w:p>
          <w:p w14:paraId="050180C2">
            <w:pPr>
              <w:ind w:firstLine="0" w:firstLineChars="0"/>
              <w:rPr>
                <w:color w:val="auto"/>
              </w:rPr>
            </w:pPr>
          </w:p>
          <w:p w14:paraId="7A60255D">
            <w:pPr>
              <w:pStyle w:val="2"/>
            </w:pPr>
            <w:bookmarkStart w:id="18" w:name="_GoBack"/>
            <w:bookmarkEnd w:id="18"/>
          </w:p>
        </w:tc>
      </w:tr>
    </w:tbl>
    <w:p w14:paraId="64ED111D">
      <w:pPr>
        <w:pStyle w:val="3"/>
        <w:numPr>
          <w:ilvl w:val="0"/>
          <w:numId w:val="2"/>
        </w:numPr>
        <w:rPr>
          <w:color w:val="auto"/>
        </w:rPr>
      </w:pPr>
      <w:bookmarkStart w:id="12" w:name="_Toc13941"/>
      <w:r>
        <w:rPr>
          <w:rFonts w:hint="eastAsia"/>
          <w:color w:val="auto"/>
        </w:rPr>
        <w:t>主要环境影响和保护措施</w:t>
      </w:r>
      <w:bookmarkEnd w:id="12"/>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14:paraId="009C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01F79601">
            <w:pPr>
              <w:ind w:firstLine="0" w:firstLineChars="0"/>
              <w:jc w:val="center"/>
              <w:rPr>
                <w:color w:val="auto"/>
              </w:rPr>
            </w:pPr>
            <w:r>
              <w:rPr>
                <w:rFonts w:hint="eastAsia"/>
                <w:color w:val="auto"/>
              </w:rPr>
              <w:t>施工期环境保护措施</w:t>
            </w:r>
          </w:p>
        </w:tc>
        <w:tc>
          <w:tcPr>
            <w:tcW w:w="7811" w:type="dxa"/>
          </w:tcPr>
          <w:p w14:paraId="72450153">
            <w:pPr>
              <w:ind w:firstLine="480"/>
              <w:rPr>
                <w:color w:val="auto"/>
              </w:rPr>
            </w:pPr>
            <w:r>
              <w:rPr>
                <w:rFonts w:hint="eastAsia"/>
                <w:color w:val="auto"/>
              </w:rPr>
              <w:t>本项目施工期主要厂房修缮、配套设备安装等，本项目</w:t>
            </w:r>
            <w:r>
              <w:rPr>
                <w:color w:val="auto"/>
              </w:rPr>
              <w:t>施工期环境保护对策措施</w:t>
            </w:r>
            <w:r>
              <w:rPr>
                <w:rFonts w:hint="eastAsia"/>
                <w:color w:val="auto"/>
              </w:rPr>
              <w:t>如下：</w:t>
            </w:r>
          </w:p>
          <w:p w14:paraId="34603EB0">
            <w:pPr>
              <w:ind w:firstLine="482"/>
              <w:rPr>
                <w:rFonts w:hint="eastAsia" w:eastAsia="宋体"/>
                <w:b/>
                <w:bCs/>
                <w:color w:val="auto"/>
                <w:lang w:eastAsia="zh-CN"/>
              </w:rPr>
            </w:pPr>
            <w:r>
              <w:rPr>
                <w:rFonts w:hint="eastAsia"/>
                <w:b/>
                <w:bCs/>
                <w:color w:val="auto"/>
                <w:lang w:val="en-US" w:eastAsia="zh-CN"/>
              </w:rPr>
              <w:t>1、</w:t>
            </w:r>
            <w:r>
              <w:rPr>
                <w:b/>
                <w:bCs/>
                <w:color w:val="auto"/>
              </w:rPr>
              <w:t>废</w:t>
            </w:r>
            <w:r>
              <w:rPr>
                <w:rFonts w:hint="eastAsia"/>
                <w:b/>
                <w:bCs/>
                <w:color w:val="auto"/>
                <w:lang w:eastAsia="zh-CN"/>
              </w:rPr>
              <w:t>气</w:t>
            </w:r>
          </w:p>
          <w:p w14:paraId="51A77F30">
            <w:pPr>
              <w:ind w:firstLine="482"/>
              <w:rPr>
                <w:rFonts w:hint="eastAsia"/>
                <w:b w:val="0"/>
                <w:bCs w:val="0"/>
                <w:color w:val="auto"/>
              </w:rPr>
            </w:pPr>
            <w:r>
              <w:rPr>
                <w:rFonts w:hint="eastAsia"/>
                <w:b w:val="0"/>
                <w:bCs w:val="0"/>
                <w:color w:val="auto"/>
              </w:rPr>
              <w:t>施工废气主要是施工扬尘和装修材料切割产生的粉尘，项目施工量较小，施工扬尘采取洒水降尘措施减少施工废气对周边环境的影响。装修在生产车间内进行，装修材料切割产生的粉尘经车间阻隔后对周边环境的影响。</w:t>
            </w:r>
          </w:p>
          <w:p w14:paraId="1178158E">
            <w:pPr>
              <w:ind w:firstLine="482"/>
              <w:rPr>
                <w:rFonts w:hint="eastAsia"/>
                <w:b w:val="0"/>
                <w:bCs w:val="0"/>
                <w:color w:val="auto"/>
              </w:rPr>
            </w:pPr>
            <w:r>
              <w:rPr>
                <w:rFonts w:hint="eastAsia"/>
                <w:b w:val="0"/>
                <w:bCs w:val="0"/>
                <w:color w:val="auto"/>
              </w:rPr>
              <w:t>施工期间工人不在厂区内食宿，不产生油烟废气。</w:t>
            </w:r>
          </w:p>
          <w:p w14:paraId="25015DA9">
            <w:pPr>
              <w:bidi w:val="0"/>
              <w:rPr>
                <w:rFonts w:hint="eastAsia"/>
                <w:b/>
                <w:bCs/>
                <w:color w:val="auto"/>
                <w:lang w:val="en-US" w:eastAsia="zh-CN"/>
              </w:rPr>
            </w:pPr>
            <w:r>
              <w:rPr>
                <w:rFonts w:hint="eastAsia"/>
                <w:b/>
                <w:bCs/>
                <w:color w:val="auto"/>
                <w:lang w:val="en-US" w:eastAsia="zh-CN"/>
              </w:rPr>
              <w:t>2、废水</w:t>
            </w:r>
          </w:p>
          <w:p w14:paraId="6F298A0D">
            <w:pPr>
              <w:bidi w:val="0"/>
              <w:rPr>
                <w:rFonts w:hint="default"/>
                <w:color w:val="auto"/>
              </w:rPr>
            </w:pPr>
            <w:r>
              <w:rPr>
                <w:rFonts w:hint="default"/>
                <w:color w:val="auto"/>
              </w:rPr>
              <w:t>施工期废水主要为施工人员生活污水。</w:t>
            </w:r>
          </w:p>
          <w:p w14:paraId="1B82C8B8">
            <w:pPr>
              <w:bidi w:val="0"/>
              <w:rPr>
                <w:rFonts w:hint="default"/>
                <w:color w:val="auto"/>
              </w:rPr>
            </w:pPr>
            <w:r>
              <w:rPr>
                <w:rFonts w:hint="default"/>
                <w:color w:val="auto"/>
              </w:rPr>
              <w:t>施工人数平均5人/d，</w:t>
            </w:r>
            <w:r>
              <w:rPr>
                <w:rFonts w:hint="eastAsia"/>
                <w:color w:val="auto"/>
                <w:lang w:val="en-US" w:eastAsia="zh-CN"/>
              </w:rPr>
              <w:t>均为厂区内员工，</w:t>
            </w:r>
            <w:r>
              <w:rPr>
                <w:rFonts w:hint="default"/>
                <w:color w:val="auto"/>
              </w:rPr>
              <w:t>施工人员不在场区内食宿，生活污水主要为施工人员如厕废水，用水量以15L/人·d计，则施工人员用水量为0.</w:t>
            </w:r>
            <w:r>
              <w:rPr>
                <w:rFonts w:hint="eastAsia"/>
                <w:color w:val="auto"/>
                <w:lang w:val="en-US" w:eastAsia="zh-CN"/>
              </w:rPr>
              <w:t>075</w:t>
            </w:r>
            <w:r>
              <w:rPr>
                <w:rFonts w:hint="default"/>
                <w:color w:val="auto"/>
              </w:rPr>
              <w:t>m</w:t>
            </w:r>
            <w:r>
              <w:rPr>
                <w:rFonts w:hint="default"/>
                <w:color w:val="auto"/>
                <w:vertAlign w:val="superscript"/>
              </w:rPr>
              <w:t>3</w:t>
            </w:r>
            <w:r>
              <w:rPr>
                <w:rFonts w:hint="default"/>
                <w:color w:val="auto"/>
              </w:rPr>
              <w:t>/d，污水产生量按用水量的80%计，则施工人员生活污水产生量估算为</w:t>
            </w:r>
            <w:r>
              <w:rPr>
                <w:rFonts w:hint="eastAsia"/>
                <w:color w:val="auto"/>
                <w:lang w:val="en-US" w:eastAsia="zh-CN"/>
              </w:rPr>
              <w:t>0.06</w:t>
            </w:r>
            <w:r>
              <w:rPr>
                <w:rFonts w:hint="default"/>
                <w:color w:val="auto"/>
              </w:rPr>
              <w:t>m</w:t>
            </w:r>
            <w:r>
              <w:rPr>
                <w:rFonts w:hint="default"/>
                <w:color w:val="auto"/>
                <w:vertAlign w:val="superscript"/>
              </w:rPr>
              <w:t>3</w:t>
            </w:r>
            <w:r>
              <w:rPr>
                <w:rFonts w:hint="default"/>
                <w:color w:val="auto"/>
              </w:rPr>
              <w:t>/d，施工人员产生的污水量较小，</w:t>
            </w:r>
            <w:r>
              <w:rPr>
                <w:rFonts w:hint="eastAsia"/>
                <w:color w:val="auto"/>
                <w:lang w:val="en-US" w:eastAsia="zh-CN"/>
              </w:rPr>
              <w:t>依托已建化粪池处理</w:t>
            </w:r>
            <w:r>
              <w:rPr>
                <w:rFonts w:hint="default"/>
                <w:color w:val="auto"/>
              </w:rPr>
              <w:t>。</w:t>
            </w:r>
          </w:p>
          <w:p w14:paraId="7DF29BC5">
            <w:pPr>
              <w:ind w:firstLine="482"/>
              <w:rPr>
                <w:b/>
                <w:bCs/>
                <w:color w:val="auto"/>
              </w:rPr>
            </w:pPr>
            <w:r>
              <w:rPr>
                <w:rFonts w:hint="eastAsia"/>
                <w:b/>
                <w:bCs/>
                <w:color w:val="auto"/>
                <w:lang w:val="en-US" w:eastAsia="zh-CN"/>
              </w:rPr>
              <w:t>3、</w:t>
            </w:r>
            <w:r>
              <w:rPr>
                <w:b/>
                <w:bCs/>
                <w:color w:val="auto"/>
              </w:rPr>
              <w:t>噪声</w:t>
            </w:r>
          </w:p>
          <w:p w14:paraId="3AAB1616">
            <w:pPr>
              <w:ind w:firstLine="480"/>
              <w:rPr>
                <w:rFonts w:hint="eastAsia"/>
                <w:bCs/>
                <w:color w:val="auto"/>
                <w:lang w:val="en-US" w:eastAsia="zh-CN"/>
              </w:rPr>
            </w:pPr>
            <w:r>
              <w:rPr>
                <w:rFonts w:hint="eastAsia"/>
                <w:bCs/>
                <w:color w:val="auto"/>
              </w:rPr>
              <w:t>工程施工噪音来源包括：</w:t>
            </w:r>
            <w:r>
              <w:rPr>
                <w:rFonts w:hint="eastAsia"/>
                <w:bCs/>
                <w:color w:val="auto"/>
                <w:lang w:eastAsia="zh-CN"/>
              </w:rPr>
              <w:t>厂房修缮、</w:t>
            </w:r>
            <w:r>
              <w:rPr>
                <w:rFonts w:hint="eastAsia"/>
                <w:bCs/>
                <w:color w:val="auto"/>
              </w:rPr>
              <w:t>装修</w:t>
            </w:r>
            <w:r>
              <w:rPr>
                <w:rFonts w:hint="eastAsia"/>
                <w:bCs/>
                <w:color w:val="auto"/>
                <w:lang w:eastAsia="zh-CN"/>
              </w:rPr>
              <w:t>和设备安装</w:t>
            </w:r>
            <w:r>
              <w:rPr>
                <w:rFonts w:hint="eastAsia"/>
                <w:bCs/>
                <w:color w:val="auto"/>
                <w:lang w:val="en-US" w:eastAsia="zh-CN"/>
              </w:rPr>
              <w:t>调时产生的噪声，噪声具有间歇性且持续时间较短，且施工期较短，随着施工期的结束，施工期噪声的影响也随之消失，对周围环境的影响不大。为减缓施工噪声的影响，本环评提出如下措施：</w:t>
            </w:r>
          </w:p>
          <w:p w14:paraId="18759D0B">
            <w:pPr>
              <w:ind w:firstLine="480"/>
              <w:rPr>
                <w:rFonts w:hint="eastAsia"/>
                <w:bCs/>
                <w:color w:val="auto"/>
                <w:lang w:val="en-US" w:eastAsia="zh-CN"/>
              </w:rPr>
            </w:pPr>
            <w:r>
              <w:rPr>
                <w:rFonts w:hint="eastAsia"/>
                <w:bCs/>
                <w:color w:val="auto"/>
                <w:lang w:val="en-US" w:eastAsia="zh-CN"/>
              </w:rPr>
              <w:t>①合理布置施工现场，应尽量避免在施工现场的同一地点安排大量的高噪声设备，造成局部声级过高。</w:t>
            </w:r>
          </w:p>
          <w:p w14:paraId="23FDD16F">
            <w:pPr>
              <w:ind w:firstLine="480"/>
              <w:rPr>
                <w:rFonts w:hint="eastAsia"/>
                <w:bCs/>
                <w:color w:val="auto"/>
                <w:lang w:val="en-US" w:eastAsia="zh-CN"/>
              </w:rPr>
            </w:pPr>
            <w:r>
              <w:rPr>
                <w:rFonts w:hint="eastAsia"/>
                <w:bCs/>
                <w:color w:val="auto"/>
                <w:lang w:val="en-US" w:eastAsia="zh-CN"/>
              </w:rPr>
              <w:t>②施工方应对物件装卸、搬运轻拿轻放，严禁抛掷。</w:t>
            </w:r>
          </w:p>
          <w:p w14:paraId="5E2A8718">
            <w:pPr>
              <w:ind w:firstLine="480"/>
              <w:rPr>
                <w:rFonts w:hint="eastAsia"/>
                <w:bCs/>
                <w:color w:val="auto"/>
                <w:lang w:val="en-US" w:eastAsia="zh-CN"/>
              </w:rPr>
            </w:pPr>
            <w:r>
              <w:rPr>
                <w:rFonts w:hint="eastAsia"/>
                <w:bCs/>
                <w:color w:val="auto"/>
                <w:lang w:val="en-US" w:eastAsia="zh-CN"/>
              </w:rPr>
              <w:t>③施工方应合理安排施工时间（禁止在昼间12:00～2:00、夜间22:00～6:00施工）。</w:t>
            </w:r>
          </w:p>
          <w:p w14:paraId="56937E2B">
            <w:pPr>
              <w:ind w:firstLine="480"/>
              <w:rPr>
                <w:rFonts w:hint="eastAsia"/>
                <w:bCs/>
                <w:color w:val="auto"/>
                <w:lang w:val="en-US" w:eastAsia="zh-CN"/>
              </w:rPr>
            </w:pPr>
            <w:r>
              <w:rPr>
                <w:rFonts w:hint="eastAsia"/>
                <w:bCs/>
                <w:color w:val="auto"/>
                <w:lang w:val="en-US" w:eastAsia="zh-CN"/>
              </w:rPr>
              <w:t>④对动力机械设备定期进行维修和养护，避免因松动部件振动或消声器损坏而加大设备工作时的声级。</w:t>
            </w:r>
          </w:p>
          <w:p w14:paraId="7F009CC0">
            <w:pPr>
              <w:ind w:firstLine="480"/>
              <w:rPr>
                <w:color w:val="auto"/>
              </w:rPr>
            </w:pPr>
            <w:r>
              <w:rPr>
                <w:rFonts w:hint="eastAsia"/>
                <w:color w:val="auto"/>
              </w:rPr>
              <w:t>综上所述，项目施工期所产生的设备噪声严格按照上述措施进行控制，能有效降低施工期噪声对外环境影响，且项目施工期短暂，所产生的噪声影响随施工期结束也将消失，不会对周围声环境产生长期不良影响。</w:t>
            </w:r>
          </w:p>
          <w:p w14:paraId="423809B8">
            <w:pPr>
              <w:ind w:firstLine="482"/>
              <w:rPr>
                <w:b/>
                <w:bCs/>
                <w:color w:val="auto"/>
              </w:rPr>
            </w:pPr>
            <w:r>
              <w:rPr>
                <w:rFonts w:hint="eastAsia"/>
                <w:b/>
                <w:bCs/>
                <w:color w:val="auto"/>
                <w:lang w:val="en-US" w:eastAsia="zh-CN"/>
              </w:rPr>
              <w:t>4、</w:t>
            </w:r>
            <w:r>
              <w:rPr>
                <w:b/>
                <w:bCs/>
                <w:color w:val="auto"/>
              </w:rPr>
              <w:t>固废</w:t>
            </w:r>
          </w:p>
          <w:p w14:paraId="7E50F41E">
            <w:pPr>
              <w:bidi w:val="0"/>
              <w:rPr>
                <w:rFonts w:hint="eastAsia"/>
                <w:b w:val="0"/>
                <w:bCs w:val="0"/>
                <w:color w:val="auto"/>
              </w:rPr>
            </w:pPr>
            <w:r>
              <w:rPr>
                <w:rFonts w:hint="eastAsia"/>
                <w:b w:val="0"/>
                <w:bCs w:val="0"/>
                <w:color w:val="auto"/>
              </w:rPr>
              <w:t>施工阶段的固体废物主要为施工人员产生的生活垃圾和设备安装调试产生的一些废包装。</w:t>
            </w:r>
          </w:p>
          <w:p w14:paraId="71CA1B7C">
            <w:pPr>
              <w:bidi w:val="0"/>
              <w:rPr>
                <w:color w:val="auto"/>
              </w:rPr>
            </w:pPr>
            <w:r>
              <w:rPr>
                <w:rFonts w:hint="eastAsia"/>
                <w:color w:val="auto"/>
              </w:rPr>
              <w:t>（</w:t>
            </w:r>
            <w:r>
              <w:rPr>
                <w:rFonts w:hint="eastAsia"/>
                <w:color w:val="auto"/>
                <w:lang w:val="en-US" w:eastAsia="zh-CN"/>
              </w:rPr>
              <w:t>1</w:t>
            </w:r>
            <w:r>
              <w:rPr>
                <w:rFonts w:hint="eastAsia"/>
                <w:color w:val="auto"/>
              </w:rPr>
              <w:t>）生活垃圾：生活垃圾在项目区分类收集后并入附近村庄处置。</w:t>
            </w:r>
          </w:p>
          <w:p w14:paraId="697DDE3D">
            <w:pPr>
              <w:bidi w:val="0"/>
              <w:rPr>
                <w:color w:val="auto"/>
              </w:rPr>
            </w:pPr>
            <w:r>
              <w:rPr>
                <w:rFonts w:hint="eastAsia"/>
                <w:color w:val="auto"/>
              </w:rPr>
              <w:t>（</w:t>
            </w:r>
            <w:r>
              <w:rPr>
                <w:rFonts w:hint="eastAsia"/>
                <w:color w:val="auto"/>
                <w:lang w:val="en-US" w:eastAsia="zh-CN"/>
              </w:rPr>
              <w:t>2</w:t>
            </w:r>
            <w:r>
              <w:rPr>
                <w:rFonts w:hint="eastAsia"/>
                <w:color w:val="auto"/>
              </w:rPr>
              <w:t>）废包装材料：废包装材料收集后交资源回收类公司回收处理。</w:t>
            </w:r>
          </w:p>
          <w:p w14:paraId="73E6F344">
            <w:pPr>
              <w:bidi w:val="0"/>
              <w:rPr>
                <w:color w:val="auto"/>
              </w:rPr>
            </w:pPr>
          </w:p>
          <w:p w14:paraId="106CC9D8">
            <w:pPr>
              <w:bidi w:val="0"/>
              <w:rPr>
                <w:color w:val="auto"/>
              </w:rPr>
            </w:pPr>
          </w:p>
          <w:p w14:paraId="0FD5CBEF">
            <w:pPr>
              <w:bidi w:val="0"/>
              <w:rPr>
                <w:color w:val="auto"/>
              </w:rPr>
            </w:pPr>
          </w:p>
          <w:p w14:paraId="76840DC2">
            <w:pPr>
              <w:bidi w:val="0"/>
              <w:rPr>
                <w:color w:val="auto"/>
              </w:rPr>
            </w:pPr>
          </w:p>
          <w:p w14:paraId="0040C36C">
            <w:pPr>
              <w:bidi w:val="0"/>
              <w:rPr>
                <w:color w:val="auto"/>
              </w:rPr>
            </w:pPr>
          </w:p>
          <w:p w14:paraId="0D92759D">
            <w:pPr>
              <w:bidi w:val="0"/>
              <w:rPr>
                <w:color w:val="auto"/>
              </w:rPr>
            </w:pPr>
          </w:p>
          <w:p w14:paraId="6E2348D1">
            <w:pPr>
              <w:bidi w:val="0"/>
              <w:rPr>
                <w:color w:val="auto"/>
              </w:rPr>
            </w:pPr>
          </w:p>
          <w:p w14:paraId="6F53A72C">
            <w:pPr>
              <w:bidi w:val="0"/>
              <w:rPr>
                <w:color w:val="auto"/>
              </w:rPr>
            </w:pPr>
          </w:p>
          <w:p w14:paraId="3B70006A">
            <w:pPr>
              <w:bidi w:val="0"/>
              <w:rPr>
                <w:color w:val="auto"/>
              </w:rPr>
            </w:pPr>
          </w:p>
          <w:p w14:paraId="694C4A62">
            <w:pPr>
              <w:bidi w:val="0"/>
              <w:rPr>
                <w:color w:val="auto"/>
              </w:rPr>
            </w:pPr>
          </w:p>
          <w:p w14:paraId="149E7F99">
            <w:pPr>
              <w:bidi w:val="0"/>
              <w:rPr>
                <w:color w:val="auto"/>
              </w:rPr>
            </w:pPr>
          </w:p>
          <w:p w14:paraId="2FA4B151">
            <w:pPr>
              <w:bidi w:val="0"/>
              <w:rPr>
                <w:color w:val="auto"/>
              </w:rPr>
            </w:pPr>
          </w:p>
          <w:p w14:paraId="3453D5FA">
            <w:pPr>
              <w:bidi w:val="0"/>
              <w:rPr>
                <w:color w:val="auto"/>
              </w:rPr>
            </w:pPr>
          </w:p>
          <w:p w14:paraId="37993AC8">
            <w:pPr>
              <w:bidi w:val="0"/>
              <w:rPr>
                <w:color w:val="auto"/>
              </w:rPr>
            </w:pPr>
          </w:p>
          <w:p w14:paraId="3BFD7DB7">
            <w:pPr>
              <w:bidi w:val="0"/>
              <w:rPr>
                <w:color w:val="auto"/>
              </w:rPr>
            </w:pPr>
          </w:p>
          <w:p w14:paraId="3747B740">
            <w:pPr>
              <w:bidi w:val="0"/>
              <w:rPr>
                <w:color w:val="auto"/>
              </w:rPr>
            </w:pPr>
          </w:p>
          <w:p w14:paraId="01B0E2C1">
            <w:pPr>
              <w:bidi w:val="0"/>
              <w:ind w:left="0" w:leftChars="0" w:firstLine="0" w:firstLineChars="0"/>
              <w:rPr>
                <w:color w:val="auto"/>
              </w:rPr>
            </w:pPr>
          </w:p>
          <w:p w14:paraId="2B4B0753">
            <w:pPr>
              <w:bidi w:val="0"/>
              <w:rPr>
                <w:color w:val="auto"/>
              </w:rPr>
            </w:pPr>
          </w:p>
          <w:p w14:paraId="37EC12C1">
            <w:pPr>
              <w:bidi w:val="0"/>
              <w:rPr>
                <w:color w:val="auto"/>
              </w:rPr>
            </w:pPr>
          </w:p>
          <w:p w14:paraId="75EB7A10">
            <w:pPr>
              <w:bidi w:val="0"/>
              <w:rPr>
                <w:color w:val="auto"/>
              </w:rPr>
            </w:pPr>
          </w:p>
          <w:p w14:paraId="3BBB2886">
            <w:pPr>
              <w:bidi w:val="0"/>
              <w:rPr>
                <w:color w:val="auto"/>
              </w:rPr>
            </w:pPr>
          </w:p>
          <w:p w14:paraId="50E7C213">
            <w:pPr>
              <w:bidi w:val="0"/>
              <w:rPr>
                <w:color w:val="auto"/>
              </w:rPr>
            </w:pPr>
          </w:p>
        </w:tc>
      </w:tr>
    </w:tbl>
    <w:p w14:paraId="7C269564">
      <w:pPr>
        <w:ind w:firstLine="0" w:firstLineChars="0"/>
        <w:rPr>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tbl>
      <w:tblPr>
        <w:tblStyle w:val="2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3493"/>
      </w:tblGrid>
      <w:tr w14:paraId="31608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7" w:type="pct"/>
            <w:vAlign w:val="center"/>
          </w:tcPr>
          <w:p w14:paraId="41B0695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vertAlign w:val="baseline"/>
              </w:rPr>
            </w:pPr>
            <w:r>
              <w:rPr>
                <w:rFonts w:hint="eastAsia"/>
                <w:color w:val="auto"/>
                <w:vertAlign w:val="baseline"/>
              </w:rPr>
              <w:t>运营期环境影响和保护措施</w:t>
            </w:r>
          </w:p>
        </w:tc>
        <w:tc>
          <w:tcPr>
            <w:tcW w:w="4762" w:type="pct"/>
          </w:tcPr>
          <w:p w14:paraId="2B21FBFC">
            <w:pPr>
              <w:rPr>
                <w:rFonts w:hint="default" w:eastAsia="宋体"/>
                <w:b/>
                <w:bCs/>
                <w:color w:val="auto"/>
                <w:vertAlign w:val="baseline"/>
                <w:lang w:val="en-US" w:eastAsia="zh-CN"/>
              </w:rPr>
            </w:pPr>
            <w:r>
              <w:rPr>
                <w:rFonts w:hint="eastAsia"/>
                <w:b/>
                <w:bCs/>
                <w:color w:val="auto"/>
                <w:vertAlign w:val="baseline"/>
                <w:lang w:val="en-US" w:eastAsia="zh-CN"/>
              </w:rPr>
              <w:t>一、废气</w:t>
            </w:r>
          </w:p>
          <w:p w14:paraId="38E171DB">
            <w:pPr>
              <w:rPr>
                <w:b/>
                <w:bCs/>
                <w:color w:val="auto"/>
                <w:vertAlign w:val="baseline"/>
              </w:rPr>
            </w:pPr>
            <w:r>
              <w:rPr>
                <w:rFonts w:hint="eastAsia"/>
                <w:b/>
                <w:bCs/>
                <w:color w:val="auto"/>
                <w:vertAlign w:val="baseline"/>
                <w:lang w:val="en-US" w:eastAsia="zh-CN"/>
              </w:rPr>
              <w:t>1、</w:t>
            </w:r>
            <w:r>
              <w:rPr>
                <w:rFonts w:hint="eastAsia"/>
                <w:b/>
                <w:bCs/>
                <w:color w:val="auto"/>
                <w:vertAlign w:val="baseline"/>
              </w:rPr>
              <w:t>项目废气污染源源强核算结果及相关参数</w:t>
            </w:r>
          </w:p>
          <w:p w14:paraId="0F3208E9">
            <w:pPr>
              <w:adjustRightInd w:val="0"/>
              <w:snapToGrid w:val="0"/>
              <w:spacing w:line="360" w:lineRule="auto"/>
              <w:ind w:firstLine="0" w:firstLineChars="0"/>
              <w:jc w:val="center"/>
              <w:rPr>
                <w:rFonts w:hint="default" w:cs="Times New Roman"/>
                <w:b/>
                <w:color w:val="auto"/>
                <w:kern w:val="0"/>
                <w:sz w:val="24"/>
                <w:lang w:val="en-US" w:eastAsia="zh-CN"/>
              </w:rPr>
            </w:pPr>
            <w:r>
              <w:rPr>
                <w:rFonts w:hint="eastAsia" w:cs="Times New Roman"/>
                <w:b/>
                <w:color w:val="auto"/>
                <w:kern w:val="0"/>
                <w:sz w:val="24"/>
                <w:lang w:val="en-US" w:eastAsia="zh-CN"/>
              </w:rPr>
              <w:t>表4-1  项目废气污染源源强核算结果及相关参数一览表</w:t>
            </w:r>
          </w:p>
          <w:tbl>
            <w:tblPr>
              <w:tblStyle w:val="22"/>
              <w:tblW w:w="4997"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40"/>
              <w:gridCol w:w="930"/>
              <w:gridCol w:w="675"/>
              <w:gridCol w:w="855"/>
              <w:gridCol w:w="1125"/>
              <w:gridCol w:w="870"/>
              <w:gridCol w:w="898"/>
              <w:gridCol w:w="881"/>
              <w:gridCol w:w="689"/>
              <w:gridCol w:w="688"/>
              <w:gridCol w:w="708"/>
              <w:gridCol w:w="676"/>
              <w:gridCol w:w="845"/>
              <w:gridCol w:w="996"/>
              <w:gridCol w:w="914"/>
              <w:gridCol w:w="1051"/>
            </w:tblGrid>
            <w:tr w14:paraId="66606BC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166" w:type="pct"/>
                  <w:vMerge w:val="restart"/>
                  <w:tcBorders>
                    <w:tl2br w:val="nil"/>
                    <w:tr2bl w:val="nil"/>
                  </w:tcBorders>
                  <w:shd w:val="clear" w:color="auto" w:fill="auto"/>
                  <w:vAlign w:val="center"/>
                </w:tcPr>
                <w:p w14:paraId="7626A32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序号</w:t>
                  </w:r>
                </w:p>
              </w:tc>
              <w:tc>
                <w:tcPr>
                  <w:tcW w:w="351" w:type="pct"/>
                  <w:vMerge w:val="restart"/>
                  <w:tcBorders>
                    <w:tl2br w:val="nil"/>
                    <w:tr2bl w:val="nil"/>
                  </w:tcBorders>
                  <w:shd w:val="clear" w:color="auto" w:fill="auto"/>
                  <w:vAlign w:val="center"/>
                </w:tcPr>
                <w:p w14:paraId="233E173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产排污环节</w:t>
                  </w:r>
                </w:p>
              </w:tc>
              <w:tc>
                <w:tcPr>
                  <w:tcW w:w="254" w:type="pct"/>
                  <w:vMerge w:val="restart"/>
                  <w:tcBorders>
                    <w:tl2br w:val="nil"/>
                    <w:tr2bl w:val="nil"/>
                  </w:tcBorders>
                  <w:shd w:val="clear" w:color="auto" w:fill="auto"/>
                  <w:vAlign w:val="center"/>
                </w:tcPr>
                <w:p w14:paraId="1F0D109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污染物</w:t>
                  </w:r>
                </w:p>
              </w:tc>
              <w:tc>
                <w:tcPr>
                  <w:tcW w:w="747" w:type="pct"/>
                  <w:gridSpan w:val="2"/>
                  <w:tcBorders>
                    <w:tl2br w:val="nil"/>
                    <w:tr2bl w:val="nil"/>
                  </w:tcBorders>
                  <w:shd w:val="clear" w:color="auto" w:fill="auto"/>
                  <w:vAlign w:val="center"/>
                </w:tcPr>
                <w:p w14:paraId="030B60F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污染物产生</w:t>
                  </w:r>
                </w:p>
              </w:tc>
              <w:tc>
                <w:tcPr>
                  <w:tcW w:w="328" w:type="pct"/>
                  <w:vMerge w:val="restart"/>
                  <w:tcBorders>
                    <w:tl2br w:val="nil"/>
                    <w:tr2bl w:val="nil"/>
                  </w:tcBorders>
                  <w:shd w:val="clear" w:color="auto" w:fill="auto"/>
                  <w:vAlign w:val="center"/>
                </w:tcPr>
                <w:p w14:paraId="68E73A4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排放形式</w:t>
                  </w:r>
                </w:p>
              </w:tc>
              <w:tc>
                <w:tcPr>
                  <w:tcW w:w="1714" w:type="pct"/>
                  <w:gridSpan w:val="6"/>
                  <w:tcBorders>
                    <w:tl2br w:val="nil"/>
                    <w:tr2bl w:val="nil"/>
                  </w:tcBorders>
                  <w:shd w:val="clear" w:color="auto" w:fill="auto"/>
                  <w:vAlign w:val="center"/>
                </w:tcPr>
                <w:p w14:paraId="240510F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治理设施</w:t>
                  </w:r>
                </w:p>
              </w:tc>
              <w:tc>
                <w:tcPr>
                  <w:tcW w:w="1040" w:type="pct"/>
                  <w:gridSpan w:val="3"/>
                  <w:tcBorders>
                    <w:tl2br w:val="nil"/>
                    <w:tr2bl w:val="nil"/>
                  </w:tcBorders>
                  <w:shd w:val="clear" w:color="auto" w:fill="auto"/>
                  <w:vAlign w:val="center"/>
                </w:tcPr>
                <w:p w14:paraId="314EA49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污染物排放</w:t>
                  </w:r>
                </w:p>
              </w:tc>
              <w:tc>
                <w:tcPr>
                  <w:tcW w:w="396" w:type="pct"/>
                  <w:vMerge w:val="restart"/>
                  <w:tcBorders>
                    <w:tl2br w:val="nil"/>
                    <w:tr2bl w:val="nil"/>
                  </w:tcBorders>
                  <w:shd w:val="clear" w:color="auto" w:fill="auto"/>
                  <w:vAlign w:val="center"/>
                </w:tcPr>
                <w:p w14:paraId="6EFE944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排放标准</w:t>
                  </w:r>
                </w:p>
              </w:tc>
            </w:tr>
            <w:tr w14:paraId="6B83BA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5" w:hRule="atLeast"/>
              </w:trPr>
              <w:tc>
                <w:tcPr>
                  <w:tcW w:w="166" w:type="pct"/>
                  <w:vMerge w:val="continue"/>
                  <w:tcBorders>
                    <w:tl2br w:val="nil"/>
                    <w:tr2bl w:val="nil"/>
                  </w:tcBorders>
                  <w:shd w:val="clear" w:color="auto" w:fill="auto"/>
                  <w:vAlign w:val="center"/>
                </w:tcPr>
                <w:p w14:paraId="61E5333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i w:val="0"/>
                      <w:iCs w:val="0"/>
                      <w:color w:val="auto"/>
                      <w:sz w:val="21"/>
                      <w:szCs w:val="21"/>
                      <w:u w:val="none"/>
                    </w:rPr>
                  </w:pPr>
                </w:p>
              </w:tc>
              <w:tc>
                <w:tcPr>
                  <w:tcW w:w="351" w:type="pct"/>
                  <w:vMerge w:val="continue"/>
                  <w:tcBorders>
                    <w:tl2br w:val="nil"/>
                    <w:tr2bl w:val="nil"/>
                  </w:tcBorders>
                  <w:shd w:val="clear" w:color="auto" w:fill="auto"/>
                  <w:vAlign w:val="center"/>
                </w:tcPr>
                <w:p w14:paraId="4BB9D7E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i w:val="0"/>
                      <w:iCs w:val="0"/>
                      <w:color w:val="auto"/>
                      <w:sz w:val="21"/>
                      <w:szCs w:val="21"/>
                      <w:u w:val="none"/>
                    </w:rPr>
                  </w:pPr>
                </w:p>
              </w:tc>
              <w:tc>
                <w:tcPr>
                  <w:tcW w:w="254" w:type="pct"/>
                  <w:vMerge w:val="continue"/>
                  <w:tcBorders>
                    <w:tl2br w:val="nil"/>
                    <w:tr2bl w:val="nil"/>
                  </w:tcBorders>
                  <w:shd w:val="clear" w:color="auto" w:fill="auto"/>
                  <w:vAlign w:val="center"/>
                </w:tcPr>
                <w:p w14:paraId="338533F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i w:val="0"/>
                      <w:iCs w:val="0"/>
                      <w:color w:val="auto"/>
                      <w:sz w:val="21"/>
                      <w:szCs w:val="21"/>
                      <w:u w:val="none"/>
                    </w:rPr>
                  </w:pPr>
                </w:p>
              </w:tc>
              <w:tc>
                <w:tcPr>
                  <w:tcW w:w="322" w:type="pct"/>
                  <w:tcBorders>
                    <w:tl2br w:val="nil"/>
                    <w:tr2bl w:val="nil"/>
                  </w:tcBorders>
                  <w:shd w:val="clear" w:color="auto" w:fill="auto"/>
                  <w:vAlign w:val="center"/>
                </w:tcPr>
                <w:p w14:paraId="16E0BAD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产生量（</w:t>
                  </w:r>
                  <w:r>
                    <w:rPr>
                      <w:rStyle w:val="59"/>
                      <w:rFonts w:hint="default" w:ascii="Times New Roman" w:hAnsi="Times New Roman" w:eastAsia="宋体" w:cs="Times New Roman"/>
                      <w:b/>
                      <w:bCs/>
                      <w:color w:val="auto"/>
                      <w:sz w:val="21"/>
                      <w:szCs w:val="21"/>
                      <w:lang w:val="en-US" w:eastAsia="zh-CN" w:bidi="ar"/>
                    </w:rPr>
                    <w:t>t/a）</w:t>
                  </w:r>
                </w:p>
              </w:tc>
              <w:tc>
                <w:tcPr>
                  <w:tcW w:w="424" w:type="pct"/>
                  <w:tcBorders>
                    <w:tl2br w:val="nil"/>
                    <w:tr2bl w:val="nil"/>
                  </w:tcBorders>
                  <w:shd w:val="clear" w:color="auto" w:fill="auto"/>
                  <w:vAlign w:val="center"/>
                </w:tcPr>
                <w:p w14:paraId="7CA0751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产生浓度（</w:t>
                  </w:r>
                  <w:r>
                    <w:rPr>
                      <w:rStyle w:val="59"/>
                      <w:rFonts w:hint="default" w:ascii="Times New Roman" w:hAnsi="Times New Roman" w:eastAsia="宋体" w:cs="Times New Roman"/>
                      <w:b/>
                      <w:bCs/>
                      <w:color w:val="auto"/>
                      <w:sz w:val="21"/>
                      <w:szCs w:val="21"/>
                      <w:lang w:val="en-US" w:eastAsia="zh-CN" w:bidi="ar"/>
                    </w:rPr>
                    <w:t>mg/m</w:t>
                  </w:r>
                  <w:r>
                    <w:rPr>
                      <w:rStyle w:val="60"/>
                      <w:rFonts w:hint="default" w:ascii="Times New Roman" w:hAnsi="Times New Roman" w:eastAsia="宋体" w:cs="Times New Roman"/>
                      <w:b/>
                      <w:bCs/>
                      <w:color w:val="auto"/>
                      <w:sz w:val="21"/>
                      <w:szCs w:val="21"/>
                      <w:vertAlign w:val="superscript"/>
                      <w:lang w:val="en-US" w:eastAsia="zh-CN" w:bidi="ar"/>
                    </w:rPr>
                    <w:t>3</w:t>
                  </w:r>
                  <w:r>
                    <w:rPr>
                      <w:rStyle w:val="61"/>
                      <w:rFonts w:hint="default" w:ascii="Times New Roman" w:hAnsi="Times New Roman" w:eastAsia="宋体" w:cs="Times New Roman"/>
                      <w:b/>
                      <w:bCs/>
                      <w:color w:val="auto"/>
                      <w:sz w:val="21"/>
                      <w:szCs w:val="21"/>
                      <w:lang w:val="en-US" w:eastAsia="zh-CN" w:bidi="ar"/>
                    </w:rPr>
                    <w:t>）</w:t>
                  </w:r>
                </w:p>
              </w:tc>
              <w:tc>
                <w:tcPr>
                  <w:tcW w:w="328" w:type="pct"/>
                  <w:vMerge w:val="continue"/>
                  <w:tcBorders>
                    <w:tl2br w:val="nil"/>
                    <w:tr2bl w:val="nil"/>
                  </w:tcBorders>
                  <w:shd w:val="clear" w:color="auto" w:fill="auto"/>
                  <w:vAlign w:val="center"/>
                </w:tcPr>
                <w:p w14:paraId="418A920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i w:val="0"/>
                      <w:iCs w:val="0"/>
                      <w:color w:val="auto"/>
                      <w:sz w:val="21"/>
                      <w:szCs w:val="21"/>
                      <w:u w:val="none"/>
                    </w:rPr>
                  </w:pPr>
                </w:p>
              </w:tc>
              <w:tc>
                <w:tcPr>
                  <w:tcW w:w="671" w:type="pct"/>
                  <w:gridSpan w:val="2"/>
                  <w:tcBorders>
                    <w:tl2br w:val="nil"/>
                    <w:tr2bl w:val="nil"/>
                  </w:tcBorders>
                  <w:shd w:val="clear" w:color="auto" w:fill="auto"/>
                  <w:vAlign w:val="center"/>
                </w:tcPr>
                <w:p w14:paraId="383A6B6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污染治理设施工艺</w:t>
                  </w:r>
                </w:p>
              </w:tc>
              <w:tc>
                <w:tcPr>
                  <w:tcW w:w="260" w:type="pct"/>
                  <w:tcBorders>
                    <w:tl2br w:val="nil"/>
                    <w:tr2bl w:val="nil"/>
                  </w:tcBorders>
                  <w:shd w:val="clear" w:color="auto" w:fill="auto"/>
                  <w:vAlign w:val="center"/>
                </w:tcPr>
                <w:p w14:paraId="5F1C59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捕集效率</w:t>
                  </w:r>
                  <w:r>
                    <w:rPr>
                      <w:rStyle w:val="59"/>
                      <w:rFonts w:hint="default" w:ascii="Times New Roman" w:hAnsi="Times New Roman" w:eastAsia="宋体" w:cs="Times New Roman"/>
                      <w:b/>
                      <w:bCs/>
                      <w:color w:val="auto"/>
                      <w:sz w:val="21"/>
                      <w:szCs w:val="21"/>
                      <w:lang w:val="en-US" w:eastAsia="zh-CN" w:bidi="ar"/>
                    </w:rPr>
                    <w:t>%</w:t>
                  </w:r>
                </w:p>
              </w:tc>
              <w:tc>
                <w:tcPr>
                  <w:tcW w:w="259" w:type="pct"/>
                  <w:tcBorders>
                    <w:tl2br w:val="nil"/>
                    <w:tr2bl w:val="nil"/>
                  </w:tcBorders>
                  <w:shd w:val="clear" w:color="auto" w:fill="auto"/>
                  <w:vAlign w:val="center"/>
                </w:tcPr>
                <w:p w14:paraId="7DCA09C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处理</w:t>
                  </w:r>
                  <w:r>
                    <w:rPr>
                      <w:rStyle w:val="61"/>
                      <w:rFonts w:hint="default" w:ascii="Times New Roman" w:hAnsi="Times New Roman" w:eastAsia="宋体" w:cs="Times New Roman"/>
                      <w:b/>
                      <w:bCs/>
                      <w:color w:val="auto"/>
                      <w:sz w:val="21"/>
                      <w:szCs w:val="21"/>
                      <w:lang w:val="en-US" w:eastAsia="zh-CN" w:bidi="ar"/>
                    </w:rPr>
                    <w:t>效率</w:t>
                  </w:r>
                  <w:r>
                    <w:rPr>
                      <w:rStyle w:val="59"/>
                      <w:rFonts w:hint="default" w:ascii="Times New Roman" w:hAnsi="Times New Roman" w:eastAsia="宋体" w:cs="Times New Roman"/>
                      <w:b/>
                      <w:bCs/>
                      <w:color w:val="auto"/>
                      <w:sz w:val="21"/>
                      <w:szCs w:val="21"/>
                      <w:lang w:val="en-US" w:eastAsia="zh-CN" w:bidi="ar"/>
                    </w:rPr>
                    <w:t>%</w:t>
                  </w:r>
                </w:p>
              </w:tc>
              <w:tc>
                <w:tcPr>
                  <w:tcW w:w="267" w:type="pct"/>
                  <w:tcBorders>
                    <w:tl2br w:val="nil"/>
                    <w:tr2bl w:val="nil"/>
                  </w:tcBorders>
                  <w:shd w:val="clear" w:color="auto" w:fill="auto"/>
                  <w:vAlign w:val="center"/>
                </w:tcPr>
                <w:p w14:paraId="1824FD5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风量（</w:t>
                  </w:r>
                  <w:r>
                    <w:rPr>
                      <w:rStyle w:val="59"/>
                      <w:rFonts w:hint="default" w:ascii="Times New Roman" w:hAnsi="Times New Roman" w:eastAsia="宋体" w:cs="Times New Roman"/>
                      <w:b/>
                      <w:bCs/>
                      <w:color w:val="auto"/>
                      <w:sz w:val="21"/>
                      <w:szCs w:val="21"/>
                      <w:lang w:val="en-US" w:eastAsia="zh-CN" w:bidi="ar"/>
                    </w:rPr>
                    <w:t>m</w:t>
                  </w:r>
                  <w:r>
                    <w:rPr>
                      <w:rStyle w:val="60"/>
                      <w:rFonts w:hint="default" w:ascii="Times New Roman" w:hAnsi="Times New Roman" w:eastAsia="宋体" w:cs="Times New Roman"/>
                      <w:b/>
                      <w:bCs/>
                      <w:color w:val="auto"/>
                      <w:sz w:val="21"/>
                      <w:szCs w:val="21"/>
                      <w:vertAlign w:val="superscript"/>
                      <w:lang w:val="en-US" w:eastAsia="zh-CN" w:bidi="ar"/>
                    </w:rPr>
                    <w:t>3</w:t>
                  </w:r>
                  <w:r>
                    <w:rPr>
                      <w:rStyle w:val="59"/>
                      <w:rFonts w:hint="default" w:ascii="Times New Roman" w:hAnsi="Times New Roman" w:eastAsia="宋体" w:cs="Times New Roman"/>
                      <w:b/>
                      <w:bCs/>
                      <w:color w:val="auto"/>
                      <w:sz w:val="21"/>
                      <w:szCs w:val="21"/>
                      <w:lang w:val="en-US" w:eastAsia="zh-CN" w:bidi="ar"/>
                    </w:rPr>
                    <w:t>/h</w:t>
                  </w:r>
                  <w:r>
                    <w:rPr>
                      <w:rStyle w:val="61"/>
                      <w:rFonts w:hint="default" w:ascii="Times New Roman" w:hAnsi="Times New Roman" w:eastAsia="宋体" w:cs="Times New Roman"/>
                      <w:b/>
                      <w:bCs/>
                      <w:color w:val="auto"/>
                      <w:sz w:val="21"/>
                      <w:szCs w:val="21"/>
                      <w:lang w:val="en-US" w:eastAsia="zh-CN" w:bidi="ar"/>
                    </w:rPr>
                    <w:t>）</w:t>
                  </w:r>
                </w:p>
              </w:tc>
              <w:tc>
                <w:tcPr>
                  <w:tcW w:w="255" w:type="pct"/>
                  <w:tcBorders>
                    <w:tl2br w:val="nil"/>
                    <w:tr2bl w:val="nil"/>
                  </w:tcBorders>
                  <w:shd w:val="clear" w:color="auto" w:fill="auto"/>
                  <w:vAlign w:val="center"/>
                </w:tcPr>
                <w:p w14:paraId="2DE7E25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是否为可行性技术</w:t>
                  </w:r>
                </w:p>
              </w:tc>
              <w:tc>
                <w:tcPr>
                  <w:tcW w:w="319" w:type="pct"/>
                  <w:tcBorders>
                    <w:tl2br w:val="nil"/>
                    <w:tr2bl w:val="nil"/>
                  </w:tcBorders>
                  <w:shd w:val="clear" w:color="auto" w:fill="auto"/>
                  <w:vAlign w:val="center"/>
                </w:tcPr>
                <w:p w14:paraId="380A737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排放量（</w:t>
                  </w:r>
                  <w:r>
                    <w:rPr>
                      <w:rStyle w:val="59"/>
                      <w:rFonts w:hint="default" w:ascii="Times New Roman" w:hAnsi="Times New Roman" w:eastAsia="宋体" w:cs="Times New Roman"/>
                      <w:b/>
                      <w:bCs/>
                      <w:color w:val="auto"/>
                      <w:sz w:val="21"/>
                      <w:szCs w:val="21"/>
                      <w:lang w:val="en-US" w:eastAsia="zh-CN" w:bidi="ar"/>
                    </w:rPr>
                    <w:t>t/a</w:t>
                  </w:r>
                  <w:r>
                    <w:rPr>
                      <w:rStyle w:val="61"/>
                      <w:rFonts w:hint="default" w:ascii="Times New Roman" w:hAnsi="Times New Roman" w:eastAsia="宋体" w:cs="Times New Roman"/>
                      <w:b/>
                      <w:bCs/>
                      <w:color w:val="auto"/>
                      <w:sz w:val="21"/>
                      <w:szCs w:val="21"/>
                      <w:lang w:val="en-US" w:eastAsia="zh-CN" w:bidi="ar"/>
                    </w:rPr>
                    <w:t>）</w:t>
                  </w:r>
                </w:p>
              </w:tc>
              <w:tc>
                <w:tcPr>
                  <w:tcW w:w="376" w:type="pct"/>
                  <w:tcBorders>
                    <w:tl2br w:val="nil"/>
                    <w:tr2bl w:val="nil"/>
                  </w:tcBorders>
                  <w:shd w:val="clear" w:color="auto" w:fill="auto"/>
                  <w:vAlign w:val="center"/>
                </w:tcPr>
                <w:p w14:paraId="12FBC33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排放浓度（</w:t>
                  </w:r>
                  <w:r>
                    <w:rPr>
                      <w:rStyle w:val="59"/>
                      <w:rFonts w:hint="default" w:ascii="Times New Roman" w:hAnsi="Times New Roman" w:eastAsia="宋体" w:cs="Times New Roman"/>
                      <w:b/>
                      <w:bCs/>
                      <w:color w:val="auto"/>
                      <w:sz w:val="21"/>
                      <w:szCs w:val="21"/>
                      <w:lang w:val="en-US" w:eastAsia="zh-CN" w:bidi="ar"/>
                    </w:rPr>
                    <w:t>mg/m</w:t>
                  </w:r>
                  <w:r>
                    <w:rPr>
                      <w:rStyle w:val="60"/>
                      <w:rFonts w:hint="default" w:ascii="Times New Roman" w:hAnsi="Times New Roman" w:eastAsia="宋体" w:cs="Times New Roman"/>
                      <w:b/>
                      <w:bCs/>
                      <w:color w:val="auto"/>
                      <w:sz w:val="21"/>
                      <w:szCs w:val="21"/>
                      <w:vertAlign w:val="superscript"/>
                      <w:lang w:val="en-US" w:eastAsia="zh-CN" w:bidi="ar"/>
                    </w:rPr>
                    <w:t>3</w:t>
                  </w:r>
                  <w:r>
                    <w:rPr>
                      <w:rStyle w:val="61"/>
                      <w:rFonts w:hint="default" w:ascii="Times New Roman" w:hAnsi="Times New Roman" w:eastAsia="宋体" w:cs="Times New Roman"/>
                      <w:b/>
                      <w:bCs/>
                      <w:color w:val="auto"/>
                      <w:sz w:val="21"/>
                      <w:szCs w:val="21"/>
                      <w:lang w:val="en-US" w:eastAsia="zh-CN" w:bidi="ar"/>
                    </w:rPr>
                    <w:t>）</w:t>
                  </w:r>
                </w:p>
              </w:tc>
              <w:tc>
                <w:tcPr>
                  <w:tcW w:w="345" w:type="pct"/>
                  <w:tcBorders>
                    <w:tl2br w:val="nil"/>
                    <w:tr2bl w:val="nil"/>
                  </w:tcBorders>
                  <w:shd w:val="clear" w:color="auto" w:fill="auto"/>
                  <w:vAlign w:val="center"/>
                </w:tcPr>
                <w:p w14:paraId="397FFB3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排放速率（</w:t>
                  </w:r>
                  <w:r>
                    <w:rPr>
                      <w:rStyle w:val="59"/>
                      <w:rFonts w:hint="default" w:ascii="Times New Roman" w:hAnsi="Times New Roman" w:eastAsia="宋体" w:cs="Times New Roman"/>
                      <w:b/>
                      <w:bCs/>
                      <w:color w:val="auto"/>
                      <w:sz w:val="21"/>
                      <w:szCs w:val="21"/>
                      <w:lang w:val="en-US" w:eastAsia="zh-CN" w:bidi="ar"/>
                    </w:rPr>
                    <w:t>kg/h</w:t>
                  </w:r>
                  <w:r>
                    <w:rPr>
                      <w:rStyle w:val="61"/>
                      <w:rFonts w:hint="default" w:ascii="Times New Roman" w:hAnsi="Times New Roman" w:eastAsia="宋体" w:cs="Times New Roman"/>
                      <w:b/>
                      <w:bCs/>
                      <w:color w:val="auto"/>
                      <w:sz w:val="21"/>
                      <w:szCs w:val="21"/>
                      <w:lang w:val="en-US" w:eastAsia="zh-CN" w:bidi="ar"/>
                    </w:rPr>
                    <w:t>）</w:t>
                  </w:r>
                </w:p>
              </w:tc>
              <w:tc>
                <w:tcPr>
                  <w:tcW w:w="396" w:type="pct"/>
                  <w:vMerge w:val="continue"/>
                  <w:tcBorders>
                    <w:tl2br w:val="nil"/>
                    <w:tr2bl w:val="nil"/>
                  </w:tcBorders>
                  <w:shd w:val="clear" w:color="auto" w:fill="auto"/>
                  <w:vAlign w:val="center"/>
                </w:tcPr>
                <w:p w14:paraId="1DD7A0C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i w:val="0"/>
                      <w:iCs w:val="0"/>
                      <w:color w:val="auto"/>
                      <w:sz w:val="21"/>
                      <w:szCs w:val="21"/>
                      <w:u w:val="none"/>
                    </w:rPr>
                  </w:pPr>
                </w:p>
              </w:tc>
            </w:tr>
            <w:tr w14:paraId="0DCC1BA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50" w:hRule="atLeast"/>
              </w:trPr>
              <w:tc>
                <w:tcPr>
                  <w:tcW w:w="166" w:type="pct"/>
                  <w:tcBorders>
                    <w:tl2br w:val="nil"/>
                    <w:tr2bl w:val="nil"/>
                  </w:tcBorders>
                  <w:shd w:val="clear" w:color="auto" w:fill="auto"/>
                  <w:vAlign w:val="center"/>
                </w:tcPr>
                <w:p w14:paraId="58F727A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351" w:type="pct"/>
                  <w:tcBorders>
                    <w:tl2br w:val="nil"/>
                    <w:tr2bl w:val="nil"/>
                  </w:tcBorders>
                  <w:shd w:val="clear" w:color="auto" w:fill="auto"/>
                  <w:vAlign w:val="center"/>
                </w:tcPr>
                <w:p w14:paraId="0FC6A5A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1#焊接、补锌烟尘</w:t>
                  </w:r>
                </w:p>
              </w:tc>
              <w:tc>
                <w:tcPr>
                  <w:tcW w:w="254" w:type="pct"/>
                  <w:tcBorders>
                    <w:tl2br w:val="nil"/>
                    <w:tr2bl w:val="nil"/>
                  </w:tcBorders>
                  <w:shd w:val="clear" w:color="auto" w:fill="auto"/>
                  <w:vAlign w:val="center"/>
                </w:tcPr>
                <w:p w14:paraId="746F68F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颗粒物</w:t>
                  </w:r>
                </w:p>
              </w:tc>
              <w:tc>
                <w:tcPr>
                  <w:tcW w:w="322" w:type="pct"/>
                  <w:tcBorders>
                    <w:tl2br w:val="nil"/>
                    <w:tr2bl w:val="nil"/>
                  </w:tcBorders>
                  <w:shd w:val="clear" w:color="auto" w:fill="auto"/>
                  <w:vAlign w:val="center"/>
                </w:tcPr>
                <w:p w14:paraId="6F59A0C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0.586</w:t>
                  </w:r>
                </w:p>
              </w:tc>
              <w:tc>
                <w:tcPr>
                  <w:tcW w:w="424" w:type="pct"/>
                  <w:tcBorders>
                    <w:tl2br w:val="nil"/>
                    <w:tr2bl w:val="nil"/>
                  </w:tcBorders>
                  <w:shd w:val="clear" w:color="auto" w:fill="auto"/>
                  <w:vAlign w:val="center"/>
                </w:tcPr>
                <w:p w14:paraId="6BFB8E1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40.694</w:t>
                  </w:r>
                </w:p>
              </w:tc>
              <w:tc>
                <w:tcPr>
                  <w:tcW w:w="328" w:type="pct"/>
                  <w:tcBorders>
                    <w:tl2br w:val="nil"/>
                    <w:tr2bl w:val="nil"/>
                  </w:tcBorders>
                  <w:shd w:val="clear" w:color="auto" w:fill="auto"/>
                  <w:vAlign w:val="center"/>
                </w:tcPr>
                <w:p w14:paraId="5840A55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有组织</w:t>
                  </w:r>
                </w:p>
              </w:tc>
              <w:tc>
                <w:tcPr>
                  <w:tcW w:w="339" w:type="pct"/>
                  <w:tcBorders>
                    <w:tl2br w:val="nil"/>
                    <w:tr2bl w:val="nil"/>
                  </w:tcBorders>
                  <w:shd w:val="clear" w:color="auto" w:fill="auto"/>
                  <w:vAlign w:val="center"/>
                </w:tcPr>
                <w:p w14:paraId="1D9F0C6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集气罩（</w:t>
                  </w:r>
                  <w:r>
                    <w:rPr>
                      <w:rFonts w:hint="eastAsia" w:cs="Times New Roman"/>
                      <w:i w:val="0"/>
                      <w:iCs w:val="0"/>
                      <w:color w:val="auto"/>
                      <w:kern w:val="0"/>
                      <w:sz w:val="21"/>
                      <w:szCs w:val="21"/>
                      <w:u w:val="none"/>
                      <w:lang w:val="en-US" w:eastAsia="zh-CN" w:bidi="ar"/>
                    </w:rPr>
                    <w:t>4</w:t>
                  </w:r>
                  <w:r>
                    <w:rPr>
                      <w:rFonts w:hint="default" w:ascii="Times New Roman" w:hAnsi="Times New Roman" w:eastAsia="宋体" w:cs="Times New Roman"/>
                      <w:i w:val="0"/>
                      <w:iCs w:val="0"/>
                      <w:color w:val="auto"/>
                      <w:kern w:val="0"/>
                      <w:sz w:val="21"/>
                      <w:szCs w:val="21"/>
                      <w:u w:val="none"/>
                      <w:lang w:val="en-US" w:eastAsia="zh-CN" w:bidi="ar"/>
                    </w:rPr>
                    <w:t>个）+布袋除尘器</w:t>
                  </w:r>
                  <w:r>
                    <w:rPr>
                      <w:rFonts w:hint="eastAsia" w:cs="Times New Roman"/>
                      <w:i w:val="0"/>
                      <w:iCs w:val="0"/>
                      <w:color w:val="auto"/>
                      <w:kern w:val="0"/>
                      <w:sz w:val="21"/>
                      <w:szCs w:val="21"/>
                      <w:u w:val="none"/>
                      <w:lang w:val="en-US" w:eastAsia="zh-CN" w:bidi="ar"/>
                    </w:rPr>
                    <w:t>（TA001）</w:t>
                  </w:r>
                </w:p>
              </w:tc>
              <w:tc>
                <w:tcPr>
                  <w:tcW w:w="332" w:type="pct"/>
                  <w:tcBorders>
                    <w:tl2br w:val="nil"/>
                    <w:tr2bl w:val="nil"/>
                  </w:tcBorders>
                  <w:shd w:val="clear" w:color="auto" w:fill="auto"/>
                  <w:vAlign w:val="center"/>
                </w:tcPr>
                <w:p w14:paraId="465D80F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15m高排气筒（DA001）</w:t>
                  </w:r>
                </w:p>
              </w:tc>
              <w:tc>
                <w:tcPr>
                  <w:tcW w:w="260" w:type="pct"/>
                  <w:tcBorders>
                    <w:tl2br w:val="nil"/>
                    <w:tr2bl w:val="nil"/>
                  </w:tcBorders>
                  <w:shd w:val="clear" w:color="auto" w:fill="auto"/>
                  <w:vAlign w:val="center"/>
                </w:tcPr>
                <w:p w14:paraId="7228C1C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80</w:t>
                  </w:r>
                </w:p>
              </w:tc>
              <w:tc>
                <w:tcPr>
                  <w:tcW w:w="259" w:type="pct"/>
                  <w:tcBorders>
                    <w:tl2br w:val="nil"/>
                    <w:tr2bl w:val="nil"/>
                  </w:tcBorders>
                  <w:shd w:val="clear" w:color="auto" w:fill="auto"/>
                  <w:vAlign w:val="center"/>
                </w:tcPr>
                <w:p w14:paraId="68F4B46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lang w:val="en-US"/>
                    </w:rPr>
                  </w:pPr>
                  <w:r>
                    <w:rPr>
                      <w:rFonts w:hint="eastAsia" w:cs="Times New Roman"/>
                      <w:i w:val="0"/>
                      <w:iCs w:val="0"/>
                      <w:color w:val="auto"/>
                      <w:kern w:val="0"/>
                      <w:sz w:val="21"/>
                      <w:szCs w:val="21"/>
                      <w:u w:val="none"/>
                      <w:lang w:val="en-US" w:eastAsia="zh-CN" w:bidi="ar"/>
                    </w:rPr>
                    <w:t>95</w:t>
                  </w:r>
                </w:p>
              </w:tc>
              <w:tc>
                <w:tcPr>
                  <w:tcW w:w="267" w:type="pct"/>
                  <w:tcBorders>
                    <w:tl2br w:val="nil"/>
                    <w:tr2bl w:val="nil"/>
                  </w:tcBorders>
                  <w:shd w:val="clear" w:color="auto" w:fill="auto"/>
                  <w:vAlign w:val="center"/>
                </w:tcPr>
                <w:p w14:paraId="51C8D41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lang w:val="en-US"/>
                    </w:rPr>
                  </w:pPr>
                  <w:r>
                    <w:rPr>
                      <w:rFonts w:hint="eastAsia" w:cs="Times New Roman"/>
                      <w:i w:val="0"/>
                      <w:iCs w:val="0"/>
                      <w:color w:val="auto"/>
                      <w:kern w:val="0"/>
                      <w:sz w:val="21"/>
                      <w:szCs w:val="21"/>
                      <w:u w:val="none"/>
                      <w:lang w:val="en-US" w:eastAsia="zh-CN" w:bidi="ar"/>
                    </w:rPr>
                    <w:t>12000</w:t>
                  </w:r>
                </w:p>
              </w:tc>
              <w:tc>
                <w:tcPr>
                  <w:tcW w:w="255" w:type="pct"/>
                  <w:tcBorders>
                    <w:tl2br w:val="nil"/>
                    <w:tr2bl w:val="nil"/>
                  </w:tcBorders>
                  <w:shd w:val="clear" w:color="auto" w:fill="auto"/>
                  <w:vAlign w:val="center"/>
                </w:tcPr>
                <w:p w14:paraId="11E7C52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是</w:t>
                  </w:r>
                </w:p>
              </w:tc>
              <w:tc>
                <w:tcPr>
                  <w:tcW w:w="319" w:type="pct"/>
                  <w:tcBorders>
                    <w:tl2br w:val="nil"/>
                    <w:tr2bl w:val="nil"/>
                  </w:tcBorders>
                  <w:shd w:val="clear" w:color="auto" w:fill="auto"/>
                  <w:vAlign w:val="center"/>
                </w:tcPr>
                <w:p w14:paraId="1561000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default" w:cs="Times New Roman"/>
                      <w:i w:val="0"/>
                      <w:iCs w:val="0"/>
                      <w:color w:val="auto"/>
                      <w:kern w:val="0"/>
                      <w:sz w:val="21"/>
                      <w:szCs w:val="21"/>
                      <w:u w:val="none"/>
                      <w:lang w:val="en-US" w:eastAsia="zh-CN" w:bidi="ar"/>
                    </w:rPr>
                    <w:t>0.0</w:t>
                  </w:r>
                  <w:r>
                    <w:rPr>
                      <w:rFonts w:hint="eastAsia" w:cs="Times New Roman"/>
                      <w:i w:val="0"/>
                      <w:iCs w:val="0"/>
                      <w:color w:val="auto"/>
                      <w:kern w:val="0"/>
                      <w:sz w:val="21"/>
                      <w:szCs w:val="21"/>
                      <w:u w:val="none"/>
                      <w:lang w:val="en-US" w:eastAsia="zh-CN" w:bidi="ar"/>
                    </w:rPr>
                    <w:t>23</w:t>
                  </w:r>
                </w:p>
              </w:tc>
              <w:tc>
                <w:tcPr>
                  <w:tcW w:w="376" w:type="pct"/>
                  <w:tcBorders>
                    <w:tl2br w:val="nil"/>
                    <w:tr2bl w:val="nil"/>
                  </w:tcBorders>
                  <w:shd w:val="clear" w:color="auto" w:fill="auto"/>
                  <w:vAlign w:val="center"/>
                </w:tcPr>
                <w:p w14:paraId="661C6CA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1.628</w:t>
                  </w:r>
                </w:p>
              </w:tc>
              <w:tc>
                <w:tcPr>
                  <w:tcW w:w="345" w:type="pct"/>
                  <w:tcBorders>
                    <w:tl2br w:val="nil"/>
                    <w:tr2bl w:val="nil"/>
                  </w:tcBorders>
                  <w:shd w:val="clear" w:color="auto" w:fill="auto"/>
                  <w:vAlign w:val="center"/>
                </w:tcPr>
                <w:p w14:paraId="03FE589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0.02</w:t>
                  </w:r>
                </w:p>
              </w:tc>
              <w:tc>
                <w:tcPr>
                  <w:tcW w:w="396" w:type="pct"/>
                  <w:vMerge w:val="restart"/>
                  <w:tcBorders>
                    <w:tl2br w:val="nil"/>
                    <w:tr2bl w:val="nil"/>
                  </w:tcBorders>
                  <w:shd w:val="clear" w:color="auto" w:fill="auto"/>
                  <w:vAlign w:val="center"/>
                </w:tcPr>
                <w:p w14:paraId="536A6DC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i w:val="0"/>
                      <w:iCs w:val="0"/>
                      <w:color w:val="auto"/>
                      <w:kern w:val="0"/>
                      <w:sz w:val="21"/>
                      <w:szCs w:val="21"/>
                      <w:u w:val="none"/>
                      <w:lang w:val="en-US" w:eastAsia="zh-CN" w:bidi="ar"/>
                    </w:rPr>
                    <w:t>《大气污染物综合排放标准》（GB16297-1996）</w:t>
                  </w:r>
                  <w:r>
                    <w:rPr>
                      <w:rFonts w:hint="eastAsia" w:ascii="Times New Roman" w:hAnsi="Times New Roman" w:eastAsia="宋体" w:cs="Times New Roman"/>
                      <w:i w:val="0"/>
                      <w:iCs w:val="0"/>
                      <w:color w:val="auto"/>
                      <w:kern w:val="0"/>
                      <w:sz w:val="21"/>
                      <w:szCs w:val="21"/>
                      <w:u w:val="none"/>
                      <w:lang w:val="en-US" w:eastAsia="zh-CN" w:bidi="ar"/>
                    </w:rPr>
                    <w:t>表2</w:t>
                  </w:r>
                </w:p>
              </w:tc>
            </w:tr>
            <w:tr w14:paraId="192CA32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166" w:type="pct"/>
                  <w:tcBorders>
                    <w:tl2br w:val="nil"/>
                    <w:tr2bl w:val="nil"/>
                  </w:tcBorders>
                  <w:shd w:val="clear" w:color="auto" w:fill="auto"/>
                  <w:vAlign w:val="center"/>
                </w:tcPr>
                <w:p w14:paraId="7D7E91B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351" w:type="pct"/>
                  <w:tcBorders>
                    <w:tl2br w:val="nil"/>
                    <w:tr2bl w:val="nil"/>
                  </w:tcBorders>
                  <w:shd w:val="clear" w:color="auto" w:fill="auto"/>
                  <w:vAlign w:val="center"/>
                </w:tcPr>
                <w:p w14:paraId="6B5E36E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w:t>
                  </w:r>
                  <w:r>
                    <w:rPr>
                      <w:rFonts w:hint="default" w:ascii="Times New Roman" w:hAnsi="Times New Roman" w:eastAsia="宋体" w:cs="Times New Roman"/>
                      <w:i w:val="0"/>
                      <w:iCs w:val="0"/>
                      <w:color w:val="auto"/>
                      <w:kern w:val="0"/>
                      <w:sz w:val="21"/>
                      <w:szCs w:val="21"/>
                      <w:u w:val="none"/>
                      <w:lang w:val="en-US" w:eastAsia="zh-CN" w:bidi="ar"/>
                    </w:rPr>
                    <w:t>焊接、补锌烟尘</w:t>
                  </w:r>
                </w:p>
              </w:tc>
              <w:tc>
                <w:tcPr>
                  <w:tcW w:w="254" w:type="pct"/>
                  <w:tcBorders>
                    <w:tl2br w:val="nil"/>
                    <w:tr2bl w:val="nil"/>
                  </w:tcBorders>
                  <w:shd w:val="clear" w:color="auto" w:fill="auto"/>
                  <w:vAlign w:val="center"/>
                </w:tcPr>
                <w:p w14:paraId="3E5C79B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颗粒物</w:t>
                  </w:r>
                </w:p>
              </w:tc>
              <w:tc>
                <w:tcPr>
                  <w:tcW w:w="322" w:type="pct"/>
                  <w:tcBorders>
                    <w:tl2br w:val="nil"/>
                    <w:tr2bl w:val="nil"/>
                  </w:tcBorders>
                  <w:shd w:val="clear" w:color="auto" w:fill="auto"/>
                  <w:vAlign w:val="center"/>
                </w:tcPr>
                <w:p w14:paraId="359A5A9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0.52</w:t>
                  </w:r>
                </w:p>
              </w:tc>
              <w:tc>
                <w:tcPr>
                  <w:tcW w:w="424" w:type="pct"/>
                  <w:tcBorders>
                    <w:tl2br w:val="nil"/>
                    <w:tr2bl w:val="nil"/>
                  </w:tcBorders>
                  <w:shd w:val="clear" w:color="auto" w:fill="auto"/>
                  <w:vAlign w:val="center"/>
                </w:tcPr>
                <w:p w14:paraId="65DEB19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36.111</w:t>
                  </w:r>
                </w:p>
              </w:tc>
              <w:tc>
                <w:tcPr>
                  <w:tcW w:w="328" w:type="pct"/>
                  <w:tcBorders>
                    <w:tl2br w:val="nil"/>
                    <w:tr2bl w:val="nil"/>
                  </w:tcBorders>
                  <w:shd w:val="clear" w:color="auto" w:fill="auto"/>
                  <w:vAlign w:val="center"/>
                </w:tcPr>
                <w:p w14:paraId="61F015D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有组织</w:t>
                  </w:r>
                </w:p>
              </w:tc>
              <w:tc>
                <w:tcPr>
                  <w:tcW w:w="339" w:type="pct"/>
                  <w:tcBorders>
                    <w:tl2br w:val="nil"/>
                    <w:tr2bl w:val="nil"/>
                  </w:tcBorders>
                  <w:shd w:val="clear" w:color="auto" w:fill="auto"/>
                  <w:vAlign w:val="center"/>
                </w:tcPr>
                <w:p w14:paraId="6E8DEC3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集气罩（</w:t>
                  </w:r>
                  <w:r>
                    <w:rPr>
                      <w:rFonts w:hint="eastAsia" w:cs="Times New Roman"/>
                      <w:i w:val="0"/>
                      <w:iCs w:val="0"/>
                      <w:color w:val="auto"/>
                      <w:kern w:val="0"/>
                      <w:sz w:val="21"/>
                      <w:szCs w:val="21"/>
                      <w:u w:val="none"/>
                      <w:lang w:val="en-US" w:eastAsia="zh-CN" w:bidi="ar"/>
                    </w:rPr>
                    <w:t>4</w:t>
                  </w:r>
                  <w:r>
                    <w:rPr>
                      <w:rFonts w:hint="default" w:ascii="Times New Roman" w:hAnsi="Times New Roman" w:eastAsia="宋体" w:cs="Times New Roman"/>
                      <w:i w:val="0"/>
                      <w:iCs w:val="0"/>
                      <w:color w:val="auto"/>
                      <w:kern w:val="0"/>
                      <w:sz w:val="21"/>
                      <w:szCs w:val="21"/>
                      <w:u w:val="none"/>
                      <w:lang w:val="en-US" w:eastAsia="zh-CN" w:bidi="ar"/>
                    </w:rPr>
                    <w:t>个）+布袋除尘器</w:t>
                  </w:r>
                  <w:r>
                    <w:rPr>
                      <w:rFonts w:hint="eastAsia" w:cs="Times New Roman"/>
                      <w:i w:val="0"/>
                      <w:iCs w:val="0"/>
                      <w:color w:val="auto"/>
                      <w:kern w:val="0"/>
                      <w:sz w:val="21"/>
                      <w:szCs w:val="21"/>
                      <w:u w:val="none"/>
                      <w:lang w:val="en-US" w:eastAsia="zh-CN" w:bidi="ar"/>
                    </w:rPr>
                    <w:t>（TA002）</w:t>
                  </w:r>
                </w:p>
              </w:tc>
              <w:tc>
                <w:tcPr>
                  <w:tcW w:w="332" w:type="pct"/>
                  <w:tcBorders>
                    <w:tl2br w:val="nil"/>
                    <w:tr2bl w:val="nil"/>
                  </w:tcBorders>
                  <w:shd w:val="clear" w:color="auto" w:fill="auto"/>
                  <w:vAlign w:val="center"/>
                </w:tcPr>
                <w:p w14:paraId="2B88A70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15m高排气筒（DA00</w:t>
                  </w:r>
                  <w:r>
                    <w:rPr>
                      <w:rFonts w:hint="eastAsia" w:ascii="Times New Roman" w:hAnsi="Times New Roman" w:eastAsia="宋体" w:cs="Times New Roman"/>
                      <w:i w:val="0"/>
                      <w:iCs w:val="0"/>
                      <w:color w:val="auto"/>
                      <w:kern w:val="0"/>
                      <w:sz w:val="21"/>
                      <w:szCs w:val="21"/>
                      <w:u w:val="none"/>
                      <w:lang w:val="en-US" w:eastAsia="zh-CN" w:bidi="ar"/>
                    </w:rPr>
                    <w:t>2</w:t>
                  </w:r>
                  <w:r>
                    <w:rPr>
                      <w:rFonts w:hint="default" w:ascii="Times New Roman" w:hAnsi="Times New Roman" w:eastAsia="宋体" w:cs="Times New Roman"/>
                      <w:i w:val="0"/>
                      <w:iCs w:val="0"/>
                      <w:color w:val="auto"/>
                      <w:kern w:val="0"/>
                      <w:sz w:val="21"/>
                      <w:szCs w:val="21"/>
                      <w:u w:val="none"/>
                      <w:lang w:val="en-US" w:eastAsia="zh-CN" w:bidi="ar"/>
                    </w:rPr>
                    <w:t>）</w:t>
                  </w:r>
                </w:p>
              </w:tc>
              <w:tc>
                <w:tcPr>
                  <w:tcW w:w="260" w:type="pct"/>
                  <w:tcBorders>
                    <w:tl2br w:val="nil"/>
                    <w:tr2bl w:val="nil"/>
                  </w:tcBorders>
                  <w:shd w:val="clear" w:color="auto" w:fill="auto"/>
                  <w:vAlign w:val="center"/>
                </w:tcPr>
                <w:p w14:paraId="753E62E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80</w:t>
                  </w:r>
                </w:p>
              </w:tc>
              <w:tc>
                <w:tcPr>
                  <w:tcW w:w="259" w:type="pct"/>
                  <w:tcBorders>
                    <w:tl2br w:val="nil"/>
                    <w:tr2bl w:val="nil"/>
                  </w:tcBorders>
                  <w:shd w:val="clear" w:color="auto" w:fill="auto"/>
                  <w:vAlign w:val="center"/>
                </w:tcPr>
                <w:p w14:paraId="64E9872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eastAsia" w:cs="Times New Roman"/>
                      <w:i w:val="0"/>
                      <w:iCs w:val="0"/>
                      <w:color w:val="auto"/>
                      <w:kern w:val="0"/>
                      <w:sz w:val="21"/>
                      <w:szCs w:val="21"/>
                      <w:u w:val="none"/>
                      <w:lang w:val="en-US" w:eastAsia="zh-CN" w:bidi="ar"/>
                    </w:rPr>
                    <w:t>95</w:t>
                  </w:r>
                </w:p>
              </w:tc>
              <w:tc>
                <w:tcPr>
                  <w:tcW w:w="267" w:type="pct"/>
                  <w:tcBorders>
                    <w:tl2br w:val="nil"/>
                    <w:tr2bl w:val="nil"/>
                  </w:tcBorders>
                  <w:shd w:val="clear" w:color="auto" w:fill="auto"/>
                  <w:vAlign w:val="center"/>
                </w:tcPr>
                <w:p w14:paraId="0B5B065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eastAsia" w:cs="Times New Roman"/>
                      <w:i w:val="0"/>
                      <w:iCs w:val="0"/>
                      <w:color w:val="auto"/>
                      <w:kern w:val="0"/>
                      <w:sz w:val="21"/>
                      <w:szCs w:val="21"/>
                      <w:u w:val="none"/>
                      <w:lang w:val="en-US" w:eastAsia="zh-CN" w:bidi="ar"/>
                    </w:rPr>
                    <w:t>12000</w:t>
                  </w:r>
                </w:p>
              </w:tc>
              <w:tc>
                <w:tcPr>
                  <w:tcW w:w="255" w:type="pct"/>
                  <w:tcBorders>
                    <w:tl2br w:val="nil"/>
                    <w:tr2bl w:val="nil"/>
                  </w:tcBorders>
                  <w:shd w:val="clear" w:color="auto" w:fill="auto"/>
                  <w:vAlign w:val="center"/>
                </w:tcPr>
                <w:p w14:paraId="20D1BA5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是</w:t>
                  </w:r>
                </w:p>
              </w:tc>
              <w:tc>
                <w:tcPr>
                  <w:tcW w:w="319" w:type="pct"/>
                  <w:tcBorders>
                    <w:tl2br w:val="nil"/>
                    <w:tr2bl w:val="nil"/>
                  </w:tcBorders>
                  <w:shd w:val="clear" w:color="auto" w:fill="auto"/>
                  <w:vAlign w:val="center"/>
                </w:tcPr>
                <w:p w14:paraId="6A722CF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default" w:cs="Times New Roman"/>
                      <w:i w:val="0"/>
                      <w:iCs w:val="0"/>
                      <w:color w:val="auto"/>
                      <w:kern w:val="0"/>
                      <w:sz w:val="21"/>
                      <w:szCs w:val="21"/>
                      <w:u w:val="none"/>
                      <w:lang w:val="en-US" w:eastAsia="zh-CN" w:bidi="ar"/>
                    </w:rPr>
                    <w:t>0.0</w:t>
                  </w:r>
                  <w:r>
                    <w:rPr>
                      <w:rFonts w:hint="eastAsia" w:cs="Times New Roman"/>
                      <w:i w:val="0"/>
                      <w:iCs w:val="0"/>
                      <w:color w:val="auto"/>
                      <w:kern w:val="0"/>
                      <w:sz w:val="21"/>
                      <w:szCs w:val="21"/>
                      <w:u w:val="none"/>
                      <w:lang w:val="en-US" w:eastAsia="zh-CN" w:bidi="ar"/>
                    </w:rPr>
                    <w:t>21</w:t>
                  </w:r>
                </w:p>
              </w:tc>
              <w:tc>
                <w:tcPr>
                  <w:tcW w:w="376" w:type="pct"/>
                  <w:tcBorders>
                    <w:tl2br w:val="nil"/>
                    <w:tr2bl w:val="nil"/>
                  </w:tcBorders>
                  <w:shd w:val="clear" w:color="auto" w:fill="auto"/>
                  <w:vAlign w:val="center"/>
                </w:tcPr>
                <w:p w14:paraId="011695A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1.444</w:t>
                  </w:r>
                </w:p>
              </w:tc>
              <w:tc>
                <w:tcPr>
                  <w:tcW w:w="345" w:type="pct"/>
                  <w:tcBorders>
                    <w:tl2br w:val="nil"/>
                    <w:tr2bl w:val="nil"/>
                  </w:tcBorders>
                  <w:shd w:val="clear" w:color="auto" w:fill="auto"/>
                  <w:vAlign w:val="center"/>
                </w:tcPr>
                <w:p w14:paraId="2C62ABB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0.017</w:t>
                  </w:r>
                </w:p>
              </w:tc>
              <w:tc>
                <w:tcPr>
                  <w:tcW w:w="396" w:type="pct"/>
                  <w:vMerge w:val="continue"/>
                  <w:tcBorders>
                    <w:tl2br w:val="nil"/>
                    <w:tr2bl w:val="nil"/>
                  </w:tcBorders>
                  <w:shd w:val="clear" w:color="auto" w:fill="auto"/>
                  <w:vAlign w:val="center"/>
                </w:tcPr>
                <w:p w14:paraId="0DCC781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i w:val="0"/>
                      <w:iCs w:val="0"/>
                      <w:color w:val="auto"/>
                      <w:sz w:val="21"/>
                      <w:szCs w:val="21"/>
                      <w:u w:val="none"/>
                    </w:rPr>
                  </w:pPr>
                </w:p>
              </w:tc>
            </w:tr>
            <w:tr w14:paraId="74A777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20" w:hRule="atLeast"/>
              </w:trPr>
              <w:tc>
                <w:tcPr>
                  <w:tcW w:w="166" w:type="pct"/>
                  <w:tcBorders>
                    <w:tl2br w:val="nil"/>
                    <w:tr2bl w:val="nil"/>
                  </w:tcBorders>
                  <w:shd w:val="clear" w:color="auto" w:fill="auto"/>
                  <w:vAlign w:val="center"/>
                </w:tcPr>
                <w:p w14:paraId="42001F1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p>
              </w:tc>
              <w:tc>
                <w:tcPr>
                  <w:tcW w:w="351" w:type="pct"/>
                  <w:tcBorders>
                    <w:tl2br w:val="nil"/>
                    <w:tr2bl w:val="nil"/>
                  </w:tcBorders>
                  <w:shd w:val="clear" w:color="auto" w:fill="auto"/>
                  <w:vAlign w:val="center"/>
                </w:tcPr>
                <w:p w14:paraId="0A283AA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w:t>
                  </w:r>
                  <w:r>
                    <w:rPr>
                      <w:rFonts w:hint="default" w:ascii="Times New Roman" w:hAnsi="Times New Roman" w:eastAsia="宋体" w:cs="Times New Roman"/>
                      <w:i w:val="0"/>
                      <w:iCs w:val="0"/>
                      <w:color w:val="auto"/>
                      <w:kern w:val="0"/>
                      <w:sz w:val="21"/>
                      <w:szCs w:val="21"/>
                      <w:u w:val="none"/>
                      <w:lang w:val="en-US" w:eastAsia="zh-CN" w:bidi="ar"/>
                    </w:rPr>
                    <w:t>焊接、补锌烟尘</w:t>
                  </w:r>
                  <w:r>
                    <w:rPr>
                      <w:rFonts w:hint="eastAsia" w:cs="Times New Roman"/>
                      <w:i w:val="0"/>
                      <w:iCs w:val="0"/>
                      <w:color w:val="auto"/>
                      <w:kern w:val="0"/>
                      <w:sz w:val="21"/>
                      <w:szCs w:val="21"/>
                      <w:u w:val="none"/>
                      <w:lang w:val="en-US" w:eastAsia="zh-CN" w:bidi="ar"/>
                    </w:rPr>
                    <w:t>逸散粉尘</w:t>
                  </w:r>
                </w:p>
              </w:tc>
              <w:tc>
                <w:tcPr>
                  <w:tcW w:w="254" w:type="pct"/>
                  <w:tcBorders>
                    <w:tl2br w:val="nil"/>
                    <w:tr2bl w:val="nil"/>
                  </w:tcBorders>
                  <w:shd w:val="clear" w:color="auto" w:fill="auto"/>
                  <w:vAlign w:val="center"/>
                </w:tcPr>
                <w:p w14:paraId="7DEE0A3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颗粒物</w:t>
                  </w:r>
                </w:p>
              </w:tc>
              <w:tc>
                <w:tcPr>
                  <w:tcW w:w="322" w:type="pct"/>
                  <w:tcBorders>
                    <w:tl2br w:val="nil"/>
                    <w:tr2bl w:val="nil"/>
                  </w:tcBorders>
                  <w:shd w:val="clear" w:color="auto" w:fill="auto"/>
                  <w:vAlign w:val="center"/>
                </w:tcPr>
                <w:p w14:paraId="2A32B5E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0.117</w:t>
                  </w:r>
                </w:p>
              </w:tc>
              <w:tc>
                <w:tcPr>
                  <w:tcW w:w="424" w:type="pct"/>
                  <w:tcBorders>
                    <w:tl2br w:val="nil"/>
                    <w:tr2bl w:val="nil"/>
                  </w:tcBorders>
                  <w:shd w:val="clear" w:color="auto" w:fill="auto"/>
                  <w:vAlign w:val="center"/>
                </w:tcPr>
                <w:p w14:paraId="270875D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t>
                  </w:r>
                </w:p>
              </w:tc>
              <w:tc>
                <w:tcPr>
                  <w:tcW w:w="328" w:type="pct"/>
                  <w:vMerge w:val="restart"/>
                  <w:tcBorders>
                    <w:tl2br w:val="nil"/>
                    <w:tr2bl w:val="nil"/>
                  </w:tcBorders>
                  <w:shd w:val="clear" w:color="auto" w:fill="auto"/>
                  <w:vAlign w:val="center"/>
                </w:tcPr>
                <w:p w14:paraId="7BC16FD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无组织</w:t>
                  </w:r>
                </w:p>
              </w:tc>
              <w:tc>
                <w:tcPr>
                  <w:tcW w:w="671" w:type="pct"/>
                  <w:gridSpan w:val="2"/>
                  <w:vMerge w:val="restart"/>
                  <w:tcBorders>
                    <w:tl2br w:val="nil"/>
                    <w:tr2bl w:val="nil"/>
                  </w:tcBorders>
                  <w:shd w:val="clear" w:color="auto" w:fill="auto"/>
                  <w:vAlign w:val="center"/>
                </w:tcPr>
                <w:p w14:paraId="46DB49B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厂房阻隔</w:t>
                  </w:r>
                </w:p>
              </w:tc>
              <w:tc>
                <w:tcPr>
                  <w:tcW w:w="260" w:type="pct"/>
                  <w:tcBorders>
                    <w:tl2br w:val="nil"/>
                    <w:tr2bl w:val="nil"/>
                  </w:tcBorders>
                  <w:shd w:val="clear" w:color="auto" w:fill="auto"/>
                  <w:vAlign w:val="center"/>
                </w:tcPr>
                <w:p w14:paraId="12232DF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t>
                  </w:r>
                </w:p>
              </w:tc>
              <w:tc>
                <w:tcPr>
                  <w:tcW w:w="259" w:type="pct"/>
                  <w:tcBorders>
                    <w:tl2br w:val="nil"/>
                    <w:tr2bl w:val="nil"/>
                  </w:tcBorders>
                  <w:shd w:val="clear" w:color="auto" w:fill="auto"/>
                  <w:vAlign w:val="center"/>
                </w:tcPr>
                <w:p w14:paraId="6294EA2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i w:val="0"/>
                      <w:iCs w:val="0"/>
                      <w:color w:val="auto"/>
                      <w:sz w:val="21"/>
                      <w:szCs w:val="21"/>
                      <w:u w:val="none"/>
                      <w:lang w:val="en-US" w:eastAsia="zh-CN"/>
                    </w:rPr>
                  </w:pPr>
                  <w:r>
                    <w:rPr>
                      <w:rFonts w:hint="eastAsia" w:ascii="Times New Roman" w:hAnsi="Times New Roman" w:eastAsia="宋体" w:cs="Times New Roman"/>
                      <w:i w:val="0"/>
                      <w:iCs w:val="0"/>
                      <w:color w:val="auto"/>
                      <w:sz w:val="21"/>
                      <w:szCs w:val="21"/>
                      <w:u w:val="none"/>
                      <w:lang w:val="en-US" w:eastAsia="zh-CN"/>
                    </w:rPr>
                    <w:t>/</w:t>
                  </w:r>
                </w:p>
              </w:tc>
              <w:tc>
                <w:tcPr>
                  <w:tcW w:w="267" w:type="pct"/>
                  <w:tcBorders>
                    <w:tl2br w:val="nil"/>
                    <w:tr2bl w:val="nil"/>
                  </w:tcBorders>
                  <w:shd w:val="clear" w:color="auto" w:fill="auto"/>
                  <w:vAlign w:val="center"/>
                </w:tcPr>
                <w:p w14:paraId="55C01EE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255" w:type="pct"/>
                  <w:tcBorders>
                    <w:tl2br w:val="nil"/>
                    <w:tr2bl w:val="nil"/>
                  </w:tcBorders>
                  <w:shd w:val="clear" w:color="auto" w:fill="auto"/>
                  <w:vAlign w:val="center"/>
                </w:tcPr>
                <w:p w14:paraId="0F02A68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845" w:type="dxa"/>
                  <w:tcBorders>
                    <w:tl2br w:val="nil"/>
                    <w:tr2bl w:val="nil"/>
                  </w:tcBorders>
                  <w:shd w:val="clear" w:color="auto" w:fill="auto"/>
                  <w:vAlign w:val="center"/>
                </w:tcPr>
                <w:p w14:paraId="485BF30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0.117</w:t>
                  </w:r>
                </w:p>
              </w:tc>
              <w:tc>
                <w:tcPr>
                  <w:tcW w:w="376" w:type="pct"/>
                  <w:tcBorders>
                    <w:tl2br w:val="nil"/>
                    <w:tr2bl w:val="nil"/>
                  </w:tcBorders>
                  <w:shd w:val="clear" w:color="auto" w:fill="auto"/>
                  <w:vAlign w:val="center"/>
                </w:tcPr>
                <w:p w14:paraId="7D3C2CD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345" w:type="pct"/>
                  <w:tcBorders>
                    <w:tl2br w:val="nil"/>
                    <w:tr2bl w:val="nil"/>
                  </w:tcBorders>
                  <w:shd w:val="clear" w:color="auto" w:fill="auto"/>
                  <w:vAlign w:val="center"/>
                </w:tcPr>
                <w:p w14:paraId="59C95D4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default" w:cs="Times New Roman"/>
                      <w:i w:val="0"/>
                      <w:iCs w:val="0"/>
                      <w:color w:val="auto"/>
                      <w:kern w:val="0"/>
                      <w:sz w:val="21"/>
                      <w:szCs w:val="21"/>
                      <w:u w:val="none"/>
                      <w:lang w:val="en-US" w:eastAsia="zh-CN" w:bidi="ar"/>
                    </w:rPr>
                    <w:t>0.0</w:t>
                  </w:r>
                  <w:r>
                    <w:rPr>
                      <w:rFonts w:hint="eastAsia" w:cs="Times New Roman"/>
                      <w:i w:val="0"/>
                      <w:iCs w:val="0"/>
                      <w:color w:val="auto"/>
                      <w:kern w:val="0"/>
                      <w:sz w:val="21"/>
                      <w:szCs w:val="21"/>
                      <w:u w:val="none"/>
                      <w:lang w:val="en-US" w:eastAsia="zh-CN" w:bidi="ar"/>
                    </w:rPr>
                    <w:t>98</w:t>
                  </w:r>
                </w:p>
              </w:tc>
              <w:tc>
                <w:tcPr>
                  <w:tcW w:w="396" w:type="pct"/>
                  <w:vMerge w:val="continue"/>
                  <w:tcBorders>
                    <w:tl2br w:val="nil"/>
                    <w:tr2bl w:val="nil"/>
                  </w:tcBorders>
                  <w:shd w:val="clear" w:color="auto" w:fill="auto"/>
                  <w:vAlign w:val="center"/>
                </w:tcPr>
                <w:p w14:paraId="7064400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p>
              </w:tc>
            </w:tr>
            <w:tr w14:paraId="2656EC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00" w:hRule="atLeast"/>
              </w:trPr>
              <w:tc>
                <w:tcPr>
                  <w:tcW w:w="166" w:type="pct"/>
                  <w:tcBorders>
                    <w:tl2br w:val="nil"/>
                    <w:tr2bl w:val="nil"/>
                  </w:tcBorders>
                  <w:shd w:val="clear" w:color="auto" w:fill="auto"/>
                  <w:vAlign w:val="center"/>
                </w:tcPr>
                <w:p w14:paraId="7B5028A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351" w:type="pct"/>
                  <w:tcBorders>
                    <w:tl2br w:val="nil"/>
                    <w:tr2bl w:val="nil"/>
                  </w:tcBorders>
                  <w:shd w:val="clear" w:color="auto" w:fill="auto"/>
                  <w:vAlign w:val="center"/>
                </w:tcPr>
                <w:p w14:paraId="16826B9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w:t>
                  </w:r>
                  <w:r>
                    <w:rPr>
                      <w:rFonts w:hint="default" w:ascii="Times New Roman" w:hAnsi="Times New Roman" w:eastAsia="宋体" w:cs="Times New Roman"/>
                      <w:i w:val="0"/>
                      <w:iCs w:val="0"/>
                      <w:color w:val="auto"/>
                      <w:kern w:val="0"/>
                      <w:sz w:val="21"/>
                      <w:szCs w:val="21"/>
                      <w:u w:val="none"/>
                      <w:lang w:val="en-US" w:eastAsia="zh-CN" w:bidi="ar"/>
                    </w:rPr>
                    <w:t>焊接、补锌烟尘</w:t>
                  </w:r>
                  <w:r>
                    <w:rPr>
                      <w:rFonts w:hint="eastAsia" w:cs="Times New Roman"/>
                      <w:i w:val="0"/>
                      <w:iCs w:val="0"/>
                      <w:color w:val="auto"/>
                      <w:kern w:val="0"/>
                      <w:sz w:val="21"/>
                      <w:szCs w:val="21"/>
                      <w:u w:val="none"/>
                      <w:lang w:val="en-US" w:eastAsia="zh-CN" w:bidi="ar"/>
                    </w:rPr>
                    <w:t>逸散粉尘</w:t>
                  </w:r>
                </w:p>
              </w:tc>
              <w:tc>
                <w:tcPr>
                  <w:tcW w:w="254" w:type="pct"/>
                  <w:tcBorders>
                    <w:tl2br w:val="nil"/>
                    <w:tr2bl w:val="nil"/>
                  </w:tcBorders>
                  <w:shd w:val="clear" w:color="auto" w:fill="auto"/>
                  <w:vAlign w:val="center"/>
                </w:tcPr>
                <w:p w14:paraId="027A7FF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颗粒物</w:t>
                  </w:r>
                </w:p>
              </w:tc>
              <w:tc>
                <w:tcPr>
                  <w:tcW w:w="322" w:type="pct"/>
                  <w:tcBorders>
                    <w:tl2br w:val="nil"/>
                    <w:tr2bl w:val="nil"/>
                  </w:tcBorders>
                  <w:shd w:val="clear" w:color="auto" w:fill="auto"/>
                  <w:vAlign w:val="center"/>
                </w:tcPr>
                <w:p w14:paraId="36A5D34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0.104</w:t>
                  </w:r>
                </w:p>
              </w:tc>
              <w:tc>
                <w:tcPr>
                  <w:tcW w:w="424" w:type="pct"/>
                  <w:tcBorders>
                    <w:tl2br w:val="nil"/>
                    <w:tr2bl w:val="nil"/>
                  </w:tcBorders>
                  <w:shd w:val="clear" w:color="auto" w:fill="auto"/>
                  <w:vAlign w:val="center"/>
                </w:tcPr>
                <w:p w14:paraId="200954D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t>
                  </w:r>
                </w:p>
              </w:tc>
              <w:tc>
                <w:tcPr>
                  <w:tcW w:w="328" w:type="pct"/>
                  <w:vMerge w:val="continue"/>
                  <w:tcBorders>
                    <w:tl2br w:val="nil"/>
                    <w:tr2bl w:val="nil"/>
                  </w:tcBorders>
                  <w:shd w:val="clear" w:color="auto" w:fill="auto"/>
                  <w:vAlign w:val="center"/>
                </w:tcPr>
                <w:p w14:paraId="43E7673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671" w:type="pct"/>
                  <w:gridSpan w:val="2"/>
                  <w:vMerge w:val="continue"/>
                  <w:tcBorders>
                    <w:tl2br w:val="nil"/>
                    <w:tr2bl w:val="nil"/>
                  </w:tcBorders>
                  <w:shd w:val="clear" w:color="auto" w:fill="auto"/>
                  <w:vAlign w:val="center"/>
                </w:tcPr>
                <w:p w14:paraId="6A1DE8B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260" w:type="pct"/>
                  <w:tcBorders>
                    <w:tl2br w:val="nil"/>
                    <w:tr2bl w:val="nil"/>
                  </w:tcBorders>
                  <w:shd w:val="clear" w:color="auto" w:fill="auto"/>
                  <w:vAlign w:val="center"/>
                </w:tcPr>
                <w:p w14:paraId="109749B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t>
                  </w:r>
                </w:p>
              </w:tc>
              <w:tc>
                <w:tcPr>
                  <w:tcW w:w="259" w:type="pct"/>
                  <w:tcBorders>
                    <w:tl2br w:val="nil"/>
                    <w:tr2bl w:val="nil"/>
                  </w:tcBorders>
                  <w:shd w:val="clear" w:color="auto" w:fill="auto"/>
                  <w:vAlign w:val="center"/>
                </w:tcPr>
                <w:p w14:paraId="07144A1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eastAsia" w:ascii="Times New Roman" w:hAnsi="Times New Roman" w:eastAsia="宋体" w:cs="Times New Roman"/>
                      <w:i w:val="0"/>
                      <w:iCs w:val="0"/>
                      <w:color w:val="auto"/>
                      <w:sz w:val="21"/>
                      <w:szCs w:val="21"/>
                      <w:u w:val="none"/>
                      <w:lang w:val="en-US" w:eastAsia="zh-CN"/>
                    </w:rPr>
                    <w:t>/</w:t>
                  </w:r>
                </w:p>
              </w:tc>
              <w:tc>
                <w:tcPr>
                  <w:tcW w:w="267" w:type="pct"/>
                  <w:tcBorders>
                    <w:tl2br w:val="nil"/>
                    <w:tr2bl w:val="nil"/>
                  </w:tcBorders>
                  <w:shd w:val="clear" w:color="auto" w:fill="auto"/>
                  <w:vAlign w:val="center"/>
                </w:tcPr>
                <w:p w14:paraId="283337D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255" w:type="pct"/>
                  <w:tcBorders>
                    <w:tl2br w:val="nil"/>
                    <w:tr2bl w:val="nil"/>
                  </w:tcBorders>
                  <w:shd w:val="clear" w:color="auto" w:fill="auto"/>
                  <w:vAlign w:val="center"/>
                </w:tcPr>
                <w:p w14:paraId="5C48A93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845" w:type="dxa"/>
                  <w:tcBorders>
                    <w:tl2br w:val="nil"/>
                    <w:tr2bl w:val="nil"/>
                  </w:tcBorders>
                  <w:shd w:val="clear" w:color="auto" w:fill="auto"/>
                  <w:vAlign w:val="center"/>
                </w:tcPr>
                <w:p w14:paraId="1DCF5D5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0.104</w:t>
                  </w:r>
                </w:p>
              </w:tc>
              <w:tc>
                <w:tcPr>
                  <w:tcW w:w="376" w:type="pct"/>
                  <w:tcBorders>
                    <w:tl2br w:val="nil"/>
                    <w:tr2bl w:val="nil"/>
                  </w:tcBorders>
                  <w:shd w:val="clear" w:color="auto" w:fill="auto"/>
                  <w:vAlign w:val="center"/>
                </w:tcPr>
                <w:p w14:paraId="6EA3AA5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345" w:type="pct"/>
                  <w:tcBorders>
                    <w:tl2br w:val="nil"/>
                    <w:tr2bl w:val="nil"/>
                  </w:tcBorders>
                  <w:shd w:val="clear" w:color="auto" w:fill="auto"/>
                  <w:vAlign w:val="center"/>
                </w:tcPr>
                <w:p w14:paraId="36738AC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default" w:cs="Times New Roman"/>
                      <w:i w:val="0"/>
                      <w:iCs w:val="0"/>
                      <w:color w:val="auto"/>
                      <w:kern w:val="0"/>
                      <w:sz w:val="21"/>
                      <w:szCs w:val="21"/>
                      <w:u w:val="none"/>
                      <w:lang w:val="en-US" w:eastAsia="zh-CN" w:bidi="ar"/>
                    </w:rPr>
                    <w:t>0.0</w:t>
                  </w:r>
                  <w:r>
                    <w:rPr>
                      <w:rFonts w:hint="eastAsia" w:cs="Times New Roman"/>
                      <w:i w:val="0"/>
                      <w:iCs w:val="0"/>
                      <w:color w:val="auto"/>
                      <w:kern w:val="0"/>
                      <w:sz w:val="21"/>
                      <w:szCs w:val="21"/>
                      <w:u w:val="none"/>
                      <w:lang w:val="en-US" w:eastAsia="zh-CN" w:bidi="ar"/>
                    </w:rPr>
                    <w:t>87</w:t>
                  </w:r>
                </w:p>
              </w:tc>
              <w:tc>
                <w:tcPr>
                  <w:tcW w:w="396" w:type="pct"/>
                  <w:vMerge w:val="continue"/>
                  <w:tcBorders>
                    <w:tl2br w:val="nil"/>
                    <w:tr2bl w:val="nil"/>
                  </w:tcBorders>
                  <w:shd w:val="clear" w:color="auto" w:fill="auto"/>
                  <w:vAlign w:val="center"/>
                </w:tcPr>
                <w:p w14:paraId="2B08505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i w:val="0"/>
                      <w:iCs w:val="0"/>
                      <w:color w:val="auto"/>
                      <w:sz w:val="21"/>
                      <w:szCs w:val="21"/>
                      <w:u w:val="none"/>
                    </w:rPr>
                  </w:pPr>
                </w:p>
              </w:tc>
            </w:tr>
            <w:tr w14:paraId="57FC4F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55" w:hRule="atLeast"/>
              </w:trPr>
              <w:tc>
                <w:tcPr>
                  <w:tcW w:w="166" w:type="pct"/>
                  <w:tcBorders>
                    <w:tl2br w:val="nil"/>
                    <w:tr2bl w:val="nil"/>
                  </w:tcBorders>
                  <w:shd w:val="clear" w:color="auto" w:fill="auto"/>
                  <w:vAlign w:val="center"/>
                </w:tcPr>
                <w:p w14:paraId="23E8B62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w:t>
                  </w:r>
                </w:p>
              </w:tc>
              <w:tc>
                <w:tcPr>
                  <w:tcW w:w="351" w:type="pct"/>
                  <w:tcBorders>
                    <w:tl2br w:val="nil"/>
                    <w:tr2bl w:val="nil"/>
                  </w:tcBorders>
                  <w:shd w:val="clear" w:color="auto" w:fill="auto"/>
                  <w:vAlign w:val="center"/>
                </w:tcPr>
                <w:p w14:paraId="37BB59B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切割粉尘</w:t>
                  </w:r>
                </w:p>
              </w:tc>
              <w:tc>
                <w:tcPr>
                  <w:tcW w:w="254" w:type="pct"/>
                  <w:tcBorders>
                    <w:tl2br w:val="nil"/>
                    <w:tr2bl w:val="nil"/>
                  </w:tcBorders>
                  <w:shd w:val="clear" w:color="auto" w:fill="auto"/>
                  <w:vAlign w:val="center"/>
                </w:tcPr>
                <w:p w14:paraId="324B3CB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颗粒物</w:t>
                  </w:r>
                </w:p>
              </w:tc>
              <w:tc>
                <w:tcPr>
                  <w:tcW w:w="322" w:type="pct"/>
                  <w:tcBorders>
                    <w:tl2br w:val="nil"/>
                    <w:tr2bl w:val="nil"/>
                  </w:tcBorders>
                  <w:shd w:val="clear" w:color="auto" w:fill="auto"/>
                  <w:vAlign w:val="center"/>
                </w:tcPr>
                <w:p w14:paraId="5AC156B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111</w:t>
                  </w:r>
                </w:p>
              </w:tc>
              <w:tc>
                <w:tcPr>
                  <w:tcW w:w="424" w:type="pct"/>
                  <w:tcBorders>
                    <w:tl2br w:val="nil"/>
                    <w:tr2bl w:val="nil"/>
                  </w:tcBorders>
                  <w:shd w:val="clear" w:color="auto" w:fill="auto"/>
                  <w:vAlign w:val="center"/>
                </w:tcPr>
                <w:p w14:paraId="7771DF7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328" w:type="pct"/>
                  <w:tcBorders>
                    <w:tl2br w:val="nil"/>
                    <w:tr2bl w:val="nil"/>
                  </w:tcBorders>
                  <w:shd w:val="clear" w:color="auto" w:fill="auto"/>
                  <w:vAlign w:val="center"/>
                </w:tcPr>
                <w:p w14:paraId="0C5B50C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无组织</w:t>
                  </w:r>
                </w:p>
              </w:tc>
              <w:tc>
                <w:tcPr>
                  <w:tcW w:w="671" w:type="pct"/>
                  <w:gridSpan w:val="2"/>
                  <w:vMerge w:val="continue"/>
                  <w:tcBorders>
                    <w:tl2br w:val="nil"/>
                    <w:tr2bl w:val="nil"/>
                  </w:tcBorders>
                  <w:shd w:val="clear" w:color="auto" w:fill="auto"/>
                  <w:vAlign w:val="center"/>
                </w:tcPr>
                <w:p w14:paraId="1BCCF0B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260" w:type="pct"/>
                  <w:tcBorders>
                    <w:tl2br w:val="nil"/>
                    <w:tr2bl w:val="nil"/>
                  </w:tcBorders>
                  <w:shd w:val="clear" w:color="auto" w:fill="auto"/>
                  <w:vAlign w:val="center"/>
                </w:tcPr>
                <w:p w14:paraId="1957CF0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t>
                  </w:r>
                </w:p>
              </w:tc>
              <w:tc>
                <w:tcPr>
                  <w:tcW w:w="259" w:type="pct"/>
                  <w:tcBorders>
                    <w:tl2br w:val="nil"/>
                    <w:tr2bl w:val="nil"/>
                  </w:tcBorders>
                  <w:shd w:val="clear" w:color="auto" w:fill="auto"/>
                  <w:vAlign w:val="center"/>
                </w:tcPr>
                <w:p w14:paraId="6957F0A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eastAsia" w:ascii="Times New Roman" w:hAnsi="Times New Roman" w:eastAsia="宋体" w:cs="Times New Roman"/>
                      <w:i w:val="0"/>
                      <w:iCs w:val="0"/>
                      <w:color w:val="auto"/>
                      <w:sz w:val="21"/>
                      <w:szCs w:val="21"/>
                      <w:u w:val="none"/>
                      <w:lang w:val="en-US" w:eastAsia="zh-CN"/>
                    </w:rPr>
                    <w:t>/</w:t>
                  </w:r>
                </w:p>
              </w:tc>
              <w:tc>
                <w:tcPr>
                  <w:tcW w:w="267" w:type="pct"/>
                  <w:tcBorders>
                    <w:tl2br w:val="nil"/>
                    <w:tr2bl w:val="nil"/>
                  </w:tcBorders>
                  <w:shd w:val="clear" w:color="auto" w:fill="auto"/>
                  <w:vAlign w:val="center"/>
                </w:tcPr>
                <w:p w14:paraId="73D3CF5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255" w:type="pct"/>
                  <w:tcBorders>
                    <w:tl2br w:val="nil"/>
                    <w:tr2bl w:val="nil"/>
                  </w:tcBorders>
                  <w:shd w:val="clear" w:color="auto" w:fill="auto"/>
                  <w:vAlign w:val="center"/>
                </w:tcPr>
                <w:p w14:paraId="0A3CB1F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845" w:type="dxa"/>
                  <w:tcBorders>
                    <w:tl2br w:val="nil"/>
                    <w:tr2bl w:val="nil"/>
                  </w:tcBorders>
                  <w:shd w:val="clear" w:color="auto" w:fill="auto"/>
                  <w:vAlign w:val="center"/>
                </w:tcPr>
                <w:p w14:paraId="76E2741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111</w:t>
                  </w:r>
                </w:p>
              </w:tc>
              <w:tc>
                <w:tcPr>
                  <w:tcW w:w="376" w:type="pct"/>
                  <w:tcBorders>
                    <w:tl2br w:val="nil"/>
                    <w:tr2bl w:val="nil"/>
                  </w:tcBorders>
                  <w:shd w:val="clear" w:color="auto" w:fill="auto"/>
                  <w:vAlign w:val="center"/>
                </w:tcPr>
                <w:p w14:paraId="5FBF18A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345" w:type="pct"/>
                  <w:tcBorders>
                    <w:tl2br w:val="nil"/>
                    <w:tr2bl w:val="nil"/>
                  </w:tcBorders>
                  <w:shd w:val="clear" w:color="auto" w:fill="auto"/>
                  <w:vAlign w:val="center"/>
                </w:tcPr>
                <w:p w14:paraId="18AC360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default" w:cs="Times New Roman"/>
                      <w:i w:val="0"/>
                      <w:iCs w:val="0"/>
                      <w:color w:val="auto"/>
                      <w:kern w:val="0"/>
                      <w:sz w:val="21"/>
                      <w:szCs w:val="21"/>
                      <w:u w:val="none"/>
                      <w:lang w:val="en-US" w:eastAsia="zh-CN" w:bidi="ar"/>
                    </w:rPr>
                    <w:t>0.054</w:t>
                  </w:r>
                </w:p>
              </w:tc>
              <w:tc>
                <w:tcPr>
                  <w:tcW w:w="396" w:type="pct"/>
                  <w:vMerge w:val="continue"/>
                  <w:tcBorders>
                    <w:tl2br w:val="nil"/>
                    <w:tr2bl w:val="nil"/>
                  </w:tcBorders>
                  <w:shd w:val="clear" w:color="auto" w:fill="auto"/>
                  <w:vAlign w:val="center"/>
                </w:tcPr>
                <w:p w14:paraId="7DC8D08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p>
              </w:tc>
            </w:tr>
            <w:tr w14:paraId="1DF6A17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166" w:type="pct"/>
                  <w:vMerge w:val="restart"/>
                  <w:tcBorders>
                    <w:tl2br w:val="nil"/>
                    <w:tr2bl w:val="nil"/>
                  </w:tcBorders>
                  <w:shd w:val="clear" w:color="auto" w:fill="auto"/>
                  <w:vAlign w:val="center"/>
                </w:tcPr>
                <w:p w14:paraId="6CB2BE8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合计</w:t>
                  </w:r>
                </w:p>
              </w:tc>
              <w:tc>
                <w:tcPr>
                  <w:tcW w:w="3396" w:type="pct"/>
                  <w:gridSpan w:val="11"/>
                  <w:tcBorders>
                    <w:tl2br w:val="nil"/>
                    <w:tr2bl w:val="nil"/>
                  </w:tcBorders>
                  <w:shd w:val="clear" w:color="auto" w:fill="auto"/>
                  <w:vAlign w:val="center"/>
                </w:tcPr>
                <w:p w14:paraId="3187155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有组织颗粒物</w:t>
                  </w:r>
                </w:p>
              </w:tc>
              <w:tc>
                <w:tcPr>
                  <w:tcW w:w="319" w:type="pct"/>
                  <w:tcBorders>
                    <w:tl2br w:val="nil"/>
                    <w:tr2bl w:val="nil"/>
                  </w:tcBorders>
                  <w:shd w:val="clear" w:color="auto" w:fill="auto"/>
                  <w:vAlign w:val="center"/>
                </w:tcPr>
                <w:p w14:paraId="48671B4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0.044</w:t>
                  </w:r>
                </w:p>
              </w:tc>
              <w:tc>
                <w:tcPr>
                  <w:tcW w:w="376" w:type="pct"/>
                  <w:tcBorders>
                    <w:tl2br w:val="nil"/>
                    <w:tr2bl w:val="nil"/>
                  </w:tcBorders>
                  <w:shd w:val="clear" w:color="auto" w:fill="auto"/>
                  <w:vAlign w:val="center"/>
                </w:tcPr>
                <w:p w14:paraId="02F9538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345" w:type="pct"/>
                  <w:tcBorders>
                    <w:tl2br w:val="nil"/>
                    <w:tr2bl w:val="nil"/>
                  </w:tcBorders>
                  <w:shd w:val="clear" w:color="auto" w:fill="auto"/>
                  <w:vAlign w:val="center"/>
                </w:tcPr>
                <w:p w14:paraId="2353E5F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396" w:type="pct"/>
                  <w:tcBorders>
                    <w:tl2br w:val="nil"/>
                    <w:tr2bl w:val="nil"/>
                  </w:tcBorders>
                  <w:shd w:val="clear" w:color="auto" w:fill="auto"/>
                  <w:vAlign w:val="center"/>
                </w:tcPr>
                <w:p w14:paraId="031737D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16FC8B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166" w:type="pct"/>
                  <w:vMerge w:val="continue"/>
                  <w:tcBorders>
                    <w:tl2br w:val="nil"/>
                    <w:tr2bl w:val="nil"/>
                  </w:tcBorders>
                  <w:shd w:val="clear" w:color="auto" w:fill="auto"/>
                  <w:vAlign w:val="center"/>
                </w:tcPr>
                <w:p w14:paraId="77791F3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3396" w:type="pct"/>
                  <w:gridSpan w:val="11"/>
                  <w:tcBorders>
                    <w:tl2br w:val="nil"/>
                    <w:tr2bl w:val="nil"/>
                  </w:tcBorders>
                  <w:shd w:val="clear" w:color="auto" w:fill="auto"/>
                  <w:vAlign w:val="center"/>
                </w:tcPr>
                <w:p w14:paraId="3FF8198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无组织颗粒物</w:t>
                  </w:r>
                </w:p>
              </w:tc>
              <w:tc>
                <w:tcPr>
                  <w:tcW w:w="319" w:type="pct"/>
                  <w:tcBorders>
                    <w:tl2br w:val="nil"/>
                    <w:tr2bl w:val="nil"/>
                  </w:tcBorders>
                  <w:shd w:val="clear" w:color="auto" w:fill="auto"/>
                  <w:vAlign w:val="center"/>
                </w:tcPr>
                <w:p w14:paraId="1A823FE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default" w:cs="Times New Roman"/>
                      <w:i w:val="0"/>
                      <w:iCs w:val="0"/>
                      <w:color w:val="auto"/>
                      <w:kern w:val="0"/>
                      <w:sz w:val="21"/>
                      <w:szCs w:val="21"/>
                      <w:u w:val="none"/>
                      <w:lang w:val="en-US" w:eastAsia="zh-CN" w:bidi="ar"/>
                    </w:rPr>
                    <w:t>0.3</w:t>
                  </w:r>
                  <w:r>
                    <w:rPr>
                      <w:rFonts w:hint="eastAsia" w:cs="Times New Roman"/>
                      <w:i w:val="0"/>
                      <w:iCs w:val="0"/>
                      <w:color w:val="auto"/>
                      <w:kern w:val="0"/>
                      <w:sz w:val="21"/>
                      <w:szCs w:val="21"/>
                      <w:u w:val="none"/>
                      <w:lang w:val="en-US" w:eastAsia="zh-CN" w:bidi="ar"/>
                    </w:rPr>
                    <w:t>32</w:t>
                  </w:r>
                </w:p>
              </w:tc>
              <w:tc>
                <w:tcPr>
                  <w:tcW w:w="376" w:type="pct"/>
                  <w:tcBorders>
                    <w:tl2br w:val="nil"/>
                    <w:tr2bl w:val="nil"/>
                  </w:tcBorders>
                  <w:shd w:val="clear" w:color="auto" w:fill="auto"/>
                  <w:vAlign w:val="center"/>
                </w:tcPr>
                <w:p w14:paraId="6665A4F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345" w:type="pct"/>
                  <w:tcBorders>
                    <w:tl2br w:val="nil"/>
                    <w:tr2bl w:val="nil"/>
                  </w:tcBorders>
                  <w:shd w:val="clear" w:color="auto" w:fill="auto"/>
                  <w:vAlign w:val="center"/>
                </w:tcPr>
                <w:p w14:paraId="6EF8B5F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396" w:type="pct"/>
                  <w:tcBorders>
                    <w:tl2br w:val="nil"/>
                    <w:tr2bl w:val="nil"/>
                  </w:tcBorders>
                  <w:shd w:val="clear" w:color="auto" w:fill="auto"/>
                  <w:vAlign w:val="center"/>
                </w:tcPr>
                <w:p w14:paraId="761D937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bl>
          <w:p w14:paraId="03BE4267">
            <w:pPr>
              <w:rPr>
                <w:color w:val="auto"/>
                <w:vertAlign w:val="baseline"/>
              </w:rPr>
            </w:pPr>
          </w:p>
          <w:p w14:paraId="200FC736">
            <w:pPr>
              <w:rPr>
                <w:color w:val="auto"/>
                <w:vertAlign w:val="baseline"/>
              </w:rPr>
            </w:pPr>
          </w:p>
          <w:p w14:paraId="3F44A84C">
            <w:pPr>
              <w:rPr>
                <w:color w:val="auto"/>
                <w:vertAlign w:val="baseline"/>
              </w:rPr>
            </w:pPr>
          </w:p>
          <w:p w14:paraId="2110DB93">
            <w:pPr>
              <w:rPr>
                <w:color w:val="auto"/>
                <w:vertAlign w:val="baseline"/>
              </w:rPr>
            </w:pPr>
          </w:p>
          <w:p w14:paraId="4E6FC51C">
            <w:pPr>
              <w:rPr>
                <w:color w:val="auto"/>
                <w:vertAlign w:val="baseline"/>
              </w:rPr>
            </w:pPr>
          </w:p>
          <w:p w14:paraId="4C58BFA6">
            <w:pPr>
              <w:rPr>
                <w:color w:val="auto"/>
                <w:vertAlign w:val="baseline"/>
              </w:rPr>
            </w:pPr>
          </w:p>
          <w:p w14:paraId="323106D0">
            <w:pPr>
              <w:rPr>
                <w:color w:val="auto"/>
                <w:vertAlign w:val="baseline"/>
              </w:rPr>
            </w:pPr>
          </w:p>
          <w:p w14:paraId="159AF14C">
            <w:pPr>
              <w:rPr>
                <w:color w:val="auto"/>
                <w:vertAlign w:val="baseline"/>
              </w:rPr>
            </w:pPr>
          </w:p>
          <w:p w14:paraId="27C45181">
            <w:pPr>
              <w:rPr>
                <w:color w:val="auto"/>
                <w:vertAlign w:val="baseline"/>
              </w:rPr>
            </w:pPr>
          </w:p>
          <w:p w14:paraId="6B9B7FD2">
            <w:pPr>
              <w:rPr>
                <w:color w:val="auto"/>
                <w:vertAlign w:val="baseline"/>
              </w:rPr>
            </w:pPr>
          </w:p>
          <w:p w14:paraId="79817531">
            <w:pPr>
              <w:rPr>
                <w:color w:val="auto"/>
                <w:vertAlign w:val="baseline"/>
              </w:rPr>
            </w:pPr>
          </w:p>
          <w:p w14:paraId="0E5EC792">
            <w:pPr>
              <w:ind w:left="0" w:leftChars="0" w:firstLine="0" w:firstLineChars="0"/>
              <w:rPr>
                <w:color w:val="auto"/>
                <w:vertAlign w:val="baseline"/>
              </w:rPr>
            </w:pPr>
          </w:p>
        </w:tc>
      </w:tr>
    </w:tbl>
    <w:p w14:paraId="1DE16BE6">
      <w:pPr>
        <w:ind w:firstLine="0" w:firstLineChars="0"/>
        <w:rPr>
          <w:color w:val="auto"/>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7868"/>
      </w:tblGrid>
      <w:tr w14:paraId="432DC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Align w:val="center"/>
          </w:tcPr>
          <w:p w14:paraId="36B6011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vertAlign w:val="baseline"/>
              </w:rPr>
            </w:pPr>
            <w:r>
              <w:rPr>
                <w:rFonts w:hint="eastAsia"/>
                <w:color w:val="auto"/>
                <w:vertAlign w:val="baseline"/>
              </w:rPr>
              <w:t>运营期环境影响和保护措施</w:t>
            </w:r>
          </w:p>
        </w:tc>
        <w:tc>
          <w:tcPr>
            <w:tcW w:w="7868" w:type="dxa"/>
          </w:tcPr>
          <w:p w14:paraId="4B27F979">
            <w:pPr>
              <w:bidi w:val="0"/>
              <w:rPr>
                <w:rFonts w:hint="eastAsia" w:eastAsia="宋体"/>
                <w:b/>
                <w:bCs/>
                <w:color w:val="auto"/>
                <w:lang w:val="en-US" w:eastAsia="zh-CN"/>
              </w:rPr>
            </w:pPr>
            <w:r>
              <w:rPr>
                <w:rFonts w:hint="eastAsia"/>
                <w:b/>
                <w:bCs/>
                <w:color w:val="auto"/>
                <w:lang w:val="en-US" w:eastAsia="zh-CN"/>
              </w:rPr>
              <w:t>2、主要污染工序及源强分析</w:t>
            </w:r>
          </w:p>
          <w:p w14:paraId="5BF05331">
            <w:pPr>
              <w:bidi w:val="0"/>
              <w:rPr>
                <w:rFonts w:hint="eastAsia"/>
                <w:color w:val="auto"/>
                <w:lang w:val="en-US" w:eastAsia="zh-CN"/>
              </w:rPr>
            </w:pPr>
            <w:r>
              <w:rPr>
                <w:rFonts w:hint="eastAsia"/>
                <w:color w:val="auto"/>
                <w:lang w:val="en-US" w:eastAsia="zh-CN"/>
              </w:rPr>
              <w:t>运营期产生的废气主要为焊接、补锌烟尘和切割废气。</w:t>
            </w:r>
          </w:p>
          <w:p w14:paraId="32CFF26B">
            <w:pPr>
              <w:bidi w:val="0"/>
              <w:rPr>
                <w:rFonts w:hint="default"/>
                <w:b/>
                <w:bCs/>
                <w:color w:val="auto"/>
                <w:lang w:val="en-US" w:eastAsia="zh-CN"/>
              </w:rPr>
            </w:pPr>
            <w:r>
              <w:rPr>
                <w:rFonts w:hint="eastAsia"/>
                <w:b/>
                <w:bCs/>
                <w:color w:val="auto"/>
                <w:lang w:val="en-US" w:eastAsia="zh-CN"/>
              </w:rPr>
              <w:t>（1）有组织废气</w:t>
            </w:r>
          </w:p>
          <w:p w14:paraId="085B10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bCs/>
                <w:color w:val="auto"/>
                <w:sz w:val="24"/>
                <w:szCs w:val="24"/>
                <w:lang w:val="en-US" w:eastAsia="zh-CN"/>
              </w:rPr>
            </w:pPr>
            <w:r>
              <w:rPr>
                <w:rFonts w:hint="eastAsia" w:cs="Times New Roman"/>
                <w:bCs/>
                <w:color w:val="auto"/>
                <w:sz w:val="24"/>
                <w:szCs w:val="24"/>
                <w:lang w:eastAsia="zh-CN"/>
              </w:rPr>
              <w:t>①</w:t>
            </w:r>
            <w:r>
              <w:rPr>
                <w:rFonts w:hint="eastAsia" w:cs="Times New Roman"/>
                <w:bCs/>
                <w:color w:val="auto"/>
                <w:sz w:val="24"/>
                <w:szCs w:val="24"/>
                <w:lang w:val="en-US" w:eastAsia="zh-CN"/>
              </w:rPr>
              <w:t>焊接、补锌烟尘</w:t>
            </w:r>
          </w:p>
          <w:p w14:paraId="47B912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Cs/>
                <w:color w:val="auto"/>
                <w:sz w:val="24"/>
                <w:szCs w:val="24"/>
                <w:lang w:val="en-US" w:eastAsia="zh-CN"/>
              </w:rPr>
            </w:pPr>
            <w:r>
              <w:rPr>
                <w:rFonts w:hint="eastAsia" w:cs="Times New Roman"/>
                <w:bCs/>
                <w:color w:val="auto"/>
                <w:sz w:val="24"/>
                <w:szCs w:val="24"/>
                <w:lang w:eastAsia="zh-CN"/>
              </w:rPr>
              <w:t>项目</w:t>
            </w:r>
            <w:r>
              <w:rPr>
                <w:rFonts w:hint="eastAsia" w:cs="Times New Roman"/>
                <w:bCs/>
                <w:color w:val="auto"/>
                <w:sz w:val="24"/>
                <w:szCs w:val="24"/>
                <w:lang w:val="en-US" w:eastAsia="zh-CN"/>
              </w:rPr>
              <w:t>8</w:t>
            </w:r>
            <w:r>
              <w:rPr>
                <w:rFonts w:hint="eastAsia" w:cs="Times New Roman"/>
                <w:bCs/>
                <w:color w:val="auto"/>
                <w:sz w:val="24"/>
                <w:szCs w:val="24"/>
                <w:lang w:eastAsia="zh-CN"/>
              </w:rPr>
              <w:t>条生产线均采用高频焊法，</w:t>
            </w:r>
            <w:r>
              <w:rPr>
                <w:rFonts w:hint="eastAsia" w:cs="Times New Roman"/>
                <w:bCs/>
                <w:color w:val="auto"/>
                <w:sz w:val="24"/>
                <w:szCs w:val="24"/>
                <w:lang w:val="en-US" w:eastAsia="zh-CN"/>
              </w:rPr>
              <w:t>高频焊接工序会产生焊接、补锌烟尘，</w:t>
            </w:r>
            <w:r>
              <w:rPr>
                <w:rFonts w:hint="eastAsia" w:cs="Times New Roman"/>
                <w:bCs/>
                <w:color w:val="auto"/>
                <w:sz w:val="24"/>
                <w:szCs w:val="24"/>
                <w:lang w:eastAsia="zh-CN"/>
              </w:rPr>
              <w:t>根据《排放源统计调查产排污核实方法和系数手册》中《3130钢压延加工行业系数手册》：“焊接钢管采用高频焊法颗粒物产生系数为0.011kg/t钢材”，项目使用钢带的量为100500t/a，故颗粒物产生量为</w:t>
            </w:r>
            <w:r>
              <w:rPr>
                <w:rFonts w:hint="eastAsia" w:cs="Times New Roman"/>
                <w:bCs/>
                <w:color w:val="auto"/>
                <w:sz w:val="24"/>
                <w:szCs w:val="24"/>
                <w:lang w:val="en-US" w:eastAsia="zh-CN"/>
              </w:rPr>
              <w:t>1.106</w:t>
            </w:r>
            <w:r>
              <w:rPr>
                <w:rFonts w:hint="eastAsia" w:cs="Times New Roman"/>
                <w:bCs/>
                <w:color w:val="auto"/>
                <w:sz w:val="24"/>
                <w:szCs w:val="24"/>
                <w:lang w:eastAsia="zh-CN"/>
              </w:rPr>
              <w:t>t/a。</w:t>
            </w:r>
            <w:r>
              <w:rPr>
                <w:rFonts w:hint="eastAsia" w:cs="Times New Roman"/>
                <w:bCs/>
                <w:color w:val="auto"/>
                <w:sz w:val="24"/>
                <w:szCs w:val="24"/>
                <w:lang w:val="en-US" w:eastAsia="zh-CN"/>
              </w:rPr>
              <w:t>本次环评要求项目1#、2#、3#、4#高频焊管生产线焊接工序产生焊接、补锌烟尘经各自集气罩（共4个）收集后进入1套布袋除尘器（TA001）处理后由1根15m高排气筒（DA001）排放，项目5#、6#、7#、8#高频焊管生产线焊接工序产生的焊接、补锌烟尘经各自集气罩（共4个）收集后进入1套布袋除尘器（TA002）处理后由1根15m高排气筒（DA002）排放。</w:t>
            </w:r>
          </w:p>
          <w:p w14:paraId="11A82D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bCs/>
                <w:color w:val="auto"/>
                <w:sz w:val="24"/>
                <w:szCs w:val="24"/>
                <w:lang w:val="en-US" w:eastAsia="zh-CN"/>
              </w:rPr>
            </w:pPr>
            <w:r>
              <w:rPr>
                <w:rFonts w:hint="eastAsia" w:cs="Times New Roman"/>
                <w:bCs/>
                <w:color w:val="auto"/>
                <w:sz w:val="24"/>
                <w:szCs w:val="24"/>
                <w:lang w:val="en-US" w:eastAsia="zh-CN"/>
              </w:rPr>
              <w:t>本次项目设置1#焊接烟尘包括1#、2#、3#、4#高频焊管生产线产生的焊接、补锌烟尘，根据每条生产线产能计算，1#、2#、3#、4#高频焊管生产线产能为5.3万t/a，2#焊接烟尘包括5#、6#、7#、8#高频焊管生产线产生的焊接、补锌烟尘，根据每条生产线产能计算，5#、6#、7#、8#高频焊管生产线产能为4.7万t/a，则1#焊接、补锌烟尘产生量为0.586t/a，2#焊接、补锌烟尘产生量为0.52t/a。</w:t>
            </w:r>
          </w:p>
          <w:p w14:paraId="501004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bCs/>
                <w:color w:val="auto"/>
                <w:sz w:val="24"/>
                <w:szCs w:val="24"/>
                <w:lang w:val="en-US" w:eastAsia="zh-CN"/>
              </w:rPr>
            </w:pPr>
            <w:r>
              <w:rPr>
                <w:rFonts w:hint="eastAsia" w:cs="Times New Roman"/>
                <w:bCs/>
                <w:color w:val="auto"/>
                <w:sz w:val="24"/>
                <w:szCs w:val="24"/>
                <w:lang w:val="en-US" w:eastAsia="zh-CN"/>
              </w:rPr>
              <w:t>本次项目设置8条生产线，每条生产线配套设置1台焊管机（共8台），每台焊管机上设置1个集气罩（共设置8个），集气罩引风量根据《环境工程设计手册》中的公式进行计算，公式如下：</w:t>
            </w:r>
          </w:p>
          <w:p w14:paraId="705E1E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Cs/>
                <w:color w:val="auto"/>
                <w:sz w:val="24"/>
                <w:szCs w:val="24"/>
                <w:lang w:eastAsia="zh-CN"/>
              </w:rPr>
            </w:pPr>
            <w:r>
              <w:rPr>
                <w:rFonts w:hint="default" w:ascii="Times New Roman" w:hAnsi="Times New Roman" w:eastAsia="宋体" w:cs="Times New Roman"/>
                <w:b w:val="0"/>
                <w:bCs w:val="0"/>
                <w:color w:val="auto"/>
                <w:position w:val="-12"/>
                <w:sz w:val="24"/>
                <w:szCs w:val="32"/>
                <w:highlight w:val="none"/>
                <w:lang w:val="en-US" w:eastAsia="zh-CN"/>
              </w:rPr>
              <w:object>
                <v:shape id="_x0000_i1027" o:spt="75" type="#_x0000_t75" style="height:25.9pt;width:169.25pt;" o:ole="t" filled="f" o:preferrelative="t" stroked="f" coordsize="21600,21600">
                  <v:path/>
                  <v:fill on="f" focussize="0,0"/>
                  <v:stroke on="f"/>
                  <v:imagedata r:id="rId23" o:title=""/>
                  <o:lock v:ext="edit" aspectratio="t"/>
                  <w10:wrap type="none"/>
                  <w10:anchorlock/>
                </v:shape>
                <o:OLEObject Type="Embed" ProgID="Equation.KSEE3" ShapeID="_x0000_i1027" DrawAspect="Content" ObjectID="_1468075727" r:id="rId22">
                  <o:LockedField>false</o:LockedField>
                </o:OLEObject>
              </w:object>
            </w:r>
          </w:p>
          <w:p w14:paraId="79F983E8">
            <w:pPr>
              <w:pStyle w:val="3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auto"/>
                <w:sz w:val="24"/>
                <w:szCs w:val="32"/>
                <w:highlight w:val="none"/>
                <w:lang w:val="en-US" w:eastAsia="zh-CN"/>
              </w:rPr>
            </w:pPr>
            <w:r>
              <w:rPr>
                <w:rFonts w:hint="eastAsia" w:cs="Times New Roman"/>
                <w:b w:val="0"/>
                <w:bCs w:val="0"/>
                <w:color w:val="auto"/>
                <w:sz w:val="24"/>
                <w:szCs w:val="32"/>
                <w:highlight w:val="none"/>
                <w:lang w:val="en-US" w:eastAsia="zh-CN"/>
              </w:rPr>
              <w:t>式中：</w:t>
            </w:r>
            <w:r>
              <w:rPr>
                <w:rFonts w:hint="eastAsia" w:ascii="Times New Roman" w:hAnsi="Times New Roman" w:eastAsia="宋体" w:cs="Times New Roman"/>
                <w:b w:val="0"/>
                <w:bCs w:val="0"/>
                <w:color w:val="auto"/>
                <w:sz w:val="24"/>
                <w:szCs w:val="32"/>
                <w:highlight w:val="none"/>
                <w:lang w:val="en-US" w:eastAsia="zh-CN"/>
              </w:rPr>
              <w:t>L—风量，m</w:t>
            </w:r>
            <w:r>
              <w:rPr>
                <w:rFonts w:hint="eastAsia" w:ascii="Times New Roman" w:hAnsi="Times New Roman" w:eastAsia="宋体" w:cs="Times New Roman"/>
                <w:b w:val="0"/>
                <w:bCs w:val="0"/>
                <w:color w:val="auto"/>
                <w:sz w:val="24"/>
                <w:szCs w:val="32"/>
                <w:highlight w:val="none"/>
                <w:vertAlign w:val="superscript"/>
                <w:lang w:val="en-US" w:eastAsia="zh-CN"/>
              </w:rPr>
              <w:t>3</w:t>
            </w:r>
            <w:r>
              <w:rPr>
                <w:rFonts w:hint="eastAsia" w:ascii="Times New Roman" w:hAnsi="Times New Roman" w:eastAsia="宋体" w:cs="Times New Roman"/>
                <w:b w:val="0"/>
                <w:bCs w:val="0"/>
                <w:color w:val="auto"/>
                <w:sz w:val="24"/>
                <w:szCs w:val="32"/>
                <w:highlight w:val="none"/>
                <w:lang w:val="en-US" w:eastAsia="zh-CN"/>
              </w:rPr>
              <w:t>/h；</w:t>
            </w:r>
          </w:p>
          <w:p w14:paraId="01D84D7A">
            <w:pPr>
              <w:pStyle w:val="3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auto"/>
                <w:sz w:val="24"/>
                <w:szCs w:val="32"/>
                <w:highlight w:val="none"/>
                <w:lang w:val="en-US" w:eastAsia="zh-CN"/>
              </w:rPr>
            </w:pPr>
            <w:r>
              <w:rPr>
                <w:rFonts w:hint="eastAsia" w:ascii="Times New Roman" w:hAnsi="Times New Roman" w:eastAsia="宋体" w:cs="Times New Roman"/>
                <w:b w:val="0"/>
                <w:bCs w:val="0"/>
                <w:color w:val="auto"/>
                <w:sz w:val="24"/>
                <w:szCs w:val="32"/>
                <w:highlight w:val="none"/>
                <w:lang w:val="en-US" w:eastAsia="zh-CN"/>
              </w:rPr>
              <w:t>X—集气罩至污染源的距离，0.</w:t>
            </w:r>
            <w:r>
              <w:rPr>
                <w:rFonts w:hint="eastAsia" w:cs="Times New Roman"/>
                <w:b w:val="0"/>
                <w:bCs w:val="0"/>
                <w:color w:val="auto"/>
                <w:sz w:val="24"/>
                <w:szCs w:val="32"/>
                <w:highlight w:val="none"/>
                <w:lang w:val="en-US" w:eastAsia="zh-CN"/>
              </w:rPr>
              <w:t>5</w:t>
            </w:r>
            <w:r>
              <w:rPr>
                <w:rFonts w:hint="eastAsia" w:ascii="Times New Roman" w:hAnsi="Times New Roman" w:eastAsia="宋体" w:cs="Times New Roman"/>
                <w:b w:val="0"/>
                <w:bCs w:val="0"/>
                <w:color w:val="auto"/>
                <w:sz w:val="24"/>
                <w:szCs w:val="32"/>
                <w:highlight w:val="none"/>
                <w:lang w:val="en-US" w:eastAsia="zh-CN"/>
              </w:rPr>
              <w:t>m；</w:t>
            </w:r>
          </w:p>
          <w:p w14:paraId="67E367D6">
            <w:pPr>
              <w:pStyle w:val="3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auto"/>
                <w:sz w:val="24"/>
                <w:szCs w:val="32"/>
                <w:highlight w:val="none"/>
                <w:lang w:val="en-US" w:eastAsia="zh-CN"/>
              </w:rPr>
            </w:pPr>
            <w:r>
              <w:rPr>
                <w:rFonts w:hint="eastAsia" w:ascii="Times New Roman" w:hAnsi="Times New Roman" w:eastAsia="宋体" w:cs="Times New Roman"/>
                <w:b w:val="0"/>
                <w:bCs w:val="0"/>
                <w:color w:val="auto"/>
                <w:sz w:val="24"/>
                <w:szCs w:val="32"/>
                <w:highlight w:val="none"/>
                <w:lang w:val="en-US" w:eastAsia="zh-CN"/>
              </w:rPr>
              <w:t>F—集气罩口面积，矩形顶吸罩F=A×B，A、B--矩形顶吸罩两边，m；</w:t>
            </w:r>
            <w:r>
              <w:rPr>
                <w:rFonts w:hint="eastAsia" w:cs="Times New Roman"/>
                <w:b w:val="0"/>
                <w:bCs w:val="0"/>
                <w:color w:val="auto"/>
                <w:sz w:val="24"/>
                <w:szCs w:val="32"/>
                <w:highlight w:val="none"/>
                <w:lang w:val="en-US" w:eastAsia="zh-CN"/>
              </w:rPr>
              <w:t>约</w:t>
            </w:r>
            <w:r>
              <w:rPr>
                <w:rFonts w:hint="eastAsia" w:ascii="Times New Roman" w:hAnsi="Times New Roman" w:eastAsia="宋体" w:cs="Times New Roman"/>
                <w:b w:val="0"/>
                <w:bCs w:val="0"/>
                <w:color w:val="auto"/>
                <w:sz w:val="24"/>
                <w:szCs w:val="32"/>
                <w:highlight w:val="none"/>
                <w:lang w:val="en-US" w:eastAsia="zh-CN"/>
              </w:rPr>
              <w:t>为</w:t>
            </w:r>
            <w:r>
              <w:rPr>
                <w:rFonts w:hint="eastAsia" w:cs="Times New Roman"/>
                <w:b w:val="0"/>
                <w:bCs w:val="0"/>
                <w:color w:val="auto"/>
                <w:sz w:val="24"/>
                <w:szCs w:val="32"/>
                <w:highlight w:val="none"/>
                <w:lang w:val="en-US" w:eastAsia="zh-CN"/>
              </w:rPr>
              <w:t>0.5</w:t>
            </w:r>
            <w:r>
              <w:rPr>
                <w:rFonts w:hint="eastAsia" w:ascii="Times New Roman" w:hAnsi="Times New Roman" w:eastAsia="宋体" w:cs="Times New Roman"/>
                <w:b w:val="0"/>
                <w:bCs w:val="0"/>
                <w:color w:val="auto"/>
                <w:sz w:val="24"/>
                <w:szCs w:val="32"/>
                <w:highlight w:val="none"/>
                <w:lang w:val="en-US" w:eastAsia="zh-CN"/>
              </w:rPr>
              <w:t>m×</w:t>
            </w:r>
            <w:r>
              <w:rPr>
                <w:rFonts w:hint="eastAsia" w:cs="Times New Roman"/>
                <w:b w:val="0"/>
                <w:bCs w:val="0"/>
                <w:color w:val="auto"/>
                <w:sz w:val="24"/>
                <w:szCs w:val="32"/>
                <w:highlight w:val="none"/>
                <w:lang w:val="en-US" w:eastAsia="zh-CN"/>
              </w:rPr>
              <w:t>0.8</w:t>
            </w:r>
            <w:r>
              <w:rPr>
                <w:rFonts w:hint="eastAsia" w:ascii="Times New Roman" w:hAnsi="Times New Roman" w:eastAsia="宋体" w:cs="Times New Roman"/>
                <w:b w:val="0"/>
                <w:bCs w:val="0"/>
                <w:color w:val="auto"/>
                <w:sz w:val="24"/>
                <w:szCs w:val="32"/>
                <w:highlight w:val="none"/>
                <w:lang w:val="en-US" w:eastAsia="zh-CN"/>
              </w:rPr>
              <w:t>m，单个集气罩口面积为</w:t>
            </w:r>
            <w:r>
              <w:rPr>
                <w:rFonts w:hint="eastAsia" w:cs="Times New Roman"/>
                <w:b w:val="0"/>
                <w:bCs w:val="0"/>
                <w:color w:val="auto"/>
                <w:sz w:val="24"/>
                <w:szCs w:val="32"/>
                <w:highlight w:val="none"/>
                <w:lang w:val="en-US" w:eastAsia="zh-CN"/>
              </w:rPr>
              <w:t>0.4</w:t>
            </w:r>
            <w:r>
              <w:rPr>
                <w:rFonts w:hint="eastAsia" w:ascii="Times New Roman" w:hAnsi="Times New Roman" w:eastAsia="宋体" w:cs="Times New Roman"/>
                <w:b w:val="0"/>
                <w:bCs w:val="0"/>
                <w:color w:val="auto"/>
                <w:sz w:val="24"/>
                <w:szCs w:val="32"/>
                <w:highlight w:val="none"/>
                <w:lang w:val="en-US" w:eastAsia="zh-CN"/>
              </w:rPr>
              <w:t>m</w:t>
            </w:r>
            <w:r>
              <w:rPr>
                <w:rFonts w:hint="eastAsia" w:ascii="Times New Roman" w:hAnsi="Times New Roman" w:eastAsia="宋体" w:cs="Times New Roman"/>
                <w:b w:val="0"/>
                <w:bCs w:val="0"/>
                <w:color w:val="auto"/>
                <w:sz w:val="24"/>
                <w:szCs w:val="32"/>
                <w:highlight w:val="none"/>
                <w:vertAlign w:val="superscript"/>
                <w:lang w:val="en-US" w:eastAsia="zh-CN"/>
              </w:rPr>
              <w:t>2</w:t>
            </w:r>
            <w:r>
              <w:rPr>
                <w:rFonts w:hint="eastAsia" w:ascii="Times New Roman" w:hAnsi="Times New Roman" w:eastAsia="宋体" w:cs="Times New Roman"/>
                <w:b w:val="0"/>
                <w:bCs w:val="0"/>
                <w:color w:val="auto"/>
                <w:sz w:val="24"/>
                <w:szCs w:val="32"/>
                <w:highlight w:val="none"/>
                <w:lang w:val="en-US" w:eastAsia="zh-CN"/>
              </w:rPr>
              <w:t>；</w:t>
            </w:r>
          </w:p>
          <w:p w14:paraId="33C5F005">
            <w:pPr>
              <w:pStyle w:val="3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auto"/>
                <w:sz w:val="24"/>
                <w:szCs w:val="32"/>
                <w:highlight w:val="none"/>
                <w:lang w:val="en-US" w:eastAsia="zh-CN"/>
              </w:rPr>
            </w:pPr>
            <w:r>
              <w:rPr>
                <w:rFonts w:hint="eastAsia" w:ascii="Times New Roman" w:hAnsi="Times New Roman" w:eastAsia="宋体" w:cs="Times New Roman"/>
                <w:b w:val="0"/>
                <w:bCs w:val="0"/>
                <w:color w:val="auto"/>
                <w:sz w:val="24"/>
                <w:szCs w:val="32"/>
                <w:highlight w:val="none"/>
                <w:lang w:val="en-US" w:eastAsia="zh-CN"/>
              </w:rPr>
              <w:t>Vx—控制风量，0.5m/s。</w:t>
            </w:r>
          </w:p>
          <w:p w14:paraId="1D912A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bCs/>
                <w:color w:val="auto"/>
                <w:sz w:val="24"/>
                <w:szCs w:val="24"/>
                <w:lang w:val="en-US" w:eastAsia="zh-CN"/>
              </w:rPr>
            </w:pPr>
            <w:r>
              <w:rPr>
                <w:rFonts w:hint="eastAsia" w:cs="Times New Roman"/>
                <w:bCs/>
                <w:color w:val="auto"/>
                <w:sz w:val="24"/>
                <w:szCs w:val="24"/>
                <w:lang w:val="en-US" w:eastAsia="zh-CN"/>
              </w:rPr>
              <w:t>经计算，1#焊接、补锌烟尘设置4个集气罩，4个集气罩总引风量为11880m</w:t>
            </w:r>
            <w:r>
              <w:rPr>
                <w:rFonts w:hint="eastAsia" w:cs="Times New Roman"/>
                <w:bCs/>
                <w:color w:val="auto"/>
                <w:sz w:val="24"/>
                <w:szCs w:val="24"/>
                <w:vertAlign w:val="superscript"/>
                <w:lang w:val="en-US" w:eastAsia="zh-CN"/>
              </w:rPr>
              <w:t>3</w:t>
            </w:r>
            <w:r>
              <w:rPr>
                <w:rFonts w:hint="eastAsia" w:cs="Times New Roman"/>
                <w:bCs/>
                <w:color w:val="auto"/>
                <w:sz w:val="24"/>
                <w:szCs w:val="24"/>
                <w:lang w:val="en-US" w:eastAsia="zh-CN"/>
              </w:rPr>
              <w:t>/h，考虑到管道漏风及运行安全，本次环评设置风机风量为12000m</w:t>
            </w:r>
            <w:r>
              <w:rPr>
                <w:rFonts w:hint="eastAsia" w:cs="Times New Roman"/>
                <w:bCs/>
                <w:color w:val="auto"/>
                <w:sz w:val="24"/>
                <w:szCs w:val="24"/>
                <w:vertAlign w:val="superscript"/>
                <w:lang w:val="en-US" w:eastAsia="zh-CN"/>
              </w:rPr>
              <w:t>3</w:t>
            </w:r>
            <w:r>
              <w:rPr>
                <w:rFonts w:hint="eastAsia" w:cs="Times New Roman"/>
                <w:bCs/>
                <w:color w:val="auto"/>
                <w:sz w:val="24"/>
                <w:szCs w:val="24"/>
                <w:lang w:val="en-US" w:eastAsia="zh-CN"/>
              </w:rPr>
              <w:t>/h，布袋除尘器处理效率按95%计，集气罩集气效率按80%计，项目焊接工序工作时长为4h/d，则1#焊接、补锌烟尘排放量为0.023t/a，</w:t>
            </w:r>
            <w:r>
              <w:rPr>
                <w:rFonts w:hint="eastAsia" w:cs="Times New Roman"/>
                <w:color w:val="auto"/>
                <w:sz w:val="24"/>
                <w:szCs w:val="24"/>
                <w:highlight w:val="none"/>
                <w:lang w:val="en-US" w:eastAsia="zh-CN"/>
              </w:rPr>
              <w:t>排放速率为0.02kg/h，排放浓度为1.628mg/m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，处理后的废气经1根15m高排气筒（DA001）排放。</w:t>
            </w:r>
          </w:p>
          <w:p w14:paraId="75D0F8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bCs/>
                <w:color w:val="auto"/>
                <w:sz w:val="24"/>
                <w:szCs w:val="24"/>
                <w:lang w:val="en-US" w:eastAsia="zh-CN"/>
              </w:rPr>
            </w:pPr>
            <w:r>
              <w:rPr>
                <w:rFonts w:hint="eastAsia" w:cs="Times New Roman"/>
                <w:bCs/>
                <w:color w:val="auto"/>
                <w:sz w:val="24"/>
                <w:szCs w:val="24"/>
                <w:lang w:val="en-US" w:eastAsia="zh-CN"/>
              </w:rPr>
              <w:t>2#焊接、补锌烟尘设置4个集气罩，4个集气罩总引风量为11880m</w:t>
            </w:r>
            <w:r>
              <w:rPr>
                <w:rFonts w:hint="eastAsia" w:cs="Times New Roman"/>
                <w:bCs/>
                <w:color w:val="auto"/>
                <w:sz w:val="24"/>
                <w:szCs w:val="24"/>
                <w:vertAlign w:val="superscript"/>
                <w:lang w:val="en-US" w:eastAsia="zh-CN"/>
              </w:rPr>
              <w:t>3</w:t>
            </w:r>
            <w:r>
              <w:rPr>
                <w:rFonts w:hint="eastAsia" w:cs="Times New Roman"/>
                <w:bCs/>
                <w:color w:val="auto"/>
                <w:sz w:val="24"/>
                <w:szCs w:val="24"/>
                <w:lang w:val="en-US" w:eastAsia="zh-CN"/>
              </w:rPr>
              <w:t>/h，考虑到管道漏风及运行安全，本次环评设置风机风量为12000m</w:t>
            </w:r>
            <w:r>
              <w:rPr>
                <w:rFonts w:hint="eastAsia" w:cs="Times New Roman"/>
                <w:bCs/>
                <w:color w:val="auto"/>
                <w:sz w:val="24"/>
                <w:szCs w:val="24"/>
                <w:vertAlign w:val="superscript"/>
                <w:lang w:val="en-US" w:eastAsia="zh-CN"/>
              </w:rPr>
              <w:t>3</w:t>
            </w:r>
            <w:r>
              <w:rPr>
                <w:rFonts w:hint="eastAsia" w:cs="Times New Roman"/>
                <w:bCs/>
                <w:color w:val="auto"/>
                <w:sz w:val="24"/>
                <w:szCs w:val="24"/>
                <w:lang w:val="en-US" w:eastAsia="zh-CN"/>
              </w:rPr>
              <w:t>/h，布袋除尘器处理效率按95%计，集气罩集气效率按80%计，项目焊接工序工作时长为4h/d，则2#焊接、补锌烟尘排放量为0.021t/a，</w:t>
            </w:r>
            <w:r>
              <w:rPr>
                <w:rFonts w:hint="eastAsia" w:cs="Times New Roman"/>
                <w:color w:val="auto"/>
                <w:sz w:val="24"/>
                <w:szCs w:val="24"/>
                <w:highlight w:val="none"/>
                <w:lang w:val="en-US" w:eastAsia="zh-CN"/>
              </w:rPr>
              <w:t>排放速率为0.017kg/h，排放浓度为1.444mg/m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，处理后的废气经1根15m高排气筒（DA002）排放。</w:t>
            </w:r>
          </w:p>
          <w:p w14:paraId="61B3DA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Cs/>
                <w:color w:val="auto"/>
                <w:sz w:val="24"/>
                <w:szCs w:val="24"/>
                <w:lang w:val="en-US" w:eastAsia="zh-CN"/>
              </w:rPr>
            </w:pPr>
            <w:r>
              <w:rPr>
                <w:rFonts w:hint="eastAsia" w:cs="Times New Roman"/>
                <w:bCs/>
                <w:color w:val="auto"/>
                <w:sz w:val="24"/>
                <w:szCs w:val="24"/>
                <w:lang w:val="en-US" w:eastAsia="zh-CN"/>
              </w:rPr>
              <w:t>本项目废气治理设施及排放去向示意图见下图。</w:t>
            </w:r>
          </w:p>
          <w:p w14:paraId="41D36FF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cs="Times New Roman"/>
                <w:bCs/>
                <w:color w:val="auto"/>
                <w:sz w:val="24"/>
                <w:szCs w:val="24"/>
                <w:lang w:eastAsia="zh-CN"/>
              </w:rPr>
            </w:pPr>
            <w:r>
              <w:rPr>
                <w:rFonts w:hint="eastAsia" w:cs="Times New Roman"/>
                <w:bCs/>
                <w:color w:val="auto"/>
                <w:sz w:val="24"/>
                <w:szCs w:val="24"/>
                <w:lang w:eastAsia="zh-CN"/>
              </w:rPr>
              <w:drawing>
                <wp:inline distT="0" distB="0" distL="114300" distR="114300">
                  <wp:extent cx="4809490" cy="1567815"/>
                  <wp:effectExtent l="0" t="0" r="10160" b="13335"/>
                  <wp:docPr id="2" name="F360BE8B-6686-4F3D-AEAF-501FE73E4058-6" descr="C:/Users/ASUS/AppData/Local/Temp/绘图1(11).png绘图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360BE8B-6686-4F3D-AEAF-501FE73E4058-6" descr="C:/Users/ASUS/AppData/Local/Temp/绘图1(11).png绘图1(11)"/>
                          <pic:cNvPicPr>
                            <a:picLocks noChangeAspect="1"/>
                          </pic:cNvPicPr>
                        </pic:nvPicPr>
                        <pic:blipFill>
                          <a:blip r:embed="rId24"/>
                          <a:stretch>
                            <a:fillRect/>
                          </a:stretch>
                        </pic:blipFill>
                        <pic:spPr>
                          <a:xfrm>
                            <a:off x="0" y="0"/>
                            <a:ext cx="4809490" cy="1567815"/>
                          </a:xfrm>
                          <a:prstGeom prst="rect">
                            <a:avLst/>
                          </a:prstGeom>
                        </pic:spPr>
                      </pic:pic>
                    </a:graphicData>
                  </a:graphic>
                </wp:inline>
              </w:drawing>
            </w:r>
          </w:p>
          <w:p w14:paraId="0E8A00E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cs="Times New Roman"/>
                <w:b/>
                <w:bCs w:val="0"/>
                <w:color w:val="auto"/>
                <w:sz w:val="24"/>
                <w:szCs w:val="24"/>
                <w:lang w:eastAsia="zh-CN"/>
              </w:rPr>
            </w:pPr>
            <w:r>
              <w:rPr>
                <w:rFonts w:hint="eastAsia" w:cs="Times New Roman"/>
                <w:b/>
                <w:bCs w:val="0"/>
                <w:color w:val="auto"/>
                <w:sz w:val="24"/>
                <w:szCs w:val="24"/>
                <w:lang w:eastAsia="zh-CN"/>
              </w:rPr>
              <w:t>图4-1  本项目废气治理设施及排放去向示意图</w:t>
            </w:r>
          </w:p>
          <w:p w14:paraId="114048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Cs/>
                <w:color w:val="auto"/>
                <w:sz w:val="24"/>
                <w:szCs w:val="24"/>
                <w:lang w:eastAsia="zh-CN"/>
              </w:rPr>
            </w:pPr>
            <w:r>
              <w:rPr>
                <w:rFonts w:hint="eastAsia" w:cs="Times New Roman"/>
                <w:bCs/>
                <w:color w:val="auto"/>
                <w:sz w:val="24"/>
                <w:szCs w:val="24"/>
                <w:lang w:eastAsia="zh-CN"/>
              </w:rPr>
              <w:t>本项目</w:t>
            </w:r>
            <w:r>
              <w:rPr>
                <w:rFonts w:hint="eastAsia" w:cs="Times New Roman"/>
                <w:bCs/>
                <w:color w:val="auto"/>
                <w:sz w:val="24"/>
                <w:szCs w:val="24"/>
                <w:lang w:val="en-US" w:eastAsia="zh-CN"/>
              </w:rPr>
              <w:t>有组织</w:t>
            </w:r>
            <w:r>
              <w:rPr>
                <w:rFonts w:hint="eastAsia" w:cs="Times New Roman"/>
                <w:bCs/>
                <w:color w:val="auto"/>
                <w:sz w:val="24"/>
                <w:szCs w:val="24"/>
                <w:lang w:eastAsia="zh-CN"/>
              </w:rPr>
              <w:t>废气产排情况如下表 4-2。</w:t>
            </w:r>
          </w:p>
          <w:p w14:paraId="6A11B218">
            <w:pPr>
              <w:adjustRightInd w:val="0"/>
              <w:snapToGrid w:val="0"/>
              <w:spacing w:line="360" w:lineRule="auto"/>
              <w:ind w:firstLine="0" w:firstLineChars="0"/>
              <w:jc w:val="center"/>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表4-2  本项目有组织废气产排情况一览表</w:t>
            </w:r>
          </w:p>
          <w:tbl>
            <w:tblPr>
              <w:tblStyle w:val="23"/>
              <w:tblW w:w="4996" w:type="pct"/>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5"/>
              <w:gridCol w:w="643"/>
              <w:gridCol w:w="847"/>
              <w:gridCol w:w="860"/>
              <w:gridCol w:w="1156"/>
              <w:gridCol w:w="1066"/>
              <w:gridCol w:w="1001"/>
              <w:gridCol w:w="868"/>
            </w:tblGrid>
            <w:tr w14:paraId="07B70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2" w:type="pct"/>
                  <w:tcBorders>
                    <w:tl2br w:val="nil"/>
                    <w:tr2bl w:val="nil"/>
                  </w:tcBorders>
                  <w:noWrap w:val="0"/>
                  <w:vAlign w:val="center"/>
                </w:tcPr>
                <w:p w14:paraId="197B73A5">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cs="Times New Roman"/>
                      <w:b/>
                      <w:bCs/>
                      <w:color w:val="auto"/>
                      <w:sz w:val="21"/>
                      <w:szCs w:val="21"/>
                      <w:highlight w:val="none"/>
                      <w:vertAlign w:val="baseline"/>
                      <w:lang w:val="en-US" w:eastAsia="zh-CN"/>
                    </w:rPr>
                    <w:t>排放口</w:t>
                  </w:r>
                </w:p>
              </w:tc>
              <w:tc>
                <w:tcPr>
                  <w:tcW w:w="421" w:type="pct"/>
                  <w:tcBorders>
                    <w:tl2br w:val="nil"/>
                    <w:tr2bl w:val="nil"/>
                  </w:tcBorders>
                  <w:noWrap w:val="0"/>
                  <w:vAlign w:val="center"/>
                </w:tcPr>
                <w:p w14:paraId="671C2A65">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污染物</w:t>
                  </w:r>
                </w:p>
              </w:tc>
              <w:tc>
                <w:tcPr>
                  <w:tcW w:w="554" w:type="pct"/>
                  <w:tcBorders>
                    <w:tl2br w:val="nil"/>
                    <w:tr2bl w:val="nil"/>
                  </w:tcBorders>
                  <w:noWrap w:val="0"/>
                  <w:vAlign w:val="center"/>
                </w:tcPr>
                <w:p w14:paraId="7DF66442">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排放方式</w:t>
                  </w:r>
                </w:p>
              </w:tc>
              <w:tc>
                <w:tcPr>
                  <w:tcW w:w="563" w:type="pct"/>
                  <w:tcBorders>
                    <w:tl2br w:val="nil"/>
                    <w:tr2bl w:val="nil"/>
                  </w:tcBorders>
                  <w:noWrap w:val="0"/>
                  <w:vAlign w:val="center"/>
                </w:tcPr>
                <w:p w14:paraId="2B3270DA">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产生量（t/a）</w:t>
                  </w:r>
                </w:p>
              </w:tc>
              <w:tc>
                <w:tcPr>
                  <w:tcW w:w="756" w:type="pct"/>
                  <w:tcBorders>
                    <w:tl2br w:val="nil"/>
                    <w:tr2bl w:val="nil"/>
                  </w:tcBorders>
                  <w:noWrap w:val="0"/>
                  <w:vAlign w:val="center"/>
                </w:tcPr>
                <w:p w14:paraId="668C330F">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治理措施</w:t>
                  </w:r>
                </w:p>
              </w:tc>
              <w:tc>
                <w:tcPr>
                  <w:tcW w:w="698" w:type="pct"/>
                  <w:tcBorders>
                    <w:tl2br w:val="nil"/>
                    <w:tr2bl w:val="nil"/>
                  </w:tcBorders>
                  <w:noWrap w:val="0"/>
                  <w:vAlign w:val="center"/>
                </w:tcPr>
                <w:p w14:paraId="566DDDC7">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排放浓度（mg</w:t>
                  </w:r>
                  <w:r>
                    <w:rPr>
                      <w:rFonts w:hint="eastAsia" w:ascii="Times New Roman" w:hAnsi="Times New Roman" w:eastAsia="宋体" w:cs="Times New Roman"/>
                      <w:b/>
                      <w:bCs/>
                      <w:color w:val="auto"/>
                      <w:sz w:val="21"/>
                      <w:szCs w:val="21"/>
                      <w:highlight w:val="none"/>
                      <w:vertAlign w:val="superscript"/>
                      <w:lang w:val="en-US" w:eastAsia="zh-CN"/>
                    </w:rPr>
                    <w:t>3</w:t>
                  </w:r>
                  <w:r>
                    <w:rPr>
                      <w:rFonts w:hint="eastAsia" w:ascii="Times New Roman" w:hAnsi="Times New Roman" w:eastAsia="宋体" w:cs="Times New Roman"/>
                      <w:b/>
                      <w:bCs/>
                      <w:color w:val="auto"/>
                      <w:sz w:val="21"/>
                      <w:szCs w:val="21"/>
                      <w:highlight w:val="none"/>
                      <w:vertAlign w:val="baseline"/>
                      <w:lang w:val="en-US" w:eastAsia="zh-CN"/>
                    </w:rPr>
                    <w:t>/m）</w:t>
                  </w:r>
                </w:p>
              </w:tc>
              <w:tc>
                <w:tcPr>
                  <w:tcW w:w="655" w:type="pct"/>
                  <w:tcBorders>
                    <w:tl2br w:val="nil"/>
                    <w:tr2bl w:val="nil"/>
                  </w:tcBorders>
                  <w:noWrap w:val="0"/>
                  <w:vAlign w:val="center"/>
                </w:tcPr>
                <w:p w14:paraId="21FF6FA3">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排放速率（kg/h）</w:t>
                  </w:r>
                </w:p>
              </w:tc>
              <w:tc>
                <w:tcPr>
                  <w:tcW w:w="568" w:type="pct"/>
                  <w:tcBorders>
                    <w:tl2br w:val="nil"/>
                    <w:tr2bl w:val="nil"/>
                  </w:tcBorders>
                  <w:noWrap w:val="0"/>
                  <w:vAlign w:val="center"/>
                </w:tcPr>
                <w:p w14:paraId="16841568">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排放量（t/a）</w:t>
                  </w:r>
                </w:p>
              </w:tc>
            </w:tr>
            <w:tr w14:paraId="4850C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2" w:type="pct"/>
                  <w:tcBorders>
                    <w:tl2br w:val="nil"/>
                    <w:tr2bl w:val="nil"/>
                  </w:tcBorders>
                  <w:noWrap w:val="0"/>
                  <w:vAlign w:val="center"/>
                </w:tcPr>
                <w:p w14:paraId="2ABD5FE8">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1#焊接烟尘排放口（DA001）</w:t>
                  </w:r>
                </w:p>
              </w:tc>
              <w:tc>
                <w:tcPr>
                  <w:tcW w:w="421" w:type="pct"/>
                  <w:tcBorders>
                    <w:tl2br w:val="nil"/>
                    <w:tr2bl w:val="nil"/>
                  </w:tcBorders>
                  <w:noWrap w:val="0"/>
                  <w:vAlign w:val="center"/>
                </w:tcPr>
                <w:p w14:paraId="67AB7D3F">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颗粒物</w:t>
                  </w:r>
                </w:p>
              </w:tc>
              <w:tc>
                <w:tcPr>
                  <w:tcW w:w="554" w:type="pct"/>
                  <w:tcBorders>
                    <w:tl2br w:val="nil"/>
                    <w:tr2bl w:val="nil"/>
                  </w:tcBorders>
                  <w:noWrap w:val="0"/>
                  <w:vAlign w:val="center"/>
                </w:tcPr>
                <w:p w14:paraId="41696FD2">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有组织</w:t>
                  </w:r>
                </w:p>
              </w:tc>
              <w:tc>
                <w:tcPr>
                  <w:tcW w:w="563" w:type="pct"/>
                  <w:tcBorders>
                    <w:tl2br w:val="nil"/>
                    <w:tr2bl w:val="nil"/>
                  </w:tcBorders>
                  <w:noWrap w:val="0"/>
                  <w:vAlign w:val="center"/>
                </w:tcPr>
                <w:p w14:paraId="33C2BE44">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0.586</w:t>
                  </w:r>
                </w:p>
              </w:tc>
              <w:tc>
                <w:tcPr>
                  <w:tcW w:w="756" w:type="pct"/>
                  <w:tcBorders>
                    <w:tl2br w:val="nil"/>
                    <w:tr2bl w:val="nil"/>
                  </w:tcBorders>
                  <w:noWrap w:val="0"/>
                  <w:vAlign w:val="center"/>
                </w:tcPr>
                <w:p w14:paraId="53BECF19">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集气罩（4个）+1套布袋除尘器（TA001）</w:t>
                  </w:r>
                </w:p>
              </w:tc>
              <w:tc>
                <w:tcPr>
                  <w:tcW w:w="698" w:type="pct"/>
                  <w:tcBorders>
                    <w:tl2br w:val="nil"/>
                    <w:tr2bl w:val="nil"/>
                  </w:tcBorders>
                  <w:noWrap w:val="0"/>
                  <w:vAlign w:val="center"/>
                </w:tcPr>
                <w:p w14:paraId="684CA37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1.628</w:t>
                  </w:r>
                </w:p>
              </w:tc>
              <w:tc>
                <w:tcPr>
                  <w:tcW w:w="655" w:type="pct"/>
                  <w:tcBorders>
                    <w:tl2br w:val="nil"/>
                    <w:tr2bl w:val="nil"/>
                  </w:tcBorders>
                  <w:noWrap w:val="0"/>
                  <w:vAlign w:val="center"/>
                </w:tcPr>
                <w:p w14:paraId="6746293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0.0</w:t>
                  </w:r>
                  <w:r>
                    <w:rPr>
                      <w:rFonts w:hint="eastAsia" w:cs="Times New Roman"/>
                      <w:b w:val="0"/>
                      <w:bCs w:val="0"/>
                      <w:color w:val="auto"/>
                      <w:sz w:val="21"/>
                      <w:szCs w:val="21"/>
                      <w:highlight w:val="none"/>
                      <w:vertAlign w:val="baseline"/>
                      <w:lang w:val="en-US" w:eastAsia="zh-CN"/>
                    </w:rPr>
                    <w:t>2</w:t>
                  </w:r>
                </w:p>
              </w:tc>
              <w:tc>
                <w:tcPr>
                  <w:tcW w:w="568" w:type="pct"/>
                  <w:tcBorders>
                    <w:tl2br w:val="nil"/>
                    <w:tr2bl w:val="nil"/>
                  </w:tcBorders>
                  <w:noWrap w:val="0"/>
                  <w:vAlign w:val="center"/>
                </w:tcPr>
                <w:p w14:paraId="522B0318">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0.0</w:t>
                  </w:r>
                  <w:r>
                    <w:rPr>
                      <w:rFonts w:hint="eastAsia" w:cs="Times New Roman"/>
                      <w:b w:val="0"/>
                      <w:bCs w:val="0"/>
                      <w:color w:val="auto"/>
                      <w:sz w:val="21"/>
                      <w:szCs w:val="21"/>
                      <w:highlight w:val="none"/>
                      <w:vertAlign w:val="baseline"/>
                      <w:lang w:val="en-US" w:eastAsia="zh-CN"/>
                    </w:rPr>
                    <w:t>23</w:t>
                  </w:r>
                </w:p>
              </w:tc>
            </w:tr>
            <w:tr w14:paraId="2C8CF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2" w:type="pct"/>
                  <w:tcBorders>
                    <w:tl2br w:val="nil"/>
                    <w:tr2bl w:val="nil"/>
                  </w:tcBorders>
                  <w:noWrap w:val="0"/>
                  <w:vAlign w:val="center"/>
                </w:tcPr>
                <w:p w14:paraId="31CACDA3">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2#焊接烟尘排放口（DA002）</w:t>
                  </w:r>
                </w:p>
              </w:tc>
              <w:tc>
                <w:tcPr>
                  <w:tcW w:w="421" w:type="pct"/>
                  <w:tcBorders>
                    <w:tl2br w:val="nil"/>
                    <w:tr2bl w:val="nil"/>
                  </w:tcBorders>
                  <w:noWrap w:val="0"/>
                  <w:vAlign w:val="center"/>
                </w:tcPr>
                <w:p w14:paraId="71D74A59">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颗粒物</w:t>
                  </w:r>
                </w:p>
              </w:tc>
              <w:tc>
                <w:tcPr>
                  <w:tcW w:w="554" w:type="pct"/>
                  <w:tcBorders>
                    <w:tl2br w:val="nil"/>
                    <w:tr2bl w:val="nil"/>
                  </w:tcBorders>
                  <w:noWrap w:val="0"/>
                  <w:vAlign w:val="center"/>
                </w:tcPr>
                <w:p w14:paraId="0E35CA3B">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有组织</w:t>
                  </w:r>
                </w:p>
              </w:tc>
              <w:tc>
                <w:tcPr>
                  <w:tcW w:w="563" w:type="pct"/>
                  <w:tcBorders>
                    <w:tl2br w:val="nil"/>
                    <w:tr2bl w:val="nil"/>
                  </w:tcBorders>
                  <w:noWrap w:val="0"/>
                  <w:vAlign w:val="center"/>
                </w:tcPr>
                <w:p w14:paraId="1D2B96ED">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0.52</w:t>
                  </w:r>
                </w:p>
              </w:tc>
              <w:tc>
                <w:tcPr>
                  <w:tcW w:w="756" w:type="pct"/>
                  <w:tcBorders>
                    <w:tl2br w:val="nil"/>
                    <w:tr2bl w:val="nil"/>
                  </w:tcBorders>
                  <w:noWrap w:val="0"/>
                  <w:vAlign w:val="center"/>
                </w:tcPr>
                <w:p w14:paraId="6E488011">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集气罩（4个）+1套布袋除尘器（TA002）</w:t>
                  </w:r>
                </w:p>
              </w:tc>
              <w:tc>
                <w:tcPr>
                  <w:tcW w:w="698" w:type="pct"/>
                  <w:tcBorders>
                    <w:tl2br w:val="nil"/>
                    <w:tr2bl w:val="nil"/>
                  </w:tcBorders>
                  <w:noWrap w:val="0"/>
                  <w:vAlign w:val="center"/>
                </w:tcPr>
                <w:p w14:paraId="7195FFE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1.444</w:t>
                  </w:r>
                </w:p>
              </w:tc>
              <w:tc>
                <w:tcPr>
                  <w:tcW w:w="655" w:type="pct"/>
                  <w:tcBorders>
                    <w:tl2br w:val="nil"/>
                    <w:tr2bl w:val="nil"/>
                  </w:tcBorders>
                  <w:noWrap w:val="0"/>
                  <w:vAlign w:val="center"/>
                </w:tcPr>
                <w:p w14:paraId="49AD1C4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0.0</w:t>
                  </w:r>
                  <w:r>
                    <w:rPr>
                      <w:rFonts w:hint="eastAsia" w:cs="Times New Roman"/>
                      <w:b w:val="0"/>
                      <w:bCs w:val="0"/>
                      <w:color w:val="auto"/>
                      <w:sz w:val="21"/>
                      <w:szCs w:val="21"/>
                      <w:highlight w:val="none"/>
                      <w:vertAlign w:val="baseline"/>
                      <w:lang w:val="en-US" w:eastAsia="zh-CN"/>
                    </w:rPr>
                    <w:t>17</w:t>
                  </w:r>
                </w:p>
              </w:tc>
              <w:tc>
                <w:tcPr>
                  <w:tcW w:w="568" w:type="pct"/>
                  <w:tcBorders>
                    <w:tl2br w:val="nil"/>
                    <w:tr2bl w:val="nil"/>
                  </w:tcBorders>
                  <w:noWrap w:val="0"/>
                  <w:vAlign w:val="center"/>
                </w:tcPr>
                <w:p w14:paraId="1BD31764">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0.0</w:t>
                  </w:r>
                  <w:r>
                    <w:rPr>
                      <w:rFonts w:hint="eastAsia" w:cs="Times New Roman"/>
                      <w:b w:val="0"/>
                      <w:bCs w:val="0"/>
                      <w:color w:val="auto"/>
                      <w:sz w:val="21"/>
                      <w:szCs w:val="21"/>
                      <w:highlight w:val="none"/>
                      <w:vertAlign w:val="baseline"/>
                      <w:lang w:val="en-US" w:eastAsia="zh-CN"/>
                    </w:rPr>
                    <w:t>21</w:t>
                  </w:r>
                </w:p>
              </w:tc>
            </w:tr>
          </w:tbl>
          <w:p w14:paraId="77FE4A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Cs/>
                <w:color w:val="auto"/>
                <w:sz w:val="24"/>
                <w:szCs w:val="24"/>
                <w:lang w:eastAsia="zh-CN"/>
              </w:rPr>
            </w:pPr>
            <w:r>
              <w:rPr>
                <w:rFonts w:hint="eastAsia" w:cs="Times New Roman"/>
                <w:bCs/>
                <w:color w:val="auto"/>
                <w:sz w:val="24"/>
                <w:szCs w:val="24"/>
                <w:lang w:eastAsia="zh-CN"/>
              </w:rPr>
              <w:t>根据计算结果，本次项目</w:t>
            </w:r>
            <w:r>
              <w:rPr>
                <w:rFonts w:hint="eastAsia" w:cs="Times New Roman"/>
                <w:bCs/>
                <w:color w:val="auto"/>
                <w:sz w:val="24"/>
                <w:szCs w:val="24"/>
                <w:lang w:val="en-US" w:eastAsia="zh-CN"/>
              </w:rPr>
              <w:t>焊接工序产生的焊接、补锌烟尘经布袋除尘器处理后，</w:t>
            </w:r>
            <w:r>
              <w:rPr>
                <w:rFonts w:hint="eastAsia" w:cs="Times New Roman"/>
                <w:bCs/>
                <w:color w:val="auto"/>
                <w:sz w:val="24"/>
                <w:szCs w:val="24"/>
                <w:lang w:eastAsia="zh-CN"/>
              </w:rPr>
              <w:t>颗粒物排放浓度</w:t>
            </w:r>
            <w:r>
              <w:rPr>
                <w:rFonts w:hint="eastAsia" w:cs="Times New Roman"/>
                <w:bCs/>
                <w:color w:val="auto"/>
                <w:sz w:val="24"/>
                <w:szCs w:val="24"/>
                <w:lang w:val="en-US" w:eastAsia="zh-CN"/>
              </w:rPr>
              <w:t>及排放速率均达到《大气污染物综合排放标准》（GB16297-1996）表2标准</w:t>
            </w:r>
            <w:r>
              <w:rPr>
                <w:rFonts w:hint="eastAsia" w:cs="Times New Roman"/>
                <w:bCs/>
                <w:color w:val="auto"/>
                <w:sz w:val="24"/>
                <w:szCs w:val="24"/>
                <w:lang w:eastAsia="zh-CN"/>
              </w:rPr>
              <w:t>限值要求。</w:t>
            </w:r>
          </w:p>
          <w:p w14:paraId="722075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bCs/>
                <w:color w:val="auto"/>
                <w:sz w:val="24"/>
                <w:szCs w:val="24"/>
                <w:lang w:val="en-US" w:eastAsia="zh-CN"/>
              </w:rPr>
            </w:pPr>
            <w:r>
              <w:rPr>
                <w:rFonts w:hint="eastAsia" w:cs="Times New Roman"/>
                <w:bCs/>
                <w:color w:val="auto"/>
                <w:sz w:val="24"/>
                <w:szCs w:val="24"/>
                <w:lang w:eastAsia="zh-CN"/>
              </w:rPr>
              <w:t>（</w:t>
            </w:r>
            <w:r>
              <w:rPr>
                <w:rFonts w:hint="eastAsia" w:cs="Times New Roman"/>
                <w:bCs/>
                <w:color w:val="auto"/>
                <w:sz w:val="24"/>
                <w:szCs w:val="24"/>
                <w:lang w:val="en-US" w:eastAsia="zh-CN"/>
              </w:rPr>
              <w:t>2</w:t>
            </w:r>
            <w:r>
              <w:rPr>
                <w:rFonts w:hint="eastAsia" w:cs="Times New Roman"/>
                <w:bCs/>
                <w:color w:val="auto"/>
                <w:sz w:val="24"/>
                <w:szCs w:val="24"/>
                <w:lang w:eastAsia="zh-CN"/>
              </w:rPr>
              <w:t>）</w:t>
            </w:r>
            <w:r>
              <w:rPr>
                <w:rFonts w:hint="eastAsia" w:cs="Times New Roman"/>
                <w:bCs/>
                <w:color w:val="auto"/>
                <w:sz w:val="24"/>
                <w:szCs w:val="24"/>
                <w:lang w:val="en-US" w:eastAsia="zh-CN"/>
              </w:rPr>
              <w:t>无组织废气</w:t>
            </w:r>
          </w:p>
          <w:p w14:paraId="0B1E0F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bCs/>
                <w:color w:val="auto"/>
                <w:sz w:val="24"/>
                <w:szCs w:val="24"/>
                <w:lang w:val="en-US" w:eastAsia="zh-CN"/>
              </w:rPr>
            </w:pPr>
            <w:r>
              <w:rPr>
                <w:rFonts w:hint="eastAsia" w:cs="Times New Roman"/>
                <w:bCs/>
                <w:color w:val="auto"/>
                <w:sz w:val="24"/>
                <w:szCs w:val="24"/>
                <w:lang w:eastAsia="zh-CN"/>
              </w:rPr>
              <w:t>①</w:t>
            </w:r>
            <w:r>
              <w:rPr>
                <w:rFonts w:hint="eastAsia" w:cs="Times New Roman"/>
                <w:bCs/>
                <w:color w:val="auto"/>
                <w:sz w:val="24"/>
                <w:szCs w:val="24"/>
                <w:lang w:val="en-US" w:eastAsia="zh-CN"/>
              </w:rPr>
              <w:t>1#焊接、补锌烟尘逸散粉尘</w:t>
            </w:r>
          </w:p>
          <w:p w14:paraId="6846B4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bCs/>
                <w:color w:val="auto"/>
                <w:sz w:val="24"/>
                <w:szCs w:val="24"/>
                <w:lang w:val="en-US" w:eastAsia="zh-CN"/>
              </w:rPr>
            </w:pPr>
            <w:r>
              <w:rPr>
                <w:rFonts w:hint="eastAsia" w:cs="Times New Roman"/>
                <w:bCs/>
                <w:color w:val="auto"/>
                <w:sz w:val="24"/>
                <w:szCs w:val="24"/>
                <w:lang w:val="en-US" w:eastAsia="zh-CN"/>
              </w:rPr>
              <w:t>项目1#焊接烟尘共设置4个集气罩收集焊接、补锌烟尘，集气罩收集效率为80%，则有20%的颗粒物以无组织形式排放，无组织逸散量为0.117t/a，排放速率为0.098kg/h。</w:t>
            </w:r>
          </w:p>
          <w:p w14:paraId="2C2FB1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bCs/>
                <w:color w:val="auto"/>
                <w:sz w:val="24"/>
                <w:szCs w:val="24"/>
                <w:lang w:val="en-US" w:eastAsia="zh-CN"/>
              </w:rPr>
            </w:pPr>
            <w:r>
              <w:rPr>
                <w:rFonts w:hint="eastAsia" w:cs="Times New Roman"/>
                <w:bCs/>
                <w:color w:val="auto"/>
                <w:sz w:val="24"/>
                <w:szCs w:val="24"/>
                <w:lang w:eastAsia="zh-CN"/>
              </w:rPr>
              <w:t>①</w:t>
            </w:r>
            <w:r>
              <w:rPr>
                <w:rFonts w:hint="eastAsia" w:cs="Times New Roman"/>
                <w:bCs/>
                <w:color w:val="auto"/>
                <w:sz w:val="24"/>
                <w:szCs w:val="24"/>
                <w:lang w:val="en-US" w:eastAsia="zh-CN"/>
              </w:rPr>
              <w:t>2#焊接、补锌烟尘逸散粉尘</w:t>
            </w:r>
          </w:p>
          <w:p w14:paraId="1813B0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Cs/>
                <w:color w:val="auto"/>
                <w:sz w:val="24"/>
                <w:szCs w:val="24"/>
                <w:lang w:eastAsia="zh-CN"/>
              </w:rPr>
            </w:pPr>
            <w:r>
              <w:rPr>
                <w:rFonts w:hint="eastAsia" w:cs="Times New Roman"/>
                <w:bCs/>
                <w:color w:val="auto"/>
                <w:sz w:val="24"/>
                <w:szCs w:val="24"/>
                <w:lang w:val="en-US" w:eastAsia="zh-CN"/>
              </w:rPr>
              <w:t>项目2#焊接烟尘共设置4个集气罩收集焊接、补锌烟尘，集气罩收集效率为80%，则有20%的颗粒物以无组织形式排放，无组织逸散量为0.104t/a，排放速率为0.087kg/h。</w:t>
            </w:r>
          </w:p>
          <w:p w14:paraId="4BFA0F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Cs/>
                <w:color w:val="auto"/>
                <w:sz w:val="24"/>
                <w:szCs w:val="24"/>
                <w:lang w:eastAsia="zh-CN"/>
              </w:rPr>
            </w:pPr>
            <w:r>
              <w:rPr>
                <w:rFonts w:hint="eastAsia" w:cs="Times New Roman"/>
                <w:bCs/>
                <w:color w:val="auto"/>
                <w:sz w:val="24"/>
                <w:szCs w:val="24"/>
                <w:lang w:eastAsia="zh-CN"/>
              </w:rPr>
              <w:t>③切割粉尘</w:t>
            </w:r>
          </w:p>
          <w:p w14:paraId="04813F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bCs/>
                <w:color w:val="auto"/>
                <w:sz w:val="24"/>
                <w:szCs w:val="24"/>
                <w:lang w:val="en-US" w:eastAsia="zh-CN"/>
              </w:rPr>
            </w:pPr>
            <w:r>
              <w:rPr>
                <w:rFonts w:hint="eastAsia" w:cs="Times New Roman"/>
                <w:bCs/>
                <w:color w:val="auto"/>
                <w:sz w:val="24"/>
                <w:szCs w:val="24"/>
                <w:lang w:val="en-US" w:eastAsia="zh-CN"/>
              </w:rPr>
              <w:t>项目焊管焊接后切割至所需长度（6m左右），切割过程会产生切割粉尘，本项目切割工序颗粒物参照《排放源统计调查产排污核实方法和系数手册》中《3130钢压延加工行业系数手册》：“焊接钢管采用高频焊法颗粒物产生系数为0.011kg/t钢材。”该产生系数为纵焊接，而本项目切割为横切，焊管长度一般为6m，本项目最大管周长为0.6m，故比例为10:1，故项目切割粉尘产生系数按0.0011kg/t钢材，切割粉尘产生量为0.111t/a，0.046kg/h，此部分颗粒物在车间内呈无组织排放。</w:t>
            </w:r>
          </w:p>
          <w:p w14:paraId="442361C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cs="Times New Roman"/>
                <w:b/>
                <w:bCs w:val="0"/>
                <w:color w:val="auto"/>
                <w:sz w:val="24"/>
                <w:szCs w:val="24"/>
                <w:lang w:val="en-US" w:eastAsia="zh-CN"/>
              </w:rPr>
            </w:pPr>
            <w:r>
              <w:rPr>
                <w:rFonts w:hint="eastAsia" w:cs="Times New Roman"/>
                <w:b/>
                <w:bCs w:val="0"/>
                <w:color w:val="auto"/>
                <w:sz w:val="24"/>
                <w:szCs w:val="24"/>
                <w:lang w:val="en-US" w:eastAsia="zh-CN"/>
              </w:rPr>
              <w:t>3、有组织废气排放口基本情况表</w:t>
            </w:r>
          </w:p>
          <w:p w14:paraId="236854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bCs/>
                <w:color w:val="auto"/>
                <w:sz w:val="24"/>
                <w:szCs w:val="24"/>
                <w:lang w:val="en-US" w:eastAsia="zh-CN"/>
              </w:rPr>
            </w:pPr>
            <w:r>
              <w:rPr>
                <w:rFonts w:hint="eastAsia" w:cs="Times New Roman"/>
                <w:bCs/>
                <w:color w:val="auto"/>
                <w:sz w:val="24"/>
                <w:szCs w:val="24"/>
                <w:lang w:val="en-US" w:eastAsia="zh-CN"/>
              </w:rPr>
              <w:t>本项目共设置2个有组织排放口，对照《排污许可证申请与核发技术规范  钢铁工业》（HJ846-2017），本项目排放口为一般排放口，排放口基本情况详见下表。</w:t>
            </w:r>
          </w:p>
          <w:p w14:paraId="667EE22C">
            <w:pPr>
              <w:adjustRightInd w:val="0"/>
              <w:snapToGrid w:val="0"/>
              <w:spacing w:line="360" w:lineRule="auto"/>
              <w:ind w:firstLine="0" w:firstLineChars="0"/>
              <w:jc w:val="center"/>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表4-3  排放口基本情况一览表</w:t>
            </w:r>
          </w:p>
          <w:tbl>
            <w:tblPr>
              <w:tblStyle w:val="2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
              <w:gridCol w:w="746"/>
              <w:gridCol w:w="657"/>
              <w:gridCol w:w="876"/>
              <w:gridCol w:w="920"/>
              <w:gridCol w:w="872"/>
              <w:gridCol w:w="913"/>
              <w:gridCol w:w="804"/>
              <w:gridCol w:w="657"/>
              <w:gridCol w:w="795"/>
            </w:tblGrid>
            <w:tr w14:paraId="680F6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9" w:type="pct"/>
                  <w:vMerge w:val="restart"/>
                  <w:tcBorders>
                    <w:tl2br w:val="nil"/>
                    <w:tr2bl w:val="nil"/>
                  </w:tcBorders>
                  <w:noWrap w:val="0"/>
                  <w:vAlign w:val="center"/>
                </w:tcPr>
                <w:p w14:paraId="2DD139E2">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序号</w:t>
                  </w:r>
                </w:p>
              </w:tc>
              <w:tc>
                <w:tcPr>
                  <w:tcW w:w="488" w:type="pct"/>
                  <w:vMerge w:val="restart"/>
                  <w:tcBorders>
                    <w:tl2br w:val="nil"/>
                    <w:tr2bl w:val="nil"/>
                  </w:tcBorders>
                  <w:noWrap w:val="0"/>
                  <w:vAlign w:val="center"/>
                </w:tcPr>
                <w:p w14:paraId="2E5574CE">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排放口名称</w:t>
                  </w:r>
                </w:p>
              </w:tc>
              <w:tc>
                <w:tcPr>
                  <w:tcW w:w="430" w:type="pct"/>
                  <w:vMerge w:val="restart"/>
                  <w:tcBorders>
                    <w:tl2br w:val="nil"/>
                    <w:tr2bl w:val="nil"/>
                  </w:tcBorders>
                  <w:noWrap w:val="0"/>
                  <w:vAlign w:val="center"/>
                </w:tcPr>
                <w:p w14:paraId="369EB3FD">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污染物种类</w:t>
                  </w:r>
                </w:p>
              </w:tc>
              <w:tc>
                <w:tcPr>
                  <w:tcW w:w="573" w:type="pct"/>
                  <w:vMerge w:val="restart"/>
                  <w:tcBorders>
                    <w:tl2br w:val="nil"/>
                    <w:tr2bl w:val="nil"/>
                  </w:tcBorders>
                  <w:noWrap w:val="0"/>
                  <w:vAlign w:val="center"/>
                </w:tcPr>
                <w:p w14:paraId="3374CBC4">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排放口编号</w:t>
                  </w:r>
                </w:p>
              </w:tc>
              <w:tc>
                <w:tcPr>
                  <w:tcW w:w="1172" w:type="pct"/>
                  <w:gridSpan w:val="2"/>
                  <w:tcBorders>
                    <w:tl2br w:val="nil"/>
                    <w:tr2bl w:val="nil"/>
                  </w:tcBorders>
                  <w:noWrap w:val="0"/>
                  <w:vAlign w:val="center"/>
                </w:tcPr>
                <w:p w14:paraId="02E18625">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排放口地理坐标</w:t>
                  </w:r>
                </w:p>
              </w:tc>
              <w:tc>
                <w:tcPr>
                  <w:tcW w:w="597" w:type="pct"/>
                  <w:vMerge w:val="restart"/>
                  <w:tcBorders>
                    <w:tl2br w:val="nil"/>
                    <w:tr2bl w:val="nil"/>
                  </w:tcBorders>
                  <w:noWrap w:val="0"/>
                  <w:vAlign w:val="center"/>
                </w:tcPr>
                <w:p w14:paraId="073567FE">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排气筒高度（m）</w:t>
                  </w:r>
                </w:p>
              </w:tc>
              <w:tc>
                <w:tcPr>
                  <w:tcW w:w="526" w:type="pct"/>
                  <w:vMerge w:val="restart"/>
                  <w:tcBorders>
                    <w:tl2br w:val="nil"/>
                    <w:tr2bl w:val="nil"/>
                  </w:tcBorders>
                  <w:noWrap w:val="0"/>
                  <w:vAlign w:val="center"/>
                </w:tcPr>
                <w:p w14:paraId="1B083618">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排气筒内径（m）</w:t>
                  </w:r>
                </w:p>
              </w:tc>
              <w:tc>
                <w:tcPr>
                  <w:tcW w:w="430" w:type="pct"/>
                  <w:vMerge w:val="restart"/>
                  <w:tcBorders>
                    <w:tl2br w:val="nil"/>
                    <w:tr2bl w:val="nil"/>
                  </w:tcBorders>
                  <w:noWrap w:val="0"/>
                  <w:vAlign w:val="center"/>
                </w:tcPr>
                <w:p w14:paraId="594B6946">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排放口温度（℃）</w:t>
                  </w:r>
                </w:p>
              </w:tc>
              <w:tc>
                <w:tcPr>
                  <w:tcW w:w="519" w:type="pct"/>
                  <w:vMerge w:val="restart"/>
                  <w:tcBorders>
                    <w:tl2br w:val="nil"/>
                    <w:tr2bl w:val="nil"/>
                  </w:tcBorders>
                  <w:noWrap w:val="0"/>
                  <w:vAlign w:val="center"/>
                </w:tcPr>
                <w:p w14:paraId="16711EF9">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类型</w:t>
                  </w:r>
                </w:p>
              </w:tc>
            </w:tr>
            <w:tr w14:paraId="4BCA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9" w:type="pct"/>
                  <w:vMerge w:val="continue"/>
                  <w:tcBorders>
                    <w:tl2br w:val="nil"/>
                    <w:tr2bl w:val="nil"/>
                  </w:tcBorders>
                  <w:noWrap w:val="0"/>
                  <w:vAlign w:val="center"/>
                </w:tcPr>
                <w:p w14:paraId="081A4A61">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488" w:type="pct"/>
                  <w:vMerge w:val="continue"/>
                  <w:tcBorders>
                    <w:tl2br w:val="nil"/>
                    <w:tr2bl w:val="nil"/>
                  </w:tcBorders>
                  <w:noWrap w:val="0"/>
                  <w:vAlign w:val="center"/>
                </w:tcPr>
                <w:p w14:paraId="5BCEFF22">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430" w:type="pct"/>
                  <w:vMerge w:val="continue"/>
                  <w:tcBorders>
                    <w:tl2br w:val="nil"/>
                    <w:tr2bl w:val="nil"/>
                  </w:tcBorders>
                  <w:noWrap w:val="0"/>
                  <w:vAlign w:val="center"/>
                </w:tcPr>
                <w:p w14:paraId="6F8C4B67">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573" w:type="pct"/>
                  <w:vMerge w:val="continue"/>
                  <w:tcBorders>
                    <w:tl2br w:val="nil"/>
                    <w:tr2bl w:val="nil"/>
                  </w:tcBorders>
                  <w:noWrap w:val="0"/>
                  <w:vAlign w:val="center"/>
                </w:tcPr>
                <w:p w14:paraId="1E810B4D">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602" w:type="pct"/>
                  <w:tcBorders>
                    <w:tl2br w:val="nil"/>
                    <w:tr2bl w:val="nil"/>
                  </w:tcBorders>
                  <w:noWrap w:val="0"/>
                  <w:vAlign w:val="center"/>
                </w:tcPr>
                <w:p w14:paraId="63E9B4BA">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经度</w:t>
                  </w:r>
                </w:p>
              </w:tc>
              <w:tc>
                <w:tcPr>
                  <w:tcW w:w="570" w:type="pct"/>
                  <w:tcBorders>
                    <w:tl2br w:val="nil"/>
                    <w:tr2bl w:val="nil"/>
                  </w:tcBorders>
                  <w:noWrap w:val="0"/>
                  <w:vAlign w:val="center"/>
                </w:tcPr>
                <w:p w14:paraId="793365E8">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纬度</w:t>
                  </w:r>
                </w:p>
              </w:tc>
              <w:tc>
                <w:tcPr>
                  <w:tcW w:w="597" w:type="pct"/>
                  <w:vMerge w:val="continue"/>
                  <w:tcBorders>
                    <w:tl2br w:val="nil"/>
                    <w:tr2bl w:val="nil"/>
                  </w:tcBorders>
                  <w:noWrap w:val="0"/>
                  <w:vAlign w:val="center"/>
                </w:tcPr>
                <w:p w14:paraId="07C4C983">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color w:val="auto"/>
                      <w:sz w:val="21"/>
                      <w:szCs w:val="21"/>
                      <w:highlight w:val="none"/>
                    </w:rPr>
                  </w:pPr>
                </w:p>
              </w:tc>
              <w:tc>
                <w:tcPr>
                  <w:tcW w:w="526" w:type="pct"/>
                  <w:vMerge w:val="continue"/>
                  <w:tcBorders>
                    <w:tl2br w:val="nil"/>
                    <w:tr2bl w:val="nil"/>
                  </w:tcBorders>
                  <w:noWrap w:val="0"/>
                  <w:vAlign w:val="center"/>
                </w:tcPr>
                <w:p w14:paraId="7246B231">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color w:val="auto"/>
                      <w:sz w:val="21"/>
                      <w:szCs w:val="21"/>
                      <w:highlight w:val="none"/>
                    </w:rPr>
                  </w:pPr>
                </w:p>
              </w:tc>
              <w:tc>
                <w:tcPr>
                  <w:tcW w:w="430" w:type="pct"/>
                  <w:vMerge w:val="continue"/>
                  <w:tcBorders>
                    <w:tl2br w:val="nil"/>
                    <w:tr2bl w:val="nil"/>
                  </w:tcBorders>
                  <w:noWrap w:val="0"/>
                  <w:vAlign w:val="center"/>
                </w:tcPr>
                <w:p w14:paraId="3921BE30">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color w:val="auto"/>
                      <w:sz w:val="21"/>
                      <w:szCs w:val="21"/>
                      <w:highlight w:val="none"/>
                    </w:rPr>
                  </w:pPr>
                </w:p>
              </w:tc>
              <w:tc>
                <w:tcPr>
                  <w:tcW w:w="519" w:type="pct"/>
                  <w:vMerge w:val="continue"/>
                  <w:tcBorders>
                    <w:tl2br w:val="nil"/>
                    <w:tr2bl w:val="nil"/>
                  </w:tcBorders>
                  <w:noWrap w:val="0"/>
                  <w:vAlign w:val="center"/>
                </w:tcPr>
                <w:p w14:paraId="6998D74F">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color w:val="auto"/>
                      <w:sz w:val="21"/>
                      <w:szCs w:val="21"/>
                      <w:highlight w:val="none"/>
                    </w:rPr>
                  </w:pPr>
                </w:p>
              </w:tc>
            </w:tr>
            <w:tr w14:paraId="36F4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9" w:type="pct"/>
                  <w:tcBorders>
                    <w:tl2br w:val="nil"/>
                    <w:tr2bl w:val="nil"/>
                  </w:tcBorders>
                  <w:noWrap w:val="0"/>
                  <w:vAlign w:val="center"/>
                </w:tcPr>
                <w:p w14:paraId="5D6BE2C7">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rPr>
                    <w:t>1</w:t>
                  </w:r>
                </w:p>
              </w:tc>
              <w:tc>
                <w:tcPr>
                  <w:tcW w:w="488" w:type="pct"/>
                  <w:tcBorders>
                    <w:tl2br w:val="nil"/>
                    <w:tr2bl w:val="nil"/>
                  </w:tcBorders>
                  <w:noWrap w:val="0"/>
                  <w:vAlign w:val="center"/>
                </w:tcPr>
                <w:p w14:paraId="51F4142F">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 w:val="0"/>
                      <w:bCs w:val="0"/>
                      <w:color w:val="auto"/>
                      <w:sz w:val="21"/>
                      <w:szCs w:val="21"/>
                      <w:highlight w:val="none"/>
                      <w:vertAlign w:val="baseline"/>
                      <w:lang w:val="en-US" w:eastAsia="zh-CN"/>
                    </w:rPr>
                    <w:t>1#</w:t>
                  </w:r>
                  <w:r>
                    <w:rPr>
                      <w:rFonts w:hint="default" w:ascii="Times New Roman" w:hAnsi="Times New Roman" w:eastAsia="宋体" w:cs="Times New Roman"/>
                      <w:i w:val="0"/>
                      <w:iCs w:val="0"/>
                      <w:color w:val="auto"/>
                      <w:kern w:val="0"/>
                      <w:sz w:val="21"/>
                      <w:szCs w:val="21"/>
                      <w:u w:val="none"/>
                      <w:lang w:val="en-US" w:eastAsia="zh-CN" w:bidi="ar"/>
                    </w:rPr>
                    <w:t>焊接、补锌烟尘</w:t>
                  </w:r>
                  <w:r>
                    <w:rPr>
                      <w:rFonts w:hint="default" w:ascii="Times New Roman" w:hAnsi="Times New Roman" w:cs="Times New Roman"/>
                      <w:b w:val="0"/>
                      <w:bCs w:val="0"/>
                      <w:color w:val="auto"/>
                      <w:sz w:val="21"/>
                      <w:szCs w:val="21"/>
                      <w:highlight w:val="none"/>
                      <w:vertAlign w:val="baseline"/>
                      <w:lang w:val="en-US" w:eastAsia="zh-CN"/>
                    </w:rPr>
                    <w:t>排放口</w:t>
                  </w:r>
                </w:p>
              </w:tc>
              <w:tc>
                <w:tcPr>
                  <w:tcW w:w="430" w:type="pct"/>
                  <w:tcBorders>
                    <w:tl2br w:val="nil"/>
                    <w:tr2bl w:val="nil"/>
                  </w:tcBorders>
                  <w:noWrap w:val="0"/>
                  <w:vAlign w:val="center"/>
                </w:tcPr>
                <w:p w14:paraId="53396B25">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颗粒物</w:t>
                  </w:r>
                </w:p>
              </w:tc>
              <w:tc>
                <w:tcPr>
                  <w:tcW w:w="573" w:type="pct"/>
                  <w:tcBorders>
                    <w:tl2br w:val="nil"/>
                    <w:tr2bl w:val="nil"/>
                  </w:tcBorders>
                  <w:noWrap w:val="0"/>
                  <w:vAlign w:val="center"/>
                </w:tcPr>
                <w:p w14:paraId="793031A9">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DA001</w:t>
                  </w:r>
                </w:p>
              </w:tc>
              <w:tc>
                <w:tcPr>
                  <w:tcW w:w="602" w:type="pct"/>
                  <w:tcBorders>
                    <w:tl2br w:val="nil"/>
                    <w:tr2bl w:val="nil"/>
                  </w:tcBorders>
                  <w:noWrap w:val="0"/>
                  <w:vAlign w:val="center"/>
                </w:tcPr>
                <w:p w14:paraId="5A3752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102.743628676</w:t>
                  </w:r>
                </w:p>
              </w:tc>
              <w:tc>
                <w:tcPr>
                  <w:tcW w:w="570" w:type="pct"/>
                  <w:tcBorders>
                    <w:tl2br w:val="nil"/>
                    <w:tr2bl w:val="nil"/>
                  </w:tcBorders>
                  <w:noWrap w:val="0"/>
                  <w:vAlign w:val="center"/>
                </w:tcPr>
                <w:p w14:paraId="4D9C25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24.202161879</w:t>
                  </w:r>
                </w:p>
              </w:tc>
              <w:tc>
                <w:tcPr>
                  <w:tcW w:w="597" w:type="pct"/>
                  <w:tcBorders>
                    <w:tl2br w:val="nil"/>
                    <w:tr2bl w:val="nil"/>
                  </w:tcBorders>
                  <w:noWrap w:val="0"/>
                  <w:vAlign w:val="center"/>
                </w:tcPr>
                <w:p w14:paraId="03A87C16">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15</w:t>
                  </w:r>
                </w:p>
              </w:tc>
              <w:tc>
                <w:tcPr>
                  <w:tcW w:w="526" w:type="pct"/>
                  <w:tcBorders>
                    <w:tl2br w:val="nil"/>
                    <w:tr2bl w:val="nil"/>
                  </w:tcBorders>
                  <w:noWrap w:val="0"/>
                  <w:vAlign w:val="center"/>
                </w:tcPr>
                <w:p w14:paraId="34829009">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0.5</w:t>
                  </w:r>
                </w:p>
              </w:tc>
              <w:tc>
                <w:tcPr>
                  <w:tcW w:w="430" w:type="pct"/>
                  <w:tcBorders>
                    <w:tl2br w:val="nil"/>
                    <w:tr2bl w:val="nil"/>
                  </w:tcBorders>
                  <w:noWrap w:val="0"/>
                  <w:vAlign w:val="center"/>
                </w:tcPr>
                <w:p w14:paraId="338FD97A">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25</w:t>
                  </w:r>
                </w:p>
              </w:tc>
              <w:tc>
                <w:tcPr>
                  <w:tcW w:w="519" w:type="pct"/>
                  <w:tcBorders>
                    <w:tl2br w:val="nil"/>
                    <w:tr2bl w:val="nil"/>
                  </w:tcBorders>
                  <w:noWrap w:val="0"/>
                  <w:vAlign w:val="center"/>
                </w:tcPr>
                <w:p w14:paraId="183DA828">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一般排放口</w:t>
                  </w:r>
                </w:p>
              </w:tc>
            </w:tr>
            <w:tr w14:paraId="3AF8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9" w:type="pct"/>
                  <w:tcBorders>
                    <w:tl2br w:val="nil"/>
                    <w:tr2bl w:val="nil"/>
                  </w:tcBorders>
                  <w:noWrap w:val="0"/>
                  <w:vAlign w:val="center"/>
                </w:tcPr>
                <w:p w14:paraId="60622E76">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2</w:t>
                  </w:r>
                </w:p>
              </w:tc>
              <w:tc>
                <w:tcPr>
                  <w:tcW w:w="488" w:type="pct"/>
                  <w:tcBorders>
                    <w:tl2br w:val="nil"/>
                    <w:tr2bl w:val="nil"/>
                  </w:tcBorders>
                  <w:noWrap w:val="0"/>
                  <w:vAlign w:val="center"/>
                </w:tcPr>
                <w:p w14:paraId="0C81B582">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 w:val="0"/>
                      <w:bCs w:val="0"/>
                      <w:color w:val="auto"/>
                      <w:sz w:val="21"/>
                      <w:szCs w:val="21"/>
                      <w:highlight w:val="none"/>
                      <w:vertAlign w:val="baseline"/>
                      <w:lang w:val="en-US" w:eastAsia="zh-CN"/>
                    </w:rPr>
                    <w:t>2#</w:t>
                  </w:r>
                  <w:r>
                    <w:rPr>
                      <w:rFonts w:hint="default" w:ascii="Times New Roman" w:hAnsi="Times New Roman" w:eastAsia="宋体" w:cs="Times New Roman"/>
                      <w:i w:val="0"/>
                      <w:iCs w:val="0"/>
                      <w:color w:val="auto"/>
                      <w:kern w:val="0"/>
                      <w:sz w:val="21"/>
                      <w:szCs w:val="21"/>
                      <w:u w:val="none"/>
                      <w:lang w:val="en-US" w:eastAsia="zh-CN" w:bidi="ar"/>
                    </w:rPr>
                    <w:t>焊接、补锌烟尘</w:t>
                  </w:r>
                  <w:r>
                    <w:rPr>
                      <w:rFonts w:hint="default" w:ascii="Times New Roman" w:hAnsi="Times New Roman" w:cs="Times New Roman"/>
                      <w:b w:val="0"/>
                      <w:bCs w:val="0"/>
                      <w:color w:val="auto"/>
                      <w:sz w:val="21"/>
                      <w:szCs w:val="21"/>
                      <w:highlight w:val="none"/>
                      <w:vertAlign w:val="baseline"/>
                      <w:lang w:val="en-US" w:eastAsia="zh-CN"/>
                    </w:rPr>
                    <w:t>排放口</w:t>
                  </w:r>
                </w:p>
              </w:tc>
              <w:tc>
                <w:tcPr>
                  <w:tcW w:w="430" w:type="pct"/>
                  <w:tcBorders>
                    <w:tl2br w:val="nil"/>
                    <w:tr2bl w:val="nil"/>
                  </w:tcBorders>
                  <w:noWrap w:val="0"/>
                  <w:vAlign w:val="center"/>
                </w:tcPr>
                <w:p w14:paraId="08AC5874">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颗粒物</w:t>
                  </w:r>
                </w:p>
              </w:tc>
              <w:tc>
                <w:tcPr>
                  <w:tcW w:w="573" w:type="pct"/>
                  <w:tcBorders>
                    <w:tl2br w:val="nil"/>
                    <w:tr2bl w:val="nil"/>
                  </w:tcBorders>
                  <w:noWrap w:val="0"/>
                  <w:vAlign w:val="center"/>
                </w:tcPr>
                <w:p w14:paraId="0832DE76">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b w:val="0"/>
                      <w:bCs w:val="0"/>
                      <w:color w:val="auto"/>
                      <w:sz w:val="21"/>
                      <w:szCs w:val="21"/>
                      <w:highlight w:val="none"/>
                      <w:vertAlign w:val="baseline"/>
                      <w:lang w:val="en-US" w:eastAsia="zh-CN"/>
                    </w:rPr>
                    <w:t>DA002</w:t>
                  </w:r>
                </w:p>
              </w:tc>
              <w:tc>
                <w:tcPr>
                  <w:tcW w:w="602" w:type="pct"/>
                  <w:tcBorders>
                    <w:tl2br w:val="nil"/>
                    <w:tr2bl w:val="nil"/>
                  </w:tcBorders>
                  <w:noWrap w:val="0"/>
                  <w:vAlign w:val="center"/>
                </w:tcPr>
                <w:p w14:paraId="38E359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102.743837889</w:t>
                  </w:r>
                </w:p>
              </w:tc>
              <w:tc>
                <w:tcPr>
                  <w:tcW w:w="570" w:type="pct"/>
                  <w:tcBorders>
                    <w:tl2br w:val="nil"/>
                    <w:tr2bl w:val="nil"/>
                  </w:tcBorders>
                  <w:noWrap w:val="0"/>
                  <w:vAlign w:val="center"/>
                </w:tcPr>
                <w:p w14:paraId="469755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24.202990682</w:t>
                  </w:r>
                </w:p>
              </w:tc>
              <w:tc>
                <w:tcPr>
                  <w:tcW w:w="597" w:type="pct"/>
                  <w:tcBorders>
                    <w:tl2br w:val="nil"/>
                    <w:tr2bl w:val="nil"/>
                  </w:tcBorders>
                  <w:noWrap w:val="0"/>
                  <w:vAlign w:val="center"/>
                </w:tcPr>
                <w:p w14:paraId="663DB462">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15</w:t>
                  </w:r>
                </w:p>
              </w:tc>
              <w:tc>
                <w:tcPr>
                  <w:tcW w:w="526" w:type="pct"/>
                  <w:tcBorders>
                    <w:tl2br w:val="nil"/>
                    <w:tr2bl w:val="nil"/>
                  </w:tcBorders>
                  <w:noWrap w:val="0"/>
                  <w:vAlign w:val="center"/>
                </w:tcPr>
                <w:p w14:paraId="10084148">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0.5</w:t>
                  </w:r>
                </w:p>
              </w:tc>
              <w:tc>
                <w:tcPr>
                  <w:tcW w:w="430" w:type="pct"/>
                  <w:tcBorders>
                    <w:tl2br w:val="nil"/>
                    <w:tr2bl w:val="nil"/>
                  </w:tcBorders>
                  <w:noWrap w:val="0"/>
                  <w:vAlign w:val="center"/>
                </w:tcPr>
                <w:p w14:paraId="2809F885">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25</w:t>
                  </w:r>
                </w:p>
              </w:tc>
              <w:tc>
                <w:tcPr>
                  <w:tcW w:w="519" w:type="pct"/>
                  <w:tcBorders>
                    <w:tl2br w:val="nil"/>
                    <w:tr2bl w:val="nil"/>
                  </w:tcBorders>
                  <w:noWrap w:val="0"/>
                  <w:vAlign w:val="center"/>
                </w:tcPr>
                <w:p w14:paraId="2849C8D5">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一般排放口</w:t>
                  </w:r>
                </w:p>
              </w:tc>
            </w:tr>
          </w:tbl>
          <w:p w14:paraId="2D18EB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Cs/>
                <w:color w:val="auto"/>
                <w:sz w:val="24"/>
                <w:szCs w:val="24"/>
                <w:lang w:eastAsia="zh-CN"/>
              </w:rPr>
            </w:pPr>
            <w:r>
              <w:rPr>
                <w:rFonts w:hint="eastAsia" w:cs="Times New Roman"/>
                <w:bCs/>
                <w:color w:val="auto"/>
                <w:sz w:val="24"/>
                <w:szCs w:val="24"/>
                <w:lang w:eastAsia="zh-CN"/>
              </w:rPr>
              <w:t>根据《大气污染物综合排放标准》（GB16297-1996）中“7.1排气筒高度除须遵守表列排放速率标准值外，还应高出周围200m半径范围的建筑5m以上，不能达到该要求的排气筒，应按其高度对应的表列排放速率标准值严格50%执行。”</w:t>
            </w:r>
          </w:p>
          <w:p w14:paraId="22F1A4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Cs/>
                <w:color w:val="auto"/>
                <w:sz w:val="24"/>
                <w:szCs w:val="24"/>
                <w:lang w:eastAsia="zh-CN"/>
              </w:rPr>
            </w:pPr>
            <w:r>
              <w:rPr>
                <w:rFonts w:hint="eastAsia" w:cs="Times New Roman"/>
                <w:bCs/>
                <w:color w:val="auto"/>
                <w:sz w:val="24"/>
                <w:szCs w:val="24"/>
                <w:lang w:eastAsia="zh-CN"/>
              </w:rPr>
              <w:t>根据项目设计资料及现场勘查，项目周围200m范围最高建筑高度为</w:t>
            </w:r>
            <w:r>
              <w:rPr>
                <w:rFonts w:hint="eastAsia" w:cs="Times New Roman"/>
                <w:bCs/>
                <w:color w:val="auto"/>
                <w:sz w:val="24"/>
                <w:szCs w:val="24"/>
                <w:lang w:val="en-US" w:eastAsia="zh-CN"/>
              </w:rPr>
              <w:t>9</w:t>
            </w:r>
            <w:r>
              <w:rPr>
                <w:rFonts w:hint="eastAsia" w:cs="Times New Roman"/>
                <w:bCs/>
                <w:color w:val="auto"/>
                <w:sz w:val="24"/>
                <w:szCs w:val="24"/>
                <w:lang w:eastAsia="zh-CN"/>
              </w:rPr>
              <w:t>m，</w:t>
            </w:r>
            <w:r>
              <w:rPr>
                <w:rFonts w:hint="eastAsia" w:cs="Times New Roman"/>
                <w:bCs/>
                <w:color w:val="auto"/>
                <w:sz w:val="24"/>
                <w:szCs w:val="24"/>
                <w:lang w:val="en-US" w:eastAsia="zh-CN"/>
              </w:rPr>
              <w:t>本项</w:t>
            </w:r>
            <w:r>
              <w:rPr>
                <w:rFonts w:hint="eastAsia" w:cs="Times New Roman"/>
                <w:bCs/>
                <w:color w:val="auto"/>
                <w:sz w:val="24"/>
                <w:szCs w:val="24"/>
                <w:lang w:eastAsia="zh-CN"/>
              </w:rPr>
              <w:t>目排气筒（DA001、DA002）设置高度为</w:t>
            </w:r>
            <w:r>
              <w:rPr>
                <w:rFonts w:hint="eastAsia" w:cs="Times New Roman"/>
                <w:bCs/>
                <w:color w:val="auto"/>
                <w:sz w:val="24"/>
                <w:szCs w:val="24"/>
                <w:lang w:val="en-US" w:eastAsia="zh-CN"/>
              </w:rPr>
              <w:t>15</w:t>
            </w:r>
            <w:r>
              <w:rPr>
                <w:rFonts w:hint="eastAsia" w:cs="Times New Roman"/>
                <w:bCs/>
                <w:color w:val="auto"/>
                <w:sz w:val="24"/>
                <w:szCs w:val="24"/>
                <w:lang w:eastAsia="zh-CN"/>
              </w:rPr>
              <w:t>m，其高度设置合理。</w:t>
            </w:r>
          </w:p>
          <w:p w14:paraId="6E45106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cs="Times New Roman"/>
                <w:b/>
                <w:bCs w:val="0"/>
                <w:color w:val="auto"/>
                <w:sz w:val="24"/>
                <w:szCs w:val="24"/>
                <w:lang w:val="en-US" w:eastAsia="zh-CN"/>
              </w:rPr>
            </w:pPr>
            <w:r>
              <w:rPr>
                <w:rFonts w:hint="eastAsia" w:cs="Times New Roman"/>
                <w:b/>
                <w:bCs w:val="0"/>
                <w:color w:val="auto"/>
                <w:sz w:val="24"/>
                <w:szCs w:val="24"/>
                <w:lang w:val="en-US" w:eastAsia="zh-CN"/>
              </w:rPr>
              <w:t>4、大气环境影响分析</w:t>
            </w:r>
          </w:p>
          <w:p w14:paraId="42FB021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cs="Times New Roman"/>
                <w:b/>
                <w:bCs w:val="0"/>
                <w:color w:val="auto"/>
                <w:sz w:val="24"/>
                <w:szCs w:val="24"/>
                <w:lang w:val="en-US" w:eastAsia="zh-CN"/>
              </w:rPr>
            </w:pPr>
            <w:r>
              <w:rPr>
                <w:rFonts w:hint="eastAsia" w:cs="Times New Roman"/>
                <w:b/>
                <w:bCs w:val="0"/>
                <w:color w:val="auto"/>
                <w:sz w:val="24"/>
                <w:szCs w:val="24"/>
                <w:lang w:val="en-US" w:eastAsia="zh-CN"/>
              </w:rPr>
              <w:t>（1）有组织废气达标排放分析</w:t>
            </w:r>
          </w:p>
          <w:p w14:paraId="17E8C9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Cs/>
                <w:color w:val="auto"/>
                <w:sz w:val="24"/>
                <w:szCs w:val="24"/>
                <w:lang w:eastAsia="zh-CN"/>
              </w:rPr>
            </w:pPr>
            <w:r>
              <w:rPr>
                <w:rFonts w:hint="eastAsia" w:cs="Times New Roman"/>
                <w:bCs/>
                <w:color w:val="auto"/>
                <w:sz w:val="24"/>
                <w:szCs w:val="24"/>
                <w:lang w:eastAsia="zh-CN"/>
              </w:rPr>
              <w:t>项目有组织粉尘</w:t>
            </w:r>
            <w:r>
              <w:rPr>
                <w:rFonts w:hint="eastAsia" w:cs="Times New Roman"/>
                <w:bCs/>
                <w:color w:val="auto"/>
                <w:sz w:val="24"/>
                <w:szCs w:val="24"/>
                <w:lang w:val="en-US" w:eastAsia="zh-CN"/>
              </w:rPr>
              <w:t>主要是每条生产线焊接工序产生的焊接、补锌烟尘</w:t>
            </w:r>
            <w:r>
              <w:rPr>
                <w:rFonts w:hint="eastAsia" w:cs="Times New Roman"/>
                <w:bCs/>
                <w:color w:val="auto"/>
                <w:sz w:val="24"/>
                <w:szCs w:val="24"/>
                <w:lang w:eastAsia="zh-CN"/>
              </w:rPr>
              <w:t>，</w:t>
            </w:r>
            <w:r>
              <w:rPr>
                <w:rFonts w:hint="eastAsia" w:cs="Times New Roman"/>
                <w:bCs/>
                <w:color w:val="auto"/>
                <w:sz w:val="24"/>
                <w:szCs w:val="24"/>
                <w:lang w:val="en-US" w:eastAsia="zh-CN"/>
              </w:rPr>
              <w:t>生产线均布置在封闭的车间内</w:t>
            </w:r>
            <w:r>
              <w:rPr>
                <w:rFonts w:hint="eastAsia" w:cs="Times New Roman"/>
                <w:bCs/>
                <w:color w:val="auto"/>
                <w:sz w:val="24"/>
                <w:szCs w:val="24"/>
                <w:lang w:eastAsia="zh-CN"/>
              </w:rPr>
              <w:t>，焊接、补锌烟尘均通过</w:t>
            </w:r>
            <w:r>
              <w:rPr>
                <w:rFonts w:hint="eastAsia" w:cs="Times New Roman"/>
                <w:bCs/>
                <w:color w:val="auto"/>
                <w:sz w:val="24"/>
                <w:szCs w:val="24"/>
                <w:lang w:val="en-US" w:eastAsia="zh-CN"/>
              </w:rPr>
              <w:t>集气罩</w:t>
            </w:r>
            <w:r>
              <w:rPr>
                <w:rFonts w:hint="eastAsia" w:cs="Times New Roman"/>
                <w:bCs/>
                <w:color w:val="auto"/>
                <w:sz w:val="24"/>
                <w:szCs w:val="24"/>
                <w:lang w:eastAsia="zh-CN"/>
              </w:rPr>
              <w:t>收集</w:t>
            </w:r>
            <w:r>
              <w:rPr>
                <w:rFonts w:hint="eastAsia" w:cs="Times New Roman"/>
                <w:bCs/>
                <w:color w:val="auto"/>
                <w:sz w:val="24"/>
                <w:szCs w:val="24"/>
                <w:lang w:val="en-US" w:eastAsia="zh-CN"/>
              </w:rPr>
              <w:t>，分别进入2套布袋除尘器处理</w:t>
            </w:r>
            <w:r>
              <w:rPr>
                <w:rFonts w:hint="eastAsia" w:cs="Times New Roman"/>
                <w:bCs/>
                <w:color w:val="auto"/>
                <w:sz w:val="24"/>
                <w:szCs w:val="24"/>
                <w:lang w:eastAsia="zh-CN"/>
              </w:rPr>
              <w:t>后（处理效率≥</w:t>
            </w:r>
            <w:r>
              <w:rPr>
                <w:rFonts w:hint="eastAsia" w:cs="Times New Roman"/>
                <w:bCs/>
                <w:color w:val="auto"/>
                <w:sz w:val="24"/>
                <w:szCs w:val="24"/>
                <w:lang w:val="en-US" w:eastAsia="zh-CN"/>
              </w:rPr>
              <w:t>95</w:t>
            </w:r>
            <w:r>
              <w:rPr>
                <w:rFonts w:hint="eastAsia" w:cs="Times New Roman"/>
                <w:bCs/>
                <w:color w:val="auto"/>
                <w:sz w:val="24"/>
                <w:szCs w:val="24"/>
                <w:lang w:eastAsia="zh-CN"/>
              </w:rPr>
              <w:t>%），分别经DA001、DA002排气筒排放。通过核算，DA001排气筒颗粒物排放量为0.0</w:t>
            </w:r>
            <w:r>
              <w:rPr>
                <w:rFonts w:hint="eastAsia" w:cs="Times New Roman"/>
                <w:bCs/>
                <w:color w:val="auto"/>
                <w:sz w:val="24"/>
                <w:szCs w:val="24"/>
                <w:lang w:val="en-US" w:eastAsia="zh-CN"/>
              </w:rPr>
              <w:t>23</w:t>
            </w:r>
            <w:r>
              <w:rPr>
                <w:rFonts w:hint="eastAsia" w:cs="Times New Roman"/>
                <w:bCs/>
                <w:color w:val="auto"/>
                <w:sz w:val="24"/>
                <w:szCs w:val="24"/>
                <w:lang w:eastAsia="zh-CN"/>
              </w:rPr>
              <w:t>t/a，排放速率为0.0</w:t>
            </w:r>
            <w:r>
              <w:rPr>
                <w:rFonts w:hint="eastAsia" w:cs="Times New Roman"/>
                <w:bCs/>
                <w:color w:val="auto"/>
                <w:sz w:val="24"/>
                <w:szCs w:val="24"/>
                <w:lang w:val="en-US" w:eastAsia="zh-CN"/>
              </w:rPr>
              <w:t>2</w:t>
            </w:r>
            <w:r>
              <w:rPr>
                <w:rFonts w:hint="eastAsia" w:cs="Times New Roman"/>
                <w:bCs/>
                <w:color w:val="auto"/>
                <w:sz w:val="24"/>
                <w:szCs w:val="24"/>
                <w:lang w:eastAsia="zh-CN"/>
              </w:rPr>
              <w:t>kg/h，排放浓度</w:t>
            </w:r>
            <w:r>
              <w:rPr>
                <w:rFonts w:hint="eastAsia" w:cs="Times New Roman"/>
                <w:bCs/>
                <w:color w:val="auto"/>
                <w:sz w:val="24"/>
                <w:szCs w:val="24"/>
                <w:lang w:val="en-US" w:eastAsia="zh-CN"/>
              </w:rPr>
              <w:t>均为1.628</w:t>
            </w:r>
            <w:r>
              <w:rPr>
                <w:rFonts w:hint="eastAsia" w:cs="Times New Roman"/>
                <w:bCs/>
                <w:color w:val="auto"/>
                <w:sz w:val="24"/>
                <w:szCs w:val="24"/>
                <w:lang w:eastAsia="zh-CN"/>
              </w:rPr>
              <w:t>mg/m</w:t>
            </w:r>
            <w:r>
              <w:rPr>
                <w:rFonts w:hint="eastAsia" w:cs="Times New Roman"/>
                <w:bCs/>
                <w:color w:val="auto"/>
                <w:sz w:val="24"/>
                <w:szCs w:val="24"/>
                <w:vertAlign w:val="superscript"/>
                <w:lang w:eastAsia="zh-CN"/>
              </w:rPr>
              <w:t>3</w:t>
            </w:r>
            <w:r>
              <w:rPr>
                <w:rFonts w:hint="eastAsia" w:cs="Times New Roman"/>
                <w:bCs/>
                <w:color w:val="auto"/>
                <w:sz w:val="24"/>
                <w:szCs w:val="24"/>
                <w:lang w:eastAsia="zh-CN"/>
              </w:rPr>
              <w:t>，DA00</w:t>
            </w:r>
            <w:r>
              <w:rPr>
                <w:rFonts w:hint="eastAsia" w:cs="Times New Roman"/>
                <w:bCs/>
                <w:color w:val="auto"/>
                <w:sz w:val="24"/>
                <w:szCs w:val="24"/>
                <w:lang w:val="en-US" w:eastAsia="zh-CN"/>
              </w:rPr>
              <w:t>2</w:t>
            </w:r>
            <w:r>
              <w:rPr>
                <w:rFonts w:hint="eastAsia" w:cs="Times New Roman"/>
                <w:bCs/>
                <w:color w:val="auto"/>
                <w:sz w:val="24"/>
                <w:szCs w:val="24"/>
                <w:lang w:eastAsia="zh-CN"/>
              </w:rPr>
              <w:t>排气筒颗粒物排放量为0.0</w:t>
            </w:r>
            <w:r>
              <w:rPr>
                <w:rFonts w:hint="eastAsia" w:cs="Times New Roman"/>
                <w:bCs/>
                <w:color w:val="auto"/>
                <w:sz w:val="24"/>
                <w:szCs w:val="24"/>
                <w:lang w:val="en-US" w:eastAsia="zh-CN"/>
              </w:rPr>
              <w:t>21</w:t>
            </w:r>
            <w:r>
              <w:rPr>
                <w:rFonts w:hint="eastAsia" w:cs="Times New Roman"/>
                <w:bCs/>
                <w:color w:val="auto"/>
                <w:sz w:val="24"/>
                <w:szCs w:val="24"/>
                <w:lang w:eastAsia="zh-CN"/>
              </w:rPr>
              <w:t>t/a，排放速率为0.0</w:t>
            </w:r>
            <w:r>
              <w:rPr>
                <w:rFonts w:hint="eastAsia" w:cs="Times New Roman"/>
                <w:bCs/>
                <w:color w:val="auto"/>
                <w:sz w:val="24"/>
                <w:szCs w:val="24"/>
                <w:lang w:val="en-US" w:eastAsia="zh-CN"/>
              </w:rPr>
              <w:t>17</w:t>
            </w:r>
            <w:r>
              <w:rPr>
                <w:rFonts w:hint="eastAsia" w:cs="Times New Roman"/>
                <w:bCs/>
                <w:color w:val="auto"/>
                <w:sz w:val="24"/>
                <w:szCs w:val="24"/>
                <w:lang w:eastAsia="zh-CN"/>
              </w:rPr>
              <w:t>kg/h，排放浓度</w:t>
            </w:r>
            <w:r>
              <w:rPr>
                <w:rFonts w:hint="eastAsia" w:cs="Times New Roman"/>
                <w:bCs/>
                <w:color w:val="auto"/>
                <w:sz w:val="24"/>
                <w:szCs w:val="24"/>
                <w:lang w:val="en-US" w:eastAsia="zh-CN"/>
              </w:rPr>
              <w:t>均为1.444</w:t>
            </w:r>
            <w:r>
              <w:rPr>
                <w:rFonts w:hint="eastAsia" w:cs="Times New Roman"/>
                <w:bCs/>
                <w:color w:val="auto"/>
                <w:sz w:val="24"/>
                <w:szCs w:val="24"/>
                <w:lang w:eastAsia="zh-CN"/>
              </w:rPr>
              <w:t>mg/m</w:t>
            </w:r>
            <w:r>
              <w:rPr>
                <w:rFonts w:hint="eastAsia" w:cs="Times New Roman"/>
                <w:bCs/>
                <w:color w:val="auto"/>
                <w:sz w:val="24"/>
                <w:szCs w:val="24"/>
                <w:vertAlign w:val="superscript"/>
                <w:lang w:eastAsia="zh-CN"/>
              </w:rPr>
              <w:t>3</w:t>
            </w:r>
            <w:r>
              <w:rPr>
                <w:rFonts w:hint="eastAsia" w:cs="Times New Roman"/>
                <w:bCs/>
                <w:color w:val="auto"/>
                <w:sz w:val="24"/>
                <w:szCs w:val="24"/>
                <w:lang w:eastAsia="zh-CN"/>
              </w:rPr>
              <w:t>，</w:t>
            </w:r>
            <w:r>
              <w:rPr>
                <w:rFonts w:hint="eastAsia" w:cs="Times New Roman"/>
                <w:bCs/>
                <w:color w:val="auto"/>
                <w:sz w:val="24"/>
                <w:szCs w:val="24"/>
                <w:lang w:val="en-US" w:eastAsia="zh-CN"/>
              </w:rPr>
              <w:t>均达到</w:t>
            </w:r>
            <w:r>
              <w:rPr>
                <w:rFonts w:hint="eastAsia" w:cs="Times New Roman"/>
                <w:bCs/>
                <w:color w:val="auto"/>
                <w:sz w:val="24"/>
                <w:szCs w:val="24"/>
                <w:lang w:eastAsia="zh-CN"/>
              </w:rPr>
              <w:t>《大气污染物综合排放标准》（GB16297-1996）表2标准（颗粒物≤120mg/m</w:t>
            </w:r>
            <w:r>
              <w:rPr>
                <w:rFonts w:hint="eastAsia" w:cs="Times New Roman"/>
                <w:bCs/>
                <w:color w:val="auto"/>
                <w:sz w:val="24"/>
                <w:szCs w:val="24"/>
                <w:vertAlign w:val="superscript"/>
                <w:lang w:eastAsia="zh-CN"/>
              </w:rPr>
              <w:t>3</w:t>
            </w:r>
            <w:r>
              <w:rPr>
                <w:rFonts w:hint="eastAsia" w:cs="Times New Roman"/>
                <w:bCs/>
                <w:color w:val="auto"/>
                <w:sz w:val="24"/>
                <w:szCs w:val="24"/>
                <w:lang w:eastAsia="zh-CN"/>
              </w:rPr>
              <w:t>，排放速率</w:t>
            </w:r>
            <w:r>
              <w:rPr>
                <w:rFonts w:hint="eastAsia" w:cs="Times New Roman"/>
                <w:bCs/>
                <w:color w:val="auto"/>
                <w:sz w:val="24"/>
                <w:szCs w:val="24"/>
                <w:lang w:val="en-US" w:eastAsia="zh-CN"/>
              </w:rPr>
              <w:t>3.5</w:t>
            </w:r>
            <w:r>
              <w:rPr>
                <w:rFonts w:hint="eastAsia" w:cs="Times New Roman"/>
                <w:bCs/>
                <w:color w:val="auto"/>
                <w:sz w:val="24"/>
                <w:szCs w:val="24"/>
                <w:lang w:eastAsia="zh-CN"/>
              </w:rPr>
              <w:t>kg/h）。</w:t>
            </w:r>
          </w:p>
          <w:p w14:paraId="77F3D9B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Times New Roman"/>
                <w:b/>
                <w:bCs w:val="0"/>
                <w:color w:val="auto"/>
                <w:sz w:val="24"/>
                <w:szCs w:val="24"/>
                <w:lang w:eastAsia="zh-CN"/>
              </w:rPr>
            </w:pPr>
            <w:r>
              <w:rPr>
                <w:rFonts w:hint="eastAsia" w:cs="Times New Roman"/>
                <w:b/>
                <w:bCs w:val="0"/>
                <w:color w:val="auto"/>
                <w:sz w:val="24"/>
                <w:szCs w:val="24"/>
                <w:lang w:eastAsia="zh-CN"/>
              </w:rPr>
              <w:t>（</w:t>
            </w:r>
            <w:r>
              <w:rPr>
                <w:rFonts w:hint="eastAsia" w:cs="Times New Roman"/>
                <w:b/>
                <w:bCs w:val="0"/>
                <w:color w:val="auto"/>
                <w:sz w:val="24"/>
                <w:szCs w:val="24"/>
                <w:lang w:val="en-US" w:eastAsia="zh-CN"/>
              </w:rPr>
              <w:t>2</w:t>
            </w:r>
            <w:r>
              <w:rPr>
                <w:rFonts w:hint="eastAsia" w:cs="Times New Roman"/>
                <w:b/>
                <w:bCs w:val="0"/>
                <w:color w:val="auto"/>
                <w:sz w:val="24"/>
                <w:szCs w:val="24"/>
                <w:lang w:eastAsia="zh-CN"/>
              </w:rPr>
              <w:t>）无组织废气达标排放情况分析</w:t>
            </w:r>
          </w:p>
          <w:p w14:paraId="2B1EB0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Cs/>
                <w:color w:val="auto"/>
                <w:sz w:val="24"/>
                <w:szCs w:val="24"/>
                <w:lang w:eastAsia="zh-CN"/>
              </w:rPr>
            </w:pPr>
            <w:r>
              <w:rPr>
                <w:rFonts w:hint="eastAsia" w:cs="Times New Roman"/>
                <w:bCs/>
                <w:color w:val="auto"/>
                <w:sz w:val="24"/>
                <w:szCs w:val="24"/>
                <w:lang w:eastAsia="zh-CN"/>
              </w:rPr>
              <w:t>项目生产线全部设置在封闭的</w:t>
            </w:r>
            <w:r>
              <w:rPr>
                <w:rFonts w:hint="eastAsia" w:cs="Times New Roman"/>
                <w:bCs/>
                <w:color w:val="auto"/>
                <w:sz w:val="24"/>
                <w:szCs w:val="24"/>
                <w:lang w:val="en-US" w:eastAsia="zh-CN"/>
              </w:rPr>
              <w:t>车间</w:t>
            </w:r>
            <w:r>
              <w:rPr>
                <w:rFonts w:hint="eastAsia" w:cs="Times New Roman"/>
                <w:bCs/>
                <w:color w:val="auto"/>
                <w:sz w:val="24"/>
                <w:szCs w:val="24"/>
                <w:lang w:eastAsia="zh-CN"/>
              </w:rPr>
              <w:t>内，无组织粉尘可沉降于厂房内部，根据前文核算，本项目无组织颗粒物总排放速率为</w:t>
            </w:r>
            <w:r>
              <w:rPr>
                <w:rFonts w:hint="eastAsia" w:cs="Times New Roman"/>
                <w:bCs/>
                <w:color w:val="auto"/>
                <w:sz w:val="24"/>
                <w:szCs w:val="24"/>
                <w:lang w:val="en-US" w:eastAsia="zh-CN"/>
              </w:rPr>
              <w:t>0.231</w:t>
            </w:r>
            <w:r>
              <w:rPr>
                <w:rFonts w:hint="eastAsia" w:cs="Times New Roman"/>
                <w:bCs/>
                <w:color w:val="auto"/>
                <w:sz w:val="24"/>
                <w:szCs w:val="24"/>
                <w:lang w:eastAsia="zh-CN"/>
              </w:rPr>
              <w:t>kg/h。本项目无组织颗粒物排放浓度采用“环安科技在线模型计算平台”中的“Aerscreen模型”预测总厂界无组织排放浓度，预测结果取最大值进行分析，具体详见下表。</w:t>
            </w:r>
          </w:p>
          <w:p w14:paraId="6442DFFA">
            <w:pPr>
              <w:adjustRightInd w:val="0"/>
              <w:snapToGrid w:val="0"/>
              <w:spacing w:line="360" w:lineRule="auto"/>
              <w:ind w:firstLine="0" w:firstLineChars="0"/>
              <w:jc w:val="center"/>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表4-4  厂界无组织颗粒物预测结果</w:t>
            </w:r>
          </w:p>
          <w:tbl>
            <w:tblPr>
              <w:tblStyle w:val="22"/>
              <w:tblW w:w="4969"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1245"/>
              <w:gridCol w:w="1185"/>
              <w:gridCol w:w="849"/>
              <w:gridCol w:w="876"/>
              <w:gridCol w:w="1065"/>
              <w:gridCol w:w="840"/>
              <w:gridCol w:w="643"/>
            </w:tblGrid>
            <w:tr w14:paraId="59BA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22" w:type="pct"/>
                  <w:gridSpan w:val="5"/>
                  <w:tcBorders>
                    <w:tl2br w:val="nil"/>
                    <w:tr2bl w:val="nil"/>
                  </w:tcBorders>
                  <w:noWrap w:val="0"/>
                  <w:vAlign w:val="center"/>
                </w:tcPr>
                <w:p w14:paraId="2EB77F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离散点信息</w:t>
                  </w:r>
                </w:p>
              </w:tc>
              <w:tc>
                <w:tcPr>
                  <w:tcW w:w="701" w:type="pct"/>
                  <w:tcBorders>
                    <w:tl2br w:val="nil"/>
                    <w:tr2bl w:val="nil"/>
                  </w:tcBorders>
                  <w:noWrap w:val="0"/>
                  <w:vAlign w:val="center"/>
                </w:tcPr>
                <w:p w14:paraId="2B1847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矩形面源</w:t>
                  </w:r>
                </w:p>
              </w:tc>
              <w:tc>
                <w:tcPr>
                  <w:tcW w:w="552" w:type="pct"/>
                  <w:vMerge w:val="restart"/>
                  <w:tcBorders>
                    <w:tl2br w:val="nil"/>
                    <w:tr2bl w:val="nil"/>
                  </w:tcBorders>
                  <w:noWrap w:val="0"/>
                  <w:vAlign w:val="center"/>
                </w:tcPr>
                <w:p w14:paraId="3714FF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color w:val="auto"/>
                      <w:sz w:val="21"/>
                      <w:szCs w:val="21"/>
                      <w:lang w:val="en-US" w:eastAsia="zh-CN"/>
                    </w:rPr>
                    <w:t>排放标准</w:t>
                  </w:r>
                  <w:r>
                    <w:rPr>
                      <w:rFonts w:hint="default" w:ascii="Times New Roman" w:hAnsi="Times New Roman" w:eastAsia="宋体" w:cs="Times New Roman"/>
                      <w:b w:val="0"/>
                      <w:color w:val="auto"/>
                      <w:sz w:val="21"/>
                      <w:szCs w:val="21"/>
                    </w:rPr>
                    <w:t>(μg/m</w:t>
                  </w:r>
                  <w:r>
                    <w:rPr>
                      <w:rFonts w:hint="default" w:ascii="Times New Roman" w:hAnsi="Times New Roman" w:eastAsia="宋体" w:cs="Times New Roman"/>
                      <w:b w:val="0"/>
                      <w:color w:val="auto"/>
                      <w:sz w:val="21"/>
                      <w:szCs w:val="21"/>
                      <w:vertAlign w:val="superscript"/>
                      <w:lang w:val="en-US" w:eastAsia="zh-CN"/>
                    </w:rPr>
                    <w:t>3</w:t>
                  </w:r>
                  <w:r>
                    <w:rPr>
                      <w:rFonts w:hint="default" w:ascii="Times New Roman" w:hAnsi="Times New Roman" w:eastAsia="宋体" w:cs="Times New Roman"/>
                      <w:b w:val="0"/>
                      <w:color w:val="auto"/>
                      <w:sz w:val="21"/>
                      <w:szCs w:val="21"/>
                    </w:rPr>
                    <w:t>)</w:t>
                  </w:r>
                </w:p>
              </w:tc>
              <w:tc>
                <w:tcPr>
                  <w:tcW w:w="423" w:type="pct"/>
                  <w:vMerge w:val="restart"/>
                  <w:tcBorders>
                    <w:tl2br w:val="nil"/>
                    <w:tr2bl w:val="nil"/>
                  </w:tcBorders>
                  <w:noWrap w:val="0"/>
                  <w:vAlign w:val="center"/>
                </w:tcPr>
                <w:p w14:paraId="3EEE2A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color w:val="auto"/>
                      <w:sz w:val="21"/>
                      <w:szCs w:val="21"/>
                      <w:lang w:val="en-US" w:eastAsia="zh-CN"/>
                    </w:rPr>
                    <w:t>达标情况</w:t>
                  </w:r>
                </w:p>
              </w:tc>
            </w:tr>
            <w:tr w14:paraId="5C9C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7" w:type="pct"/>
                  <w:tcBorders>
                    <w:tl2br w:val="nil"/>
                    <w:tr2bl w:val="nil"/>
                  </w:tcBorders>
                  <w:noWrap w:val="0"/>
                  <w:vAlign w:val="center"/>
                </w:tcPr>
                <w:p w14:paraId="4DACDC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离散点名称</w:t>
                  </w:r>
                </w:p>
              </w:tc>
              <w:tc>
                <w:tcPr>
                  <w:tcW w:w="819" w:type="pct"/>
                  <w:tcBorders>
                    <w:tl2br w:val="nil"/>
                    <w:tr2bl w:val="nil"/>
                  </w:tcBorders>
                  <w:noWrap w:val="0"/>
                  <w:vAlign w:val="center"/>
                </w:tcPr>
                <w:p w14:paraId="50440F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经度(度)</w:t>
                  </w:r>
                </w:p>
              </w:tc>
              <w:tc>
                <w:tcPr>
                  <w:tcW w:w="780" w:type="pct"/>
                  <w:tcBorders>
                    <w:tl2br w:val="nil"/>
                    <w:tr2bl w:val="nil"/>
                  </w:tcBorders>
                  <w:noWrap w:val="0"/>
                  <w:vAlign w:val="center"/>
                </w:tcPr>
                <w:p w14:paraId="309CF0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纬度(度)</w:t>
                  </w:r>
                </w:p>
              </w:tc>
              <w:tc>
                <w:tcPr>
                  <w:tcW w:w="558" w:type="pct"/>
                  <w:tcBorders>
                    <w:tl2br w:val="nil"/>
                    <w:tr2bl w:val="nil"/>
                  </w:tcBorders>
                  <w:noWrap w:val="0"/>
                  <w:vAlign w:val="center"/>
                </w:tcPr>
                <w:p w14:paraId="0B3080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海拔(m)</w:t>
                  </w:r>
                </w:p>
              </w:tc>
              <w:tc>
                <w:tcPr>
                  <w:tcW w:w="576" w:type="pct"/>
                  <w:tcBorders>
                    <w:tl2br w:val="nil"/>
                    <w:tr2bl w:val="nil"/>
                  </w:tcBorders>
                  <w:noWrap w:val="0"/>
                  <w:vAlign w:val="center"/>
                </w:tcPr>
                <w:p w14:paraId="74FD4E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下风向距离(m)</w:t>
                  </w:r>
                </w:p>
              </w:tc>
              <w:tc>
                <w:tcPr>
                  <w:tcW w:w="701" w:type="pct"/>
                  <w:tcBorders>
                    <w:tl2br w:val="nil"/>
                    <w:tr2bl w:val="nil"/>
                  </w:tcBorders>
                  <w:noWrap w:val="0"/>
                  <w:vAlign w:val="center"/>
                </w:tcPr>
                <w:p w14:paraId="0FB61F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TSP(μg/m</w:t>
                  </w:r>
                  <w:r>
                    <w:rPr>
                      <w:rFonts w:hint="default" w:ascii="Times New Roman" w:hAnsi="Times New Roman" w:eastAsia="宋体" w:cs="Times New Roman"/>
                      <w:color w:val="auto"/>
                      <w:sz w:val="21"/>
                      <w:szCs w:val="21"/>
                      <w:vertAlign w:val="superscript"/>
                      <w:lang w:val="en-US" w:eastAsia="zh-CN"/>
                    </w:rPr>
                    <w:t>3)</w:t>
                  </w:r>
                </w:p>
              </w:tc>
              <w:tc>
                <w:tcPr>
                  <w:tcW w:w="552" w:type="pct"/>
                  <w:vMerge w:val="continue"/>
                  <w:tcBorders>
                    <w:tl2br w:val="nil"/>
                    <w:tr2bl w:val="nil"/>
                  </w:tcBorders>
                  <w:noWrap w:val="0"/>
                  <w:vAlign w:val="center"/>
                </w:tcPr>
                <w:p w14:paraId="20B99A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423" w:type="pct"/>
                  <w:vMerge w:val="continue"/>
                  <w:tcBorders>
                    <w:tl2br w:val="nil"/>
                    <w:tr2bl w:val="nil"/>
                  </w:tcBorders>
                  <w:noWrap w:val="0"/>
                  <w:vAlign w:val="center"/>
                </w:tcPr>
                <w:p w14:paraId="1AC7A5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r>
            <w:tr w14:paraId="7829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7" w:type="pct"/>
                  <w:tcBorders>
                    <w:tl2br w:val="nil"/>
                    <w:tr2bl w:val="nil"/>
                  </w:tcBorders>
                  <w:noWrap w:val="0"/>
                  <w:vAlign w:val="center"/>
                </w:tcPr>
                <w:p w14:paraId="105C8E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厂界西</w:t>
                  </w:r>
                </w:p>
              </w:tc>
              <w:tc>
                <w:tcPr>
                  <w:tcW w:w="819" w:type="pct"/>
                  <w:tcBorders>
                    <w:tl2br w:val="nil"/>
                    <w:tr2bl w:val="nil"/>
                  </w:tcBorders>
                  <w:noWrap w:val="0"/>
                  <w:vAlign w:val="center"/>
                </w:tcPr>
                <w:p w14:paraId="568675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102.74314</w:t>
                  </w:r>
                </w:p>
              </w:tc>
              <w:tc>
                <w:tcPr>
                  <w:tcW w:w="780" w:type="pct"/>
                  <w:tcBorders>
                    <w:tl2br w:val="nil"/>
                    <w:tr2bl w:val="nil"/>
                  </w:tcBorders>
                  <w:noWrap w:val="0"/>
                  <w:vAlign w:val="center"/>
                </w:tcPr>
                <w:p w14:paraId="673C22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24.20256</w:t>
                  </w:r>
                </w:p>
              </w:tc>
              <w:tc>
                <w:tcPr>
                  <w:tcW w:w="558" w:type="pct"/>
                  <w:tcBorders>
                    <w:tl2br w:val="nil"/>
                    <w:tr2bl w:val="nil"/>
                  </w:tcBorders>
                  <w:noWrap w:val="0"/>
                  <w:vAlign w:val="center"/>
                </w:tcPr>
                <w:p w14:paraId="3538D2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1966.0</w:t>
                  </w:r>
                </w:p>
              </w:tc>
              <w:tc>
                <w:tcPr>
                  <w:tcW w:w="576" w:type="pct"/>
                  <w:tcBorders>
                    <w:tl2br w:val="nil"/>
                    <w:tr2bl w:val="nil"/>
                  </w:tcBorders>
                  <w:noWrap w:val="0"/>
                  <w:vAlign w:val="center"/>
                </w:tcPr>
                <w:p w14:paraId="0BD75B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95.0</w:t>
                  </w:r>
                </w:p>
              </w:tc>
              <w:tc>
                <w:tcPr>
                  <w:tcW w:w="701" w:type="pct"/>
                  <w:tcBorders>
                    <w:tl2br w:val="nil"/>
                    <w:tr2bl w:val="nil"/>
                  </w:tcBorders>
                  <w:noWrap w:val="0"/>
                  <w:vAlign w:val="center"/>
                </w:tcPr>
                <w:p w14:paraId="5605D6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124.6500</w:t>
                  </w:r>
                </w:p>
              </w:tc>
              <w:tc>
                <w:tcPr>
                  <w:tcW w:w="552" w:type="pct"/>
                  <w:tcBorders>
                    <w:tl2br w:val="nil"/>
                    <w:tr2bl w:val="nil"/>
                  </w:tcBorders>
                  <w:noWrap w:val="0"/>
                  <w:vAlign w:val="center"/>
                </w:tcPr>
                <w:p w14:paraId="101E7D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1000</w:t>
                  </w:r>
                </w:p>
              </w:tc>
              <w:tc>
                <w:tcPr>
                  <w:tcW w:w="423" w:type="pct"/>
                  <w:tcBorders>
                    <w:tl2br w:val="nil"/>
                    <w:tr2bl w:val="nil"/>
                  </w:tcBorders>
                  <w:noWrap w:val="0"/>
                  <w:vAlign w:val="center"/>
                </w:tcPr>
                <w:p w14:paraId="28A409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color w:val="auto"/>
                      <w:sz w:val="21"/>
                      <w:szCs w:val="21"/>
                      <w:lang w:val="en-US" w:eastAsia="zh-CN"/>
                    </w:rPr>
                    <w:t>达标</w:t>
                  </w:r>
                </w:p>
              </w:tc>
            </w:tr>
            <w:tr w14:paraId="25CDA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7" w:type="pct"/>
                  <w:tcBorders>
                    <w:tl2br w:val="nil"/>
                    <w:tr2bl w:val="nil"/>
                  </w:tcBorders>
                  <w:noWrap w:val="0"/>
                  <w:vAlign w:val="center"/>
                </w:tcPr>
                <w:p w14:paraId="3271FF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厂界东</w:t>
                  </w:r>
                </w:p>
              </w:tc>
              <w:tc>
                <w:tcPr>
                  <w:tcW w:w="819" w:type="pct"/>
                  <w:tcBorders>
                    <w:tl2br w:val="nil"/>
                    <w:tr2bl w:val="nil"/>
                  </w:tcBorders>
                  <w:noWrap w:val="0"/>
                  <w:vAlign w:val="center"/>
                </w:tcPr>
                <w:p w14:paraId="69AA48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102.744183</w:t>
                  </w:r>
                </w:p>
              </w:tc>
              <w:tc>
                <w:tcPr>
                  <w:tcW w:w="780" w:type="pct"/>
                  <w:tcBorders>
                    <w:tl2br w:val="nil"/>
                    <w:tr2bl w:val="nil"/>
                  </w:tcBorders>
                  <w:noWrap w:val="0"/>
                  <w:vAlign w:val="center"/>
                </w:tcPr>
                <w:p w14:paraId="656BFD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24.202721</w:t>
                  </w:r>
                </w:p>
              </w:tc>
              <w:tc>
                <w:tcPr>
                  <w:tcW w:w="558" w:type="pct"/>
                  <w:tcBorders>
                    <w:tl2br w:val="nil"/>
                    <w:tr2bl w:val="nil"/>
                  </w:tcBorders>
                  <w:noWrap w:val="0"/>
                  <w:vAlign w:val="center"/>
                </w:tcPr>
                <w:p w14:paraId="763401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1975.0</w:t>
                  </w:r>
                </w:p>
              </w:tc>
              <w:tc>
                <w:tcPr>
                  <w:tcW w:w="576" w:type="pct"/>
                  <w:tcBorders>
                    <w:tl2br w:val="nil"/>
                    <w:tr2bl w:val="nil"/>
                  </w:tcBorders>
                  <w:noWrap w:val="0"/>
                  <w:vAlign w:val="center"/>
                </w:tcPr>
                <w:p w14:paraId="1808E0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35.18</w:t>
                  </w:r>
                </w:p>
              </w:tc>
              <w:tc>
                <w:tcPr>
                  <w:tcW w:w="701" w:type="pct"/>
                  <w:tcBorders>
                    <w:tl2br w:val="nil"/>
                    <w:tr2bl w:val="nil"/>
                  </w:tcBorders>
                  <w:noWrap w:val="0"/>
                  <w:vAlign w:val="center"/>
                </w:tcPr>
                <w:p w14:paraId="371822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105.0000</w:t>
                  </w:r>
                </w:p>
              </w:tc>
              <w:tc>
                <w:tcPr>
                  <w:tcW w:w="552" w:type="pct"/>
                  <w:tcBorders>
                    <w:tl2br w:val="nil"/>
                    <w:tr2bl w:val="nil"/>
                  </w:tcBorders>
                  <w:noWrap w:val="0"/>
                  <w:vAlign w:val="center"/>
                </w:tcPr>
                <w:p w14:paraId="0BC3CB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1000</w:t>
                  </w:r>
                </w:p>
              </w:tc>
              <w:tc>
                <w:tcPr>
                  <w:tcW w:w="423" w:type="pct"/>
                  <w:tcBorders>
                    <w:tl2br w:val="nil"/>
                    <w:tr2bl w:val="nil"/>
                  </w:tcBorders>
                  <w:noWrap w:val="0"/>
                  <w:vAlign w:val="center"/>
                </w:tcPr>
                <w:p w14:paraId="092ECF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color w:val="auto"/>
                      <w:sz w:val="21"/>
                      <w:szCs w:val="21"/>
                      <w:lang w:val="en-US" w:eastAsia="zh-CN"/>
                    </w:rPr>
                    <w:t>达标</w:t>
                  </w:r>
                </w:p>
              </w:tc>
            </w:tr>
            <w:tr w14:paraId="1CD6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7" w:type="pct"/>
                  <w:tcBorders>
                    <w:tl2br w:val="nil"/>
                    <w:tr2bl w:val="nil"/>
                  </w:tcBorders>
                  <w:noWrap w:val="0"/>
                  <w:vAlign w:val="center"/>
                </w:tcPr>
                <w:p w14:paraId="066A5D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厂界南</w:t>
                  </w:r>
                </w:p>
              </w:tc>
              <w:tc>
                <w:tcPr>
                  <w:tcW w:w="819" w:type="pct"/>
                  <w:tcBorders>
                    <w:tl2br w:val="nil"/>
                    <w:tr2bl w:val="nil"/>
                  </w:tcBorders>
                  <w:noWrap w:val="0"/>
                  <w:vAlign w:val="center"/>
                </w:tcPr>
                <w:p w14:paraId="7AF619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102.743718</w:t>
                  </w:r>
                </w:p>
              </w:tc>
              <w:tc>
                <w:tcPr>
                  <w:tcW w:w="780" w:type="pct"/>
                  <w:tcBorders>
                    <w:tl2br w:val="nil"/>
                    <w:tr2bl w:val="nil"/>
                  </w:tcBorders>
                  <w:noWrap w:val="0"/>
                  <w:vAlign w:val="center"/>
                </w:tcPr>
                <w:p w14:paraId="60A71F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24.201926</w:t>
                  </w:r>
                </w:p>
              </w:tc>
              <w:tc>
                <w:tcPr>
                  <w:tcW w:w="558" w:type="pct"/>
                  <w:tcBorders>
                    <w:tl2br w:val="nil"/>
                    <w:tr2bl w:val="nil"/>
                  </w:tcBorders>
                  <w:noWrap w:val="0"/>
                  <w:vAlign w:val="center"/>
                </w:tcPr>
                <w:p w14:paraId="70B4D6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1964.0</w:t>
                  </w:r>
                </w:p>
              </w:tc>
              <w:tc>
                <w:tcPr>
                  <w:tcW w:w="576" w:type="pct"/>
                  <w:tcBorders>
                    <w:tl2br w:val="nil"/>
                    <w:tr2bl w:val="nil"/>
                  </w:tcBorders>
                  <w:noWrap w:val="0"/>
                  <w:vAlign w:val="center"/>
                </w:tcPr>
                <w:p w14:paraId="662824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118.15</w:t>
                  </w:r>
                </w:p>
              </w:tc>
              <w:tc>
                <w:tcPr>
                  <w:tcW w:w="701" w:type="pct"/>
                  <w:tcBorders>
                    <w:tl2br w:val="nil"/>
                    <w:tr2bl w:val="nil"/>
                  </w:tcBorders>
                  <w:noWrap w:val="0"/>
                  <w:vAlign w:val="center"/>
                </w:tcPr>
                <w:p w14:paraId="288CF2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109.7200</w:t>
                  </w:r>
                </w:p>
              </w:tc>
              <w:tc>
                <w:tcPr>
                  <w:tcW w:w="552" w:type="pct"/>
                  <w:tcBorders>
                    <w:tl2br w:val="nil"/>
                    <w:tr2bl w:val="nil"/>
                  </w:tcBorders>
                  <w:noWrap w:val="0"/>
                  <w:vAlign w:val="center"/>
                </w:tcPr>
                <w:p w14:paraId="40FF2B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1000</w:t>
                  </w:r>
                </w:p>
              </w:tc>
              <w:tc>
                <w:tcPr>
                  <w:tcW w:w="423" w:type="pct"/>
                  <w:tcBorders>
                    <w:tl2br w:val="nil"/>
                    <w:tr2bl w:val="nil"/>
                  </w:tcBorders>
                  <w:noWrap w:val="0"/>
                  <w:vAlign w:val="center"/>
                </w:tcPr>
                <w:p w14:paraId="575767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color w:val="auto"/>
                      <w:sz w:val="21"/>
                      <w:szCs w:val="21"/>
                      <w:lang w:val="en-US" w:eastAsia="zh-CN"/>
                    </w:rPr>
                    <w:t>达标</w:t>
                  </w:r>
                </w:p>
              </w:tc>
            </w:tr>
            <w:tr w14:paraId="7996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7" w:type="pct"/>
                  <w:tcBorders>
                    <w:tl2br w:val="nil"/>
                    <w:tr2bl w:val="nil"/>
                  </w:tcBorders>
                  <w:noWrap w:val="0"/>
                  <w:vAlign w:val="center"/>
                </w:tcPr>
                <w:p w14:paraId="60892E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厂界北</w:t>
                  </w:r>
                </w:p>
              </w:tc>
              <w:tc>
                <w:tcPr>
                  <w:tcW w:w="819" w:type="pct"/>
                  <w:tcBorders>
                    <w:tl2br w:val="nil"/>
                    <w:tr2bl w:val="nil"/>
                  </w:tcBorders>
                  <w:noWrap w:val="0"/>
                  <w:vAlign w:val="center"/>
                </w:tcPr>
                <w:p w14:paraId="76E51B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102.743694</w:t>
                  </w:r>
                </w:p>
              </w:tc>
              <w:tc>
                <w:tcPr>
                  <w:tcW w:w="780" w:type="pct"/>
                  <w:tcBorders>
                    <w:tl2br w:val="nil"/>
                    <w:tr2bl w:val="nil"/>
                  </w:tcBorders>
                  <w:noWrap w:val="0"/>
                  <w:vAlign w:val="center"/>
                </w:tcPr>
                <w:p w14:paraId="61E04B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24.203425</w:t>
                  </w:r>
                </w:p>
              </w:tc>
              <w:tc>
                <w:tcPr>
                  <w:tcW w:w="558" w:type="pct"/>
                  <w:tcBorders>
                    <w:tl2br w:val="nil"/>
                    <w:tr2bl w:val="nil"/>
                  </w:tcBorders>
                  <w:noWrap w:val="0"/>
                  <w:vAlign w:val="center"/>
                </w:tcPr>
                <w:p w14:paraId="288F24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1965.0</w:t>
                  </w:r>
                </w:p>
              </w:tc>
              <w:tc>
                <w:tcPr>
                  <w:tcW w:w="576" w:type="pct"/>
                  <w:tcBorders>
                    <w:tl2br w:val="nil"/>
                    <w:tr2bl w:val="nil"/>
                  </w:tcBorders>
                  <w:noWrap w:val="0"/>
                  <w:vAlign w:val="center"/>
                </w:tcPr>
                <w:p w14:paraId="2AE752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58.48</w:t>
                  </w:r>
                </w:p>
              </w:tc>
              <w:tc>
                <w:tcPr>
                  <w:tcW w:w="701" w:type="pct"/>
                  <w:tcBorders>
                    <w:tl2br w:val="nil"/>
                    <w:tr2bl w:val="nil"/>
                  </w:tcBorders>
                  <w:noWrap w:val="0"/>
                  <w:vAlign w:val="center"/>
                </w:tcPr>
                <w:p w14:paraId="6EA10E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128.5600</w:t>
                  </w:r>
                </w:p>
              </w:tc>
              <w:tc>
                <w:tcPr>
                  <w:tcW w:w="552" w:type="pct"/>
                  <w:tcBorders>
                    <w:tl2br w:val="nil"/>
                    <w:tr2bl w:val="nil"/>
                  </w:tcBorders>
                  <w:noWrap w:val="0"/>
                  <w:vAlign w:val="center"/>
                </w:tcPr>
                <w:p w14:paraId="0DE309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1000</w:t>
                  </w:r>
                </w:p>
              </w:tc>
              <w:tc>
                <w:tcPr>
                  <w:tcW w:w="423" w:type="pct"/>
                  <w:tcBorders>
                    <w:tl2br w:val="nil"/>
                    <w:tr2bl w:val="nil"/>
                  </w:tcBorders>
                  <w:noWrap w:val="0"/>
                  <w:vAlign w:val="center"/>
                </w:tcPr>
                <w:p w14:paraId="2293D6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color w:val="auto"/>
                      <w:sz w:val="21"/>
                      <w:szCs w:val="21"/>
                      <w:lang w:val="en-US" w:eastAsia="zh-CN"/>
                    </w:rPr>
                    <w:t>达标</w:t>
                  </w:r>
                </w:p>
              </w:tc>
            </w:tr>
          </w:tbl>
          <w:p w14:paraId="4A88C2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bCs/>
                <w:color w:val="auto"/>
                <w:sz w:val="24"/>
                <w:szCs w:val="24"/>
                <w:lang w:val="en-US" w:eastAsia="zh-CN"/>
              </w:rPr>
            </w:pPr>
            <w:r>
              <w:rPr>
                <w:rFonts w:hint="eastAsia" w:cs="Times New Roman"/>
                <w:bCs/>
                <w:color w:val="auto"/>
                <w:sz w:val="24"/>
                <w:szCs w:val="24"/>
                <w:lang w:eastAsia="zh-CN"/>
              </w:rPr>
              <w:t>根据预测结果可知，</w:t>
            </w:r>
            <w:r>
              <w:rPr>
                <w:rFonts w:hint="eastAsia" w:cs="Times New Roman"/>
                <w:bCs/>
                <w:color w:val="auto"/>
                <w:sz w:val="24"/>
                <w:szCs w:val="24"/>
                <w:lang w:val="en-US" w:eastAsia="zh-CN"/>
              </w:rPr>
              <w:t>项目厂界无组织排放的颗粒物可满足《大气污染物综合排放标准》（GB16297-1996）表2标准中无组织排放监控浓度限值（≤1.0mg/m</w:t>
            </w:r>
            <w:r>
              <w:rPr>
                <w:rFonts w:hint="eastAsia" w:cs="Times New Roman"/>
                <w:bCs/>
                <w:color w:val="auto"/>
                <w:sz w:val="24"/>
                <w:szCs w:val="24"/>
                <w:vertAlign w:val="superscript"/>
                <w:lang w:val="en-US" w:eastAsia="zh-CN"/>
              </w:rPr>
              <w:t>3</w:t>
            </w:r>
            <w:r>
              <w:rPr>
                <w:rFonts w:hint="eastAsia" w:cs="Times New Roman"/>
                <w:bCs/>
                <w:color w:val="auto"/>
                <w:sz w:val="24"/>
                <w:szCs w:val="24"/>
                <w:lang w:val="en-US" w:eastAsia="zh-CN"/>
              </w:rPr>
              <w:t>）。项目无组织粉尘排放量较少，生产过程产生的颗粒物经厂房阻隔、空气自然稀释后对区域大气环境影响较小。</w:t>
            </w:r>
          </w:p>
          <w:p w14:paraId="16F9520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cs="Times New Roman"/>
                <w:b/>
                <w:bCs w:val="0"/>
                <w:color w:val="auto"/>
                <w:sz w:val="24"/>
                <w:szCs w:val="24"/>
                <w:lang w:val="en-US" w:eastAsia="zh-CN"/>
              </w:rPr>
            </w:pPr>
            <w:r>
              <w:rPr>
                <w:rFonts w:hint="eastAsia" w:cs="Times New Roman"/>
                <w:b/>
                <w:bCs w:val="0"/>
                <w:color w:val="auto"/>
                <w:sz w:val="24"/>
                <w:szCs w:val="24"/>
                <w:lang w:val="en-US" w:eastAsia="zh-CN"/>
              </w:rPr>
              <w:t>5、非正常排放影响分析</w:t>
            </w:r>
          </w:p>
          <w:p w14:paraId="462C1F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Cs/>
                <w:color w:val="auto"/>
                <w:sz w:val="24"/>
                <w:szCs w:val="24"/>
                <w:lang w:eastAsia="zh-CN"/>
              </w:rPr>
            </w:pPr>
            <w:r>
              <w:rPr>
                <w:rFonts w:hint="eastAsia" w:cs="Times New Roman"/>
                <w:bCs/>
                <w:color w:val="auto"/>
                <w:sz w:val="24"/>
                <w:szCs w:val="24"/>
                <w:lang w:eastAsia="zh-CN"/>
              </w:rPr>
              <w:t>项目非正常情况考虑：焊接环节布袋</w:t>
            </w:r>
            <w:r>
              <w:rPr>
                <w:rFonts w:hint="eastAsia" w:cs="Times New Roman"/>
                <w:bCs/>
                <w:color w:val="auto"/>
                <w:sz w:val="24"/>
                <w:szCs w:val="24"/>
                <w:lang w:val="en-US" w:eastAsia="zh-CN"/>
              </w:rPr>
              <w:t>除尘器</w:t>
            </w:r>
            <w:r>
              <w:rPr>
                <w:rFonts w:hint="eastAsia" w:cs="Times New Roman"/>
                <w:bCs/>
                <w:color w:val="auto"/>
                <w:sz w:val="24"/>
                <w:szCs w:val="24"/>
                <w:lang w:eastAsia="zh-CN"/>
              </w:rPr>
              <w:t>发生破损，颗粒物去除效率由</w:t>
            </w:r>
            <w:r>
              <w:rPr>
                <w:rFonts w:hint="eastAsia" w:cs="Times New Roman"/>
                <w:bCs/>
                <w:color w:val="auto"/>
                <w:sz w:val="24"/>
                <w:szCs w:val="24"/>
                <w:lang w:val="en-US" w:eastAsia="zh-CN"/>
              </w:rPr>
              <w:t>95</w:t>
            </w:r>
            <w:r>
              <w:rPr>
                <w:rFonts w:hint="eastAsia" w:cs="Times New Roman"/>
                <w:bCs/>
                <w:color w:val="auto"/>
                <w:sz w:val="24"/>
                <w:szCs w:val="24"/>
                <w:lang w:eastAsia="zh-CN"/>
              </w:rPr>
              <w:t>%下降至90%。</w:t>
            </w:r>
          </w:p>
          <w:p w14:paraId="7D4812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Cs/>
                <w:color w:val="auto"/>
                <w:sz w:val="24"/>
                <w:szCs w:val="24"/>
                <w:lang w:eastAsia="zh-CN"/>
              </w:rPr>
            </w:pPr>
            <w:r>
              <w:rPr>
                <w:rFonts w:hint="eastAsia" w:cs="Times New Roman"/>
                <w:bCs/>
                <w:color w:val="auto"/>
                <w:sz w:val="24"/>
                <w:szCs w:val="24"/>
                <w:lang w:eastAsia="zh-CN"/>
              </w:rPr>
              <w:t>非正常废气排放源强如下表。</w:t>
            </w:r>
          </w:p>
          <w:p w14:paraId="58F7CB00">
            <w:pPr>
              <w:adjustRightInd w:val="0"/>
              <w:snapToGrid w:val="0"/>
              <w:spacing w:line="360" w:lineRule="auto"/>
              <w:ind w:firstLine="0" w:firstLineChars="0"/>
              <w:jc w:val="center"/>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表4-5  本项目运营期废气非正常排放情况一览表</w:t>
            </w:r>
          </w:p>
          <w:tbl>
            <w:tblPr>
              <w:tblStyle w:val="2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63"/>
              <w:gridCol w:w="1116"/>
              <w:gridCol w:w="885"/>
              <w:gridCol w:w="661"/>
              <w:gridCol w:w="1045"/>
              <w:gridCol w:w="1175"/>
              <w:gridCol w:w="914"/>
              <w:gridCol w:w="783"/>
              <w:gridCol w:w="594"/>
            </w:tblGrid>
            <w:tr w14:paraId="18540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303" w:type="pct"/>
                  <w:shd w:val="clear" w:color="auto" w:fill="auto"/>
                  <w:noWrap w:val="0"/>
                  <w:vAlign w:val="center"/>
                </w:tcPr>
                <w:p w14:paraId="1C943A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w:t>
                  </w:r>
                </w:p>
              </w:tc>
              <w:tc>
                <w:tcPr>
                  <w:tcW w:w="730" w:type="pct"/>
                  <w:shd w:val="clear" w:color="auto" w:fill="auto"/>
                  <w:noWrap w:val="0"/>
                  <w:vAlign w:val="center"/>
                </w:tcPr>
                <w:p w14:paraId="03E11B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非正常排放源</w:t>
                  </w:r>
                </w:p>
              </w:tc>
              <w:tc>
                <w:tcPr>
                  <w:tcW w:w="579" w:type="pct"/>
                  <w:shd w:val="clear" w:color="auto" w:fill="auto"/>
                  <w:noWrap w:val="0"/>
                  <w:vAlign w:val="center"/>
                </w:tcPr>
                <w:p w14:paraId="4F6370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非正常排放原因</w:t>
                  </w:r>
                </w:p>
              </w:tc>
              <w:tc>
                <w:tcPr>
                  <w:tcW w:w="432" w:type="pct"/>
                  <w:shd w:val="clear" w:color="auto" w:fill="auto"/>
                  <w:noWrap w:val="0"/>
                  <w:vAlign w:val="center"/>
                </w:tcPr>
                <w:p w14:paraId="79B533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w:t>
                  </w:r>
                </w:p>
              </w:tc>
              <w:tc>
                <w:tcPr>
                  <w:tcW w:w="684" w:type="pct"/>
                  <w:shd w:val="clear" w:color="auto" w:fill="auto"/>
                  <w:noWrap w:val="0"/>
                  <w:vAlign w:val="center"/>
                </w:tcPr>
                <w:p w14:paraId="559635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非正常排放速率（kg/h）</w:t>
                  </w:r>
                </w:p>
              </w:tc>
              <w:tc>
                <w:tcPr>
                  <w:tcW w:w="769" w:type="pct"/>
                  <w:shd w:val="clear" w:color="auto" w:fill="auto"/>
                  <w:noWrap w:val="0"/>
                  <w:vAlign w:val="center"/>
                </w:tcPr>
                <w:p w14:paraId="18F669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非正常排放浓度（mg/m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w:t>
                  </w:r>
                </w:p>
              </w:tc>
              <w:tc>
                <w:tcPr>
                  <w:tcW w:w="598" w:type="pct"/>
                  <w:shd w:val="clear" w:color="auto" w:fill="auto"/>
                  <w:noWrap w:val="0"/>
                  <w:vAlign w:val="center"/>
                </w:tcPr>
                <w:p w14:paraId="054F7A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单次持续时间（h）</w:t>
                  </w:r>
                </w:p>
              </w:tc>
              <w:tc>
                <w:tcPr>
                  <w:tcW w:w="512" w:type="pct"/>
                  <w:shd w:val="clear" w:color="auto" w:fill="auto"/>
                  <w:noWrap w:val="0"/>
                  <w:vAlign w:val="center"/>
                </w:tcPr>
                <w:p w14:paraId="5F3872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年发生频次/次</w:t>
                  </w:r>
                </w:p>
              </w:tc>
              <w:tc>
                <w:tcPr>
                  <w:tcW w:w="388" w:type="pct"/>
                  <w:shd w:val="clear" w:color="auto" w:fill="auto"/>
                  <w:noWrap w:val="0"/>
                  <w:vAlign w:val="center"/>
                </w:tcPr>
                <w:p w14:paraId="077D92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达标情况</w:t>
                  </w:r>
                </w:p>
              </w:tc>
            </w:tr>
            <w:tr w14:paraId="42AAF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 w:type="pct"/>
                  <w:shd w:val="clear" w:color="auto" w:fill="auto"/>
                  <w:noWrap w:val="0"/>
                  <w:vAlign w:val="center"/>
                </w:tcPr>
                <w:p w14:paraId="3BF817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730" w:type="pct"/>
                  <w:shd w:val="clear" w:color="auto" w:fill="auto"/>
                  <w:noWrap w:val="0"/>
                  <w:vAlign w:val="center"/>
                </w:tcPr>
                <w:p w14:paraId="18A111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r>
                    <w:rPr>
                      <w:rFonts w:hint="default" w:ascii="Times New Roman" w:hAnsi="Times New Roman" w:eastAsia="宋体" w:cs="Times New Roman"/>
                      <w:i w:val="0"/>
                      <w:iCs w:val="0"/>
                      <w:color w:val="auto"/>
                      <w:kern w:val="0"/>
                      <w:sz w:val="21"/>
                      <w:szCs w:val="21"/>
                      <w:u w:val="none"/>
                      <w:lang w:val="en-US" w:eastAsia="zh-CN" w:bidi="ar"/>
                    </w:rPr>
                    <w:t>焊接、补锌烟尘</w:t>
                  </w:r>
                  <w:r>
                    <w:rPr>
                      <w:rFonts w:hint="eastAsia" w:ascii="Times New Roman" w:hAnsi="Times New Roman" w:eastAsia="宋体" w:cs="Times New Roman"/>
                      <w:color w:val="auto"/>
                      <w:sz w:val="21"/>
                      <w:szCs w:val="21"/>
                      <w:lang w:val="en-US" w:eastAsia="zh-CN"/>
                    </w:rPr>
                    <w:t>排放口</w:t>
                  </w:r>
                </w:p>
              </w:tc>
              <w:tc>
                <w:tcPr>
                  <w:tcW w:w="579" w:type="pct"/>
                  <w:shd w:val="clear" w:color="auto" w:fill="auto"/>
                  <w:noWrap w:val="0"/>
                  <w:vAlign w:val="center"/>
                </w:tcPr>
                <w:p w14:paraId="4D47C8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袋式除尘器（TA001）破损</w:t>
                  </w:r>
                </w:p>
              </w:tc>
              <w:tc>
                <w:tcPr>
                  <w:tcW w:w="432" w:type="pct"/>
                  <w:shd w:val="clear" w:color="auto" w:fill="auto"/>
                  <w:noWrap w:val="0"/>
                  <w:vAlign w:val="center"/>
                </w:tcPr>
                <w:p w14:paraId="565F65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颗粒物</w:t>
                  </w:r>
                </w:p>
              </w:tc>
              <w:tc>
                <w:tcPr>
                  <w:tcW w:w="684" w:type="pct"/>
                  <w:shd w:val="clear" w:color="auto" w:fill="auto"/>
                  <w:noWrap w:val="0"/>
                  <w:vAlign w:val="center"/>
                </w:tcPr>
                <w:p w14:paraId="05EA4E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w:t>
                  </w:r>
                  <w:r>
                    <w:rPr>
                      <w:rFonts w:hint="eastAsia" w:cs="Times New Roman"/>
                      <w:color w:val="auto"/>
                      <w:sz w:val="21"/>
                      <w:szCs w:val="21"/>
                      <w:lang w:val="en-US" w:eastAsia="zh-CN"/>
                    </w:rPr>
                    <w:t>4</w:t>
                  </w:r>
                </w:p>
              </w:tc>
              <w:tc>
                <w:tcPr>
                  <w:tcW w:w="769" w:type="pct"/>
                  <w:shd w:val="clear" w:color="auto" w:fill="auto"/>
                  <w:noWrap w:val="0"/>
                  <w:vAlign w:val="center"/>
                </w:tcPr>
                <w:p w14:paraId="07D181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3.256</w:t>
                  </w:r>
                </w:p>
              </w:tc>
              <w:tc>
                <w:tcPr>
                  <w:tcW w:w="598" w:type="pct"/>
                  <w:shd w:val="clear" w:color="auto" w:fill="auto"/>
                  <w:noWrap w:val="0"/>
                  <w:vAlign w:val="center"/>
                </w:tcPr>
                <w:p w14:paraId="4609B6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512" w:type="pct"/>
                  <w:shd w:val="clear" w:color="auto" w:fill="auto"/>
                  <w:noWrap w:val="0"/>
                  <w:vAlign w:val="center"/>
                </w:tcPr>
                <w:p w14:paraId="120CC1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388" w:type="pct"/>
                  <w:shd w:val="clear" w:color="auto" w:fill="auto"/>
                  <w:noWrap w:val="0"/>
                  <w:vAlign w:val="center"/>
                </w:tcPr>
                <w:p w14:paraId="42CF93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达标</w:t>
                  </w:r>
                </w:p>
              </w:tc>
            </w:tr>
            <w:tr w14:paraId="404E6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303" w:type="pct"/>
                  <w:shd w:val="clear" w:color="auto" w:fill="auto"/>
                  <w:noWrap w:val="0"/>
                  <w:vAlign w:val="center"/>
                </w:tcPr>
                <w:p w14:paraId="18C48B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w:t>
                  </w:r>
                </w:p>
              </w:tc>
              <w:tc>
                <w:tcPr>
                  <w:tcW w:w="1116" w:type="dxa"/>
                  <w:shd w:val="clear" w:color="auto" w:fill="auto"/>
                  <w:noWrap w:val="0"/>
                  <w:vAlign w:val="center"/>
                </w:tcPr>
                <w:p w14:paraId="4CF5CF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r>
                    <w:rPr>
                      <w:rFonts w:hint="default" w:ascii="Times New Roman" w:hAnsi="Times New Roman" w:eastAsia="宋体" w:cs="Times New Roman"/>
                      <w:i w:val="0"/>
                      <w:iCs w:val="0"/>
                      <w:color w:val="auto"/>
                      <w:kern w:val="0"/>
                      <w:sz w:val="21"/>
                      <w:szCs w:val="21"/>
                      <w:u w:val="none"/>
                      <w:lang w:val="en-US" w:eastAsia="zh-CN" w:bidi="ar"/>
                    </w:rPr>
                    <w:t>焊接、补锌烟尘</w:t>
                  </w:r>
                  <w:r>
                    <w:rPr>
                      <w:rFonts w:hint="eastAsia" w:ascii="Times New Roman" w:hAnsi="Times New Roman" w:eastAsia="宋体" w:cs="Times New Roman"/>
                      <w:color w:val="auto"/>
                      <w:sz w:val="21"/>
                      <w:szCs w:val="21"/>
                      <w:lang w:val="en-US" w:eastAsia="zh-CN"/>
                    </w:rPr>
                    <w:t>排放口</w:t>
                  </w:r>
                </w:p>
              </w:tc>
              <w:tc>
                <w:tcPr>
                  <w:tcW w:w="885" w:type="dxa"/>
                  <w:shd w:val="clear" w:color="auto" w:fill="auto"/>
                  <w:noWrap w:val="0"/>
                  <w:vAlign w:val="center"/>
                </w:tcPr>
                <w:p w14:paraId="6ED705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袋式除尘器</w:t>
                  </w:r>
                  <w:r>
                    <w:rPr>
                      <w:rFonts w:hint="eastAsia" w:cs="Times New Roman"/>
                      <w:i w:val="0"/>
                      <w:iCs w:val="0"/>
                      <w:color w:val="auto"/>
                      <w:kern w:val="0"/>
                      <w:sz w:val="21"/>
                      <w:szCs w:val="21"/>
                      <w:u w:val="none"/>
                      <w:lang w:val="en-US" w:eastAsia="zh-CN" w:bidi="ar"/>
                    </w:rPr>
                    <w:t>（TA002）</w:t>
                  </w:r>
                  <w:r>
                    <w:rPr>
                      <w:rFonts w:hint="default" w:ascii="Times New Roman" w:hAnsi="Times New Roman" w:eastAsia="宋体" w:cs="Times New Roman"/>
                      <w:color w:val="auto"/>
                      <w:sz w:val="21"/>
                      <w:szCs w:val="21"/>
                    </w:rPr>
                    <w:t>破损</w:t>
                  </w:r>
                </w:p>
              </w:tc>
              <w:tc>
                <w:tcPr>
                  <w:tcW w:w="661" w:type="dxa"/>
                  <w:shd w:val="clear" w:color="auto" w:fill="auto"/>
                  <w:noWrap w:val="0"/>
                  <w:vAlign w:val="center"/>
                </w:tcPr>
                <w:p w14:paraId="4CA83B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颗粒物</w:t>
                  </w:r>
                </w:p>
              </w:tc>
              <w:tc>
                <w:tcPr>
                  <w:tcW w:w="1045" w:type="dxa"/>
                  <w:shd w:val="clear" w:color="auto" w:fill="auto"/>
                  <w:noWrap w:val="0"/>
                  <w:vAlign w:val="center"/>
                </w:tcPr>
                <w:p w14:paraId="64F7E1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w:t>
                  </w:r>
                  <w:r>
                    <w:rPr>
                      <w:rFonts w:hint="eastAsia" w:cs="Times New Roman"/>
                      <w:color w:val="auto"/>
                      <w:sz w:val="21"/>
                      <w:szCs w:val="21"/>
                      <w:lang w:val="en-US" w:eastAsia="zh-CN"/>
                    </w:rPr>
                    <w:t>35</w:t>
                  </w:r>
                </w:p>
              </w:tc>
              <w:tc>
                <w:tcPr>
                  <w:tcW w:w="1175" w:type="dxa"/>
                  <w:shd w:val="clear" w:color="auto" w:fill="auto"/>
                  <w:noWrap w:val="0"/>
                  <w:vAlign w:val="center"/>
                </w:tcPr>
                <w:p w14:paraId="7D1787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2.889</w:t>
                  </w:r>
                </w:p>
              </w:tc>
              <w:tc>
                <w:tcPr>
                  <w:tcW w:w="914" w:type="dxa"/>
                  <w:shd w:val="clear" w:color="auto" w:fill="auto"/>
                  <w:noWrap w:val="0"/>
                  <w:vAlign w:val="center"/>
                </w:tcPr>
                <w:p w14:paraId="53DA1F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783" w:type="dxa"/>
                  <w:shd w:val="clear" w:color="auto" w:fill="auto"/>
                  <w:noWrap w:val="0"/>
                  <w:vAlign w:val="center"/>
                </w:tcPr>
                <w:p w14:paraId="2B9762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594" w:type="dxa"/>
                  <w:shd w:val="clear" w:color="auto" w:fill="auto"/>
                  <w:noWrap w:val="0"/>
                  <w:vAlign w:val="center"/>
                </w:tcPr>
                <w:p w14:paraId="4AC2DC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r>
          </w:tbl>
          <w:p w14:paraId="7DB43E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Cs/>
                <w:color w:val="auto"/>
                <w:sz w:val="24"/>
                <w:szCs w:val="24"/>
                <w:lang w:eastAsia="zh-CN"/>
              </w:rPr>
            </w:pPr>
            <w:r>
              <w:rPr>
                <w:rFonts w:hint="eastAsia" w:cs="Times New Roman"/>
                <w:bCs/>
                <w:color w:val="auto"/>
                <w:sz w:val="24"/>
                <w:szCs w:val="24"/>
                <w:lang w:eastAsia="zh-CN"/>
              </w:rPr>
              <w:t>由上表可知，项目废气非正常排放情况下，项目焊接、补锌烟尘排放浓度达标，但较</w:t>
            </w:r>
            <w:r>
              <w:rPr>
                <w:rFonts w:hint="eastAsia" w:cs="Times New Roman"/>
                <w:bCs/>
                <w:color w:val="auto"/>
                <w:sz w:val="24"/>
                <w:szCs w:val="24"/>
                <w:lang w:val="en-US" w:eastAsia="zh-CN"/>
              </w:rPr>
              <w:t>非</w:t>
            </w:r>
            <w:r>
              <w:rPr>
                <w:rFonts w:hint="eastAsia" w:cs="Times New Roman"/>
                <w:bCs/>
                <w:color w:val="auto"/>
                <w:sz w:val="24"/>
                <w:szCs w:val="24"/>
                <w:lang w:eastAsia="zh-CN"/>
              </w:rPr>
              <w:t>正常情况下排放量增加较大，建设单位</w:t>
            </w:r>
            <w:r>
              <w:rPr>
                <w:rFonts w:hint="eastAsia" w:cs="Times New Roman"/>
                <w:bCs/>
                <w:color w:val="auto"/>
                <w:sz w:val="24"/>
                <w:szCs w:val="24"/>
                <w:lang w:val="en-US" w:eastAsia="zh-CN"/>
              </w:rPr>
              <w:t>应</w:t>
            </w:r>
            <w:r>
              <w:rPr>
                <w:rFonts w:hint="eastAsia" w:cs="Times New Roman"/>
                <w:bCs/>
                <w:color w:val="auto"/>
                <w:sz w:val="24"/>
                <w:szCs w:val="24"/>
                <w:lang w:eastAsia="zh-CN"/>
              </w:rPr>
              <w:t>及时停止生产，对设备关停检修，杜绝废气非正常排放的发生，尽量控制对周围环境的影响。为避免非正常工况，应对废气处理设施进行日常检查及定期维护。</w:t>
            </w:r>
          </w:p>
          <w:p w14:paraId="0AC0D96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cs="Times New Roman"/>
                <w:b/>
                <w:bCs w:val="0"/>
                <w:color w:val="auto"/>
                <w:sz w:val="24"/>
                <w:szCs w:val="24"/>
                <w:lang w:val="en-US" w:eastAsia="zh-CN"/>
              </w:rPr>
            </w:pPr>
            <w:r>
              <w:rPr>
                <w:rFonts w:hint="eastAsia" w:cs="Times New Roman"/>
                <w:b/>
                <w:bCs w:val="0"/>
                <w:color w:val="auto"/>
                <w:sz w:val="24"/>
                <w:szCs w:val="24"/>
                <w:lang w:val="en-US" w:eastAsia="zh-CN"/>
              </w:rPr>
              <w:t>6、废气治理措施可行性分析</w:t>
            </w:r>
          </w:p>
          <w:p w14:paraId="29CC7B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Cs/>
                <w:color w:val="auto"/>
                <w:sz w:val="24"/>
                <w:szCs w:val="24"/>
                <w:lang w:eastAsia="zh-CN"/>
              </w:rPr>
            </w:pPr>
            <w:r>
              <w:rPr>
                <w:rFonts w:hint="eastAsia" w:cs="Times New Roman"/>
                <w:bCs/>
                <w:color w:val="auto"/>
                <w:sz w:val="24"/>
                <w:szCs w:val="24"/>
                <w:lang w:eastAsia="zh-CN"/>
              </w:rPr>
              <w:t>根据《排污许可申请与核发技术规范钢铁工业》（HJ846-2017）表6，有组织废气推荐可行技术为“袋式除尘（采用聚酯、聚丙烯、玻璃纤维、聚四氟乙烯针刺毡滤料，复合滤料，覆膜滤料）、电袋复合除尘”；无组织废气推荐可行技术为“各废气产生点配备有效的废气捕集装置，如局部密闭罩、整体密闭罩、大容积密闭罩。”本项目焊接产生的烟尘经通过</w:t>
            </w:r>
            <w:r>
              <w:rPr>
                <w:rFonts w:hint="eastAsia" w:cs="Times New Roman"/>
                <w:bCs/>
                <w:color w:val="auto"/>
                <w:sz w:val="24"/>
                <w:szCs w:val="24"/>
                <w:lang w:val="en-US" w:eastAsia="zh-CN"/>
              </w:rPr>
              <w:t>8</w:t>
            </w:r>
            <w:r>
              <w:rPr>
                <w:rFonts w:hint="eastAsia" w:cs="Times New Roman"/>
                <w:bCs/>
                <w:color w:val="auto"/>
                <w:sz w:val="24"/>
                <w:szCs w:val="24"/>
                <w:lang w:eastAsia="zh-CN"/>
              </w:rPr>
              <w:t>个集气罩收集后</w:t>
            </w:r>
            <w:r>
              <w:rPr>
                <w:rFonts w:hint="eastAsia" w:cs="Times New Roman"/>
                <w:bCs/>
                <w:color w:val="auto"/>
                <w:sz w:val="24"/>
                <w:szCs w:val="24"/>
                <w:lang w:val="en-US" w:eastAsia="zh-CN"/>
              </w:rPr>
              <w:t>分别</w:t>
            </w:r>
            <w:r>
              <w:rPr>
                <w:rFonts w:hint="eastAsia" w:cs="Times New Roman"/>
                <w:bCs/>
                <w:color w:val="auto"/>
                <w:sz w:val="24"/>
                <w:szCs w:val="24"/>
                <w:lang w:eastAsia="zh-CN"/>
              </w:rPr>
              <w:t>进入2套袋式除尘器处理后</w:t>
            </w:r>
            <w:r>
              <w:rPr>
                <w:rFonts w:hint="eastAsia" w:cs="Times New Roman"/>
                <w:bCs/>
                <w:color w:val="auto"/>
                <w:sz w:val="24"/>
                <w:szCs w:val="24"/>
                <w:lang w:val="en-US" w:eastAsia="zh-CN"/>
              </w:rPr>
              <w:t>分别由2根15m高排气筒（DA001、DA002）排放，</w:t>
            </w:r>
            <w:r>
              <w:rPr>
                <w:rFonts w:hint="eastAsia" w:cs="Times New Roman"/>
                <w:bCs/>
                <w:color w:val="auto"/>
                <w:sz w:val="24"/>
                <w:szCs w:val="24"/>
                <w:lang w:eastAsia="zh-CN"/>
              </w:rPr>
              <w:t>且</w:t>
            </w:r>
            <w:r>
              <w:rPr>
                <w:rFonts w:hint="eastAsia" w:cs="Times New Roman"/>
                <w:bCs/>
                <w:color w:val="auto"/>
                <w:sz w:val="24"/>
                <w:szCs w:val="24"/>
                <w:lang w:val="en-US" w:eastAsia="zh-CN"/>
              </w:rPr>
              <w:t>8</w:t>
            </w:r>
            <w:r>
              <w:rPr>
                <w:rFonts w:hint="eastAsia" w:cs="Times New Roman"/>
                <w:bCs/>
                <w:color w:val="auto"/>
                <w:sz w:val="24"/>
                <w:szCs w:val="24"/>
                <w:lang w:eastAsia="zh-CN"/>
              </w:rPr>
              <w:t>条生产线全部设置在封闭的</w:t>
            </w:r>
            <w:r>
              <w:rPr>
                <w:rFonts w:hint="eastAsia" w:cs="Times New Roman"/>
                <w:bCs/>
                <w:color w:val="auto"/>
                <w:sz w:val="24"/>
                <w:szCs w:val="24"/>
                <w:lang w:val="en-US" w:eastAsia="zh-CN"/>
              </w:rPr>
              <w:t>车间</w:t>
            </w:r>
            <w:r>
              <w:rPr>
                <w:rFonts w:hint="eastAsia" w:cs="Times New Roman"/>
                <w:bCs/>
                <w:color w:val="auto"/>
                <w:sz w:val="24"/>
                <w:szCs w:val="24"/>
                <w:lang w:eastAsia="zh-CN"/>
              </w:rPr>
              <w:t>内，对照《排污许可申请与核发技术规范钢铁工业》（HJ846-2017）表6，项目焊接采取的废气治理设施属于推荐可行技术，项目废气治理措施可行。</w:t>
            </w:r>
          </w:p>
          <w:p w14:paraId="11257C3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cs="Times New Roman"/>
                <w:b/>
                <w:bCs w:val="0"/>
                <w:color w:val="auto"/>
                <w:sz w:val="24"/>
                <w:szCs w:val="24"/>
                <w:lang w:val="en-US" w:eastAsia="zh-CN"/>
              </w:rPr>
            </w:pPr>
            <w:r>
              <w:rPr>
                <w:rFonts w:hint="eastAsia" w:cs="Times New Roman"/>
                <w:b/>
                <w:bCs w:val="0"/>
                <w:color w:val="auto"/>
                <w:sz w:val="24"/>
                <w:szCs w:val="24"/>
                <w:lang w:val="en-US" w:eastAsia="zh-CN"/>
              </w:rPr>
              <w:t>7、监测要求</w:t>
            </w:r>
          </w:p>
          <w:p w14:paraId="2548E2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Cs/>
                <w:color w:val="auto"/>
                <w:sz w:val="24"/>
                <w:szCs w:val="24"/>
                <w:lang w:eastAsia="zh-CN"/>
              </w:rPr>
            </w:pPr>
            <w:r>
              <w:rPr>
                <w:rFonts w:hint="eastAsia" w:cs="Times New Roman"/>
                <w:bCs/>
                <w:color w:val="auto"/>
                <w:sz w:val="24"/>
                <w:szCs w:val="24"/>
                <w:lang w:eastAsia="zh-CN"/>
              </w:rPr>
              <w:t>根据《排污单位自行监测技术指南总则》（HJ819-2017）并参考《排污单位自行监测技术指南钢铁工业及炼焦化学工业》（HJ878-2017），项目废气监测计划具体如下表。</w:t>
            </w:r>
          </w:p>
          <w:p w14:paraId="40C16E84">
            <w:pPr>
              <w:adjustRightInd w:val="0"/>
              <w:snapToGrid w:val="0"/>
              <w:spacing w:line="360" w:lineRule="auto"/>
              <w:ind w:firstLine="0" w:firstLineChars="0"/>
              <w:jc w:val="center"/>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表4-6  废气监测计划</w:t>
            </w:r>
          </w:p>
          <w:tbl>
            <w:tblPr>
              <w:tblStyle w:val="22"/>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704"/>
              <w:gridCol w:w="1866"/>
              <w:gridCol w:w="1000"/>
              <w:gridCol w:w="1095"/>
              <w:gridCol w:w="2362"/>
            </w:tblGrid>
            <w:tr w14:paraId="1ADCF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7" w:type="pct"/>
                  <w:tcBorders>
                    <w:tl2br w:val="nil"/>
                    <w:tr2bl w:val="nil"/>
                  </w:tcBorders>
                  <w:noWrap w:val="0"/>
                  <w:vAlign w:val="center"/>
                </w:tcPr>
                <w:p w14:paraId="0E43596F">
                  <w:pPr>
                    <w:pStyle w:val="30"/>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序号</w:t>
                  </w:r>
                </w:p>
              </w:tc>
              <w:tc>
                <w:tcPr>
                  <w:tcW w:w="460" w:type="pct"/>
                  <w:tcBorders>
                    <w:tl2br w:val="nil"/>
                    <w:tr2bl w:val="nil"/>
                  </w:tcBorders>
                  <w:noWrap w:val="0"/>
                  <w:vAlign w:val="center"/>
                </w:tcPr>
                <w:p w14:paraId="262D931A">
                  <w:pPr>
                    <w:pStyle w:val="30"/>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排放形式</w:t>
                  </w:r>
                </w:p>
              </w:tc>
              <w:tc>
                <w:tcPr>
                  <w:tcW w:w="1222" w:type="pct"/>
                  <w:tcBorders>
                    <w:tl2br w:val="nil"/>
                    <w:tr2bl w:val="nil"/>
                  </w:tcBorders>
                  <w:noWrap w:val="0"/>
                  <w:vAlign w:val="center"/>
                </w:tcPr>
                <w:p w14:paraId="28EC2543">
                  <w:pPr>
                    <w:pStyle w:val="30"/>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监测点位</w:t>
                  </w:r>
                </w:p>
              </w:tc>
              <w:tc>
                <w:tcPr>
                  <w:tcW w:w="655" w:type="pct"/>
                  <w:tcBorders>
                    <w:tl2br w:val="nil"/>
                    <w:tr2bl w:val="nil"/>
                  </w:tcBorders>
                  <w:noWrap w:val="0"/>
                  <w:vAlign w:val="center"/>
                </w:tcPr>
                <w:p w14:paraId="25940F95">
                  <w:pPr>
                    <w:pStyle w:val="30"/>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监测因子</w:t>
                  </w:r>
                </w:p>
              </w:tc>
              <w:tc>
                <w:tcPr>
                  <w:tcW w:w="717" w:type="pct"/>
                  <w:tcBorders>
                    <w:tl2br w:val="nil"/>
                    <w:tr2bl w:val="nil"/>
                  </w:tcBorders>
                  <w:noWrap w:val="0"/>
                  <w:vAlign w:val="center"/>
                </w:tcPr>
                <w:p w14:paraId="205B1B93">
                  <w:pPr>
                    <w:pStyle w:val="30"/>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color w:val="auto"/>
                      <w:sz w:val="21"/>
                      <w:szCs w:val="21"/>
                      <w:lang w:eastAsia="zh-CN"/>
                    </w:rPr>
                  </w:pPr>
                  <w:r>
                    <w:rPr>
                      <w:rFonts w:hint="default" w:ascii="Times New Roman" w:hAnsi="Times New Roman" w:cs="Times New Roman"/>
                      <w:b/>
                      <w:color w:val="auto"/>
                      <w:sz w:val="21"/>
                      <w:szCs w:val="21"/>
                      <w:lang w:eastAsia="zh-CN"/>
                    </w:rPr>
                    <w:t>监测频次</w:t>
                  </w:r>
                </w:p>
              </w:tc>
              <w:tc>
                <w:tcPr>
                  <w:tcW w:w="1547" w:type="pct"/>
                  <w:tcBorders>
                    <w:tl2br w:val="nil"/>
                    <w:tr2bl w:val="nil"/>
                  </w:tcBorders>
                  <w:noWrap w:val="0"/>
                  <w:vAlign w:val="center"/>
                </w:tcPr>
                <w:p w14:paraId="676612DE">
                  <w:pPr>
                    <w:pStyle w:val="30"/>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color w:val="auto"/>
                      <w:sz w:val="21"/>
                      <w:szCs w:val="21"/>
                      <w:lang w:eastAsia="zh-CN"/>
                    </w:rPr>
                  </w:pPr>
                  <w:r>
                    <w:rPr>
                      <w:rFonts w:hint="default" w:ascii="Times New Roman" w:hAnsi="Times New Roman" w:cs="Times New Roman"/>
                      <w:b/>
                      <w:color w:val="auto"/>
                      <w:sz w:val="21"/>
                      <w:szCs w:val="21"/>
                      <w:lang w:eastAsia="zh-CN"/>
                    </w:rPr>
                    <w:t>执行标准</w:t>
                  </w:r>
                </w:p>
              </w:tc>
            </w:tr>
            <w:tr w14:paraId="13414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7" w:type="pct"/>
                  <w:tcBorders>
                    <w:tl2br w:val="nil"/>
                    <w:tr2bl w:val="nil"/>
                  </w:tcBorders>
                  <w:noWrap w:val="0"/>
                  <w:vAlign w:val="center"/>
                </w:tcPr>
                <w:p w14:paraId="4F9034D5">
                  <w:pPr>
                    <w:pStyle w:val="30"/>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Cs/>
                      <w:color w:val="auto"/>
                      <w:sz w:val="21"/>
                      <w:szCs w:val="21"/>
                      <w:lang w:eastAsia="zh-CN"/>
                    </w:rPr>
                  </w:pPr>
                  <w:r>
                    <w:rPr>
                      <w:rFonts w:hint="default" w:ascii="Times New Roman" w:hAnsi="Times New Roman" w:cs="Times New Roman"/>
                      <w:bCs/>
                      <w:color w:val="auto"/>
                      <w:sz w:val="21"/>
                      <w:szCs w:val="21"/>
                      <w:lang w:val="en-US" w:eastAsia="zh-CN"/>
                    </w:rPr>
                    <w:t>1</w:t>
                  </w:r>
                </w:p>
              </w:tc>
              <w:tc>
                <w:tcPr>
                  <w:tcW w:w="460" w:type="pct"/>
                  <w:tcBorders>
                    <w:tl2br w:val="nil"/>
                    <w:tr2bl w:val="nil"/>
                  </w:tcBorders>
                  <w:noWrap w:val="0"/>
                  <w:vAlign w:val="center"/>
                </w:tcPr>
                <w:p w14:paraId="46A3A49B">
                  <w:pPr>
                    <w:pStyle w:val="30"/>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Cs/>
                      <w:color w:val="auto"/>
                      <w:sz w:val="21"/>
                      <w:szCs w:val="21"/>
                      <w:lang w:eastAsia="zh-CN"/>
                    </w:rPr>
                  </w:pPr>
                  <w:r>
                    <w:rPr>
                      <w:rFonts w:hint="default" w:ascii="Times New Roman" w:hAnsi="Times New Roman" w:cs="Times New Roman"/>
                      <w:bCs/>
                      <w:color w:val="auto"/>
                      <w:sz w:val="21"/>
                      <w:szCs w:val="21"/>
                      <w:lang w:eastAsia="zh-CN"/>
                    </w:rPr>
                    <w:t>有组织</w:t>
                  </w:r>
                </w:p>
              </w:tc>
              <w:tc>
                <w:tcPr>
                  <w:tcW w:w="1222" w:type="pct"/>
                  <w:tcBorders>
                    <w:tl2br w:val="nil"/>
                    <w:tr2bl w:val="nil"/>
                  </w:tcBorders>
                  <w:noWrap w:val="0"/>
                  <w:vAlign w:val="center"/>
                </w:tcPr>
                <w:p w14:paraId="3D4F8B8F">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1#焊接、补锌烟尘</w:t>
                  </w:r>
                  <w:r>
                    <w:rPr>
                      <w:rFonts w:hint="default" w:ascii="Times New Roman" w:hAnsi="Times New Roman" w:cs="Times New Roman"/>
                      <w:b w:val="0"/>
                      <w:bCs w:val="0"/>
                      <w:color w:val="auto"/>
                      <w:sz w:val="21"/>
                      <w:szCs w:val="21"/>
                      <w:highlight w:val="none"/>
                      <w:vertAlign w:val="baseline"/>
                      <w:lang w:val="en-US" w:eastAsia="zh-CN"/>
                    </w:rPr>
                    <w:t>排放口</w:t>
                  </w:r>
                  <w:r>
                    <w:rPr>
                      <w:rFonts w:hint="eastAsia" w:ascii="Times New Roman" w:hAnsi="Times New Roman" w:cs="Times New Roman"/>
                      <w:b w:val="0"/>
                      <w:bCs w:val="0"/>
                      <w:color w:val="auto"/>
                      <w:sz w:val="21"/>
                      <w:szCs w:val="21"/>
                      <w:highlight w:val="none"/>
                      <w:vertAlign w:val="baseline"/>
                      <w:lang w:val="en-US" w:eastAsia="zh-CN"/>
                    </w:rPr>
                    <w:t>（排放口编号：DA001）</w:t>
                  </w:r>
                </w:p>
              </w:tc>
              <w:tc>
                <w:tcPr>
                  <w:tcW w:w="655" w:type="pct"/>
                  <w:tcBorders>
                    <w:tl2br w:val="nil"/>
                    <w:tr2bl w:val="nil"/>
                  </w:tcBorders>
                  <w:noWrap w:val="0"/>
                  <w:vAlign w:val="center"/>
                </w:tcPr>
                <w:p w14:paraId="42612C5B">
                  <w:pPr>
                    <w:pStyle w:val="30"/>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颗粒物</w:t>
                  </w:r>
                </w:p>
              </w:tc>
              <w:tc>
                <w:tcPr>
                  <w:tcW w:w="717" w:type="pct"/>
                  <w:tcBorders>
                    <w:tl2br w:val="nil"/>
                    <w:tr2bl w:val="nil"/>
                  </w:tcBorders>
                  <w:noWrap w:val="0"/>
                  <w:vAlign w:val="center"/>
                </w:tcPr>
                <w:p w14:paraId="641E282C">
                  <w:pPr>
                    <w:pStyle w:val="30"/>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1</w:t>
                  </w:r>
                  <w:r>
                    <w:rPr>
                      <w:rFonts w:hint="default" w:ascii="Times New Roman" w:hAnsi="Times New Roman" w:cs="Times New Roman"/>
                      <w:bCs/>
                      <w:color w:val="auto"/>
                      <w:sz w:val="21"/>
                      <w:szCs w:val="21"/>
                      <w:highlight w:val="none"/>
                    </w:rPr>
                    <w:t>次/</w:t>
                  </w:r>
                  <w:r>
                    <w:rPr>
                      <w:rFonts w:hint="eastAsia" w:ascii="Times New Roman" w:hAnsi="Times New Roman" w:cs="Times New Roman"/>
                      <w:bCs/>
                      <w:color w:val="auto"/>
                      <w:sz w:val="21"/>
                      <w:szCs w:val="21"/>
                      <w:highlight w:val="none"/>
                      <w:lang w:val="en-US" w:eastAsia="zh-CN"/>
                    </w:rPr>
                    <w:t>半年</w:t>
                  </w:r>
                </w:p>
              </w:tc>
              <w:tc>
                <w:tcPr>
                  <w:tcW w:w="1547" w:type="pct"/>
                  <w:vMerge w:val="restart"/>
                  <w:tcBorders>
                    <w:tl2br w:val="nil"/>
                    <w:tr2bl w:val="nil"/>
                  </w:tcBorders>
                  <w:noWrap w:val="0"/>
                  <w:vAlign w:val="center"/>
                </w:tcPr>
                <w:p w14:paraId="084A387F">
                  <w:pPr>
                    <w:pStyle w:val="30"/>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《大气污染物综合排放标准》（GB16297-1996）表2二级标准</w:t>
                  </w:r>
                </w:p>
              </w:tc>
            </w:tr>
            <w:tr w14:paraId="1342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7" w:type="pct"/>
                  <w:tcBorders>
                    <w:tl2br w:val="nil"/>
                    <w:tr2bl w:val="nil"/>
                  </w:tcBorders>
                  <w:noWrap w:val="0"/>
                  <w:vAlign w:val="center"/>
                </w:tcPr>
                <w:p w14:paraId="2AE46CF0">
                  <w:pPr>
                    <w:pStyle w:val="30"/>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2</w:t>
                  </w:r>
                </w:p>
              </w:tc>
              <w:tc>
                <w:tcPr>
                  <w:tcW w:w="460" w:type="pct"/>
                  <w:tcBorders>
                    <w:tl2br w:val="nil"/>
                    <w:tr2bl w:val="nil"/>
                  </w:tcBorders>
                  <w:noWrap w:val="0"/>
                  <w:vAlign w:val="center"/>
                </w:tcPr>
                <w:p w14:paraId="0E336D27">
                  <w:pPr>
                    <w:pStyle w:val="30"/>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lang w:eastAsia="zh-CN"/>
                    </w:rPr>
                  </w:pPr>
                  <w:r>
                    <w:rPr>
                      <w:rFonts w:hint="default" w:ascii="Times New Roman" w:hAnsi="Times New Roman" w:cs="Times New Roman"/>
                      <w:bCs/>
                      <w:color w:val="auto"/>
                      <w:sz w:val="21"/>
                      <w:szCs w:val="21"/>
                      <w:lang w:eastAsia="zh-CN"/>
                    </w:rPr>
                    <w:t>有组织</w:t>
                  </w:r>
                </w:p>
              </w:tc>
              <w:tc>
                <w:tcPr>
                  <w:tcW w:w="1222" w:type="pct"/>
                  <w:tcBorders>
                    <w:tl2br w:val="nil"/>
                    <w:tr2bl w:val="nil"/>
                  </w:tcBorders>
                  <w:noWrap w:val="0"/>
                  <w:vAlign w:val="center"/>
                </w:tcPr>
                <w:p w14:paraId="16C79EB5">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2#</w:t>
                  </w:r>
                  <w:r>
                    <w:rPr>
                      <w:rFonts w:hint="default" w:ascii="Times New Roman" w:hAnsi="Times New Roman" w:eastAsia="宋体" w:cs="Times New Roman"/>
                      <w:i w:val="0"/>
                      <w:iCs w:val="0"/>
                      <w:color w:val="auto"/>
                      <w:kern w:val="0"/>
                      <w:sz w:val="21"/>
                      <w:szCs w:val="21"/>
                      <w:u w:val="none"/>
                      <w:lang w:val="en-US" w:eastAsia="zh-CN" w:bidi="ar"/>
                    </w:rPr>
                    <w:t>焊接、补锌烟尘</w:t>
                  </w:r>
                  <w:r>
                    <w:rPr>
                      <w:rFonts w:hint="default" w:ascii="Times New Roman" w:hAnsi="Times New Roman" w:cs="Times New Roman"/>
                      <w:b w:val="0"/>
                      <w:bCs w:val="0"/>
                      <w:color w:val="auto"/>
                      <w:sz w:val="21"/>
                      <w:szCs w:val="21"/>
                      <w:highlight w:val="none"/>
                      <w:vertAlign w:val="baseline"/>
                      <w:lang w:val="en-US" w:eastAsia="zh-CN"/>
                    </w:rPr>
                    <w:t>排放口</w:t>
                  </w:r>
                  <w:r>
                    <w:rPr>
                      <w:rFonts w:hint="eastAsia" w:ascii="Times New Roman" w:hAnsi="Times New Roman" w:cs="Times New Roman"/>
                      <w:b w:val="0"/>
                      <w:bCs w:val="0"/>
                      <w:color w:val="auto"/>
                      <w:sz w:val="21"/>
                      <w:szCs w:val="21"/>
                      <w:highlight w:val="none"/>
                      <w:vertAlign w:val="baseline"/>
                      <w:lang w:val="en-US" w:eastAsia="zh-CN"/>
                    </w:rPr>
                    <w:t>排放口编号：DA002）</w:t>
                  </w:r>
                </w:p>
              </w:tc>
              <w:tc>
                <w:tcPr>
                  <w:tcW w:w="655" w:type="pct"/>
                  <w:tcBorders>
                    <w:tl2br w:val="nil"/>
                    <w:tr2bl w:val="nil"/>
                  </w:tcBorders>
                  <w:noWrap w:val="0"/>
                  <w:vAlign w:val="center"/>
                </w:tcPr>
                <w:p w14:paraId="4E8D2C9E">
                  <w:pPr>
                    <w:pStyle w:val="30"/>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颗粒物</w:t>
                  </w:r>
                </w:p>
              </w:tc>
              <w:tc>
                <w:tcPr>
                  <w:tcW w:w="717" w:type="pct"/>
                  <w:tcBorders>
                    <w:tl2br w:val="nil"/>
                    <w:tr2bl w:val="nil"/>
                  </w:tcBorders>
                  <w:noWrap w:val="0"/>
                  <w:vAlign w:val="center"/>
                </w:tcPr>
                <w:p w14:paraId="463D1718">
                  <w:pPr>
                    <w:pStyle w:val="30"/>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1</w:t>
                  </w:r>
                  <w:r>
                    <w:rPr>
                      <w:rFonts w:hint="default" w:ascii="Times New Roman" w:hAnsi="Times New Roman" w:cs="Times New Roman"/>
                      <w:bCs/>
                      <w:color w:val="auto"/>
                      <w:sz w:val="21"/>
                      <w:szCs w:val="21"/>
                      <w:highlight w:val="none"/>
                    </w:rPr>
                    <w:t>次/</w:t>
                  </w:r>
                  <w:r>
                    <w:rPr>
                      <w:rFonts w:hint="eastAsia" w:ascii="Times New Roman" w:hAnsi="Times New Roman" w:cs="Times New Roman"/>
                      <w:bCs/>
                      <w:color w:val="auto"/>
                      <w:sz w:val="21"/>
                      <w:szCs w:val="21"/>
                      <w:highlight w:val="none"/>
                      <w:lang w:val="en-US" w:eastAsia="zh-CN"/>
                    </w:rPr>
                    <w:t>半年</w:t>
                  </w:r>
                </w:p>
              </w:tc>
              <w:tc>
                <w:tcPr>
                  <w:tcW w:w="1547" w:type="pct"/>
                  <w:vMerge w:val="continue"/>
                  <w:tcBorders>
                    <w:tl2br w:val="nil"/>
                    <w:tr2bl w:val="nil"/>
                  </w:tcBorders>
                  <w:noWrap w:val="0"/>
                  <w:vAlign w:val="center"/>
                </w:tcPr>
                <w:p w14:paraId="3498A2A4">
                  <w:pPr>
                    <w:pStyle w:val="30"/>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highlight w:val="none"/>
                    </w:rPr>
                  </w:pPr>
                </w:p>
              </w:tc>
            </w:tr>
            <w:tr w14:paraId="1B586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7" w:type="pct"/>
                  <w:tcBorders>
                    <w:tl2br w:val="nil"/>
                    <w:tr2bl w:val="nil"/>
                  </w:tcBorders>
                  <w:noWrap w:val="0"/>
                  <w:vAlign w:val="center"/>
                </w:tcPr>
                <w:p w14:paraId="689A5ADC">
                  <w:pPr>
                    <w:pStyle w:val="30"/>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3</w:t>
                  </w:r>
                </w:p>
              </w:tc>
              <w:tc>
                <w:tcPr>
                  <w:tcW w:w="460" w:type="pct"/>
                  <w:tcBorders>
                    <w:tl2br w:val="nil"/>
                    <w:tr2bl w:val="nil"/>
                  </w:tcBorders>
                  <w:noWrap w:val="0"/>
                  <w:vAlign w:val="center"/>
                </w:tcPr>
                <w:p w14:paraId="3962171C">
                  <w:pPr>
                    <w:pStyle w:val="30"/>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无组织</w:t>
                  </w:r>
                </w:p>
              </w:tc>
              <w:tc>
                <w:tcPr>
                  <w:tcW w:w="1222" w:type="pct"/>
                  <w:tcBorders>
                    <w:tl2br w:val="nil"/>
                    <w:tr2bl w:val="nil"/>
                  </w:tcBorders>
                  <w:noWrap w:val="0"/>
                  <w:vAlign w:val="center"/>
                </w:tcPr>
                <w:p w14:paraId="4C2BBB3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cs="Times New Roman"/>
                      <w:bCs/>
                      <w:color w:val="auto"/>
                      <w:kern w:val="2"/>
                      <w:sz w:val="21"/>
                      <w:szCs w:val="21"/>
                      <w:lang w:val="en-US" w:eastAsia="zh-CN" w:bidi="ar-SA"/>
                    </w:rPr>
                  </w:pPr>
                  <w:r>
                    <w:rPr>
                      <w:rFonts w:hint="default" w:ascii="Times New Roman" w:hAnsi="Times New Roman" w:eastAsia="宋体" w:cs="Times New Roman"/>
                      <w:b w:val="0"/>
                      <w:bCs/>
                      <w:color w:val="auto"/>
                      <w:sz w:val="21"/>
                      <w:szCs w:val="21"/>
                      <w:highlight w:val="none"/>
                      <w:vertAlign w:val="baseline"/>
                      <w:lang w:val="en-US" w:eastAsia="zh-CN"/>
                    </w:rPr>
                    <w:t>厂界上</w:t>
                  </w:r>
                  <w:r>
                    <w:rPr>
                      <w:rFonts w:hint="default" w:ascii="Times New Roman" w:hAnsi="Times New Roman" w:eastAsia="宋体" w:cs="Times New Roman"/>
                      <w:b w:val="0"/>
                      <w:bCs/>
                      <w:color w:val="auto"/>
                      <w:sz w:val="21"/>
                      <w:szCs w:val="21"/>
                      <w:vertAlign w:val="baseline"/>
                      <w:lang w:val="en-US" w:eastAsia="zh-CN"/>
                    </w:rPr>
                    <w:t>方向2-50m范围内1个，下方向10m范围内3个</w:t>
                  </w:r>
                </w:p>
              </w:tc>
              <w:tc>
                <w:tcPr>
                  <w:tcW w:w="655" w:type="pct"/>
                  <w:tcBorders>
                    <w:tl2br w:val="nil"/>
                    <w:tr2bl w:val="nil"/>
                  </w:tcBorders>
                  <w:noWrap w:val="0"/>
                  <w:vAlign w:val="center"/>
                </w:tcPr>
                <w:p w14:paraId="6A7F094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cs="Times New Roman"/>
                      <w:bCs/>
                      <w:color w:val="auto"/>
                      <w:kern w:val="2"/>
                      <w:sz w:val="21"/>
                      <w:szCs w:val="21"/>
                      <w:lang w:val="en-US" w:eastAsia="zh-CN" w:bidi="ar-SA"/>
                    </w:rPr>
                  </w:pPr>
                  <w:r>
                    <w:rPr>
                      <w:rFonts w:hint="default" w:ascii="Times New Roman" w:hAnsi="Times New Roman" w:cs="Times New Roman"/>
                      <w:bCs/>
                      <w:color w:val="auto"/>
                      <w:kern w:val="2"/>
                      <w:sz w:val="21"/>
                      <w:szCs w:val="21"/>
                      <w:lang w:val="en-US" w:eastAsia="zh-CN" w:bidi="ar-SA"/>
                    </w:rPr>
                    <w:t>颗粒物</w:t>
                  </w:r>
                </w:p>
              </w:tc>
              <w:tc>
                <w:tcPr>
                  <w:tcW w:w="717" w:type="pct"/>
                  <w:tcBorders>
                    <w:tl2br w:val="nil"/>
                    <w:tr2bl w:val="nil"/>
                  </w:tcBorders>
                  <w:noWrap w:val="0"/>
                  <w:vAlign w:val="center"/>
                </w:tcPr>
                <w:p w14:paraId="50B7CD6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1次/</w:t>
                  </w:r>
                  <w:r>
                    <w:rPr>
                      <w:rFonts w:hint="eastAsia" w:ascii="Times New Roman" w:hAnsi="Times New Roman" w:eastAsia="宋体" w:cs="Times New Roman"/>
                      <w:bCs/>
                      <w:color w:val="auto"/>
                      <w:kern w:val="2"/>
                      <w:sz w:val="21"/>
                      <w:szCs w:val="21"/>
                      <w:highlight w:val="none"/>
                      <w:lang w:val="en-US" w:eastAsia="zh-CN" w:bidi="ar-SA"/>
                    </w:rPr>
                    <w:t>年</w:t>
                  </w:r>
                </w:p>
              </w:tc>
              <w:tc>
                <w:tcPr>
                  <w:tcW w:w="1547" w:type="pct"/>
                  <w:vMerge w:val="continue"/>
                  <w:tcBorders>
                    <w:tl2br w:val="nil"/>
                    <w:tr2bl w:val="nil"/>
                  </w:tcBorders>
                  <w:noWrap w:val="0"/>
                  <w:vAlign w:val="center"/>
                </w:tcPr>
                <w:p w14:paraId="160052E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cs="Times New Roman"/>
                      <w:bCs/>
                      <w:color w:val="auto"/>
                      <w:sz w:val="21"/>
                      <w:szCs w:val="21"/>
                      <w:highlight w:val="none"/>
                    </w:rPr>
                  </w:pPr>
                </w:p>
              </w:tc>
            </w:tr>
          </w:tbl>
          <w:p w14:paraId="4253A4C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cs="Times New Roman"/>
                <w:b/>
                <w:bCs w:val="0"/>
                <w:color w:val="auto"/>
                <w:sz w:val="24"/>
                <w:szCs w:val="24"/>
                <w:lang w:val="en-US" w:eastAsia="zh-CN"/>
              </w:rPr>
            </w:pPr>
            <w:r>
              <w:rPr>
                <w:rFonts w:hint="eastAsia" w:cs="Times New Roman"/>
                <w:b/>
                <w:bCs w:val="0"/>
                <w:color w:val="auto"/>
                <w:sz w:val="24"/>
                <w:szCs w:val="24"/>
                <w:lang w:val="en-US" w:eastAsia="zh-CN"/>
              </w:rPr>
              <w:t>8、项目环境空气影响分析结论</w:t>
            </w:r>
          </w:p>
          <w:p w14:paraId="088319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Cs/>
                <w:color w:val="auto"/>
                <w:sz w:val="24"/>
                <w:szCs w:val="24"/>
                <w:lang w:val="en-US" w:eastAsia="zh-CN"/>
              </w:rPr>
            </w:pPr>
            <w:r>
              <w:rPr>
                <w:rFonts w:hint="eastAsia" w:cs="Times New Roman"/>
                <w:bCs/>
                <w:color w:val="auto"/>
                <w:sz w:val="24"/>
                <w:szCs w:val="24"/>
                <w:lang w:eastAsia="zh-CN"/>
              </w:rPr>
              <w:t>项目位于玉溪市通海县纳古镇，区域环境空气为《环境空气质量标准》（GB3095-20</w:t>
            </w:r>
            <w:r>
              <w:rPr>
                <w:rFonts w:hint="eastAsia" w:cs="Times New Roman"/>
                <w:bCs/>
                <w:color w:val="auto"/>
                <w:sz w:val="24"/>
                <w:szCs w:val="24"/>
                <w:lang w:val="en-US" w:eastAsia="zh-CN"/>
              </w:rPr>
              <w:t>26</w:t>
            </w:r>
            <w:r>
              <w:rPr>
                <w:rFonts w:hint="eastAsia" w:cs="Times New Roman"/>
                <w:bCs/>
                <w:color w:val="auto"/>
                <w:sz w:val="24"/>
                <w:szCs w:val="24"/>
                <w:lang w:eastAsia="zh-CN"/>
              </w:rPr>
              <w:t>）中的二类区。根据202</w:t>
            </w:r>
            <w:r>
              <w:rPr>
                <w:rFonts w:hint="eastAsia" w:cs="Times New Roman"/>
                <w:bCs/>
                <w:color w:val="auto"/>
                <w:sz w:val="24"/>
                <w:szCs w:val="24"/>
                <w:lang w:val="en-US" w:eastAsia="zh-CN"/>
              </w:rPr>
              <w:t>4</w:t>
            </w:r>
            <w:r>
              <w:rPr>
                <w:rFonts w:hint="eastAsia" w:cs="Times New Roman"/>
                <w:bCs/>
                <w:color w:val="auto"/>
                <w:sz w:val="24"/>
                <w:szCs w:val="24"/>
                <w:lang w:eastAsia="zh-CN"/>
              </w:rPr>
              <w:t>年通海县环境监测站的环境空气质量指数（AQI）有效监测数据进行环境质量现状调查与评价，基本污染物环境质量现状监测SO</w:t>
            </w:r>
            <w:r>
              <w:rPr>
                <w:rFonts w:hint="eastAsia" w:cs="Times New Roman"/>
                <w:bCs/>
                <w:color w:val="auto"/>
                <w:sz w:val="24"/>
                <w:szCs w:val="24"/>
                <w:vertAlign w:val="subscript"/>
                <w:lang w:eastAsia="zh-CN"/>
              </w:rPr>
              <w:t>2</w:t>
            </w:r>
            <w:r>
              <w:rPr>
                <w:rFonts w:hint="eastAsia" w:cs="Times New Roman"/>
                <w:bCs/>
                <w:color w:val="auto"/>
                <w:sz w:val="24"/>
                <w:szCs w:val="24"/>
                <w:lang w:eastAsia="zh-CN"/>
              </w:rPr>
              <w:t>、NO</w:t>
            </w:r>
            <w:r>
              <w:rPr>
                <w:rFonts w:hint="eastAsia" w:cs="Times New Roman"/>
                <w:bCs/>
                <w:color w:val="auto"/>
                <w:sz w:val="24"/>
                <w:szCs w:val="24"/>
                <w:vertAlign w:val="subscript"/>
                <w:lang w:eastAsia="zh-CN"/>
              </w:rPr>
              <w:t>2</w:t>
            </w:r>
            <w:r>
              <w:rPr>
                <w:rFonts w:hint="eastAsia" w:cs="Times New Roman"/>
                <w:bCs/>
                <w:color w:val="auto"/>
                <w:sz w:val="24"/>
                <w:szCs w:val="24"/>
                <w:lang w:eastAsia="zh-CN"/>
              </w:rPr>
              <w:t>、PM</w:t>
            </w:r>
            <w:r>
              <w:rPr>
                <w:rFonts w:hint="eastAsia" w:cs="Times New Roman"/>
                <w:bCs/>
                <w:color w:val="auto"/>
                <w:sz w:val="24"/>
                <w:szCs w:val="24"/>
                <w:vertAlign w:val="subscript"/>
                <w:lang w:eastAsia="zh-CN"/>
              </w:rPr>
              <w:t>10</w:t>
            </w:r>
            <w:r>
              <w:rPr>
                <w:rFonts w:hint="eastAsia" w:cs="Times New Roman"/>
                <w:bCs/>
                <w:color w:val="auto"/>
                <w:sz w:val="24"/>
                <w:szCs w:val="24"/>
                <w:lang w:eastAsia="zh-CN"/>
              </w:rPr>
              <w:t>、PM</w:t>
            </w:r>
            <w:r>
              <w:rPr>
                <w:rFonts w:hint="eastAsia" w:cs="Times New Roman"/>
                <w:bCs/>
                <w:color w:val="auto"/>
                <w:sz w:val="24"/>
                <w:szCs w:val="24"/>
                <w:vertAlign w:val="subscript"/>
                <w:lang w:eastAsia="zh-CN"/>
              </w:rPr>
              <w:t>2.5</w:t>
            </w:r>
            <w:r>
              <w:rPr>
                <w:rFonts w:hint="eastAsia" w:cs="Times New Roman"/>
                <w:bCs/>
                <w:color w:val="auto"/>
                <w:sz w:val="24"/>
                <w:szCs w:val="24"/>
                <w:lang w:eastAsia="zh-CN"/>
              </w:rPr>
              <w:t>、O</w:t>
            </w:r>
            <w:r>
              <w:rPr>
                <w:rFonts w:hint="eastAsia" w:cs="Times New Roman"/>
                <w:bCs/>
                <w:color w:val="auto"/>
                <w:sz w:val="24"/>
                <w:szCs w:val="24"/>
                <w:vertAlign w:val="subscript"/>
                <w:lang w:eastAsia="zh-CN"/>
              </w:rPr>
              <w:t>3</w:t>
            </w:r>
            <w:r>
              <w:rPr>
                <w:rFonts w:hint="eastAsia" w:cs="Times New Roman"/>
                <w:bCs/>
                <w:color w:val="auto"/>
                <w:sz w:val="24"/>
                <w:szCs w:val="24"/>
                <w:lang w:eastAsia="zh-CN"/>
              </w:rPr>
              <w:t>、CO六项污染物均满足《环境空气质量标准》（GB3095</w:t>
            </w:r>
            <w:r>
              <w:rPr>
                <w:rFonts w:hint="eastAsia" w:cs="Times New Roman"/>
                <w:bCs/>
                <w:color w:val="auto"/>
                <w:sz w:val="24"/>
                <w:szCs w:val="24"/>
                <w:lang w:val="en-US" w:eastAsia="zh-CN"/>
              </w:rPr>
              <w:t>-</w:t>
            </w:r>
            <w:r>
              <w:rPr>
                <w:rFonts w:hint="eastAsia" w:cs="Times New Roman"/>
                <w:bCs/>
                <w:color w:val="auto"/>
                <w:sz w:val="24"/>
                <w:szCs w:val="24"/>
                <w:lang w:eastAsia="zh-CN"/>
              </w:rPr>
              <w:t>20</w:t>
            </w:r>
            <w:r>
              <w:rPr>
                <w:rFonts w:hint="eastAsia" w:cs="Times New Roman"/>
                <w:bCs/>
                <w:color w:val="auto"/>
                <w:sz w:val="24"/>
                <w:szCs w:val="24"/>
                <w:lang w:val="en-US" w:eastAsia="zh-CN"/>
              </w:rPr>
              <w:t>26</w:t>
            </w:r>
            <w:r>
              <w:rPr>
                <w:rFonts w:hint="eastAsia" w:cs="Times New Roman"/>
                <w:bCs/>
                <w:color w:val="auto"/>
                <w:sz w:val="24"/>
                <w:szCs w:val="24"/>
                <w:lang w:eastAsia="zh-CN"/>
              </w:rPr>
              <w:t>）过渡阶段二级标准要求，项目所在区域属于环境空气质量达标区。</w:t>
            </w:r>
            <w:r>
              <w:rPr>
                <w:rFonts w:hint="eastAsia" w:cs="Times New Roman"/>
                <w:bCs/>
                <w:color w:val="auto"/>
                <w:sz w:val="24"/>
                <w:szCs w:val="24"/>
                <w:lang w:val="en-US" w:eastAsia="zh-CN"/>
              </w:rPr>
              <w:t>项目厂界500m范围内无环境保护目标，项目焊接、补锌烟尘经8个集气罩收集后进入2套袋式除尘器处理后分别经2根15m高排气筒（DA001、DA002）排放，满足《大气污染物综合排放标准》（GB16297-1996）表2标准（颗粒物≤120mg/m</w:t>
            </w:r>
            <w:r>
              <w:rPr>
                <w:rFonts w:hint="eastAsia" w:cs="Times New Roman"/>
                <w:bCs/>
                <w:color w:val="auto"/>
                <w:sz w:val="24"/>
                <w:szCs w:val="24"/>
                <w:vertAlign w:val="superscript"/>
                <w:lang w:val="en-US" w:eastAsia="zh-CN"/>
              </w:rPr>
              <w:t>3</w:t>
            </w:r>
            <w:r>
              <w:rPr>
                <w:rFonts w:hint="eastAsia" w:cs="Times New Roman"/>
                <w:bCs/>
                <w:color w:val="auto"/>
                <w:sz w:val="24"/>
                <w:szCs w:val="24"/>
                <w:lang w:val="en-US" w:eastAsia="zh-CN"/>
              </w:rPr>
              <w:t>，排放速率5.9kg/h），且8条生产线全部设置在封闭的车间内，切割废气产生量较少无组织排放到车间内，项目无组织排放的颗粒物排放浓度满足《大气污染物综合排放标准》（GB16297-1996）表2标准中企业周边大气污染物颗粒物排放浓度限值。</w:t>
            </w:r>
          </w:p>
          <w:p w14:paraId="07E91CA6">
            <w:pPr>
              <w:pStyle w:val="2"/>
              <w:rPr>
                <w:rFonts w:hint="eastAsia" w:cs="Times New Roman"/>
                <w:bCs/>
                <w:color w:val="auto"/>
                <w:sz w:val="24"/>
                <w:szCs w:val="24"/>
                <w:lang w:val="en-US" w:eastAsia="zh-CN"/>
              </w:rPr>
            </w:pPr>
          </w:p>
          <w:p w14:paraId="7490CE64">
            <w:pPr>
              <w:rPr>
                <w:rFonts w:hint="eastAsia" w:cs="Times New Roman"/>
                <w:bCs/>
                <w:color w:val="auto"/>
                <w:sz w:val="24"/>
                <w:szCs w:val="24"/>
                <w:lang w:val="en-US" w:eastAsia="zh-CN"/>
              </w:rPr>
            </w:pPr>
          </w:p>
          <w:p w14:paraId="3EBA742C">
            <w:pPr>
              <w:pStyle w:val="2"/>
              <w:rPr>
                <w:rFonts w:hint="eastAsia" w:cs="Times New Roman"/>
                <w:bCs/>
                <w:color w:val="auto"/>
                <w:sz w:val="24"/>
                <w:szCs w:val="24"/>
                <w:lang w:val="en-US" w:eastAsia="zh-CN"/>
              </w:rPr>
            </w:pPr>
          </w:p>
          <w:p w14:paraId="031A3A02">
            <w:pPr>
              <w:rPr>
                <w:rFonts w:hint="eastAsia" w:cs="Times New Roman"/>
                <w:bCs/>
                <w:color w:val="auto"/>
                <w:sz w:val="24"/>
                <w:szCs w:val="24"/>
                <w:lang w:val="en-US" w:eastAsia="zh-CN"/>
              </w:rPr>
            </w:pPr>
          </w:p>
          <w:p w14:paraId="70AD5295">
            <w:pPr>
              <w:pStyle w:val="2"/>
              <w:rPr>
                <w:rFonts w:hint="eastAsia" w:cs="Times New Roman"/>
                <w:bCs/>
                <w:color w:val="auto"/>
                <w:sz w:val="24"/>
                <w:szCs w:val="24"/>
                <w:lang w:val="en-US" w:eastAsia="zh-CN"/>
              </w:rPr>
            </w:pPr>
          </w:p>
          <w:p w14:paraId="2B9E268F">
            <w:pPr>
              <w:rPr>
                <w:rFonts w:hint="eastAsia" w:cs="Times New Roman"/>
                <w:bCs/>
                <w:color w:val="auto"/>
                <w:sz w:val="24"/>
                <w:szCs w:val="24"/>
                <w:lang w:val="en-US" w:eastAsia="zh-CN"/>
              </w:rPr>
            </w:pPr>
          </w:p>
          <w:p w14:paraId="633BA74E">
            <w:pPr>
              <w:pStyle w:val="2"/>
              <w:rPr>
                <w:rFonts w:hint="eastAsia" w:cs="Times New Roman"/>
                <w:bCs/>
                <w:color w:val="auto"/>
                <w:sz w:val="24"/>
                <w:szCs w:val="24"/>
                <w:lang w:val="en-US" w:eastAsia="zh-CN"/>
              </w:rPr>
            </w:pPr>
          </w:p>
          <w:p w14:paraId="7A1CB072">
            <w:pPr>
              <w:rPr>
                <w:rFonts w:hint="eastAsia" w:cs="Times New Roman"/>
                <w:bCs/>
                <w:color w:val="auto"/>
                <w:sz w:val="24"/>
                <w:szCs w:val="24"/>
                <w:lang w:val="en-US" w:eastAsia="zh-CN"/>
              </w:rPr>
            </w:pPr>
          </w:p>
          <w:p w14:paraId="3D960644">
            <w:pPr>
              <w:pStyle w:val="2"/>
              <w:rPr>
                <w:rFonts w:hint="eastAsia" w:cs="Times New Roman"/>
                <w:bCs/>
                <w:color w:val="auto"/>
                <w:sz w:val="24"/>
                <w:szCs w:val="24"/>
                <w:lang w:val="en-US" w:eastAsia="zh-CN"/>
              </w:rPr>
            </w:pPr>
          </w:p>
          <w:p w14:paraId="0FD743B1">
            <w:pPr>
              <w:rPr>
                <w:rFonts w:hint="eastAsia" w:cs="Times New Roman"/>
                <w:bCs/>
                <w:color w:val="auto"/>
                <w:sz w:val="24"/>
                <w:szCs w:val="24"/>
                <w:lang w:val="en-US" w:eastAsia="zh-CN"/>
              </w:rPr>
            </w:pPr>
          </w:p>
          <w:p w14:paraId="1AE4829B">
            <w:pPr>
              <w:pStyle w:val="2"/>
              <w:rPr>
                <w:rFonts w:hint="eastAsia" w:cs="Times New Roman"/>
                <w:bCs/>
                <w:color w:val="auto"/>
                <w:sz w:val="24"/>
                <w:szCs w:val="24"/>
                <w:lang w:val="en-US" w:eastAsia="zh-CN"/>
              </w:rPr>
            </w:pPr>
          </w:p>
          <w:p w14:paraId="5754028B">
            <w:pPr>
              <w:rPr>
                <w:rFonts w:hint="eastAsia" w:cs="Times New Roman"/>
                <w:bCs/>
                <w:color w:val="auto"/>
                <w:sz w:val="24"/>
                <w:szCs w:val="24"/>
                <w:lang w:val="en-US" w:eastAsia="zh-CN"/>
              </w:rPr>
            </w:pPr>
          </w:p>
          <w:p w14:paraId="557F3CCF">
            <w:pPr>
              <w:pStyle w:val="2"/>
              <w:rPr>
                <w:rFonts w:hint="eastAsia" w:cs="Times New Roman"/>
                <w:bCs/>
                <w:color w:val="auto"/>
                <w:sz w:val="24"/>
                <w:szCs w:val="24"/>
                <w:lang w:val="en-US" w:eastAsia="zh-CN"/>
              </w:rPr>
            </w:pPr>
          </w:p>
          <w:p w14:paraId="66BA47B7">
            <w:pPr>
              <w:rPr>
                <w:rFonts w:hint="eastAsia" w:cs="Times New Roman"/>
                <w:bCs/>
                <w:color w:val="auto"/>
                <w:sz w:val="24"/>
                <w:szCs w:val="24"/>
                <w:lang w:val="en-US" w:eastAsia="zh-CN"/>
              </w:rPr>
            </w:pPr>
          </w:p>
          <w:p w14:paraId="3143443D">
            <w:pPr>
              <w:pStyle w:val="2"/>
              <w:rPr>
                <w:rFonts w:hint="eastAsia" w:cs="Times New Roman"/>
                <w:bCs/>
                <w:color w:val="auto"/>
                <w:sz w:val="24"/>
                <w:szCs w:val="24"/>
                <w:lang w:val="en-US" w:eastAsia="zh-CN"/>
              </w:rPr>
            </w:pPr>
          </w:p>
          <w:p w14:paraId="089FCAA4">
            <w:pPr>
              <w:rPr>
                <w:rFonts w:hint="eastAsia" w:cs="Times New Roman"/>
                <w:bCs/>
                <w:color w:val="auto"/>
                <w:sz w:val="24"/>
                <w:szCs w:val="24"/>
                <w:lang w:val="en-US" w:eastAsia="zh-CN"/>
              </w:rPr>
            </w:pPr>
          </w:p>
          <w:p w14:paraId="78725CAB">
            <w:pPr>
              <w:pStyle w:val="2"/>
              <w:rPr>
                <w:rFonts w:hint="eastAsia" w:cs="Times New Roman"/>
                <w:bCs/>
                <w:color w:val="auto"/>
                <w:sz w:val="24"/>
                <w:szCs w:val="24"/>
                <w:lang w:val="en-US" w:eastAsia="zh-CN"/>
              </w:rPr>
            </w:pPr>
          </w:p>
          <w:p w14:paraId="295453FE">
            <w:pPr>
              <w:rPr>
                <w:rFonts w:hint="eastAsia" w:cs="Times New Roman"/>
                <w:bCs/>
                <w:color w:val="auto"/>
                <w:sz w:val="24"/>
                <w:szCs w:val="24"/>
                <w:lang w:val="en-US" w:eastAsia="zh-CN"/>
              </w:rPr>
            </w:pPr>
          </w:p>
          <w:p w14:paraId="7ABD2411">
            <w:pPr>
              <w:pStyle w:val="2"/>
              <w:rPr>
                <w:rFonts w:hint="eastAsia" w:cs="Times New Roman"/>
                <w:bCs/>
                <w:color w:val="auto"/>
                <w:sz w:val="24"/>
                <w:szCs w:val="24"/>
                <w:lang w:val="en-US" w:eastAsia="zh-CN"/>
              </w:rPr>
            </w:pPr>
          </w:p>
          <w:p w14:paraId="1D59EB3A">
            <w:pPr>
              <w:rPr>
                <w:rFonts w:hint="eastAsia" w:cs="Times New Roman"/>
                <w:bCs/>
                <w:color w:val="auto"/>
                <w:sz w:val="24"/>
                <w:szCs w:val="24"/>
                <w:lang w:val="en-US" w:eastAsia="zh-CN"/>
              </w:rPr>
            </w:pPr>
          </w:p>
          <w:p w14:paraId="2BA0627F">
            <w:pPr>
              <w:pStyle w:val="2"/>
              <w:rPr>
                <w:rFonts w:hint="eastAsia" w:cs="Times New Roman"/>
                <w:bCs/>
                <w:color w:val="auto"/>
                <w:sz w:val="24"/>
                <w:szCs w:val="24"/>
                <w:lang w:val="en-US" w:eastAsia="zh-CN"/>
              </w:rPr>
            </w:pPr>
          </w:p>
          <w:p w14:paraId="68925397">
            <w:pPr>
              <w:rPr>
                <w:rFonts w:hint="eastAsia" w:cs="Times New Roman"/>
                <w:bCs/>
                <w:color w:val="auto"/>
                <w:sz w:val="24"/>
                <w:szCs w:val="24"/>
                <w:lang w:val="en-US" w:eastAsia="zh-CN"/>
              </w:rPr>
            </w:pPr>
          </w:p>
          <w:p w14:paraId="0A66FC7C">
            <w:pPr>
              <w:pStyle w:val="2"/>
              <w:rPr>
                <w:rFonts w:hint="eastAsia" w:cs="Times New Roman"/>
                <w:bCs/>
                <w:color w:val="auto"/>
                <w:sz w:val="24"/>
                <w:szCs w:val="24"/>
                <w:lang w:val="en-US" w:eastAsia="zh-CN"/>
              </w:rPr>
            </w:pPr>
          </w:p>
          <w:p w14:paraId="088977D7">
            <w:pPr>
              <w:rPr>
                <w:rFonts w:hint="eastAsia" w:cs="Times New Roman"/>
                <w:bCs/>
                <w:color w:val="auto"/>
                <w:sz w:val="24"/>
                <w:szCs w:val="24"/>
                <w:lang w:val="en-US" w:eastAsia="zh-CN"/>
              </w:rPr>
            </w:pPr>
          </w:p>
          <w:p w14:paraId="1761EB2C">
            <w:pPr>
              <w:pStyle w:val="2"/>
              <w:rPr>
                <w:rFonts w:hint="eastAsia" w:cs="Times New Roman"/>
                <w:bCs/>
                <w:color w:val="auto"/>
                <w:sz w:val="24"/>
                <w:szCs w:val="24"/>
                <w:lang w:val="en-US" w:eastAsia="zh-CN"/>
              </w:rPr>
            </w:pPr>
          </w:p>
          <w:p w14:paraId="0ABA7DB9">
            <w:pPr>
              <w:pStyle w:val="2"/>
              <w:ind w:left="0" w:leftChars="0" w:firstLine="0" w:firstLineChars="0"/>
              <w:rPr>
                <w:color w:val="auto"/>
              </w:rPr>
            </w:pPr>
          </w:p>
        </w:tc>
      </w:tr>
    </w:tbl>
    <w:p w14:paraId="11AD204E">
      <w:pPr>
        <w:ind w:firstLine="0" w:firstLineChars="0"/>
        <w:rPr>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3525"/>
      </w:tblGrid>
      <w:tr w14:paraId="4E391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52E3163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vertAlign w:val="baseline"/>
              </w:rPr>
            </w:pPr>
            <w:r>
              <w:rPr>
                <w:rFonts w:hint="eastAsia"/>
                <w:color w:val="auto"/>
                <w:vertAlign w:val="baseline"/>
              </w:rPr>
              <w:t>运营期环境影响和保护措施</w:t>
            </w:r>
          </w:p>
        </w:tc>
        <w:tc>
          <w:tcPr>
            <w:tcW w:w="4770" w:type="pct"/>
          </w:tcPr>
          <w:p w14:paraId="6BECFA68">
            <w:pPr>
              <w:rPr>
                <w:rFonts w:hint="default" w:eastAsia="宋体"/>
                <w:b/>
                <w:bCs/>
                <w:color w:val="auto"/>
                <w:vertAlign w:val="baseline"/>
                <w:lang w:val="en-US" w:eastAsia="zh-CN"/>
              </w:rPr>
            </w:pPr>
            <w:r>
              <w:rPr>
                <w:rFonts w:hint="eastAsia"/>
                <w:b/>
                <w:bCs/>
                <w:color w:val="auto"/>
                <w:vertAlign w:val="baseline"/>
                <w:lang w:val="en-US" w:eastAsia="zh-CN"/>
              </w:rPr>
              <w:t>二、废水</w:t>
            </w:r>
          </w:p>
          <w:p w14:paraId="0B6D5CFD">
            <w:pPr>
              <w:rPr>
                <w:rFonts w:hint="eastAsia"/>
                <w:b/>
                <w:bCs/>
                <w:color w:val="auto"/>
                <w:vertAlign w:val="baseline"/>
                <w:lang w:val="en-US" w:eastAsia="zh-CN"/>
              </w:rPr>
            </w:pPr>
            <w:r>
              <w:rPr>
                <w:rFonts w:hint="eastAsia"/>
                <w:b/>
                <w:bCs/>
                <w:color w:val="auto"/>
                <w:vertAlign w:val="baseline"/>
                <w:lang w:val="en-US" w:eastAsia="zh-CN"/>
              </w:rPr>
              <w:t>1、项目废水污染源源强核算结果及相关参数</w:t>
            </w:r>
          </w:p>
          <w:p w14:paraId="75F8DCC2">
            <w:pPr>
              <w:adjustRightInd w:val="0"/>
              <w:snapToGrid w:val="0"/>
              <w:spacing w:line="360" w:lineRule="auto"/>
              <w:ind w:firstLine="0" w:firstLineChars="0"/>
              <w:jc w:val="center"/>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 xml:space="preserve">表4-7  </w:t>
            </w:r>
            <w:r>
              <w:rPr>
                <w:rFonts w:hint="eastAsia" w:cs="Times New Roman"/>
                <w:b/>
                <w:color w:val="auto"/>
                <w:kern w:val="0"/>
                <w:sz w:val="24"/>
                <w:lang w:val="en-US" w:eastAsia="zh-CN"/>
              </w:rPr>
              <w:t>项目</w:t>
            </w:r>
            <w:r>
              <w:rPr>
                <w:rFonts w:hint="eastAsia" w:ascii="Times New Roman" w:hAnsi="Times New Roman" w:eastAsia="宋体" w:cs="Times New Roman"/>
                <w:b/>
                <w:color w:val="auto"/>
                <w:kern w:val="0"/>
                <w:sz w:val="24"/>
                <w:lang w:val="en-US" w:eastAsia="zh-CN"/>
              </w:rPr>
              <w:t>废水污染源源强核算结果及相关参数一览表</w:t>
            </w:r>
          </w:p>
          <w:tbl>
            <w:tblPr>
              <w:tblStyle w:val="2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698"/>
              <w:gridCol w:w="793"/>
              <w:gridCol w:w="910"/>
              <w:gridCol w:w="894"/>
              <w:gridCol w:w="958"/>
              <w:gridCol w:w="698"/>
              <w:gridCol w:w="698"/>
              <w:gridCol w:w="698"/>
              <w:gridCol w:w="793"/>
              <w:gridCol w:w="894"/>
              <w:gridCol w:w="698"/>
              <w:gridCol w:w="698"/>
              <w:gridCol w:w="698"/>
              <w:gridCol w:w="698"/>
              <w:gridCol w:w="698"/>
              <w:gridCol w:w="1076"/>
            </w:tblGrid>
            <w:tr w14:paraId="487F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2" w:type="pct"/>
                  <w:vMerge w:val="restart"/>
                  <w:tcBorders>
                    <w:tl2br w:val="nil"/>
                    <w:tr2bl w:val="nil"/>
                  </w:tcBorders>
                  <w:noWrap w:val="0"/>
                  <w:vAlign w:val="center"/>
                </w:tcPr>
                <w:p w14:paraId="2CF89CC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序号</w:t>
                  </w:r>
                </w:p>
              </w:tc>
              <w:tc>
                <w:tcPr>
                  <w:tcW w:w="262" w:type="pct"/>
                  <w:vMerge w:val="restart"/>
                  <w:tcBorders>
                    <w:tl2br w:val="nil"/>
                    <w:tr2bl w:val="nil"/>
                  </w:tcBorders>
                  <w:noWrap w:val="0"/>
                  <w:vAlign w:val="center"/>
                </w:tcPr>
                <w:p w14:paraId="3DEC7D3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产排污环节</w:t>
                  </w:r>
                </w:p>
              </w:tc>
              <w:tc>
                <w:tcPr>
                  <w:tcW w:w="298" w:type="pct"/>
                  <w:vMerge w:val="restart"/>
                  <w:tcBorders>
                    <w:tl2br w:val="nil"/>
                    <w:tr2bl w:val="nil"/>
                  </w:tcBorders>
                  <w:noWrap w:val="0"/>
                  <w:vAlign w:val="center"/>
                </w:tcPr>
                <w:p w14:paraId="1773E27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废水产生量（m</w:t>
                  </w:r>
                  <w:r>
                    <w:rPr>
                      <w:rFonts w:hint="default" w:ascii="Times New Roman" w:hAnsi="Times New Roman" w:cs="Times New Roman"/>
                      <w:b/>
                      <w:bCs/>
                      <w:color w:val="auto"/>
                      <w:sz w:val="21"/>
                      <w:szCs w:val="21"/>
                      <w:highlight w:val="none"/>
                      <w:vertAlign w:val="superscript"/>
                    </w:rPr>
                    <w:t>3</w:t>
                  </w:r>
                  <w:r>
                    <w:rPr>
                      <w:rFonts w:hint="default" w:ascii="Times New Roman" w:hAnsi="Times New Roman" w:cs="Times New Roman"/>
                      <w:b/>
                      <w:bCs/>
                      <w:color w:val="auto"/>
                      <w:sz w:val="21"/>
                      <w:szCs w:val="21"/>
                      <w:highlight w:val="none"/>
                    </w:rPr>
                    <w:t>/a）</w:t>
                  </w:r>
                </w:p>
              </w:tc>
              <w:tc>
                <w:tcPr>
                  <w:tcW w:w="1038" w:type="pct"/>
                  <w:gridSpan w:val="3"/>
                  <w:tcBorders>
                    <w:tl2br w:val="nil"/>
                    <w:tr2bl w:val="nil"/>
                  </w:tcBorders>
                  <w:noWrap w:val="0"/>
                  <w:vAlign w:val="center"/>
                </w:tcPr>
                <w:p w14:paraId="3E970FA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污染物</w:t>
                  </w:r>
                </w:p>
              </w:tc>
              <w:tc>
                <w:tcPr>
                  <w:tcW w:w="787" w:type="pct"/>
                  <w:gridSpan w:val="3"/>
                  <w:tcBorders>
                    <w:tl2br w:val="nil"/>
                    <w:tr2bl w:val="nil"/>
                  </w:tcBorders>
                  <w:noWrap w:val="0"/>
                  <w:vAlign w:val="center"/>
                </w:tcPr>
                <w:p w14:paraId="6EA26AA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治理设施</w:t>
                  </w:r>
                </w:p>
              </w:tc>
              <w:tc>
                <w:tcPr>
                  <w:tcW w:w="298" w:type="pct"/>
                  <w:vMerge w:val="restart"/>
                  <w:tcBorders>
                    <w:tl2br w:val="nil"/>
                    <w:tr2bl w:val="nil"/>
                  </w:tcBorders>
                  <w:noWrap w:val="0"/>
                  <w:vAlign w:val="center"/>
                </w:tcPr>
                <w:p w14:paraId="3AB59F2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废水排放量（m</w:t>
                  </w:r>
                  <w:r>
                    <w:rPr>
                      <w:rFonts w:hint="default" w:ascii="Times New Roman" w:hAnsi="Times New Roman" w:cs="Times New Roman"/>
                      <w:b/>
                      <w:bCs/>
                      <w:color w:val="auto"/>
                      <w:sz w:val="21"/>
                      <w:szCs w:val="21"/>
                      <w:highlight w:val="none"/>
                      <w:vertAlign w:val="superscript"/>
                    </w:rPr>
                    <w:t>3</w:t>
                  </w:r>
                  <w:r>
                    <w:rPr>
                      <w:rFonts w:hint="default" w:ascii="Times New Roman" w:hAnsi="Times New Roman" w:cs="Times New Roman"/>
                      <w:b/>
                      <w:bCs/>
                      <w:color w:val="auto"/>
                      <w:sz w:val="21"/>
                      <w:szCs w:val="21"/>
                      <w:highlight w:val="none"/>
                    </w:rPr>
                    <w:t>/a）</w:t>
                  </w:r>
                </w:p>
              </w:tc>
              <w:tc>
                <w:tcPr>
                  <w:tcW w:w="598" w:type="pct"/>
                  <w:gridSpan w:val="2"/>
                  <w:tcBorders>
                    <w:tl2br w:val="nil"/>
                    <w:tr2bl w:val="nil"/>
                  </w:tcBorders>
                  <w:noWrap w:val="0"/>
                  <w:vAlign w:val="center"/>
                </w:tcPr>
                <w:p w14:paraId="42AB8FA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bCs/>
                      <w:color w:val="auto"/>
                      <w:sz w:val="21"/>
                      <w:szCs w:val="21"/>
                      <w:highlight w:val="none"/>
                    </w:rPr>
                    <w:t>污染物</w:t>
                  </w:r>
                </w:p>
              </w:tc>
              <w:tc>
                <w:tcPr>
                  <w:tcW w:w="262" w:type="pct"/>
                  <w:vMerge w:val="restart"/>
                  <w:tcBorders>
                    <w:tl2br w:val="nil"/>
                    <w:tr2bl w:val="nil"/>
                  </w:tcBorders>
                  <w:noWrap w:val="0"/>
                  <w:vAlign w:val="center"/>
                </w:tcPr>
                <w:p w14:paraId="2C32586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排放方式</w:t>
                  </w:r>
                </w:p>
              </w:tc>
              <w:tc>
                <w:tcPr>
                  <w:tcW w:w="262" w:type="pct"/>
                  <w:vMerge w:val="restart"/>
                  <w:tcBorders>
                    <w:tl2br w:val="nil"/>
                    <w:tr2bl w:val="nil"/>
                  </w:tcBorders>
                  <w:noWrap w:val="0"/>
                  <w:vAlign w:val="center"/>
                </w:tcPr>
                <w:p w14:paraId="70951DC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sz w:val="21"/>
                      <w:szCs w:val="21"/>
                      <w:highlight w:val="none"/>
                      <w:lang w:eastAsia="zh-CN"/>
                    </w:rPr>
                  </w:pPr>
                  <w:r>
                    <w:rPr>
                      <w:rFonts w:hint="default" w:ascii="Times New Roman" w:hAnsi="Times New Roman" w:cs="Times New Roman"/>
                      <w:b/>
                      <w:bCs/>
                      <w:color w:val="auto"/>
                      <w:sz w:val="21"/>
                      <w:szCs w:val="21"/>
                      <w:highlight w:val="none"/>
                      <w:lang w:eastAsia="zh-CN"/>
                    </w:rPr>
                    <w:t>排放去向</w:t>
                  </w:r>
                </w:p>
              </w:tc>
              <w:tc>
                <w:tcPr>
                  <w:tcW w:w="262" w:type="pct"/>
                  <w:vMerge w:val="restart"/>
                  <w:tcBorders>
                    <w:tl2br w:val="nil"/>
                    <w:tr2bl w:val="nil"/>
                  </w:tcBorders>
                  <w:noWrap w:val="0"/>
                  <w:vAlign w:val="center"/>
                </w:tcPr>
                <w:p w14:paraId="130B9F6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sz w:val="21"/>
                      <w:szCs w:val="21"/>
                      <w:highlight w:val="none"/>
                      <w:lang w:eastAsia="zh-CN"/>
                    </w:rPr>
                  </w:pPr>
                  <w:r>
                    <w:rPr>
                      <w:rFonts w:hint="default" w:ascii="Times New Roman" w:hAnsi="Times New Roman" w:cs="Times New Roman"/>
                      <w:b/>
                      <w:bCs/>
                      <w:color w:val="auto"/>
                      <w:sz w:val="21"/>
                      <w:szCs w:val="21"/>
                      <w:highlight w:val="none"/>
                      <w:lang w:eastAsia="zh-CN"/>
                    </w:rPr>
                    <w:t>排放规律</w:t>
                  </w:r>
                </w:p>
              </w:tc>
              <w:tc>
                <w:tcPr>
                  <w:tcW w:w="262" w:type="pct"/>
                  <w:vMerge w:val="restart"/>
                  <w:tcBorders>
                    <w:tl2br w:val="nil"/>
                    <w:tr2bl w:val="nil"/>
                  </w:tcBorders>
                  <w:noWrap w:val="0"/>
                  <w:vAlign w:val="center"/>
                </w:tcPr>
                <w:p w14:paraId="785812D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sz w:val="21"/>
                      <w:szCs w:val="21"/>
                      <w:highlight w:val="none"/>
                      <w:lang w:eastAsia="zh-CN"/>
                    </w:rPr>
                  </w:pPr>
                  <w:r>
                    <w:rPr>
                      <w:rFonts w:hint="default" w:ascii="Times New Roman" w:hAnsi="Times New Roman" w:cs="Times New Roman"/>
                      <w:b/>
                      <w:bCs/>
                      <w:color w:val="auto"/>
                      <w:sz w:val="21"/>
                      <w:szCs w:val="21"/>
                      <w:highlight w:val="none"/>
                      <w:lang w:eastAsia="zh-CN"/>
                    </w:rPr>
                    <w:t>排放口基本情况</w:t>
                  </w:r>
                </w:p>
              </w:tc>
              <w:tc>
                <w:tcPr>
                  <w:tcW w:w="404" w:type="pct"/>
                  <w:vMerge w:val="restart"/>
                  <w:tcBorders>
                    <w:tl2br w:val="nil"/>
                    <w:tr2bl w:val="nil"/>
                  </w:tcBorders>
                  <w:noWrap w:val="0"/>
                  <w:vAlign w:val="center"/>
                </w:tcPr>
                <w:p w14:paraId="7B06E1A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lang w:val="en-US" w:eastAsia="zh-CN"/>
                    </w:rPr>
                    <w:t>回用</w:t>
                  </w:r>
                  <w:r>
                    <w:rPr>
                      <w:rFonts w:hint="default" w:ascii="Times New Roman" w:hAnsi="Times New Roman" w:cs="Times New Roman"/>
                      <w:b/>
                      <w:bCs/>
                      <w:color w:val="auto"/>
                      <w:sz w:val="21"/>
                      <w:szCs w:val="21"/>
                      <w:highlight w:val="none"/>
                    </w:rPr>
                    <w:t>标准</w:t>
                  </w:r>
                </w:p>
              </w:tc>
            </w:tr>
            <w:tr w14:paraId="6A1D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2" w:type="pct"/>
                  <w:vMerge w:val="continue"/>
                  <w:tcBorders>
                    <w:tl2br w:val="nil"/>
                    <w:tr2bl w:val="nil"/>
                  </w:tcBorders>
                  <w:noWrap w:val="0"/>
                  <w:vAlign w:val="center"/>
                </w:tcPr>
                <w:p w14:paraId="4CF4A34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p>
              </w:tc>
              <w:tc>
                <w:tcPr>
                  <w:tcW w:w="262" w:type="pct"/>
                  <w:vMerge w:val="continue"/>
                  <w:tcBorders>
                    <w:tl2br w:val="nil"/>
                    <w:tr2bl w:val="nil"/>
                  </w:tcBorders>
                  <w:noWrap w:val="0"/>
                  <w:vAlign w:val="center"/>
                </w:tcPr>
                <w:p w14:paraId="0958120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p>
              </w:tc>
              <w:tc>
                <w:tcPr>
                  <w:tcW w:w="298" w:type="pct"/>
                  <w:vMerge w:val="continue"/>
                  <w:tcBorders>
                    <w:tl2br w:val="nil"/>
                    <w:tr2bl w:val="nil"/>
                  </w:tcBorders>
                  <w:noWrap w:val="0"/>
                  <w:vAlign w:val="center"/>
                </w:tcPr>
                <w:p w14:paraId="41C2499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p>
              </w:tc>
              <w:tc>
                <w:tcPr>
                  <w:tcW w:w="342" w:type="pct"/>
                  <w:tcBorders>
                    <w:tl2br w:val="nil"/>
                    <w:tr2bl w:val="nil"/>
                  </w:tcBorders>
                  <w:noWrap w:val="0"/>
                  <w:vAlign w:val="center"/>
                </w:tcPr>
                <w:p w14:paraId="1AD6480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种类</w:t>
                  </w:r>
                </w:p>
              </w:tc>
              <w:tc>
                <w:tcPr>
                  <w:tcW w:w="336" w:type="pct"/>
                  <w:tcBorders>
                    <w:tl2br w:val="nil"/>
                    <w:tr2bl w:val="nil"/>
                  </w:tcBorders>
                  <w:noWrap w:val="0"/>
                  <w:vAlign w:val="center"/>
                </w:tcPr>
                <w:p w14:paraId="68BBD3A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产生浓度（mg/</w:t>
                  </w:r>
                  <w:r>
                    <w:rPr>
                      <w:rFonts w:hint="default" w:ascii="Times New Roman" w:hAnsi="Times New Roman" w:cs="Times New Roman"/>
                      <w:b/>
                      <w:bCs/>
                      <w:color w:val="auto"/>
                      <w:sz w:val="21"/>
                      <w:szCs w:val="21"/>
                      <w:highlight w:val="none"/>
                      <w:lang w:val="en-US" w:eastAsia="zh-CN"/>
                    </w:rPr>
                    <w:t>L</w:t>
                  </w:r>
                  <w:r>
                    <w:rPr>
                      <w:rFonts w:hint="default" w:ascii="Times New Roman" w:hAnsi="Times New Roman" w:cs="Times New Roman"/>
                      <w:b/>
                      <w:bCs/>
                      <w:color w:val="auto"/>
                      <w:sz w:val="21"/>
                      <w:szCs w:val="21"/>
                      <w:highlight w:val="none"/>
                    </w:rPr>
                    <w:t>）</w:t>
                  </w:r>
                </w:p>
              </w:tc>
              <w:tc>
                <w:tcPr>
                  <w:tcW w:w="360" w:type="pct"/>
                  <w:tcBorders>
                    <w:tl2br w:val="nil"/>
                    <w:tr2bl w:val="nil"/>
                  </w:tcBorders>
                  <w:noWrap w:val="0"/>
                  <w:vAlign w:val="center"/>
                </w:tcPr>
                <w:p w14:paraId="5F48DF3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产生量（</w:t>
                  </w:r>
                  <w:r>
                    <w:rPr>
                      <w:rFonts w:hint="default" w:ascii="Times New Roman" w:hAnsi="Times New Roman" w:cs="Times New Roman"/>
                      <w:b/>
                      <w:bCs/>
                      <w:color w:val="auto"/>
                      <w:sz w:val="21"/>
                      <w:szCs w:val="21"/>
                      <w:highlight w:val="none"/>
                      <w:lang w:val="en-US" w:eastAsia="zh-CN"/>
                    </w:rPr>
                    <w:t>t</w:t>
                  </w:r>
                  <w:r>
                    <w:rPr>
                      <w:rFonts w:hint="default" w:ascii="Times New Roman" w:hAnsi="Times New Roman" w:cs="Times New Roman"/>
                      <w:b/>
                      <w:bCs/>
                      <w:color w:val="auto"/>
                      <w:sz w:val="21"/>
                      <w:szCs w:val="21"/>
                      <w:highlight w:val="none"/>
                    </w:rPr>
                    <w:t>/a）</w:t>
                  </w:r>
                </w:p>
              </w:tc>
              <w:tc>
                <w:tcPr>
                  <w:tcW w:w="262" w:type="pct"/>
                  <w:tcBorders>
                    <w:tl2br w:val="nil"/>
                    <w:tr2bl w:val="nil"/>
                  </w:tcBorders>
                  <w:noWrap w:val="0"/>
                  <w:vAlign w:val="center"/>
                </w:tcPr>
                <w:p w14:paraId="76B7E07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lang w:eastAsia="zh-CN"/>
                    </w:rPr>
                    <w:t>处理</w:t>
                  </w:r>
                  <w:r>
                    <w:rPr>
                      <w:rFonts w:hint="default" w:ascii="Times New Roman" w:hAnsi="Times New Roman" w:cs="Times New Roman"/>
                      <w:b/>
                      <w:bCs/>
                      <w:color w:val="auto"/>
                      <w:sz w:val="21"/>
                      <w:szCs w:val="21"/>
                      <w:highlight w:val="none"/>
                    </w:rPr>
                    <w:t>工艺</w:t>
                  </w:r>
                </w:p>
              </w:tc>
              <w:tc>
                <w:tcPr>
                  <w:tcW w:w="262" w:type="pct"/>
                  <w:tcBorders>
                    <w:tl2br w:val="nil"/>
                    <w:tr2bl w:val="nil"/>
                  </w:tcBorders>
                  <w:noWrap w:val="0"/>
                  <w:vAlign w:val="center"/>
                </w:tcPr>
                <w:p w14:paraId="27074F0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效率（%）</w:t>
                  </w:r>
                </w:p>
              </w:tc>
              <w:tc>
                <w:tcPr>
                  <w:tcW w:w="262" w:type="pct"/>
                  <w:tcBorders>
                    <w:tl2br w:val="nil"/>
                    <w:tr2bl w:val="nil"/>
                  </w:tcBorders>
                  <w:noWrap w:val="0"/>
                  <w:vAlign w:val="center"/>
                </w:tcPr>
                <w:p w14:paraId="049ADB8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是否为可行性技术</w:t>
                  </w:r>
                </w:p>
              </w:tc>
              <w:tc>
                <w:tcPr>
                  <w:tcW w:w="298" w:type="pct"/>
                  <w:vMerge w:val="continue"/>
                  <w:tcBorders>
                    <w:tl2br w:val="nil"/>
                    <w:tr2bl w:val="nil"/>
                  </w:tcBorders>
                  <w:noWrap w:val="0"/>
                  <w:vAlign w:val="center"/>
                </w:tcPr>
                <w:p w14:paraId="614320B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p>
              </w:tc>
              <w:tc>
                <w:tcPr>
                  <w:tcW w:w="336" w:type="pct"/>
                  <w:tcBorders>
                    <w:tl2br w:val="nil"/>
                    <w:tr2bl w:val="nil"/>
                  </w:tcBorders>
                  <w:noWrap w:val="0"/>
                  <w:vAlign w:val="center"/>
                </w:tcPr>
                <w:p w14:paraId="6C13931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排放浓度（mg/</w:t>
                  </w:r>
                  <w:r>
                    <w:rPr>
                      <w:rFonts w:hint="default" w:ascii="Times New Roman" w:hAnsi="Times New Roman" w:cs="Times New Roman"/>
                      <w:b/>
                      <w:bCs/>
                      <w:color w:val="auto"/>
                      <w:sz w:val="21"/>
                      <w:szCs w:val="21"/>
                      <w:highlight w:val="none"/>
                      <w:lang w:val="en-US" w:eastAsia="zh-CN"/>
                    </w:rPr>
                    <w:t>L</w:t>
                  </w:r>
                  <w:r>
                    <w:rPr>
                      <w:rFonts w:hint="default" w:ascii="Times New Roman" w:hAnsi="Times New Roman" w:cs="Times New Roman"/>
                      <w:b/>
                      <w:bCs/>
                      <w:color w:val="auto"/>
                      <w:sz w:val="21"/>
                      <w:szCs w:val="21"/>
                      <w:highlight w:val="none"/>
                    </w:rPr>
                    <w:t>）</w:t>
                  </w:r>
                </w:p>
              </w:tc>
              <w:tc>
                <w:tcPr>
                  <w:tcW w:w="262" w:type="pct"/>
                  <w:tcBorders>
                    <w:tl2br w:val="nil"/>
                    <w:tr2bl w:val="nil"/>
                  </w:tcBorders>
                  <w:noWrap w:val="0"/>
                  <w:vAlign w:val="center"/>
                </w:tcPr>
                <w:p w14:paraId="4AEB39E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排放量（</w:t>
                  </w:r>
                  <w:r>
                    <w:rPr>
                      <w:rFonts w:hint="default" w:ascii="Times New Roman" w:hAnsi="Times New Roman" w:cs="Times New Roman"/>
                      <w:b/>
                      <w:bCs/>
                      <w:color w:val="auto"/>
                      <w:sz w:val="21"/>
                      <w:szCs w:val="21"/>
                      <w:highlight w:val="none"/>
                      <w:lang w:val="en-US" w:eastAsia="zh-CN"/>
                    </w:rPr>
                    <w:t>t</w:t>
                  </w:r>
                  <w:r>
                    <w:rPr>
                      <w:rFonts w:hint="default" w:ascii="Times New Roman" w:hAnsi="Times New Roman" w:cs="Times New Roman"/>
                      <w:b/>
                      <w:bCs/>
                      <w:color w:val="auto"/>
                      <w:sz w:val="21"/>
                      <w:szCs w:val="21"/>
                      <w:highlight w:val="none"/>
                    </w:rPr>
                    <w:t>/a）</w:t>
                  </w:r>
                </w:p>
              </w:tc>
              <w:tc>
                <w:tcPr>
                  <w:tcW w:w="262" w:type="pct"/>
                  <w:vMerge w:val="continue"/>
                  <w:tcBorders>
                    <w:tl2br w:val="nil"/>
                    <w:tr2bl w:val="nil"/>
                  </w:tcBorders>
                  <w:noWrap w:val="0"/>
                  <w:vAlign w:val="center"/>
                </w:tcPr>
                <w:p w14:paraId="3166BF3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p>
              </w:tc>
              <w:tc>
                <w:tcPr>
                  <w:tcW w:w="262" w:type="pct"/>
                  <w:vMerge w:val="continue"/>
                  <w:tcBorders>
                    <w:tl2br w:val="nil"/>
                    <w:tr2bl w:val="nil"/>
                  </w:tcBorders>
                  <w:noWrap w:val="0"/>
                  <w:vAlign w:val="center"/>
                </w:tcPr>
                <w:p w14:paraId="6E9687C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p>
              </w:tc>
              <w:tc>
                <w:tcPr>
                  <w:tcW w:w="262" w:type="pct"/>
                  <w:vMerge w:val="continue"/>
                  <w:tcBorders>
                    <w:tl2br w:val="nil"/>
                    <w:tr2bl w:val="nil"/>
                  </w:tcBorders>
                  <w:noWrap w:val="0"/>
                  <w:vAlign w:val="center"/>
                </w:tcPr>
                <w:p w14:paraId="6496842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p>
              </w:tc>
              <w:tc>
                <w:tcPr>
                  <w:tcW w:w="262" w:type="pct"/>
                  <w:vMerge w:val="continue"/>
                  <w:tcBorders>
                    <w:tl2br w:val="nil"/>
                    <w:tr2bl w:val="nil"/>
                  </w:tcBorders>
                  <w:noWrap w:val="0"/>
                  <w:vAlign w:val="center"/>
                </w:tcPr>
                <w:p w14:paraId="714C393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p>
              </w:tc>
              <w:tc>
                <w:tcPr>
                  <w:tcW w:w="404" w:type="pct"/>
                  <w:vMerge w:val="continue"/>
                  <w:tcBorders>
                    <w:tl2br w:val="nil"/>
                    <w:tr2bl w:val="nil"/>
                  </w:tcBorders>
                  <w:noWrap w:val="0"/>
                  <w:vAlign w:val="center"/>
                </w:tcPr>
                <w:p w14:paraId="535129F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rPr>
                  </w:pPr>
                </w:p>
              </w:tc>
            </w:tr>
            <w:tr w14:paraId="0BB4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2" w:type="pct"/>
                  <w:vMerge w:val="restart"/>
                  <w:tcBorders>
                    <w:tl2br w:val="nil"/>
                    <w:tr2bl w:val="nil"/>
                  </w:tcBorders>
                  <w:noWrap w:val="0"/>
                  <w:vAlign w:val="center"/>
                </w:tcPr>
                <w:p w14:paraId="47D8A1AC">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r>
                    <w:rPr>
                      <w:rFonts w:hint="default" w:ascii="Times New Roman" w:hAnsi="Times New Roman" w:cs="Times New Roman"/>
                      <w:bCs/>
                      <w:color w:val="auto"/>
                      <w:kern w:val="0"/>
                      <w:sz w:val="21"/>
                      <w:szCs w:val="21"/>
                      <w:highlight w:val="none"/>
                      <w:lang w:val="en-US" w:eastAsia="zh-CN"/>
                    </w:rPr>
                    <w:t>1</w:t>
                  </w:r>
                </w:p>
              </w:tc>
              <w:tc>
                <w:tcPr>
                  <w:tcW w:w="262" w:type="pct"/>
                  <w:vMerge w:val="restart"/>
                  <w:tcBorders>
                    <w:tl2br w:val="nil"/>
                    <w:tr2bl w:val="nil"/>
                  </w:tcBorders>
                  <w:noWrap w:val="0"/>
                  <w:vAlign w:val="center"/>
                </w:tcPr>
                <w:p w14:paraId="39F7731F">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bCs/>
                      <w:color w:val="auto"/>
                      <w:kern w:val="0"/>
                      <w:sz w:val="21"/>
                      <w:szCs w:val="21"/>
                      <w:lang w:val="en-US" w:eastAsia="zh-CN"/>
                    </w:rPr>
                    <w:t>生活污水</w:t>
                  </w:r>
                </w:p>
              </w:tc>
              <w:tc>
                <w:tcPr>
                  <w:tcW w:w="298" w:type="pct"/>
                  <w:vMerge w:val="restart"/>
                  <w:tcBorders>
                    <w:tl2br w:val="nil"/>
                    <w:tr2bl w:val="nil"/>
                  </w:tcBorders>
                  <w:noWrap w:val="0"/>
                  <w:vAlign w:val="center"/>
                </w:tcPr>
                <w:p w14:paraId="68354F7F">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273.6</w:t>
                  </w:r>
                </w:p>
              </w:tc>
              <w:tc>
                <w:tcPr>
                  <w:tcW w:w="342" w:type="pct"/>
                  <w:tcBorders>
                    <w:tl2br w:val="nil"/>
                    <w:tr2bl w:val="nil"/>
                  </w:tcBorders>
                  <w:noWrap w:val="0"/>
                  <w:vAlign w:val="center"/>
                </w:tcPr>
                <w:p w14:paraId="13CA65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COD</w:t>
                  </w:r>
                </w:p>
              </w:tc>
              <w:tc>
                <w:tcPr>
                  <w:tcW w:w="336" w:type="pct"/>
                  <w:tcBorders>
                    <w:tl2br w:val="nil"/>
                    <w:tr2bl w:val="nil"/>
                  </w:tcBorders>
                  <w:noWrap w:val="0"/>
                  <w:vAlign w:val="center"/>
                </w:tcPr>
                <w:p w14:paraId="22B82B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kern w:val="0"/>
                      <w:sz w:val="21"/>
                      <w:szCs w:val="21"/>
                      <w:highlight w:val="none"/>
                      <w:lang w:val="en-US" w:eastAsia="zh-CN"/>
                    </w:rPr>
                  </w:pPr>
                  <w:r>
                    <w:rPr>
                      <w:rFonts w:hint="default" w:ascii="Times New Roman" w:hAnsi="Times New Roman" w:cs="Times New Roman"/>
                      <w:bCs/>
                      <w:color w:val="auto"/>
                      <w:kern w:val="0"/>
                      <w:sz w:val="21"/>
                      <w:szCs w:val="21"/>
                      <w:highlight w:val="none"/>
                      <w:lang w:val="en-US" w:eastAsia="zh-CN"/>
                    </w:rPr>
                    <w:t>300</w:t>
                  </w:r>
                </w:p>
              </w:tc>
              <w:tc>
                <w:tcPr>
                  <w:tcW w:w="360" w:type="pct"/>
                  <w:tcBorders>
                    <w:tl2br w:val="nil"/>
                    <w:tr2bl w:val="nil"/>
                  </w:tcBorders>
                  <w:noWrap w:val="0"/>
                  <w:vAlign w:val="center"/>
                </w:tcPr>
                <w:p w14:paraId="347FB04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0.082</w:t>
                  </w:r>
                </w:p>
              </w:tc>
              <w:tc>
                <w:tcPr>
                  <w:tcW w:w="262" w:type="pct"/>
                  <w:vMerge w:val="restart"/>
                  <w:tcBorders>
                    <w:tl2br w:val="nil"/>
                    <w:tr2bl w:val="nil"/>
                  </w:tcBorders>
                  <w:noWrap w:val="0"/>
                  <w:vAlign w:val="center"/>
                </w:tcPr>
                <w:p w14:paraId="17ABD7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cs="Times New Roman"/>
                      <w:bCs/>
                      <w:color w:val="auto"/>
                      <w:kern w:val="0"/>
                      <w:sz w:val="21"/>
                      <w:szCs w:val="21"/>
                      <w:highlight w:val="none"/>
                      <w:lang w:val="en-US" w:eastAsia="zh-CN"/>
                    </w:rPr>
                    <w:t>化粪池+一体化污水处理设施</w:t>
                  </w:r>
                </w:p>
              </w:tc>
              <w:tc>
                <w:tcPr>
                  <w:tcW w:w="262" w:type="pct"/>
                  <w:tcBorders>
                    <w:tl2br w:val="nil"/>
                    <w:tr2bl w:val="nil"/>
                  </w:tcBorders>
                  <w:noWrap w:val="0"/>
                  <w:vAlign w:val="center"/>
                </w:tcPr>
                <w:p w14:paraId="2A2A7F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r>
                    <w:rPr>
                      <w:rFonts w:hint="eastAsia" w:cs="Times New Roman"/>
                      <w:bCs/>
                      <w:color w:val="auto"/>
                      <w:kern w:val="0"/>
                      <w:sz w:val="21"/>
                      <w:szCs w:val="21"/>
                      <w:highlight w:val="none"/>
                      <w:lang w:val="en-US" w:eastAsia="zh-CN"/>
                    </w:rPr>
                    <w:t>84.2</w:t>
                  </w:r>
                </w:p>
              </w:tc>
              <w:tc>
                <w:tcPr>
                  <w:tcW w:w="262" w:type="pct"/>
                  <w:vMerge w:val="restart"/>
                  <w:tcBorders>
                    <w:tl2br w:val="nil"/>
                    <w:tr2bl w:val="nil"/>
                  </w:tcBorders>
                  <w:noWrap w:val="0"/>
                  <w:vAlign w:val="center"/>
                </w:tcPr>
                <w:p w14:paraId="6DB0B56E">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r>
                    <w:rPr>
                      <w:rFonts w:hint="default" w:ascii="Times New Roman" w:hAnsi="Times New Roman" w:cs="Times New Roman"/>
                      <w:bCs/>
                      <w:color w:val="auto"/>
                      <w:kern w:val="0"/>
                      <w:sz w:val="21"/>
                      <w:szCs w:val="21"/>
                      <w:highlight w:val="none"/>
                      <w:lang w:val="en-US" w:eastAsia="zh-CN"/>
                    </w:rPr>
                    <w:t>是</w:t>
                  </w:r>
                </w:p>
              </w:tc>
              <w:tc>
                <w:tcPr>
                  <w:tcW w:w="298" w:type="pct"/>
                  <w:vMerge w:val="restart"/>
                  <w:tcBorders>
                    <w:tl2br w:val="nil"/>
                    <w:tr2bl w:val="nil"/>
                  </w:tcBorders>
                  <w:noWrap w:val="0"/>
                  <w:vAlign w:val="center"/>
                </w:tcPr>
                <w:p w14:paraId="221D7B05">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p>
              </w:tc>
              <w:tc>
                <w:tcPr>
                  <w:tcW w:w="336" w:type="pct"/>
                  <w:tcBorders>
                    <w:tl2br w:val="nil"/>
                    <w:tr2bl w:val="nil"/>
                  </w:tcBorders>
                  <w:noWrap w:val="0"/>
                  <w:vAlign w:val="center"/>
                </w:tcPr>
                <w:p w14:paraId="45806A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w:t>
                  </w:r>
                </w:p>
              </w:tc>
              <w:tc>
                <w:tcPr>
                  <w:tcW w:w="262" w:type="pct"/>
                  <w:tcBorders>
                    <w:tl2br w:val="nil"/>
                    <w:tr2bl w:val="nil"/>
                  </w:tcBorders>
                  <w:noWrap w:val="0"/>
                  <w:vAlign w:val="center"/>
                </w:tcPr>
                <w:p w14:paraId="00D0A9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w:t>
                  </w:r>
                </w:p>
              </w:tc>
              <w:tc>
                <w:tcPr>
                  <w:tcW w:w="262" w:type="pct"/>
                  <w:vMerge w:val="restart"/>
                  <w:tcBorders>
                    <w:tl2br w:val="nil"/>
                    <w:tr2bl w:val="nil"/>
                  </w:tcBorders>
                  <w:noWrap w:val="0"/>
                  <w:vAlign w:val="center"/>
                </w:tcPr>
                <w:p w14:paraId="024814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r>
                    <w:rPr>
                      <w:rFonts w:hint="default" w:ascii="Times New Roman" w:hAnsi="Times New Roman" w:cs="Times New Roman"/>
                      <w:bCs/>
                      <w:color w:val="auto"/>
                      <w:kern w:val="0"/>
                      <w:sz w:val="21"/>
                      <w:szCs w:val="21"/>
                      <w:highlight w:val="none"/>
                      <w:lang w:val="en-US" w:eastAsia="zh-CN"/>
                    </w:rPr>
                    <w:t>不外排</w:t>
                  </w:r>
                </w:p>
              </w:tc>
              <w:tc>
                <w:tcPr>
                  <w:tcW w:w="262" w:type="pct"/>
                  <w:vMerge w:val="restart"/>
                  <w:tcBorders>
                    <w:tl2br w:val="nil"/>
                    <w:tr2bl w:val="nil"/>
                  </w:tcBorders>
                  <w:noWrap w:val="0"/>
                  <w:vAlign w:val="center"/>
                </w:tcPr>
                <w:p w14:paraId="49C8521F">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r>
                    <w:rPr>
                      <w:rFonts w:hint="default" w:ascii="Times New Roman" w:hAnsi="Times New Roman" w:cs="Times New Roman"/>
                      <w:bCs/>
                      <w:color w:val="auto"/>
                      <w:kern w:val="0"/>
                      <w:sz w:val="21"/>
                      <w:szCs w:val="21"/>
                      <w:highlight w:val="none"/>
                      <w:lang w:val="en-US" w:eastAsia="zh-CN"/>
                    </w:rPr>
                    <w:t>回用于厂区绿化及道路空地洒水降尘</w:t>
                  </w:r>
                </w:p>
              </w:tc>
              <w:tc>
                <w:tcPr>
                  <w:tcW w:w="262" w:type="pct"/>
                  <w:vMerge w:val="restart"/>
                  <w:tcBorders>
                    <w:tl2br w:val="nil"/>
                    <w:tr2bl w:val="nil"/>
                  </w:tcBorders>
                  <w:noWrap w:val="0"/>
                  <w:vAlign w:val="center"/>
                </w:tcPr>
                <w:p w14:paraId="5E0823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r>
                    <w:rPr>
                      <w:rFonts w:hint="default" w:ascii="Times New Roman" w:hAnsi="Times New Roman" w:cs="Times New Roman"/>
                      <w:bCs/>
                      <w:color w:val="auto"/>
                      <w:kern w:val="0"/>
                      <w:sz w:val="21"/>
                      <w:szCs w:val="21"/>
                      <w:highlight w:val="none"/>
                      <w:lang w:val="en-US" w:eastAsia="zh-CN"/>
                    </w:rPr>
                    <w:t>/</w:t>
                  </w:r>
                </w:p>
              </w:tc>
              <w:tc>
                <w:tcPr>
                  <w:tcW w:w="262" w:type="pct"/>
                  <w:vMerge w:val="restart"/>
                  <w:tcBorders>
                    <w:tl2br w:val="nil"/>
                    <w:tr2bl w:val="nil"/>
                  </w:tcBorders>
                  <w:noWrap w:val="0"/>
                  <w:vAlign w:val="center"/>
                </w:tcPr>
                <w:p w14:paraId="535C54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w:t>
                  </w:r>
                </w:p>
              </w:tc>
              <w:tc>
                <w:tcPr>
                  <w:tcW w:w="404" w:type="pct"/>
                  <w:vMerge w:val="restart"/>
                  <w:tcBorders>
                    <w:tl2br w:val="nil"/>
                    <w:tr2bl w:val="nil"/>
                  </w:tcBorders>
                  <w:noWrap w:val="0"/>
                  <w:vAlign w:val="center"/>
                </w:tcPr>
                <w:p w14:paraId="577EA4B7">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r>
                    <w:rPr>
                      <w:rFonts w:hint="default" w:ascii="Times New Roman" w:hAnsi="Times New Roman" w:cs="Times New Roman"/>
                      <w:bCs/>
                      <w:color w:val="auto"/>
                      <w:kern w:val="0"/>
                      <w:sz w:val="21"/>
                      <w:szCs w:val="21"/>
                      <w:highlight w:val="none"/>
                      <w:lang w:val="en-US" w:eastAsia="zh-CN"/>
                    </w:rPr>
                    <w:t>《城市污水再生利用 城市杂用水水质》（GB/T 18920-2020）中城市绿化、道路清扫标准</w:t>
                  </w:r>
                </w:p>
              </w:tc>
            </w:tr>
            <w:tr w14:paraId="338A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2" w:type="pct"/>
                  <w:vMerge w:val="continue"/>
                  <w:tcBorders>
                    <w:tl2br w:val="nil"/>
                    <w:tr2bl w:val="nil"/>
                  </w:tcBorders>
                  <w:noWrap w:val="0"/>
                  <w:vAlign w:val="center"/>
                </w:tcPr>
                <w:p w14:paraId="3D3C7321">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p>
              </w:tc>
              <w:tc>
                <w:tcPr>
                  <w:tcW w:w="262" w:type="pct"/>
                  <w:vMerge w:val="continue"/>
                  <w:tcBorders>
                    <w:tl2br w:val="nil"/>
                    <w:tr2bl w:val="nil"/>
                  </w:tcBorders>
                  <w:noWrap w:val="0"/>
                  <w:vAlign w:val="center"/>
                </w:tcPr>
                <w:p w14:paraId="2F7161E5">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lang w:val="en-US" w:eastAsia="zh-CN"/>
                    </w:rPr>
                  </w:pPr>
                </w:p>
              </w:tc>
              <w:tc>
                <w:tcPr>
                  <w:tcW w:w="298" w:type="pct"/>
                  <w:vMerge w:val="continue"/>
                  <w:tcBorders>
                    <w:tl2br w:val="nil"/>
                    <w:tr2bl w:val="nil"/>
                  </w:tcBorders>
                  <w:noWrap w:val="0"/>
                  <w:vAlign w:val="center"/>
                </w:tcPr>
                <w:p w14:paraId="3FA8AF6A">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342" w:type="pct"/>
                  <w:tcBorders>
                    <w:tl2br w:val="nil"/>
                    <w:tr2bl w:val="nil"/>
                  </w:tcBorders>
                  <w:noWrap w:val="0"/>
                  <w:vAlign w:val="center"/>
                </w:tcPr>
                <w:p w14:paraId="157EEA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BOD</w:t>
                  </w:r>
                  <w:r>
                    <w:rPr>
                      <w:rFonts w:hint="default" w:ascii="Times New Roman" w:hAnsi="Times New Roman" w:cs="Times New Roman"/>
                      <w:color w:val="auto"/>
                      <w:sz w:val="21"/>
                      <w:szCs w:val="21"/>
                      <w:highlight w:val="none"/>
                      <w:vertAlign w:val="subscript"/>
                      <w:lang w:val="en-US" w:eastAsia="zh-CN"/>
                    </w:rPr>
                    <w:t>5</w:t>
                  </w:r>
                </w:p>
              </w:tc>
              <w:tc>
                <w:tcPr>
                  <w:tcW w:w="336" w:type="pct"/>
                  <w:tcBorders>
                    <w:tl2br w:val="nil"/>
                    <w:tr2bl w:val="nil"/>
                  </w:tcBorders>
                  <w:noWrap w:val="0"/>
                  <w:vAlign w:val="center"/>
                </w:tcPr>
                <w:p w14:paraId="7AEBBE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200</w:t>
                  </w:r>
                </w:p>
              </w:tc>
              <w:tc>
                <w:tcPr>
                  <w:tcW w:w="360" w:type="pct"/>
                  <w:tcBorders>
                    <w:tl2br w:val="nil"/>
                    <w:tr2bl w:val="nil"/>
                  </w:tcBorders>
                  <w:noWrap w:val="0"/>
                  <w:vAlign w:val="center"/>
                </w:tcPr>
                <w:p w14:paraId="604CE08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0.055</w:t>
                  </w:r>
                </w:p>
              </w:tc>
              <w:tc>
                <w:tcPr>
                  <w:tcW w:w="262" w:type="pct"/>
                  <w:vMerge w:val="continue"/>
                  <w:tcBorders>
                    <w:tl2br w:val="nil"/>
                    <w:tr2bl w:val="nil"/>
                  </w:tcBorders>
                  <w:noWrap w:val="0"/>
                  <w:vAlign w:val="center"/>
                </w:tcPr>
                <w:p w14:paraId="654A0C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rPr>
                  </w:pPr>
                </w:p>
              </w:tc>
              <w:tc>
                <w:tcPr>
                  <w:tcW w:w="262" w:type="pct"/>
                  <w:tcBorders>
                    <w:tl2br w:val="nil"/>
                    <w:tr2bl w:val="nil"/>
                  </w:tcBorders>
                  <w:noWrap w:val="0"/>
                  <w:vAlign w:val="center"/>
                </w:tcPr>
                <w:p w14:paraId="23FB0E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r>
                    <w:rPr>
                      <w:rFonts w:hint="eastAsia" w:cs="Times New Roman"/>
                      <w:bCs/>
                      <w:color w:val="auto"/>
                      <w:kern w:val="0"/>
                      <w:sz w:val="21"/>
                      <w:szCs w:val="21"/>
                      <w:highlight w:val="none"/>
                      <w:lang w:val="en-US" w:eastAsia="zh-CN"/>
                    </w:rPr>
                    <w:t>95.86</w:t>
                  </w:r>
                </w:p>
              </w:tc>
              <w:tc>
                <w:tcPr>
                  <w:tcW w:w="262" w:type="pct"/>
                  <w:vMerge w:val="continue"/>
                  <w:tcBorders>
                    <w:tl2br w:val="nil"/>
                    <w:tr2bl w:val="nil"/>
                  </w:tcBorders>
                  <w:noWrap w:val="0"/>
                  <w:vAlign w:val="center"/>
                </w:tcPr>
                <w:p w14:paraId="131AEDDD">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p>
              </w:tc>
              <w:tc>
                <w:tcPr>
                  <w:tcW w:w="298" w:type="pct"/>
                  <w:vMerge w:val="continue"/>
                  <w:tcBorders>
                    <w:tl2br w:val="nil"/>
                    <w:tr2bl w:val="nil"/>
                  </w:tcBorders>
                  <w:noWrap w:val="0"/>
                  <w:vAlign w:val="center"/>
                </w:tcPr>
                <w:p w14:paraId="1F114003">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336" w:type="pct"/>
                  <w:tcBorders>
                    <w:tl2br w:val="nil"/>
                    <w:tr2bl w:val="nil"/>
                  </w:tcBorders>
                  <w:noWrap w:val="0"/>
                  <w:vAlign w:val="center"/>
                </w:tcPr>
                <w:p w14:paraId="79436F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w:t>
                  </w:r>
                </w:p>
              </w:tc>
              <w:tc>
                <w:tcPr>
                  <w:tcW w:w="262" w:type="pct"/>
                  <w:tcBorders>
                    <w:tl2br w:val="nil"/>
                    <w:tr2bl w:val="nil"/>
                  </w:tcBorders>
                  <w:noWrap w:val="0"/>
                  <w:vAlign w:val="center"/>
                </w:tcPr>
                <w:p w14:paraId="517693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w:t>
                  </w:r>
                </w:p>
              </w:tc>
              <w:tc>
                <w:tcPr>
                  <w:tcW w:w="262" w:type="pct"/>
                  <w:vMerge w:val="continue"/>
                  <w:tcBorders>
                    <w:tl2br w:val="nil"/>
                    <w:tr2bl w:val="nil"/>
                  </w:tcBorders>
                  <w:noWrap w:val="0"/>
                  <w:vAlign w:val="center"/>
                </w:tcPr>
                <w:p w14:paraId="152E46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p>
              </w:tc>
              <w:tc>
                <w:tcPr>
                  <w:tcW w:w="262" w:type="pct"/>
                  <w:vMerge w:val="continue"/>
                  <w:tcBorders>
                    <w:tl2br w:val="nil"/>
                    <w:tr2bl w:val="nil"/>
                  </w:tcBorders>
                  <w:noWrap w:val="0"/>
                  <w:vAlign w:val="center"/>
                </w:tcPr>
                <w:p w14:paraId="6007528C">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p>
              </w:tc>
              <w:tc>
                <w:tcPr>
                  <w:tcW w:w="262" w:type="pct"/>
                  <w:vMerge w:val="continue"/>
                  <w:tcBorders>
                    <w:tl2br w:val="nil"/>
                    <w:tr2bl w:val="nil"/>
                  </w:tcBorders>
                  <w:noWrap w:val="0"/>
                  <w:vAlign w:val="center"/>
                </w:tcPr>
                <w:p w14:paraId="04C14A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p>
              </w:tc>
              <w:tc>
                <w:tcPr>
                  <w:tcW w:w="262" w:type="pct"/>
                  <w:vMerge w:val="continue"/>
                  <w:tcBorders>
                    <w:tl2br w:val="nil"/>
                    <w:tr2bl w:val="nil"/>
                  </w:tcBorders>
                  <w:noWrap w:val="0"/>
                  <w:vAlign w:val="center"/>
                </w:tcPr>
                <w:p w14:paraId="067560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rPr>
                  </w:pPr>
                </w:p>
              </w:tc>
              <w:tc>
                <w:tcPr>
                  <w:tcW w:w="404" w:type="pct"/>
                  <w:vMerge w:val="continue"/>
                  <w:tcBorders>
                    <w:tl2br w:val="nil"/>
                    <w:tr2bl w:val="nil"/>
                  </w:tcBorders>
                  <w:noWrap w:val="0"/>
                  <w:vAlign w:val="center"/>
                </w:tcPr>
                <w:p w14:paraId="2A7A170B">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p>
              </w:tc>
            </w:tr>
            <w:tr w14:paraId="7172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2" w:type="pct"/>
                  <w:vMerge w:val="continue"/>
                  <w:tcBorders>
                    <w:tl2br w:val="nil"/>
                    <w:tr2bl w:val="nil"/>
                  </w:tcBorders>
                  <w:noWrap w:val="0"/>
                  <w:vAlign w:val="center"/>
                </w:tcPr>
                <w:p w14:paraId="18FC71AB">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p>
              </w:tc>
              <w:tc>
                <w:tcPr>
                  <w:tcW w:w="262" w:type="pct"/>
                  <w:vMerge w:val="continue"/>
                  <w:tcBorders>
                    <w:tl2br w:val="nil"/>
                    <w:tr2bl w:val="nil"/>
                  </w:tcBorders>
                  <w:noWrap w:val="0"/>
                  <w:vAlign w:val="center"/>
                </w:tcPr>
                <w:p w14:paraId="55C13762">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lang w:val="en-US" w:eastAsia="zh-CN"/>
                    </w:rPr>
                  </w:pPr>
                </w:p>
              </w:tc>
              <w:tc>
                <w:tcPr>
                  <w:tcW w:w="298" w:type="pct"/>
                  <w:vMerge w:val="continue"/>
                  <w:tcBorders>
                    <w:tl2br w:val="nil"/>
                    <w:tr2bl w:val="nil"/>
                  </w:tcBorders>
                  <w:noWrap w:val="0"/>
                  <w:vAlign w:val="center"/>
                </w:tcPr>
                <w:p w14:paraId="4402B959">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342" w:type="pct"/>
                  <w:tcBorders>
                    <w:tl2br w:val="nil"/>
                    <w:tr2bl w:val="nil"/>
                  </w:tcBorders>
                  <w:noWrap w:val="0"/>
                  <w:vAlign w:val="center"/>
                </w:tcPr>
                <w:p w14:paraId="41B78E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SS</w:t>
                  </w:r>
                </w:p>
              </w:tc>
              <w:tc>
                <w:tcPr>
                  <w:tcW w:w="336" w:type="pct"/>
                  <w:tcBorders>
                    <w:tl2br w:val="nil"/>
                    <w:tr2bl w:val="nil"/>
                  </w:tcBorders>
                  <w:noWrap w:val="0"/>
                  <w:vAlign w:val="center"/>
                </w:tcPr>
                <w:p w14:paraId="550ABF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kern w:val="0"/>
                      <w:sz w:val="21"/>
                      <w:szCs w:val="21"/>
                      <w:highlight w:val="none"/>
                      <w:lang w:val="en-US" w:eastAsia="zh-CN"/>
                    </w:rPr>
                  </w:pPr>
                  <w:r>
                    <w:rPr>
                      <w:rFonts w:hint="default" w:ascii="Times New Roman" w:hAnsi="Times New Roman" w:cs="Times New Roman"/>
                      <w:bCs/>
                      <w:color w:val="auto"/>
                      <w:kern w:val="0"/>
                      <w:sz w:val="21"/>
                      <w:szCs w:val="21"/>
                      <w:highlight w:val="none"/>
                      <w:lang w:val="en-US" w:eastAsia="zh-CN"/>
                    </w:rPr>
                    <w:t>200</w:t>
                  </w:r>
                </w:p>
              </w:tc>
              <w:tc>
                <w:tcPr>
                  <w:tcW w:w="360" w:type="pct"/>
                  <w:tcBorders>
                    <w:tl2br w:val="nil"/>
                    <w:tr2bl w:val="nil"/>
                  </w:tcBorders>
                  <w:noWrap w:val="0"/>
                  <w:vAlign w:val="center"/>
                </w:tcPr>
                <w:p w14:paraId="446FAF3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0.055</w:t>
                  </w:r>
                </w:p>
              </w:tc>
              <w:tc>
                <w:tcPr>
                  <w:tcW w:w="262" w:type="pct"/>
                  <w:vMerge w:val="continue"/>
                  <w:tcBorders>
                    <w:tl2br w:val="nil"/>
                    <w:tr2bl w:val="nil"/>
                  </w:tcBorders>
                  <w:noWrap w:val="0"/>
                  <w:vAlign w:val="center"/>
                </w:tcPr>
                <w:p w14:paraId="6F6A9B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rPr>
                  </w:pPr>
                </w:p>
              </w:tc>
              <w:tc>
                <w:tcPr>
                  <w:tcW w:w="262" w:type="pct"/>
                  <w:tcBorders>
                    <w:tl2br w:val="nil"/>
                    <w:tr2bl w:val="nil"/>
                  </w:tcBorders>
                  <w:noWrap w:val="0"/>
                  <w:vAlign w:val="center"/>
                </w:tcPr>
                <w:p w14:paraId="007CAD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r>
                    <w:rPr>
                      <w:rFonts w:hint="eastAsia" w:cs="Times New Roman"/>
                      <w:bCs/>
                      <w:color w:val="auto"/>
                      <w:kern w:val="0"/>
                      <w:sz w:val="21"/>
                      <w:szCs w:val="21"/>
                      <w:highlight w:val="none"/>
                      <w:lang w:val="en-US" w:eastAsia="zh-CN"/>
                    </w:rPr>
                    <w:t>95</w:t>
                  </w:r>
                </w:p>
              </w:tc>
              <w:tc>
                <w:tcPr>
                  <w:tcW w:w="262" w:type="pct"/>
                  <w:vMerge w:val="continue"/>
                  <w:tcBorders>
                    <w:tl2br w:val="nil"/>
                    <w:tr2bl w:val="nil"/>
                  </w:tcBorders>
                  <w:noWrap w:val="0"/>
                  <w:vAlign w:val="center"/>
                </w:tcPr>
                <w:p w14:paraId="34406864">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p>
              </w:tc>
              <w:tc>
                <w:tcPr>
                  <w:tcW w:w="298" w:type="pct"/>
                  <w:vMerge w:val="continue"/>
                  <w:tcBorders>
                    <w:tl2br w:val="nil"/>
                    <w:tr2bl w:val="nil"/>
                  </w:tcBorders>
                  <w:noWrap w:val="0"/>
                  <w:vAlign w:val="center"/>
                </w:tcPr>
                <w:p w14:paraId="39E4F25C">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336" w:type="pct"/>
                  <w:tcBorders>
                    <w:tl2br w:val="nil"/>
                    <w:tr2bl w:val="nil"/>
                  </w:tcBorders>
                  <w:noWrap w:val="0"/>
                  <w:vAlign w:val="center"/>
                </w:tcPr>
                <w:p w14:paraId="2B6FF5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w:t>
                  </w:r>
                </w:p>
              </w:tc>
              <w:tc>
                <w:tcPr>
                  <w:tcW w:w="262" w:type="pct"/>
                  <w:tcBorders>
                    <w:tl2br w:val="nil"/>
                    <w:tr2bl w:val="nil"/>
                  </w:tcBorders>
                  <w:noWrap w:val="0"/>
                  <w:vAlign w:val="center"/>
                </w:tcPr>
                <w:p w14:paraId="3AF915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w:t>
                  </w:r>
                </w:p>
              </w:tc>
              <w:tc>
                <w:tcPr>
                  <w:tcW w:w="262" w:type="pct"/>
                  <w:vMerge w:val="continue"/>
                  <w:tcBorders>
                    <w:tl2br w:val="nil"/>
                    <w:tr2bl w:val="nil"/>
                  </w:tcBorders>
                  <w:noWrap w:val="0"/>
                  <w:vAlign w:val="center"/>
                </w:tcPr>
                <w:p w14:paraId="2EF0DA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p>
              </w:tc>
              <w:tc>
                <w:tcPr>
                  <w:tcW w:w="262" w:type="pct"/>
                  <w:vMerge w:val="continue"/>
                  <w:tcBorders>
                    <w:tl2br w:val="nil"/>
                    <w:tr2bl w:val="nil"/>
                  </w:tcBorders>
                  <w:noWrap w:val="0"/>
                  <w:vAlign w:val="center"/>
                </w:tcPr>
                <w:p w14:paraId="60B0DC75">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p>
              </w:tc>
              <w:tc>
                <w:tcPr>
                  <w:tcW w:w="262" w:type="pct"/>
                  <w:vMerge w:val="continue"/>
                  <w:tcBorders>
                    <w:tl2br w:val="nil"/>
                    <w:tr2bl w:val="nil"/>
                  </w:tcBorders>
                  <w:noWrap w:val="0"/>
                  <w:vAlign w:val="center"/>
                </w:tcPr>
                <w:p w14:paraId="6B7899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p>
              </w:tc>
              <w:tc>
                <w:tcPr>
                  <w:tcW w:w="262" w:type="pct"/>
                  <w:vMerge w:val="continue"/>
                  <w:tcBorders>
                    <w:tl2br w:val="nil"/>
                    <w:tr2bl w:val="nil"/>
                  </w:tcBorders>
                  <w:noWrap w:val="0"/>
                  <w:vAlign w:val="center"/>
                </w:tcPr>
                <w:p w14:paraId="740578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rPr>
                  </w:pPr>
                </w:p>
              </w:tc>
              <w:tc>
                <w:tcPr>
                  <w:tcW w:w="404" w:type="pct"/>
                  <w:vMerge w:val="continue"/>
                  <w:tcBorders>
                    <w:tl2br w:val="nil"/>
                    <w:tr2bl w:val="nil"/>
                  </w:tcBorders>
                  <w:noWrap w:val="0"/>
                  <w:vAlign w:val="center"/>
                </w:tcPr>
                <w:p w14:paraId="62953E79">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p>
              </w:tc>
            </w:tr>
            <w:tr w14:paraId="230A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2" w:type="pct"/>
                  <w:vMerge w:val="continue"/>
                  <w:tcBorders>
                    <w:tl2br w:val="nil"/>
                    <w:tr2bl w:val="nil"/>
                  </w:tcBorders>
                  <w:noWrap w:val="0"/>
                  <w:vAlign w:val="center"/>
                </w:tcPr>
                <w:p w14:paraId="1B126B94">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p>
              </w:tc>
              <w:tc>
                <w:tcPr>
                  <w:tcW w:w="262" w:type="pct"/>
                  <w:vMerge w:val="continue"/>
                  <w:tcBorders>
                    <w:tl2br w:val="nil"/>
                    <w:tr2bl w:val="nil"/>
                  </w:tcBorders>
                  <w:noWrap w:val="0"/>
                  <w:vAlign w:val="center"/>
                </w:tcPr>
                <w:p w14:paraId="284BD738">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lang w:val="en-US" w:eastAsia="zh-CN"/>
                    </w:rPr>
                  </w:pPr>
                </w:p>
              </w:tc>
              <w:tc>
                <w:tcPr>
                  <w:tcW w:w="298" w:type="pct"/>
                  <w:vMerge w:val="continue"/>
                  <w:tcBorders>
                    <w:tl2br w:val="nil"/>
                    <w:tr2bl w:val="nil"/>
                  </w:tcBorders>
                  <w:noWrap w:val="0"/>
                  <w:vAlign w:val="center"/>
                </w:tcPr>
                <w:p w14:paraId="27CC73E2">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342" w:type="pct"/>
                  <w:tcBorders>
                    <w:tl2br w:val="nil"/>
                    <w:tr2bl w:val="nil"/>
                  </w:tcBorders>
                  <w:noWrap w:val="0"/>
                  <w:vAlign w:val="center"/>
                </w:tcPr>
                <w:p w14:paraId="4814DF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氨氮</w:t>
                  </w:r>
                </w:p>
              </w:tc>
              <w:tc>
                <w:tcPr>
                  <w:tcW w:w="336" w:type="pct"/>
                  <w:tcBorders>
                    <w:tl2br w:val="nil"/>
                    <w:tr2bl w:val="nil"/>
                  </w:tcBorders>
                  <w:noWrap w:val="0"/>
                  <w:vAlign w:val="center"/>
                </w:tcPr>
                <w:p w14:paraId="2CE22F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30</w:t>
                  </w:r>
                </w:p>
              </w:tc>
              <w:tc>
                <w:tcPr>
                  <w:tcW w:w="360" w:type="pct"/>
                  <w:tcBorders>
                    <w:tl2br w:val="nil"/>
                    <w:tr2bl w:val="nil"/>
                  </w:tcBorders>
                  <w:noWrap w:val="0"/>
                  <w:vAlign w:val="center"/>
                </w:tcPr>
                <w:p w14:paraId="6AC9CAA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0.008</w:t>
                  </w:r>
                </w:p>
              </w:tc>
              <w:tc>
                <w:tcPr>
                  <w:tcW w:w="262" w:type="pct"/>
                  <w:vMerge w:val="continue"/>
                  <w:tcBorders>
                    <w:tl2br w:val="nil"/>
                    <w:tr2bl w:val="nil"/>
                  </w:tcBorders>
                  <w:noWrap w:val="0"/>
                  <w:vAlign w:val="center"/>
                </w:tcPr>
                <w:p w14:paraId="572FC1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rPr>
                  </w:pPr>
                </w:p>
              </w:tc>
              <w:tc>
                <w:tcPr>
                  <w:tcW w:w="262" w:type="pct"/>
                  <w:tcBorders>
                    <w:tl2br w:val="nil"/>
                    <w:tr2bl w:val="nil"/>
                  </w:tcBorders>
                  <w:noWrap w:val="0"/>
                  <w:vAlign w:val="center"/>
                </w:tcPr>
                <w:p w14:paraId="5A993E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r>
                    <w:rPr>
                      <w:rFonts w:hint="eastAsia" w:cs="Times New Roman"/>
                      <w:bCs/>
                      <w:color w:val="auto"/>
                      <w:kern w:val="0"/>
                      <w:sz w:val="21"/>
                      <w:szCs w:val="21"/>
                      <w:highlight w:val="none"/>
                      <w:lang w:val="en-US" w:eastAsia="zh-CN"/>
                    </w:rPr>
                    <w:t>81.2</w:t>
                  </w:r>
                </w:p>
              </w:tc>
              <w:tc>
                <w:tcPr>
                  <w:tcW w:w="262" w:type="pct"/>
                  <w:vMerge w:val="continue"/>
                  <w:tcBorders>
                    <w:tl2br w:val="nil"/>
                    <w:tr2bl w:val="nil"/>
                  </w:tcBorders>
                  <w:noWrap w:val="0"/>
                  <w:vAlign w:val="center"/>
                </w:tcPr>
                <w:p w14:paraId="603558E8">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p>
              </w:tc>
              <w:tc>
                <w:tcPr>
                  <w:tcW w:w="298" w:type="pct"/>
                  <w:vMerge w:val="continue"/>
                  <w:tcBorders>
                    <w:tl2br w:val="nil"/>
                    <w:tr2bl w:val="nil"/>
                  </w:tcBorders>
                  <w:noWrap w:val="0"/>
                  <w:vAlign w:val="center"/>
                </w:tcPr>
                <w:p w14:paraId="24E5764F">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336" w:type="pct"/>
                  <w:tcBorders>
                    <w:tl2br w:val="nil"/>
                    <w:tr2bl w:val="nil"/>
                  </w:tcBorders>
                  <w:noWrap w:val="0"/>
                  <w:vAlign w:val="center"/>
                </w:tcPr>
                <w:p w14:paraId="7031AF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w:t>
                  </w:r>
                </w:p>
              </w:tc>
              <w:tc>
                <w:tcPr>
                  <w:tcW w:w="262" w:type="pct"/>
                  <w:tcBorders>
                    <w:tl2br w:val="nil"/>
                    <w:tr2bl w:val="nil"/>
                  </w:tcBorders>
                  <w:noWrap w:val="0"/>
                  <w:vAlign w:val="center"/>
                </w:tcPr>
                <w:p w14:paraId="61EDCB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w:t>
                  </w:r>
                </w:p>
              </w:tc>
              <w:tc>
                <w:tcPr>
                  <w:tcW w:w="262" w:type="pct"/>
                  <w:vMerge w:val="continue"/>
                  <w:tcBorders>
                    <w:tl2br w:val="nil"/>
                    <w:tr2bl w:val="nil"/>
                  </w:tcBorders>
                  <w:noWrap w:val="0"/>
                  <w:vAlign w:val="center"/>
                </w:tcPr>
                <w:p w14:paraId="5B00D3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p>
              </w:tc>
              <w:tc>
                <w:tcPr>
                  <w:tcW w:w="262" w:type="pct"/>
                  <w:vMerge w:val="continue"/>
                  <w:tcBorders>
                    <w:tl2br w:val="nil"/>
                    <w:tr2bl w:val="nil"/>
                  </w:tcBorders>
                  <w:noWrap w:val="0"/>
                  <w:vAlign w:val="center"/>
                </w:tcPr>
                <w:p w14:paraId="33D7535D">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p>
              </w:tc>
              <w:tc>
                <w:tcPr>
                  <w:tcW w:w="262" w:type="pct"/>
                  <w:vMerge w:val="continue"/>
                  <w:tcBorders>
                    <w:tl2br w:val="nil"/>
                    <w:tr2bl w:val="nil"/>
                  </w:tcBorders>
                  <w:noWrap w:val="0"/>
                  <w:vAlign w:val="center"/>
                </w:tcPr>
                <w:p w14:paraId="74A230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p>
              </w:tc>
              <w:tc>
                <w:tcPr>
                  <w:tcW w:w="262" w:type="pct"/>
                  <w:vMerge w:val="continue"/>
                  <w:tcBorders>
                    <w:tl2br w:val="nil"/>
                    <w:tr2bl w:val="nil"/>
                  </w:tcBorders>
                  <w:noWrap w:val="0"/>
                  <w:vAlign w:val="center"/>
                </w:tcPr>
                <w:p w14:paraId="7F8F7C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rPr>
                  </w:pPr>
                </w:p>
              </w:tc>
              <w:tc>
                <w:tcPr>
                  <w:tcW w:w="404" w:type="pct"/>
                  <w:vMerge w:val="continue"/>
                  <w:tcBorders>
                    <w:tl2br w:val="nil"/>
                    <w:tr2bl w:val="nil"/>
                  </w:tcBorders>
                  <w:noWrap w:val="0"/>
                  <w:vAlign w:val="center"/>
                </w:tcPr>
                <w:p w14:paraId="5F9EB73E">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Cs/>
                      <w:color w:val="auto"/>
                      <w:kern w:val="0"/>
                      <w:sz w:val="21"/>
                      <w:szCs w:val="21"/>
                      <w:highlight w:val="none"/>
                      <w:lang w:val="en-US" w:eastAsia="zh-CN"/>
                    </w:rPr>
                  </w:pPr>
                </w:p>
              </w:tc>
            </w:tr>
          </w:tbl>
          <w:p w14:paraId="33356C58">
            <w:pPr>
              <w:rPr>
                <w:color w:val="auto"/>
                <w:vertAlign w:val="baseline"/>
              </w:rPr>
            </w:pPr>
          </w:p>
          <w:p w14:paraId="10826C7B">
            <w:pPr>
              <w:rPr>
                <w:color w:val="auto"/>
                <w:vertAlign w:val="baseline"/>
              </w:rPr>
            </w:pPr>
          </w:p>
          <w:p w14:paraId="5267D35F">
            <w:pPr>
              <w:ind w:left="0" w:leftChars="0" w:firstLine="0" w:firstLineChars="0"/>
              <w:rPr>
                <w:color w:val="auto"/>
                <w:vertAlign w:val="baseline"/>
              </w:rPr>
            </w:pPr>
          </w:p>
          <w:p w14:paraId="1BB56D0F">
            <w:pPr>
              <w:ind w:left="0" w:leftChars="0" w:firstLine="0" w:firstLineChars="0"/>
              <w:rPr>
                <w:color w:val="auto"/>
                <w:vertAlign w:val="baseline"/>
              </w:rPr>
            </w:pPr>
          </w:p>
        </w:tc>
      </w:tr>
    </w:tbl>
    <w:p w14:paraId="3EB142D8">
      <w:pPr>
        <w:ind w:firstLine="0" w:firstLineChars="0"/>
        <w:rPr>
          <w:color w:val="auto"/>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
        <w:gridCol w:w="8064"/>
      </w:tblGrid>
      <w:tr w14:paraId="54ADB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6" w:hRule="atLeast"/>
        </w:trPr>
        <w:tc>
          <w:tcPr>
            <w:tcW w:w="458" w:type="dxa"/>
            <w:vAlign w:val="center"/>
          </w:tcPr>
          <w:p w14:paraId="555B34A3">
            <w:pP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hint="eastAsia" w:ascii="宋体" w:hAnsi="宋体" w:eastAsia="宋体" w:cs="宋体"/>
                <w:color w:val="auto"/>
                <w:vertAlign w:val="baseline"/>
              </w:rPr>
            </w:pPr>
            <w:r>
              <w:rPr>
                <w:rFonts w:hint="eastAsia" w:ascii="宋体" w:hAnsi="宋体" w:eastAsia="宋体" w:cs="宋体"/>
                <w:color w:val="auto"/>
                <w:vertAlign w:val="baseline"/>
              </w:rPr>
              <w:t>运营</w:t>
            </w:r>
          </w:p>
          <w:p w14:paraId="38B9BA31">
            <w:pP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hint="eastAsia" w:ascii="宋体" w:hAnsi="宋体" w:eastAsia="宋体" w:cs="宋体"/>
                <w:color w:val="auto"/>
                <w:vertAlign w:val="baseline"/>
              </w:rPr>
            </w:pPr>
            <w:r>
              <w:rPr>
                <w:rFonts w:hint="eastAsia" w:ascii="宋体" w:hAnsi="宋体" w:eastAsia="宋体" w:cs="宋体"/>
                <w:color w:val="auto"/>
                <w:vertAlign w:val="baseline"/>
              </w:rPr>
              <w:t>期环</w:t>
            </w:r>
          </w:p>
          <w:p w14:paraId="670F2AB5">
            <w:pP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hint="eastAsia" w:ascii="宋体" w:hAnsi="宋体" w:eastAsia="宋体" w:cs="宋体"/>
                <w:color w:val="auto"/>
                <w:vertAlign w:val="baseline"/>
              </w:rPr>
            </w:pPr>
            <w:r>
              <w:rPr>
                <w:rFonts w:hint="eastAsia" w:ascii="宋体" w:hAnsi="宋体" w:eastAsia="宋体" w:cs="宋体"/>
                <w:color w:val="auto"/>
                <w:vertAlign w:val="baseline"/>
              </w:rPr>
              <w:t>境影</w:t>
            </w:r>
          </w:p>
          <w:p w14:paraId="003E2C96">
            <w:pP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hint="eastAsia" w:ascii="宋体" w:hAnsi="宋体" w:eastAsia="宋体" w:cs="宋体"/>
                <w:color w:val="auto"/>
                <w:vertAlign w:val="baseline"/>
              </w:rPr>
            </w:pPr>
            <w:r>
              <w:rPr>
                <w:rFonts w:hint="eastAsia" w:ascii="宋体" w:hAnsi="宋体" w:eastAsia="宋体" w:cs="宋体"/>
                <w:color w:val="auto"/>
                <w:vertAlign w:val="baseline"/>
              </w:rPr>
              <w:t>响和</w:t>
            </w:r>
          </w:p>
          <w:p w14:paraId="31789F39">
            <w:pP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hint="eastAsia" w:ascii="宋体" w:hAnsi="宋体" w:eastAsia="宋体" w:cs="宋体"/>
                <w:color w:val="auto"/>
                <w:vertAlign w:val="baseline"/>
              </w:rPr>
            </w:pPr>
            <w:r>
              <w:rPr>
                <w:rFonts w:hint="eastAsia" w:ascii="宋体" w:hAnsi="宋体" w:eastAsia="宋体" w:cs="宋体"/>
                <w:color w:val="auto"/>
                <w:vertAlign w:val="baseline"/>
              </w:rPr>
              <w:t>保护</w:t>
            </w:r>
          </w:p>
          <w:p w14:paraId="713354C5">
            <w:pP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hint="eastAsia" w:ascii="宋体" w:hAnsi="宋体" w:eastAsia="宋体" w:cs="宋体"/>
                <w:color w:val="auto"/>
                <w:vertAlign w:val="baseline"/>
              </w:rPr>
            </w:pPr>
            <w:r>
              <w:rPr>
                <w:rFonts w:hint="eastAsia" w:ascii="宋体" w:hAnsi="宋体" w:eastAsia="宋体" w:cs="宋体"/>
                <w:color w:val="auto"/>
                <w:vertAlign w:val="baseline"/>
              </w:rPr>
              <w:t>措施</w:t>
            </w:r>
          </w:p>
        </w:tc>
        <w:tc>
          <w:tcPr>
            <w:tcW w:w="8064" w:type="dxa"/>
          </w:tcPr>
          <w:p w14:paraId="42D50D62">
            <w:pPr>
              <w:bidi w:val="0"/>
              <w:rPr>
                <w:rFonts w:hint="default"/>
                <w:b/>
                <w:bCs/>
                <w:color w:val="auto"/>
              </w:rPr>
            </w:pPr>
            <w:r>
              <w:rPr>
                <w:rFonts w:hint="eastAsia"/>
                <w:b/>
                <w:bCs/>
                <w:color w:val="auto"/>
                <w:lang w:val="en-US" w:eastAsia="zh-CN"/>
              </w:rPr>
              <w:t>2、主要污染工序及源强分析</w:t>
            </w:r>
          </w:p>
          <w:p w14:paraId="1E0A01D7">
            <w:pPr>
              <w:bidi w:val="0"/>
              <w:rPr>
                <w:rFonts w:hint="eastAsia"/>
                <w:color w:val="auto"/>
                <w:lang w:eastAsia="zh-CN"/>
              </w:rPr>
            </w:pPr>
            <w:r>
              <w:rPr>
                <w:rFonts w:hint="eastAsia"/>
                <w:color w:val="auto"/>
                <w:lang w:eastAsia="zh-CN"/>
              </w:rPr>
              <w:t>本项目运营期产生的废水主要有冷却废水、生活污水、</w:t>
            </w:r>
            <w:r>
              <w:rPr>
                <w:rFonts w:hint="eastAsia"/>
                <w:color w:val="auto"/>
                <w:lang w:val="en-US" w:eastAsia="zh-CN"/>
              </w:rPr>
              <w:t>初期雨水</w:t>
            </w:r>
            <w:r>
              <w:rPr>
                <w:rFonts w:hint="eastAsia"/>
                <w:color w:val="auto"/>
                <w:lang w:eastAsia="zh-CN"/>
              </w:rPr>
              <w:t>。</w:t>
            </w:r>
          </w:p>
          <w:p w14:paraId="6B403DBE">
            <w:pPr>
              <w:bidi w:val="0"/>
              <w:rPr>
                <w:rFonts w:hint="eastAsia"/>
                <w:b/>
                <w:bCs/>
                <w:color w:val="auto"/>
                <w:lang w:val="en-US" w:eastAsia="zh-CN"/>
              </w:rPr>
            </w:pPr>
            <w:r>
              <w:rPr>
                <w:rFonts w:hint="eastAsia"/>
                <w:b/>
                <w:bCs/>
                <w:color w:val="auto"/>
                <w:lang w:val="en-US" w:eastAsia="zh-CN"/>
              </w:rPr>
              <w:t>（1）废水产排情况核算</w:t>
            </w:r>
          </w:p>
          <w:p w14:paraId="504C6F57">
            <w:pPr>
              <w:bidi w:val="0"/>
              <w:rPr>
                <w:rFonts w:hint="eastAsia"/>
                <w:b/>
                <w:bCs/>
                <w:color w:val="auto"/>
                <w:lang w:eastAsia="zh-CN"/>
              </w:rPr>
            </w:pPr>
            <w:r>
              <w:rPr>
                <w:rFonts w:hint="eastAsia"/>
                <w:b/>
                <w:bCs/>
                <w:color w:val="auto"/>
                <w:lang w:eastAsia="zh-CN"/>
              </w:rPr>
              <w:fldChar w:fldCharType="begin"/>
            </w:r>
            <w:r>
              <w:rPr>
                <w:rFonts w:hint="eastAsia"/>
                <w:b/>
                <w:bCs/>
                <w:color w:val="auto"/>
                <w:lang w:eastAsia="zh-CN"/>
              </w:rPr>
              <w:instrText xml:space="preserve"> = 1 \* GB3 \* MERGEFORMAT </w:instrText>
            </w:r>
            <w:r>
              <w:rPr>
                <w:rFonts w:hint="eastAsia"/>
                <w:b/>
                <w:bCs/>
                <w:color w:val="auto"/>
                <w:lang w:eastAsia="zh-CN"/>
              </w:rPr>
              <w:fldChar w:fldCharType="separate"/>
            </w:r>
            <w:r>
              <w:rPr>
                <w:b/>
                <w:bCs/>
                <w:color w:val="auto"/>
              </w:rPr>
              <w:t>①</w:t>
            </w:r>
            <w:r>
              <w:rPr>
                <w:rFonts w:hint="eastAsia"/>
                <w:b/>
                <w:bCs/>
                <w:color w:val="auto"/>
                <w:lang w:eastAsia="zh-CN"/>
              </w:rPr>
              <w:fldChar w:fldCharType="end"/>
            </w:r>
            <w:r>
              <w:rPr>
                <w:rFonts w:hint="eastAsia"/>
                <w:b/>
                <w:bCs/>
                <w:color w:val="auto"/>
                <w:lang w:eastAsia="zh-CN"/>
              </w:rPr>
              <w:t>生产废水</w:t>
            </w:r>
          </w:p>
          <w:p w14:paraId="6857EF41">
            <w:pPr>
              <w:bidi w:val="0"/>
              <w:rPr>
                <w:rFonts w:hint="eastAsia"/>
                <w:b w:val="0"/>
                <w:bCs w:val="0"/>
                <w:color w:val="auto"/>
                <w:lang w:eastAsia="zh-CN"/>
              </w:rPr>
            </w:pPr>
            <w:r>
              <w:rPr>
                <w:rFonts w:hint="eastAsia"/>
                <w:b w:val="0"/>
                <w:bCs w:val="0"/>
                <w:color w:val="auto"/>
                <w:lang w:eastAsia="zh-CN"/>
              </w:rPr>
              <w:t>本项目的生产废水主要是直接冷却水。</w:t>
            </w:r>
          </w:p>
          <w:p w14:paraId="4D8F1AD3">
            <w:pPr>
              <w:bidi w:val="0"/>
              <w:rPr>
                <w:rFonts w:hint="default"/>
                <w:b w:val="0"/>
                <w:bCs w:val="0"/>
                <w:color w:val="auto"/>
                <w:vertAlign w:val="baseline"/>
                <w:lang w:val="en-US" w:eastAsia="zh-CN"/>
              </w:rPr>
            </w:pPr>
            <w:r>
              <w:rPr>
                <w:rFonts w:hint="eastAsia"/>
                <w:b w:val="0"/>
                <w:bCs w:val="0"/>
                <w:color w:val="auto"/>
                <w:lang w:eastAsia="zh-CN"/>
              </w:rPr>
              <w:t>直接冷却水主要是对焊管进行冷却，与物料直接接触，为直接冷却水，通过生产线下方排水沟引入</w:t>
            </w:r>
            <w:r>
              <w:rPr>
                <w:rFonts w:hint="eastAsia"/>
                <w:b w:val="0"/>
                <w:bCs w:val="0"/>
                <w:color w:val="auto"/>
                <w:lang w:val="en-US" w:eastAsia="zh-CN"/>
              </w:rPr>
              <w:t>循环冷却</w:t>
            </w:r>
            <w:r>
              <w:rPr>
                <w:rFonts w:hint="eastAsia"/>
                <w:b w:val="0"/>
                <w:bCs w:val="0"/>
                <w:color w:val="auto"/>
                <w:lang w:eastAsia="zh-CN"/>
              </w:rPr>
              <w:t>池，冷却水经沉淀、冷却后循环</w:t>
            </w:r>
            <w:r>
              <w:rPr>
                <w:rFonts w:hint="eastAsia"/>
                <w:b w:val="0"/>
                <w:bCs w:val="0"/>
                <w:color w:val="auto"/>
                <w:lang w:val="en-US" w:eastAsia="zh-CN"/>
              </w:rPr>
              <w:t>使用</w:t>
            </w:r>
            <w:r>
              <w:rPr>
                <w:rFonts w:hint="eastAsia"/>
                <w:b w:val="0"/>
                <w:bCs w:val="0"/>
                <w:color w:val="auto"/>
                <w:lang w:eastAsia="zh-CN"/>
              </w:rPr>
              <w:t>，不足时定期补充，不外排。</w:t>
            </w:r>
            <w:r>
              <w:rPr>
                <w:rFonts w:hint="eastAsia"/>
                <w:b w:val="0"/>
                <w:bCs w:val="0"/>
                <w:color w:val="auto"/>
                <w:lang w:val="en-US" w:eastAsia="zh-CN"/>
              </w:rPr>
              <w:t>厂区目前共设置8个循环冷却池，其中2个容积为30m</w:t>
            </w:r>
            <w:r>
              <w:rPr>
                <w:rFonts w:hint="eastAsia"/>
                <w:b w:val="0"/>
                <w:bCs w:val="0"/>
                <w:color w:val="auto"/>
                <w:vertAlign w:val="superscript"/>
                <w:lang w:val="en-US" w:eastAsia="zh-CN"/>
              </w:rPr>
              <w:t>3</w:t>
            </w:r>
            <w:r>
              <w:rPr>
                <w:rFonts w:hint="eastAsia"/>
                <w:b w:val="0"/>
                <w:bCs w:val="0"/>
                <w:color w:val="auto"/>
                <w:lang w:val="en-US" w:eastAsia="zh-CN"/>
              </w:rPr>
              <w:t>的循环冷却池，1个容积为15m</w:t>
            </w:r>
            <w:r>
              <w:rPr>
                <w:rFonts w:hint="eastAsia"/>
                <w:b w:val="0"/>
                <w:bCs w:val="0"/>
                <w:color w:val="auto"/>
                <w:vertAlign w:val="superscript"/>
                <w:lang w:val="en-US" w:eastAsia="zh-CN"/>
              </w:rPr>
              <w:t>3</w:t>
            </w:r>
            <w:r>
              <w:rPr>
                <w:rFonts w:hint="eastAsia"/>
                <w:b w:val="0"/>
                <w:bCs w:val="0"/>
                <w:color w:val="auto"/>
                <w:lang w:val="en-US" w:eastAsia="zh-CN"/>
              </w:rPr>
              <w:t>的循环冷却水池，1个10m</w:t>
            </w:r>
            <w:r>
              <w:rPr>
                <w:rFonts w:hint="eastAsia"/>
                <w:b w:val="0"/>
                <w:bCs w:val="0"/>
                <w:color w:val="auto"/>
                <w:vertAlign w:val="superscript"/>
                <w:lang w:val="en-US" w:eastAsia="zh-CN"/>
              </w:rPr>
              <w:t>3</w:t>
            </w:r>
            <w:r>
              <w:rPr>
                <w:rFonts w:hint="eastAsia"/>
                <w:b w:val="0"/>
                <w:bCs w:val="0"/>
                <w:color w:val="auto"/>
                <w:lang w:val="en-US" w:eastAsia="zh-CN"/>
              </w:rPr>
              <w:t>的循环冷却水池，4个容积均为20m</w:t>
            </w:r>
            <w:r>
              <w:rPr>
                <w:rFonts w:hint="eastAsia"/>
                <w:b w:val="0"/>
                <w:bCs w:val="0"/>
                <w:color w:val="auto"/>
                <w:vertAlign w:val="superscript"/>
                <w:lang w:val="en-US" w:eastAsia="zh-CN"/>
              </w:rPr>
              <w:t>3</w:t>
            </w:r>
            <w:r>
              <w:rPr>
                <w:rFonts w:hint="eastAsia"/>
                <w:b w:val="0"/>
                <w:bCs w:val="0"/>
                <w:color w:val="auto"/>
                <w:lang w:val="en-US" w:eastAsia="zh-CN"/>
              </w:rPr>
              <w:t>的循环冷却池，冷却池总容积为165m</w:t>
            </w:r>
            <w:r>
              <w:rPr>
                <w:rFonts w:hint="eastAsia"/>
                <w:b w:val="0"/>
                <w:bCs w:val="0"/>
                <w:color w:val="auto"/>
                <w:vertAlign w:val="superscript"/>
                <w:lang w:val="en-US" w:eastAsia="zh-CN"/>
              </w:rPr>
              <w:t>3</w:t>
            </w:r>
            <w:r>
              <w:rPr>
                <w:rFonts w:hint="eastAsia"/>
                <w:b w:val="0"/>
                <w:bCs w:val="0"/>
                <w:color w:val="auto"/>
                <w:lang w:val="en-US" w:eastAsia="zh-CN"/>
              </w:rPr>
              <w:t>。</w:t>
            </w:r>
          </w:p>
          <w:p w14:paraId="6C5765E4">
            <w:pPr>
              <w:bidi w:val="0"/>
              <w:rPr>
                <w:rFonts w:hint="eastAsia"/>
                <w:b/>
                <w:bCs/>
                <w:color w:val="auto"/>
                <w:lang w:val="en-US" w:eastAsia="zh-CN"/>
              </w:rPr>
            </w:pPr>
            <w:r>
              <w:rPr>
                <w:rFonts w:hint="default"/>
                <w:b/>
                <w:bCs/>
                <w:color w:val="auto"/>
                <w:lang w:val="en-US" w:eastAsia="zh-CN"/>
              </w:rPr>
              <w:fldChar w:fldCharType="begin"/>
            </w:r>
            <w:r>
              <w:rPr>
                <w:rFonts w:hint="default"/>
                <w:b/>
                <w:bCs/>
                <w:color w:val="auto"/>
                <w:lang w:val="en-US" w:eastAsia="zh-CN"/>
              </w:rPr>
              <w:instrText xml:space="preserve"> = 2 \* GB3 \* MERGEFORMAT </w:instrText>
            </w:r>
            <w:r>
              <w:rPr>
                <w:rFonts w:hint="default"/>
                <w:b/>
                <w:bCs/>
                <w:color w:val="auto"/>
                <w:lang w:val="en-US" w:eastAsia="zh-CN"/>
              </w:rPr>
              <w:fldChar w:fldCharType="separate"/>
            </w:r>
            <w:r>
              <w:rPr>
                <w:b/>
                <w:bCs/>
                <w:color w:val="auto"/>
              </w:rPr>
              <w:t>②</w:t>
            </w:r>
            <w:r>
              <w:rPr>
                <w:rFonts w:hint="default"/>
                <w:b/>
                <w:bCs/>
                <w:color w:val="auto"/>
                <w:lang w:val="en-US" w:eastAsia="zh-CN"/>
              </w:rPr>
              <w:fldChar w:fldCharType="end"/>
            </w:r>
            <w:r>
              <w:rPr>
                <w:rFonts w:hint="eastAsia"/>
                <w:b/>
                <w:bCs/>
                <w:color w:val="auto"/>
                <w:lang w:val="en-US" w:eastAsia="zh-CN"/>
              </w:rPr>
              <w:t>生活污水</w:t>
            </w:r>
          </w:p>
          <w:p w14:paraId="1E6910AA">
            <w:pPr>
              <w:bidi w:val="0"/>
              <w:rPr>
                <w:rFonts w:hint="default"/>
                <w:b w:val="0"/>
                <w:bCs w:val="0"/>
                <w:color w:val="auto"/>
                <w:lang w:val="en-US" w:eastAsia="zh-CN"/>
              </w:rPr>
            </w:pPr>
            <w:r>
              <w:rPr>
                <w:rFonts w:hint="default"/>
                <w:b w:val="0"/>
                <w:bCs w:val="0"/>
                <w:color w:val="auto"/>
                <w:lang w:val="en-US" w:eastAsia="zh-CN"/>
              </w:rPr>
              <w:t>本项目劳动定员为</w:t>
            </w:r>
            <w:r>
              <w:rPr>
                <w:rFonts w:hint="eastAsia"/>
                <w:b w:val="0"/>
                <w:bCs w:val="0"/>
                <w:color w:val="auto"/>
                <w:lang w:val="en-US" w:eastAsia="zh-CN"/>
              </w:rPr>
              <w:t>38</w:t>
            </w:r>
            <w:r>
              <w:rPr>
                <w:rFonts w:hint="default"/>
                <w:b w:val="0"/>
                <w:bCs w:val="0"/>
                <w:color w:val="auto"/>
                <w:lang w:val="en-US" w:eastAsia="zh-CN"/>
              </w:rPr>
              <w:t>人，项目区内不提供住宿和用餐，通过工程分析核算，</w:t>
            </w:r>
            <w:r>
              <w:rPr>
                <w:rFonts w:hint="eastAsia"/>
                <w:b w:val="0"/>
                <w:bCs w:val="0"/>
                <w:color w:val="auto"/>
                <w:lang w:val="en-US" w:eastAsia="zh-CN"/>
              </w:rPr>
              <w:t>员工生活污水用量为</w:t>
            </w:r>
            <w:r>
              <w:rPr>
                <w:rFonts w:hint="eastAsia" w:eastAsia="宋体"/>
                <w:b w:val="0"/>
                <w:bCs w:val="0"/>
                <w:color w:val="auto"/>
                <w:lang w:val="en-US" w:eastAsia="zh-CN"/>
              </w:rPr>
              <w:t>1.14m</w:t>
            </w:r>
            <w:r>
              <w:rPr>
                <w:rFonts w:hint="eastAsia" w:eastAsia="宋体"/>
                <w:b w:val="0"/>
                <w:bCs w:val="0"/>
                <w:color w:val="auto"/>
                <w:vertAlign w:val="superscript"/>
                <w:lang w:val="en-US" w:eastAsia="zh-CN"/>
              </w:rPr>
              <w:t>3</w:t>
            </w:r>
            <w:r>
              <w:rPr>
                <w:rFonts w:hint="eastAsia" w:eastAsia="宋体"/>
                <w:b w:val="0"/>
                <w:bCs w:val="0"/>
                <w:color w:val="auto"/>
                <w:lang w:val="en-US" w:eastAsia="zh-CN"/>
              </w:rPr>
              <w:t>/d，342m</w:t>
            </w:r>
            <w:r>
              <w:rPr>
                <w:rFonts w:hint="eastAsia" w:eastAsia="宋体"/>
                <w:b w:val="0"/>
                <w:bCs w:val="0"/>
                <w:color w:val="auto"/>
                <w:vertAlign w:val="superscript"/>
                <w:lang w:val="en-US" w:eastAsia="zh-CN"/>
              </w:rPr>
              <w:t>3</w:t>
            </w:r>
            <w:r>
              <w:rPr>
                <w:rFonts w:hint="eastAsia" w:eastAsia="宋体"/>
                <w:b w:val="0"/>
                <w:bCs w:val="0"/>
                <w:color w:val="auto"/>
                <w:lang w:val="en-US" w:eastAsia="zh-CN"/>
              </w:rPr>
              <w:t>/a，生活污水按生活用水量的0.8计，生活污水产生量为0.912m</w:t>
            </w:r>
            <w:r>
              <w:rPr>
                <w:rFonts w:hint="eastAsia" w:eastAsia="宋体"/>
                <w:b w:val="0"/>
                <w:bCs w:val="0"/>
                <w:color w:val="auto"/>
                <w:vertAlign w:val="superscript"/>
                <w:lang w:val="en-US" w:eastAsia="zh-CN"/>
              </w:rPr>
              <w:t>3</w:t>
            </w:r>
            <w:r>
              <w:rPr>
                <w:rFonts w:hint="eastAsia" w:eastAsia="宋体"/>
                <w:b w:val="0"/>
                <w:bCs w:val="0"/>
                <w:color w:val="auto"/>
                <w:lang w:val="en-US" w:eastAsia="zh-CN"/>
              </w:rPr>
              <w:t>/d</w:t>
            </w:r>
            <w:r>
              <w:rPr>
                <w:rFonts w:hint="eastAsia"/>
                <w:b w:val="0"/>
                <w:bCs w:val="0"/>
                <w:color w:val="auto"/>
                <w:lang w:val="en-US" w:eastAsia="zh-CN"/>
              </w:rPr>
              <w:t>，</w:t>
            </w:r>
            <w:r>
              <w:rPr>
                <w:rFonts w:hint="eastAsia" w:eastAsia="宋体"/>
                <w:b w:val="0"/>
                <w:bCs w:val="0"/>
                <w:color w:val="auto"/>
                <w:lang w:val="en-US" w:eastAsia="zh-CN"/>
              </w:rPr>
              <w:t>273.6t/a</w:t>
            </w:r>
            <w:r>
              <w:rPr>
                <w:rFonts w:hint="default"/>
                <w:b w:val="0"/>
                <w:bCs w:val="0"/>
                <w:color w:val="auto"/>
                <w:lang w:val="en-US" w:eastAsia="zh-CN"/>
              </w:rPr>
              <w:t>。生活污水中主要污染物浓度为CODcr：300mg/L，BOD</w:t>
            </w:r>
            <w:r>
              <w:rPr>
                <w:rFonts w:hint="default"/>
                <w:b w:val="0"/>
                <w:bCs w:val="0"/>
                <w:color w:val="auto"/>
                <w:vertAlign w:val="subscript"/>
                <w:lang w:val="en-US" w:eastAsia="zh-CN"/>
              </w:rPr>
              <w:t>5</w:t>
            </w:r>
            <w:r>
              <w:rPr>
                <w:rFonts w:hint="default"/>
                <w:b w:val="0"/>
                <w:bCs w:val="0"/>
                <w:color w:val="auto"/>
                <w:lang w:val="en-US" w:eastAsia="zh-CN"/>
              </w:rPr>
              <w:t>：200mg/L，NH</w:t>
            </w:r>
            <w:r>
              <w:rPr>
                <w:rFonts w:hint="default"/>
                <w:b w:val="0"/>
                <w:bCs w:val="0"/>
                <w:color w:val="auto"/>
                <w:vertAlign w:val="subscript"/>
                <w:lang w:val="en-US" w:eastAsia="zh-CN"/>
              </w:rPr>
              <w:t>3</w:t>
            </w:r>
            <w:r>
              <w:rPr>
                <w:rFonts w:hint="default"/>
                <w:b w:val="0"/>
                <w:bCs w:val="0"/>
                <w:color w:val="auto"/>
                <w:lang w:val="en-US" w:eastAsia="zh-CN"/>
              </w:rPr>
              <w:t>-N：30mg/L、SS：200mg/L，</w:t>
            </w:r>
            <w:r>
              <w:rPr>
                <w:rFonts w:hint="eastAsia"/>
                <w:b w:val="0"/>
                <w:bCs w:val="0"/>
                <w:color w:val="auto"/>
                <w:lang w:val="en-US" w:eastAsia="zh-CN"/>
              </w:rPr>
              <w:t>生活污水经化粪池预处理后进入自建一体化污水处理站处理达到</w:t>
            </w:r>
            <w:r>
              <w:rPr>
                <w:rFonts w:hint="eastAsia" w:cs="Times New Roman"/>
                <w:color w:val="auto"/>
                <w:sz w:val="24"/>
                <w:szCs w:val="24"/>
                <w:highlight w:val="none"/>
                <w:lang w:val="en-US" w:eastAsia="zh-CN"/>
              </w:rPr>
              <w:t>《城市污水再生利用 城市杂用水水质》（GB/T 18920-2020）中城市绿化、道路清扫标准</w:t>
            </w:r>
            <w:r>
              <w:rPr>
                <w:rFonts w:hint="eastAsia"/>
                <w:b w:val="0"/>
                <w:bCs w:val="0"/>
                <w:color w:val="auto"/>
                <w:lang w:val="en-US" w:eastAsia="zh-CN"/>
              </w:rPr>
              <w:t>后暂存于中水池，回用于厂区绿化及道路空地浇洒。生活污水污染物产生浓度计产生量见下表。</w:t>
            </w:r>
          </w:p>
          <w:p w14:paraId="542AAA5D">
            <w:pPr>
              <w:adjustRightInd w:val="0"/>
              <w:snapToGrid w:val="0"/>
              <w:spacing w:line="360" w:lineRule="auto"/>
              <w:ind w:firstLine="0" w:firstLineChars="0"/>
              <w:jc w:val="center"/>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表4-8  生活污水产生浓度及产生量</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1306"/>
              <w:gridCol w:w="1328"/>
              <w:gridCol w:w="1328"/>
              <w:gridCol w:w="1329"/>
              <w:gridCol w:w="1450"/>
            </w:tblGrid>
            <w:tr w14:paraId="536A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8" w:type="pct"/>
                  <w:tcBorders>
                    <w:tl2br w:val="nil"/>
                    <w:tr2bl w:val="nil"/>
                  </w:tcBorders>
                  <w:noWrap w:val="0"/>
                  <w:vAlign w:val="center"/>
                </w:tcPr>
                <w:p w14:paraId="0EF8F1D1">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污水量</w:t>
                  </w:r>
                </w:p>
              </w:tc>
              <w:tc>
                <w:tcPr>
                  <w:tcW w:w="833" w:type="pct"/>
                  <w:tcBorders>
                    <w:tl2br w:val="nil"/>
                    <w:tr2bl w:val="nil"/>
                  </w:tcBorders>
                  <w:noWrap w:val="0"/>
                  <w:vAlign w:val="center"/>
                </w:tcPr>
                <w:p w14:paraId="3E363CD3">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污染物名称</w:t>
                  </w:r>
                </w:p>
              </w:tc>
              <w:tc>
                <w:tcPr>
                  <w:tcW w:w="847" w:type="pct"/>
                  <w:tcBorders>
                    <w:tl2br w:val="nil"/>
                    <w:tr2bl w:val="nil"/>
                  </w:tcBorders>
                  <w:noWrap w:val="0"/>
                  <w:vAlign w:val="center"/>
                </w:tcPr>
                <w:p w14:paraId="2157730B">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COD</w:t>
                  </w:r>
                </w:p>
              </w:tc>
              <w:tc>
                <w:tcPr>
                  <w:tcW w:w="847" w:type="pct"/>
                  <w:tcBorders>
                    <w:tl2br w:val="nil"/>
                    <w:tr2bl w:val="nil"/>
                  </w:tcBorders>
                  <w:noWrap w:val="0"/>
                  <w:vAlign w:val="center"/>
                </w:tcPr>
                <w:p w14:paraId="32479D61">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BOD</w:t>
                  </w:r>
                  <w:r>
                    <w:rPr>
                      <w:rFonts w:hint="eastAsia" w:cs="Times New Roman"/>
                      <w:color w:val="auto"/>
                      <w:sz w:val="21"/>
                      <w:szCs w:val="21"/>
                      <w:highlight w:val="none"/>
                      <w:vertAlign w:val="subscript"/>
                      <w:lang w:val="en-US" w:eastAsia="zh-CN"/>
                    </w:rPr>
                    <w:t>5</w:t>
                  </w:r>
                </w:p>
              </w:tc>
              <w:tc>
                <w:tcPr>
                  <w:tcW w:w="848" w:type="pct"/>
                  <w:tcBorders>
                    <w:tl2br w:val="nil"/>
                    <w:tr2bl w:val="nil"/>
                  </w:tcBorders>
                  <w:noWrap w:val="0"/>
                  <w:vAlign w:val="center"/>
                </w:tcPr>
                <w:p w14:paraId="6C5E71D2">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SS</w:t>
                  </w:r>
                </w:p>
              </w:tc>
              <w:tc>
                <w:tcPr>
                  <w:tcW w:w="925" w:type="pct"/>
                  <w:tcBorders>
                    <w:tl2br w:val="nil"/>
                    <w:tr2bl w:val="nil"/>
                  </w:tcBorders>
                  <w:noWrap w:val="0"/>
                  <w:vAlign w:val="center"/>
                </w:tcPr>
                <w:p w14:paraId="2D464EB5">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氨氮</w:t>
                  </w:r>
                </w:p>
              </w:tc>
            </w:tr>
            <w:tr w14:paraId="2559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8" w:type="pct"/>
                  <w:vMerge w:val="restart"/>
                  <w:tcBorders>
                    <w:tl2br w:val="nil"/>
                    <w:tr2bl w:val="nil"/>
                  </w:tcBorders>
                  <w:noWrap w:val="0"/>
                  <w:vAlign w:val="center"/>
                </w:tcPr>
                <w:p w14:paraId="6C1FAAC0">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生活污水量273.6m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vertAlign w:val="baseline"/>
                      <w:lang w:val="en-US" w:eastAsia="zh-CN"/>
                    </w:rPr>
                    <w:t>/a</w:t>
                  </w:r>
                </w:p>
              </w:tc>
              <w:tc>
                <w:tcPr>
                  <w:tcW w:w="833" w:type="pct"/>
                  <w:tcBorders>
                    <w:tl2br w:val="nil"/>
                    <w:tr2bl w:val="nil"/>
                  </w:tcBorders>
                  <w:noWrap w:val="0"/>
                  <w:vAlign w:val="center"/>
                </w:tcPr>
                <w:p w14:paraId="472398B6">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产生浓度（mg/L）</w:t>
                  </w:r>
                </w:p>
              </w:tc>
              <w:tc>
                <w:tcPr>
                  <w:tcW w:w="847" w:type="pct"/>
                  <w:tcBorders>
                    <w:tl2br w:val="nil"/>
                    <w:tr2bl w:val="nil"/>
                  </w:tcBorders>
                  <w:noWrap w:val="0"/>
                  <w:vAlign w:val="center"/>
                </w:tcPr>
                <w:p w14:paraId="2D55FE48">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highlight w:val="none"/>
                      <w:vertAlign w:val="baseline"/>
                      <w:lang w:val="en-US" w:eastAsia="zh-CN"/>
                    </w:rPr>
                  </w:pPr>
                  <w:r>
                    <w:rPr>
                      <w:rFonts w:hint="default" w:cs="Times New Roman"/>
                      <w:color w:val="auto"/>
                      <w:sz w:val="21"/>
                      <w:szCs w:val="21"/>
                      <w:highlight w:val="none"/>
                      <w:vertAlign w:val="baseline"/>
                      <w:lang w:val="en-US" w:eastAsia="zh-CN"/>
                    </w:rPr>
                    <w:t>300</w:t>
                  </w:r>
                </w:p>
              </w:tc>
              <w:tc>
                <w:tcPr>
                  <w:tcW w:w="847" w:type="pct"/>
                  <w:tcBorders>
                    <w:tl2br w:val="nil"/>
                    <w:tr2bl w:val="nil"/>
                  </w:tcBorders>
                  <w:noWrap w:val="0"/>
                  <w:vAlign w:val="center"/>
                </w:tcPr>
                <w:p w14:paraId="601E931B">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200</w:t>
                  </w:r>
                </w:p>
              </w:tc>
              <w:tc>
                <w:tcPr>
                  <w:tcW w:w="848" w:type="pct"/>
                  <w:tcBorders>
                    <w:tl2br w:val="nil"/>
                    <w:tr2bl w:val="nil"/>
                  </w:tcBorders>
                  <w:noWrap w:val="0"/>
                  <w:vAlign w:val="center"/>
                </w:tcPr>
                <w:p w14:paraId="63BE1BBA">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200</w:t>
                  </w:r>
                </w:p>
              </w:tc>
              <w:tc>
                <w:tcPr>
                  <w:tcW w:w="925" w:type="pct"/>
                  <w:tcBorders>
                    <w:tl2br w:val="nil"/>
                    <w:tr2bl w:val="nil"/>
                  </w:tcBorders>
                  <w:noWrap w:val="0"/>
                  <w:vAlign w:val="center"/>
                </w:tcPr>
                <w:p w14:paraId="5ECF3061">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30</w:t>
                  </w:r>
                </w:p>
              </w:tc>
            </w:tr>
            <w:tr w14:paraId="7869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8" w:type="pct"/>
                  <w:vMerge w:val="continue"/>
                  <w:tcBorders>
                    <w:tl2br w:val="nil"/>
                    <w:tr2bl w:val="nil"/>
                  </w:tcBorders>
                  <w:noWrap w:val="0"/>
                  <w:vAlign w:val="center"/>
                </w:tcPr>
                <w:p w14:paraId="170214FE">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highlight w:val="none"/>
                      <w:vertAlign w:val="baseline"/>
                      <w:lang w:val="en-US" w:eastAsia="zh-CN"/>
                    </w:rPr>
                  </w:pPr>
                </w:p>
              </w:tc>
              <w:tc>
                <w:tcPr>
                  <w:tcW w:w="833" w:type="pct"/>
                  <w:tcBorders>
                    <w:tl2br w:val="nil"/>
                    <w:tr2bl w:val="nil"/>
                  </w:tcBorders>
                  <w:noWrap w:val="0"/>
                  <w:vAlign w:val="center"/>
                </w:tcPr>
                <w:p w14:paraId="28B5CEAB">
                  <w:pPr>
                    <w:pStyle w:val="3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产生量（t/a）</w:t>
                  </w:r>
                </w:p>
              </w:tc>
              <w:tc>
                <w:tcPr>
                  <w:tcW w:w="847" w:type="pct"/>
                  <w:tcBorders>
                    <w:tl2br w:val="nil"/>
                    <w:tr2bl w:val="nil"/>
                  </w:tcBorders>
                  <w:noWrap w:val="0"/>
                  <w:vAlign w:val="center"/>
                </w:tcPr>
                <w:p w14:paraId="6008E25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0.082</w:t>
                  </w:r>
                </w:p>
              </w:tc>
              <w:tc>
                <w:tcPr>
                  <w:tcW w:w="847" w:type="pct"/>
                  <w:tcBorders>
                    <w:tl2br w:val="nil"/>
                    <w:tr2bl w:val="nil"/>
                  </w:tcBorders>
                  <w:noWrap w:val="0"/>
                  <w:vAlign w:val="center"/>
                </w:tcPr>
                <w:p w14:paraId="14A8F74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0.055</w:t>
                  </w:r>
                </w:p>
              </w:tc>
              <w:tc>
                <w:tcPr>
                  <w:tcW w:w="848" w:type="pct"/>
                  <w:tcBorders>
                    <w:tl2br w:val="nil"/>
                    <w:tr2bl w:val="nil"/>
                  </w:tcBorders>
                  <w:noWrap w:val="0"/>
                  <w:vAlign w:val="center"/>
                </w:tcPr>
                <w:p w14:paraId="6C8475E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0.055</w:t>
                  </w:r>
                </w:p>
              </w:tc>
              <w:tc>
                <w:tcPr>
                  <w:tcW w:w="925" w:type="pct"/>
                  <w:tcBorders>
                    <w:tl2br w:val="nil"/>
                    <w:tr2bl w:val="nil"/>
                  </w:tcBorders>
                  <w:noWrap w:val="0"/>
                  <w:vAlign w:val="center"/>
                </w:tcPr>
                <w:p w14:paraId="23D2800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0.008</w:t>
                  </w:r>
                </w:p>
              </w:tc>
            </w:tr>
          </w:tbl>
          <w:p w14:paraId="6D28480F">
            <w:pPr>
              <w:ind w:firstLine="480"/>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③</w:t>
            </w:r>
            <w:r>
              <w:rPr>
                <w:rFonts w:hint="eastAsia" w:cs="Times New Roman"/>
                <w:b/>
                <w:bCs/>
                <w:color w:val="auto"/>
                <w:lang w:val="en-US" w:eastAsia="zh-CN"/>
              </w:rPr>
              <w:t>初期雨水</w:t>
            </w:r>
          </w:p>
          <w:p w14:paraId="12833401">
            <w:pPr>
              <w:ind w:firstLine="480"/>
              <w:rPr>
                <w:rFonts w:hint="eastAsia" w:ascii="Times New Roman" w:hAnsi="Times New Roman" w:eastAsia="宋体" w:cs="Times New Roman"/>
                <w:b w:val="0"/>
                <w:bCs w:val="0"/>
                <w:color w:val="auto"/>
                <w:lang w:val="en-US" w:eastAsia="zh-CN"/>
              </w:rPr>
            </w:pPr>
            <w:r>
              <w:rPr>
                <w:rFonts w:hint="eastAsia" w:ascii="Times New Roman" w:hAnsi="Times New Roman" w:eastAsia="宋体" w:cs="Times New Roman"/>
                <w:color w:val="auto"/>
                <w:sz w:val="24"/>
                <w:szCs w:val="24"/>
                <w:highlight w:val="none"/>
                <w:lang w:val="en-US" w:eastAsia="zh-CN"/>
              </w:rPr>
              <w:t>根据计算，本项目生产区初期雨水量为</w:t>
            </w:r>
            <w:r>
              <w:rPr>
                <w:rFonts w:hint="eastAsia" w:cs="Times New Roman"/>
                <w:color w:val="auto"/>
                <w:sz w:val="24"/>
                <w:szCs w:val="24"/>
                <w:highlight w:val="none"/>
                <w:lang w:val="en-US" w:eastAsia="zh-CN"/>
              </w:rPr>
              <w:t>92.29</w:t>
            </w:r>
            <w:r>
              <w:rPr>
                <w:rFonts w:hint="eastAsia" w:ascii="Times New Roman" w:hAnsi="Times New Roman" w:eastAsia="宋体" w:cs="Times New Roman"/>
                <w:color w:val="auto"/>
                <w:sz w:val="24"/>
                <w:szCs w:val="24"/>
                <w:highlight w:val="none"/>
                <w:lang w:val="en-US" w:eastAsia="zh-CN"/>
              </w:rPr>
              <w:t>m</w:t>
            </w:r>
            <w:r>
              <w:rPr>
                <w:rFonts w:hint="eastAsia"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/次，主要污染物为SS，本项目初期雨水经雨水沟收集后进入1个容积为</w:t>
            </w:r>
            <w:r>
              <w:rPr>
                <w:rFonts w:hint="eastAsia" w:cs="Times New Roman"/>
                <w:color w:val="auto"/>
                <w:sz w:val="24"/>
                <w:szCs w:val="24"/>
                <w:highlight w:val="none"/>
                <w:lang w:val="en-US" w:eastAsia="zh-CN"/>
              </w:rPr>
              <w:t>100</w:t>
            </w:r>
            <w:r>
              <w:rPr>
                <w:rFonts w:hint="eastAsia" w:ascii="Times New Roman" w:hAnsi="Times New Roman" w:eastAsia="宋体" w:cs="Times New Roman"/>
                <w:color w:val="auto"/>
                <w:sz w:val="24"/>
                <w:szCs w:val="24"/>
                <w:highlight w:val="none"/>
                <w:lang w:val="en-US" w:eastAsia="zh-CN"/>
              </w:rPr>
              <w:t>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的初期雨水收集池收集沉淀后回用于厂区</w:t>
            </w:r>
            <w:r>
              <w:rPr>
                <w:rFonts w:hint="eastAsia" w:cs="Times New Roman"/>
                <w:color w:val="auto"/>
                <w:sz w:val="24"/>
                <w:szCs w:val="24"/>
                <w:highlight w:val="none"/>
                <w:lang w:val="en-US" w:eastAsia="zh-CN"/>
              </w:rPr>
              <w:t>洒水降尘</w:t>
            </w:r>
            <w:r>
              <w:rPr>
                <w:rFonts w:hint="eastAsia" w:ascii="Times New Roman" w:hAnsi="Times New Roman" w:eastAsia="宋体" w:cs="Times New Roman"/>
                <w:color w:val="auto"/>
                <w:sz w:val="24"/>
                <w:szCs w:val="24"/>
                <w:highlight w:val="none"/>
                <w:lang w:val="en-US" w:eastAsia="zh-CN"/>
              </w:rPr>
              <w:t>，不外排。</w:t>
            </w:r>
          </w:p>
          <w:p w14:paraId="0D4FCB2A">
            <w:pPr>
              <w:ind w:firstLine="480"/>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3、废水排放口设置情况</w:t>
            </w:r>
          </w:p>
          <w:p w14:paraId="4B9CA924">
            <w:pPr>
              <w:ind w:firstLine="48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本项目冷却废水经循环冷却池处理后循环使用，不外排；</w:t>
            </w:r>
            <w:r>
              <w:rPr>
                <w:rFonts w:hint="eastAsia"/>
                <w:b w:val="0"/>
                <w:bCs w:val="0"/>
                <w:color w:val="auto"/>
                <w:kern w:val="0"/>
                <w:sz w:val="24"/>
                <w:lang w:val="en-US" w:eastAsia="zh-CN"/>
              </w:rPr>
              <w:t>初期雨水经雨水沟收集后进入初期雨水收集池沉淀后回用于厂区洒水降尘，不外排。</w:t>
            </w:r>
            <w:r>
              <w:rPr>
                <w:rFonts w:hint="eastAsia" w:ascii="Times New Roman" w:hAnsi="Times New Roman" w:eastAsia="宋体" w:cs="Times New Roman"/>
                <w:color w:val="auto"/>
                <w:lang w:val="en-US" w:eastAsia="zh-CN"/>
              </w:rPr>
              <w:t>生活污水经化粪池预处理后进入自建一体化污水处理设施处理达标后回用于厂区绿化及道路空地浇洒，不外排。本次项目不设置废水排放口。</w:t>
            </w:r>
          </w:p>
          <w:p w14:paraId="1C4DCD51">
            <w:pPr>
              <w:ind w:firstLine="480"/>
              <w:rPr>
                <w:rFonts w:hint="eastAsia" w:eastAsia="宋体" w:cs="Times New Roman"/>
                <w:b/>
                <w:bCs/>
                <w:color w:val="auto"/>
                <w:lang w:val="en-US" w:eastAsia="zh-CN"/>
              </w:rPr>
            </w:pPr>
            <w:r>
              <w:rPr>
                <w:rFonts w:hint="eastAsia" w:cs="Times New Roman"/>
                <w:b/>
                <w:bCs/>
                <w:color w:val="auto"/>
                <w:lang w:val="en-US" w:eastAsia="zh-CN"/>
              </w:rPr>
              <w:t>4、监测要求</w:t>
            </w:r>
          </w:p>
          <w:p w14:paraId="381965D9">
            <w:pPr>
              <w:ind w:firstLine="480"/>
              <w:rPr>
                <w:rFonts w:cs="Times New Roman"/>
                <w:color w:val="auto"/>
              </w:rPr>
            </w:pPr>
            <w:r>
              <w:rPr>
                <w:rFonts w:hint="eastAsia" w:ascii="Times New Roman" w:hAnsi="Times New Roman" w:eastAsia="宋体" w:cs="Times New Roman"/>
                <w:color w:val="auto"/>
                <w:lang w:val="en-US" w:eastAsia="zh-CN"/>
              </w:rPr>
              <w:t>本项目冷却废水经循环冷却池处理后循环使用，不外排；</w:t>
            </w:r>
            <w:r>
              <w:rPr>
                <w:rFonts w:hint="eastAsia"/>
                <w:b w:val="0"/>
                <w:bCs w:val="0"/>
                <w:color w:val="auto"/>
                <w:kern w:val="0"/>
                <w:sz w:val="24"/>
                <w:lang w:val="en-US" w:eastAsia="zh-CN"/>
              </w:rPr>
              <w:t>初期雨水经雨水沟收集后进入初期雨水收集池沉淀后回用于厂区洒水降尘，不外排。</w:t>
            </w:r>
            <w:r>
              <w:rPr>
                <w:rFonts w:hint="eastAsia" w:ascii="Times New Roman" w:hAnsi="Times New Roman" w:eastAsia="宋体" w:cs="Times New Roman"/>
                <w:color w:val="auto"/>
                <w:lang w:val="en-US" w:eastAsia="zh-CN"/>
              </w:rPr>
              <w:t>生活污水经化粪池预处理后进入自建一体化污水处理设施处理达标后回用于厂区绿化及道路空地浇洒，不外排。</w:t>
            </w:r>
            <w:r>
              <w:rPr>
                <w:rFonts w:hint="eastAsia"/>
                <w:color w:val="auto"/>
                <w:sz w:val="24"/>
                <w:szCs w:val="22"/>
                <w:highlight w:val="none"/>
                <w:lang w:val="en-US" w:eastAsia="zh-CN"/>
              </w:rPr>
              <w:t>无需对废水开展自行监测。</w:t>
            </w:r>
          </w:p>
          <w:p w14:paraId="3B1B44A5">
            <w:pPr>
              <w:ind w:firstLine="480"/>
              <w:rPr>
                <w:rFonts w:hint="eastAsia" w:eastAsia="宋体" w:cs="Times New Roman"/>
                <w:b/>
                <w:bCs/>
                <w:color w:val="auto"/>
                <w:lang w:val="en-US" w:eastAsia="zh-CN"/>
              </w:rPr>
            </w:pPr>
            <w:r>
              <w:rPr>
                <w:rFonts w:hint="eastAsia" w:cs="Times New Roman"/>
                <w:b/>
                <w:bCs/>
                <w:color w:val="auto"/>
                <w:lang w:val="en-US" w:eastAsia="zh-CN"/>
              </w:rPr>
              <w:t>5、废水污染治理设施污染防治可行性分析</w:t>
            </w:r>
          </w:p>
          <w:p w14:paraId="031752C1">
            <w:pPr>
              <w:ind w:firstLine="480"/>
              <w:rPr>
                <w:rFonts w:hint="eastAsia" w:eastAsia="宋体" w:cs="Times New Roman"/>
                <w:color w:val="auto"/>
                <w:lang w:eastAsia="zh-CN"/>
              </w:rPr>
            </w:pPr>
            <w:r>
              <w:rPr>
                <w:rFonts w:hint="eastAsia" w:cs="Times New Roman"/>
                <w:b/>
                <w:bCs/>
                <w:color w:val="auto"/>
                <w:lang w:eastAsia="zh-CN"/>
              </w:rPr>
              <w:t>（</w:t>
            </w:r>
            <w:r>
              <w:rPr>
                <w:rFonts w:hint="eastAsia" w:cs="Times New Roman"/>
                <w:b/>
                <w:bCs/>
                <w:color w:val="auto"/>
                <w:lang w:val="en-US" w:eastAsia="zh-CN"/>
              </w:rPr>
              <w:t>1</w:t>
            </w:r>
            <w:r>
              <w:rPr>
                <w:rFonts w:hint="eastAsia" w:cs="Times New Roman"/>
                <w:b/>
                <w:bCs/>
                <w:color w:val="auto"/>
                <w:lang w:eastAsia="zh-CN"/>
              </w:rPr>
              <w:t>）污水处理设施规模合理性分析</w:t>
            </w:r>
          </w:p>
          <w:p w14:paraId="0DB0EC81">
            <w:pPr>
              <w:ind w:firstLine="480"/>
              <w:rPr>
                <w:rFonts w:hint="eastAsia" w:eastAsia="宋体" w:cs="Times New Roman"/>
                <w:b/>
                <w:bCs/>
                <w:color w:val="auto"/>
                <w:lang w:val="en-US" w:eastAsia="zh-CN"/>
              </w:rPr>
            </w:pPr>
            <w:r>
              <w:rPr>
                <w:rFonts w:hint="eastAsia" w:cs="Times New Roman"/>
                <w:b/>
                <w:bCs/>
                <w:color w:val="auto"/>
              </w:rPr>
              <w:t>①</w:t>
            </w:r>
            <w:r>
              <w:rPr>
                <w:rFonts w:hint="eastAsia" w:cs="Times New Roman"/>
                <w:b/>
                <w:bCs/>
                <w:color w:val="auto"/>
                <w:lang w:val="en-US" w:eastAsia="zh-CN"/>
              </w:rPr>
              <w:t>化粪池</w:t>
            </w:r>
          </w:p>
          <w:p w14:paraId="388D5393">
            <w:pPr>
              <w:ind w:firstLine="480"/>
              <w:rPr>
                <w:rFonts w:cs="Times New Roman"/>
                <w:color w:val="auto"/>
              </w:rPr>
            </w:pPr>
            <w:r>
              <w:rPr>
                <w:rFonts w:hint="eastAsia"/>
                <w:color w:val="auto"/>
                <w:kern w:val="0"/>
                <w:sz w:val="24"/>
                <w:highlight w:val="none"/>
                <w:lang w:val="en-US" w:eastAsia="zh-CN"/>
              </w:rPr>
              <w:t>本项目生活污水产生量为0.912m</w:t>
            </w:r>
            <w:r>
              <w:rPr>
                <w:rFonts w:hint="eastAsia"/>
                <w:color w:val="auto"/>
                <w:kern w:val="0"/>
                <w:sz w:val="24"/>
                <w:highlight w:val="none"/>
                <w:vertAlign w:val="superscript"/>
                <w:lang w:val="en-US" w:eastAsia="zh-CN"/>
              </w:rPr>
              <w:t>3</w:t>
            </w:r>
            <w:r>
              <w:rPr>
                <w:rFonts w:hint="eastAsia"/>
                <w:color w:val="auto"/>
                <w:kern w:val="0"/>
                <w:sz w:val="24"/>
                <w:highlight w:val="none"/>
                <w:lang w:val="en-US" w:eastAsia="zh-CN"/>
              </w:rPr>
              <w:t>/d，</w:t>
            </w:r>
            <w:r>
              <w:rPr>
                <w:rFonts w:hint="default" w:ascii="Times New Roman" w:hAnsi="Times New Roman" w:eastAsia="宋体" w:cs="Times New Roman"/>
                <w:bCs/>
                <w:color w:val="auto"/>
                <w:kern w:val="2"/>
                <w:sz w:val="24"/>
                <w:szCs w:val="24"/>
                <w:highlight w:val="none"/>
                <w:lang w:eastAsia="zh-CN"/>
              </w:rPr>
              <w:t>根据《建筑给水排水设计规范》（GB50015-2003）要求：化粪池有效停留时间取12～24h。本项目化粪池污水有效停留时间按24h计。考虑1.2的保障系数，</w:t>
            </w:r>
            <w:r>
              <w:rPr>
                <w:rFonts w:hint="eastAsia" w:ascii="Times New Roman" w:hAnsi="Times New Roman" w:eastAsia="宋体" w:cs="Times New Roman"/>
                <w:bCs/>
                <w:color w:val="auto"/>
                <w:kern w:val="2"/>
                <w:sz w:val="24"/>
                <w:szCs w:val="24"/>
                <w:highlight w:val="none"/>
                <w:lang w:val="en-US" w:eastAsia="zh-CN"/>
              </w:rPr>
              <w:t>根据计算，本项目化粪池容积不小于1.094m</w:t>
            </w:r>
            <w:r>
              <w:rPr>
                <w:rFonts w:hint="eastAsia" w:ascii="Times New Roman" w:hAnsi="Times New Roman" w:eastAsia="宋体" w:cs="Times New Roman"/>
                <w:bCs/>
                <w:color w:val="auto"/>
                <w:kern w:val="2"/>
                <w:sz w:val="24"/>
                <w:szCs w:val="24"/>
                <w:highlight w:val="none"/>
                <w:vertAlign w:val="superscript"/>
                <w:lang w:val="en-US" w:eastAsia="zh-CN"/>
              </w:rPr>
              <w:t>3</w:t>
            </w:r>
            <w:r>
              <w:rPr>
                <w:rFonts w:hint="eastAsia" w:ascii="Times New Roman" w:hAnsi="Times New Roman" w:eastAsia="宋体" w:cs="Times New Roman"/>
                <w:bCs/>
                <w:color w:val="auto"/>
                <w:kern w:val="2"/>
                <w:sz w:val="24"/>
                <w:szCs w:val="24"/>
                <w:highlight w:val="none"/>
                <w:lang w:val="en-US" w:eastAsia="zh-CN"/>
              </w:rPr>
              <w:t>，本次</w:t>
            </w:r>
            <w:r>
              <w:rPr>
                <w:rFonts w:hint="eastAsia" w:cs="Times New Roman"/>
                <w:bCs/>
                <w:color w:val="auto"/>
                <w:kern w:val="2"/>
                <w:sz w:val="24"/>
                <w:szCs w:val="24"/>
                <w:highlight w:val="none"/>
                <w:lang w:val="en-US" w:eastAsia="zh-CN"/>
              </w:rPr>
              <w:t>项目依托原有项目已建3m</w:t>
            </w:r>
            <w:r>
              <w:rPr>
                <w:rFonts w:hint="eastAsia" w:cs="Times New Roman"/>
                <w:bCs/>
                <w:color w:val="auto"/>
                <w:kern w:val="2"/>
                <w:sz w:val="24"/>
                <w:szCs w:val="24"/>
                <w:highlight w:val="none"/>
                <w:vertAlign w:val="superscript"/>
                <w:lang w:val="en-US" w:eastAsia="zh-CN"/>
              </w:rPr>
              <w:t>3</w:t>
            </w:r>
            <w:r>
              <w:rPr>
                <w:rFonts w:hint="eastAsia" w:cs="Times New Roman"/>
                <w:bCs/>
                <w:color w:val="auto"/>
                <w:kern w:val="2"/>
                <w:sz w:val="24"/>
                <w:szCs w:val="24"/>
                <w:highlight w:val="none"/>
                <w:lang w:val="en-US" w:eastAsia="zh-CN"/>
              </w:rPr>
              <w:t>化粪池</w:t>
            </w:r>
            <w:r>
              <w:rPr>
                <w:rFonts w:hint="eastAsia" w:ascii="Times New Roman" w:hAnsi="Times New Roman" w:eastAsia="宋体" w:cs="Times New Roman"/>
                <w:bCs/>
                <w:color w:val="auto"/>
                <w:kern w:val="2"/>
                <w:sz w:val="24"/>
                <w:szCs w:val="24"/>
                <w:highlight w:val="none"/>
                <w:lang w:val="en-US" w:eastAsia="zh-CN"/>
              </w:rPr>
              <w:t>处理生活污水，化粪池容积大于每天废水产生量，能保证生活污水停留时间24小时，可满足本项目需求。</w:t>
            </w:r>
          </w:p>
          <w:p w14:paraId="6602FE50">
            <w:pPr>
              <w:ind w:firstLine="480"/>
              <w:rPr>
                <w:rFonts w:cs="Times New Roman"/>
                <w:b/>
                <w:bCs/>
                <w:color w:val="auto"/>
              </w:rPr>
            </w:pPr>
            <w:r>
              <w:rPr>
                <w:rFonts w:hint="eastAsia" w:cs="Times New Roman"/>
                <w:b/>
                <w:bCs/>
                <w:color w:val="auto"/>
              </w:rPr>
              <w:t>②一体化污水处理设备</w:t>
            </w:r>
          </w:p>
          <w:p w14:paraId="4DD1C083">
            <w:pPr>
              <w:ind w:firstLine="480"/>
              <w:rPr>
                <w:rFonts w:hint="default" w:ascii="Times New Roman" w:hAnsi="Times New Roman" w:eastAsia="宋体" w:cs="Times New Roman"/>
                <w:bCs/>
                <w:color w:val="auto"/>
                <w:kern w:val="2"/>
                <w:sz w:val="24"/>
                <w:szCs w:val="24"/>
                <w:highlight w:val="none"/>
                <w:lang w:val="en-US" w:eastAsia="zh-CN"/>
              </w:rPr>
            </w:pPr>
            <w:r>
              <w:rPr>
                <w:rFonts w:hint="default" w:ascii="Times New Roman" w:hAnsi="Times New Roman" w:eastAsia="宋体" w:cs="Times New Roman"/>
                <w:bCs/>
                <w:color w:val="auto"/>
                <w:kern w:val="2"/>
                <w:sz w:val="24"/>
                <w:szCs w:val="24"/>
                <w:highlight w:val="none"/>
                <w:lang w:val="en-US" w:eastAsia="zh-CN"/>
              </w:rPr>
              <w:t>本项目进入</w:t>
            </w:r>
            <w:r>
              <w:rPr>
                <w:rFonts w:hint="eastAsia" w:ascii="Times New Roman" w:hAnsi="Times New Roman" w:eastAsia="宋体" w:cs="Times New Roman"/>
                <w:bCs/>
                <w:color w:val="auto"/>
                <w:kern w:val="2"/>
                <w:sz w:val="24"/>
                <w:szCs w:val="24"/>
                <w:highlight w:val="none"/>
                <w:lang w:val="en-US" w:eastAsia="zh-CN"/>
              </w:rPr>
              <w:t>一体化</w:t>
            </w:r>
            <w:r>
              <w:rPr>
                <w:rFonts w:hint="default" w:ascii="Times New Roman" w:hAnsi="Times New Roman" w:eastAsia="宋体" w:cs="Times New Roman"/>
                <w:bCs/>
                <w:color w:val="auto"/>
                <w:kern w:val="2"/>
                <w:sz w:val="24"/>
                <w:szCs w:val="24"/>
                <w:highlight w:val="none"/>
                <w:lang w:val="en-US" w:eastAsia="zh-CN"/>
              </w:rPr>
              <w:t>污水处理</w:t>
            </w:r>
            <w:r>
              <w:rPr>
                <w:rFonts w:hint="eastAsia" w:ascii="Times New Roman" w:hAnsi="Times New Roman" w:eastAsia="宋体" w:cs="Times New Roman"/>
                <w:bCs/>
                <w:color w:val="auto"/>
                <w:kern w:val="2"/>
                <w:sz w:val="24"/>
                <w:szCs w:val="24"/>
                <w:highlight w:val="none"/>
                <w:lang w:val="en-US" w:eastAsia="zh-CN"/>
              </w:rPr>
              <w:t>设备</w:t>
            </w:r>
            <w:r>
              <w:rPr>
                <w:rFonts w:hint="default" w:ascii="Times New Roman" w:hAnsi="Times New Roman" w:eastAsia="宋体" w:cs="Times New Roman"/>
                <w:bCs/>
                <w:color w:val="auto"/>
                <w:kern w:val="2"/>
                <w:sz w:val="24"/>
                <w:szCs w:val="24"/>
                <w:highlight w:val="none"/>
                <w:lang w:val="en-US" w:eastAsia="zh-CN"/>
              </w:rPr>
              <w:t>的废水总量为</w:t>
            </w:r>
            <w:r>
              <w:rPr>
                <w:rFonts w:hint="eastAsia" w:cs="Times New Roman"/>
                <w:bCs/>
                <w:color w:val="auto"/>
                <w:kern w:val="2"/>
                <w:sz w:val="24"/>
                <w:szCs w:val="24"/>
                <w:highlight w:val="none"/>
                <w:lang w:val="en-US" w:eastAsia="zh-CN"/>
              </w:rPr>
              <w:t>0.912</w:t>
            </w:r>
            <w:r>
              <w:rPr>
                <w:rFonts w:hint="default" w:ascii="Times New Roman" w:hAnsi="Times New Roman" w:eastAsia="宋体" w:cs="Times New Roman"/>
                <w:bCs/>
                <w:color w:val="auto"/>
                <w:kern w:val="2"/>
                <w:sz w:val="24"/>
                <w:szCs w:val="24"/>
                <w:highlight w:val="none"/>
                <w:lang w:val="en-US" w:eastAsia="zh-CN"/>
              </w:rPr>
              <w:t>m</w:t>
            </w:r>
            <w:r>
              <w:rPr>
                <w:rFonts w:hint="default" w:ascii="Times New Roman" w:hAnsi="Times New Roman" w:eastAsia="宋体" w:cs="Times New Roman"/>
                <w:bCs/>
                <w:color w:val="auto"/>
                <w:kern w:val="2"/>
                <w:sz w:val="24"/>
                <w:szCs w:val="24"/>
                <w:highlight w:val="none"/>
                <w:vertAlign w:val="superscript"/>
                <w:lang w:val="en-US" w:eastAsia="zh-CN"/>
              </w:rPr>
              <w:t>3</w:t>
            </w:r>
            <w:r>
              <w:rPr>
                <w:rFonts w:hint="default" w:ascii="Times New Roman" w:hAnsi="Times New Roman" w:eastAsia="宋体" w:cs="Times New Roman"/>
                <w:bCs/>
                <w:color w:val="auto"/>
                <w:kern w:val="2"/>
                <w:sz w:val="24"/>
                <w:szCs w:val="24"/>
                <w:highlight w:val="none"/>
                <w:lang w:val="en-US" w:eastAsia="zh-CN"/>
              </w:rPr>
              <w:t>/d，考虑1.2的保障系数，污水处理站处理规模应不小于</w:t>
            </w:r>
            <w:r>
              <w:rPr>
                <w:rFonts w:hint="eastAsia" w:cs="Times New Roman"/>
                <w:bCs/>
                <w:color w:val="auto"/>
                <w:kern w:val="2"/>
                <w:sz w:val="24"/>
                <w:szCs w:val="24"/>
                <w:highlight w:val="none"/>
                <w:lang w:val="en-US" w:eastAsia="zh-CN"/>
              </w:rPr>
              <w:t>1.094</w:t>
            </w:r>
            <w:r>
              <w:rPr>
                <w:rFonts w:hint="default" w:ascii="Times New Roman" w:hAnsi="Times New Roman" w:eastAsia="宋体" w:cs="Times New Roman"/>
                <w:bCs/>
                <w:color w:val="auto"/>
                <w:kern w:val="2"/>
                <w:sz w:val="24"/>
                <w:szCs w:val="24"/>
                <w:highlight w:val="none"/>
                <w:lang w:val="en-US" w:eastAsia="zh-CN"/>
              </w:rPr>
              <w:t>m</w:t>
            </w:r>
            <w:r>
              <w:rPr>
                <w:rFonts w:hint="default" w:ascii="Times New Roman" w:hAnsi="Times New Roman" w:eastAsia="宋体" w:cs="Times New Roman"/>
                <w:bCs/>
                <w:color w:val="auto"/>
                <w:kern w:val="2"/>
                <w:sz w:val="24"/>
                <w:szCs w:val="24"/>
                <w:highlight w:val="none"/>
                <w:vertAlign w:val="superscript"/>
                <w:lang w:val="en-US" w:eastAsia="zh-CN"/>
              </w:rPr>
              <w:t>3</w:t>
            </w:r>
            <w:r>
              <w:rPr>
                <w:rFonts w:hint="default" w:ascii="Times New Roman" w:hAnsi="Times New Roman" w:eastAsia="宋体" w:cs="Times New Roman"/>
                <w:bCs/>
                <w:color w:val="auto"/>
                <w:kern w:val="2"/>
                <w:sz w:val="24"/>
                <w:szCs w:val="24"/>
                <w:highlight w:val="none"/>
                <w:lang w:val="en-US" w:eastAsia="zh-CN"/>
              </w:rPr>
              <w:t>/d，本项目一体化污水处理设备设计处理规模</w:t>
            </w:r>
            <w:r>
              <w:rPr>
                <w:rFonts w:hint="eastAsia" w:cs="Times New Roman"/>
                <w:bCs/>
                <w:color w:val="auto"/>
                <w:kern w:val="2"/>
                <w:sz w:val="24"/>
                <w:szCs w:val="24"/>
                <w:highlight w:val="none"/>
                <w:lang w:val="en-US" w:eastAsia="zh-CN"/>
              </w:rPr>
              <w:t>2</w:t>
            </w:r>
            <w:r>
              <w:rPr>
                <w:rFonts w:hint="default" w:ascii="Times New Roman" w:hAnsi="Times New Roman" w:eastAsia="宋体" w:cs="Times New Roman"/>
                <w:bCs/>
                <w:color w:val="auto"/>
                <w:kern w:val="2"/>
                <w:sz w:val="24"/>
                <w:szCs w:val="24"/>
                <w:highlight w:val="none"/>
                <w:lang w:val="en-US" w:eastAsia="zh-CN"/>
              </w:rPr>
              <w:t>m</w:t>
            </w:r>
            <w:r>
              <w:rPr>
                <w:rFonts w:hint="default" w:ascii="Times New Roman" w:hAnsi="Times New Roman" w:eastAsia="宋体" w:cs="Times New Roman"/>
                <w:bCs/>
                <w:color w:val="auto"/>
                <w:kern w:val="2"/>
                <w:sz w:val="24"/>
                <w:szCs w:val="24"/>
                <w:highlight w:val="none"/>
                <w:vertAlign w:val="superscript"/>
                <w:lang w:val="en-US" w:eastAsia="zh-CN"/>
              </w:rPr>
              <w:t>3</w:t>
            </w:r>
            <w:r>
              <w:rPr>
                <w:rFonts w:hint="default" w:ascii="Times New Roman" w:hAnsi="Times New Roman" w:eastAsia="宋体" w:cs="Times New Roman"/>
                <w:bCs/>
                <w:color w:val="auto"/>
                <w:kern w:val="2"/>
                <w:sz w:val="24"/>
                <w:szCs w:val="24"/>
                <w:highlight w:val="none"/>
                <w:lang w:val="en-US" w:eastAsia="zh-CN"/>
              </w:rPr>
              <w:t>/d，可满足需求。</w:t>
            </w:r>
          </w:p>
          <w:p w14:paraId="7287D244">
            <w:pPr>
              <w:ind w:firstLine="480"/>
              <w:rPr>
                <w:rFonts w:hint="default" w:ascii="Times New Roman" w:hAnsi="Times New Roman" w:eastAsia="宋体" w:cs="Times New Roman"/>
                <w:b/>
                <w:bCs w:val="0"/>
                <w:color w:val="auto"/>
                <w:kern w:val="2"/>
                <w:sz w:val="24"/>
                <w:szCs w:val="24"/>
                <w:highlight w:val="none"/>
                <w:lang w:val="en-US" w:eastAsia="zh-CN"/>
              </w:rPr>
            </w:pPr>
            <w:r>
              <w:rPr>
                <w:rFonts w:hint="default" w:ascii="Times New Roman" w:hAnsi="Times New Roman" w:eastAsia="宋体" w:cs="Times New Roman"/>
                <w:b/>
                <w:bCs w:val="0"/>
                <w:color w:val="auto"/>
                <w:kern w:val="2"/>
                <w:sz w:val="24"/>
                <w:szCs w:val="24"/>
                <w:highlight w:val="none"/>
                <w:lang w:val="en-US" w:eastAsia="zh-CN"/>
              </w:rPr>
              <w:t>③</w:t>
            </w:r>
            <w:r>
              <w:rPr>
                <w:rFonts w:hint="eastAsia" w:ascii="Times New Roman" w:hAnsi="Times New Roman" w:eastAsia="宋体" w:cs="Times New Roman"/>
                <w:b/>
                <w:bCs w:val="0"/>
                <w:color w:val="auto"/>
                <w:kern w:val="2"/>
                <w:sz w:val="24"/>
                <w:szCs w:val="24"/>
                <w:highlight w:val="none"/>
                <w:lang w:val="en-US" w:eastAsia="zh-CN"/>
              </w:rPr>
              <w:t>中水池</w:t>
            </w:r>
          </w:p>
          <w:p w14:paraId="1BBCC946">
            <w:pPr>
              <w:ind w:firstLine="480"/>
              <w:rPr>
                <w:rFonts w:hint="default" w:ascii="Times New Roman" w:hAnsi="Times New Roman" w:eastAsia="宋体" w:cs="Times New Roman"/>
                <w:bCs/>
                <w:color w:val="auto"/>
                <w:kern w:val="2"/>
                <w:sz w:val="24"/>
                <w:szCs w:val="24"/>
                <w:highlight w:val="none"/>
                <w:lang w:val="en-US" w:eastAsia="zh-CN"/>
              </w:rPr>
            </w:pPr>
            <w:r>
              <w:rPr>
                <w:rFonts w:hint="default" w:ascii="Times New Roman" w:hAnsi="Times New Roman" w:eastAsia="宋体" w:cs="Times New Roman"/>
                <w:bCs/>
                <w:color w:val="auto"/>
                <w:kern w:val="2"/>
                <w:sz w:val="24"/>
                <w:szCs w:val="24"/>
                <w:highlight w:val="none"/>
                <w:lang w:val="en-US" w:eastAsia="zh-CN"/>
              </w:rPr>
              <w:t>根据核算，项目的生活污水产生量为</w:t>
            </w:r>
            <w:r>
              <w:rPr>
                <w:rFonts w:hint="eastAsia" w:ascii="Times New Roman" w:hAnsi="Times New Roman" w:eastAsia="宋体" w:cs="Times New Roman"/>
                <w:bCs/>
                <w:color w:val="auto"/>
                <w:kern w:val="2"/>
                <w:sz w:val="24"/>
                <w:szCs w:val="24"/>
                <w:highlight w:val="none"/>
                <w:lang w:val="en-US" w:eastAsia="zh-CN"/>
              </w:rPr>
              <w:t>0.912</w:t>
            </w:r>
            <w:r>
              <w:rPr>
                <w:rFonts w:hint="default" w:ascii="Times New Roman" w:hAnsi="Times New Roman" w:eastAsia="宋体" w:cs="Times New Roman"/>
                <w:bCs/>
                <w:color w:val="auto"/>
                <w:kern w:val="2"/>
                <w:sz w:val="24"/>
                <w:szCs w:val="24"/>
                <w:highlight w:val="none"/>
                <w:lang w:val="en-US" w:eastAsia="zh-CN"/>
              </w:rPr>
              <w:t>m</w:t>
            </w:r>
            <w:r>
              <w:rPr>
                <w:rFonts w:hint="default" w:ascii="Times New Roman" w:hAnsi="Times New Roman" w:eastAsia="宋体" w:cs="Times New Roman"/>
                <w:bCs/>
                <w:color w:val="auto"/>
                <w:kern w:val="2"/>
                <w:sz w:val="24"/>
                <w:szCs w:val="24"/>
                <w:highlight w:val="none"/>
                <w:vertAlign w:val="superscript"/>
                <w:lang w:val="en-US" w:eastAsia="zh-CN"/>
              </w:rPr>
              <w:t>3</w:t>
            </w:r>
            <w:r>
              <w:rPr>
                <w:rFonts w:hint="default" w:ascii="Times New Roman" w:hAnsi="Times New Roman" w:eastAsia="宋体" w:cs="Times New Roman"/>
                <w:bCs/>
                <w:color w:val="auto"/>
                <w:kern w:val="2"/>
                <w:sz w:val="24"/>
                <w:szCs w:val="24"/>
                <w:highlight w:val="none"/>
                <w:lang w:val="en-US" w:eastAsia="zh-CN"/>
              </w:rPr>
              <w:t>/d，考虑中水池能暂存</w:t>
            </w:r>
            <w:r>
              <w:rPr>
                <w:rFonts w:hint="eastAsia" w:ascii="Times New Roman" w:hAnsi="Times New Roman" w:eastAsia="宋体" w:cs="Times New Roman"/>
                <w:bCs/>
                <w:color w:val="auto"/>
                <w:kern w:val="2"/>
                <w:sz w:val="24"/>
                <w:szCs w:val="24"/>
                <w:highlight w:val="none"/>
                <w:lang w:val="en-US" w:eastAsia="zh-CN"/>
              </w:rPr>
              <w:t>7</w:t>
            </w:r>
            <w:r>
              <w:rPr>
                <w:rFonts w:hint="default" w:ascii="Times New Roman" w:hAnsi="Times New Roman" w:eastAsia="宋体" w:cs="Times New Roman"/>
                <w:bCs/>
                <w:color w:val="auto"/>
                <w:kern w:val="2"/>
                <w:sz w:val="24"/>
                <w:szCs w:val="24"/>
                <w:highlight w:val="none"/>
                <w:lang w:val="en-US" w:eastAsia="zh-CN"/>
              </w:rPr>
              <w:t>天的蓄水量，</w:t>
            </w:r>
            <w:r>
              <w:rPr>
                <w:rFonts w:hint="eastAsia" w:ascii="Times New Roman" w:hAnsi="Times New Roman" w:eastAsia="宋体" w:cs="Times New Roman"/>
                <w:bCs/>
                <w:color w:val="auto"/>
                <w:kern w:val="2"/>
                <w:sz w:val="24"/>
                <w:szCs w:val="24"/>
                <w:highlight w:val="none"/>
                <w:lang w:val="en-US" w:eastAsia="zh-CN"/>
              </w:rPr>
              <w:t>则中水池容积不小于6.384m</w:t>
            </w:r>
            <w:r>
              <w:rPr>
                <w:rFonts w:hint="eastAsia" w:ascii="Times New Roman" w:hAnsi="Times New Roman" w:eastAsia="宋体" w:cs="Times New Roman"/>
                <w:bCs/>
                <w:color w:val="auto"/>
                <w:kern w:val="2"/>
                <w:sz w:val="24"/>
                <w:szCs w:val="24"/>
                <w:highlight w:val="none"/>
                <w:vertAlign w:val="superscript"/>
                <w:lang w:val="en-US" w:eastAsia="zh-CN"/>
              </w:rPr>
              <w:t>3</w:t>
            </w:r>
            <w:r>
              <w:rPr>
                <w:rFonts w:hint="eastAsia" w:ascii="Times New Roman" w:hAnsi="Times New Roman" w:eastAsia="宋体" w:cs="Times New Roman"/>
                <w:bCs/>
                <w:color w:val="auto"/>
                <w:kern w:val="2"/>
                <w:sz w:val="24"/>
                <w:szCs w:val="24"/>
                <w:highlight w:val="none"/>
                <w:lang w:val="en-US" w:eastAsia="zh-CN"/>
              </w:rPr>
              <w:t>，</w:t>
            </w:r>
            <w:r>
              <w:rPr>
                <w:rFonts w:hint="default" w:ascii="Times New Roman" w:hAnsi="Times New Roman" w:eastAsia="宋体" w:cs="Times New Roman"/>
                <w:bCs/>
                <w:color w:val="auto"/>
                <w:kern w:val="2"/>
                <w:sz w:val="24"/>
                <w:szCs w:val="24"/>
                <w:highlight w:val="none"/>
                <w:lang w:val="en-US" w:eastAsia="zh-CN"/>
              </w:rPr>
              <w:t>本环评建议建设1个</w:t>
            </w:r>
            <w:r>
              <w:rPr>
                <w:rFonts w:hint="eastAsia" w:ascii="Times New Roman" w:hAnsi="Times New Roman" w:eastAsia="宋体" w:cs="Times New Roman"/>
                <w:bCs/>
                <w:color w:val="auto"/>
                <w:kern w:val="2"/>
                <w:sz w:val="24"/>
                <w:szCs w:val="24"/>
                <w:highlight w:val="none"/>
                <w:lang w:val="en-US" w:eastAsia="zh-CN"/>
              </w:rPr>
              <w:t>7</w:t>
            </w:r>
            <w:r>
              <w:rPr>
                <w:rFonts w:hint="default" w:ascii="Times New Roman" w:hAnsi="Times New Roman" w:eastAsia="宋体" w:cs="Times New Roman"/>
                <w:bCs/>
                <w:color w:val="auto"/>
                <w:kern w:val="2"/>
                <w:sz w:val="24"/>
                <w:szCs w:val="24"/>
                <w:highlight w:val="none"/>
                <w:lang w:val="en-US" w:eastAsia="zh-CN"/>
              </w:rPr>
              <w:t>m</w:t>
            </w:r>
            <w:r>
              <w:rPr>
                <w:rFonts w:hint="default" w:ascii="Times New Roman" w:hAnsi="Times New Roman" w:eastAsia="宋体" w:cs="Times New Roman"/>
                <w:bCs/>
                <w:color w:val="auto"/>
                <w:kern w:val="2"/>
                <w:sz w:val="24"/>
                <w:szCs w:val="24"/>
                <w:highlight w:val="none"/>
                <w:vertAlign w:val="superscript"/>
                <w:lang w:val="en-US" w:eastAsia="zh-CN"/>
              </w:rPr>
              <w:t>3</w:t>
            </w:r>
            <w:r>
              <w:rPr>
                <w:rFonts w:hint="default" w:ascii="Times New Roman" w:hAnsi="Times New Roman" w:eastAsia="宋体" w:cs="Times New Roman"/>
                <w:bCs/>
                <w:color w:val="auto"/>
                <w:kern w:val="2"/>
                <w:sz w:val="24"/>
                <w:szCs w:val="24"/>
                <w:highlight w:val="none"/>
                <w:lang w:val="en-US" w:eastAsia="zh-CN"/>
              </w:rPr>
              <w:t>的中水池，可以完全收集</w:t>
            </w:r>
            <w:r>
              <w:rPr>
                <w:rFonts w:hint="eastAsia" w:ascii="Times New Roman" w:hAnsi="Times New Roman" w:eastAsia="宋体" w:cs="Times New Roman"/>
                <w:bCs/>
                <w:color w:val="auto"/>
                <w:kern w:val="2"/>
                <w:sz w:val="24"/>
                <w:szCs w:val="24"/>
                <w:highlight w:val="none"/>
                <w:lang w:val="en-US" w:eastAsia="zh-CN"/>
              </w:rPr>
              <w:t>7</w:t>
            </w:r>
            <w:r>
              <w:rPr>
                <w:rFonts w:hint="default" w:ascii="Times New Roman" w:hAnsi="Times New Roman" w:eastAsia="宋体" w:cs="Times New Roman"/>
                <w:bCs/>
                <w:color w:val="auto"/>
                <w:kern w:val="2"/>
                <w:sz w:val="24"/>
                <w:szCs w:val="24"/>
                <w:highlight w:val="none"/>
                <w:lang w:val="en-US" w:eastAsia="zh-CN"/>
              </w:rPr>
              <w:t>天的生活污水。</w:t>
            </w:r>
          </w:p>
          <w:p w14:paraId="0C6BD143">
            <w:pPr>
              <w:ind w:firstLine="480"/>
              <w:rPr>
                <w:rFonts w:hint="default" w:eastAsia="宋体" w:cs="Times New Roman"/>
                <w:b/>
                <w:bCs/>
                <w:color w:val="auto"/>
                <w:lang w:val="en-US" w:eastAsia="zh-CN"/>
              </w:rPr>
            </w:pPr>
            <w:r>
              <w:rPr>
                <w:rFonts w:hint="eastAsia" w:cs="Times New Roman"/>
                <w:b/>
                <w:bCs/>
                <w:color w:val="auto"/>
              </w:rPr>
              <w:t>③</w:t>
            </w:r>
            <w:r>
              <w:rPr>
                <w:rFonts w:hint="eastAsia" w:cs="Times New Roman"/>
                <w:b/>
                <w:bCs/>
                <w:color w:val="auto"/>
                <w:lang w:val="en-US" w:eastAsia="zh-CN"/>
              </w:rPr>
              <w:t>循环冷却池</w:t>
            </w:r>
          </w:p>
          <w:p w14:paraId="727AD106">
            <w:pPr>
              <w:bidi w:val="0"/>
              <w:rPr>
                <w:rFonts w:hint="eastAsia"/>
                <w:b w:val="0"/>
                <w:bCs w:val="0"/>
                <w:color w:val="auto"/>
                <w:lang w:val="en-US" w:eastAsia="zh-CN"/>
              </w:rPr>
            </w:pPr>
            <w:r>
              <w:rPr>
                <w:rFonts w:hint="eastAsia" w:cs="Times New Roman"/>
                <w:color w:val="auto"/>
              </w:rPr>
              <w:t>本项目焊管生产线使用高频焊接，焊接时候需要进行水冷却，直接冷却水主要是对焊管进行冷却，与物料直接接触，为直接冷却水，通过生产线下方排水管道引入循环</w:t>
            </w:r>
            <w:r>
              <w:rPr>
                <w:rFonts w:hint="eastAsia" w:cs="Times New Roman"/>
                <w:color w:val="auto"/>
                <w:lang w:val="en-US" w:eastAsia="zh-CN"/>
              </w:rPr>
              <w:t>冷却</w:t>
            </w:r>
            <w:r>
              <w:rPr>
                <w:rFonts w:hint="eastAsia" w:cs="Times New Roman"/>
                <w:color w:val="auto"/>
              </w:rPr>
              <w:t>池，焊管直接冷却水经沉淀、冷却后循环</w:t>
            </w:r>
            <w:r>
              <w:rPr>
                <w:rFonts w:hint="eastAsia" w:cs="Times New Roman"/>
                <w:color w:val="auto"/>
                <w:lang w:val="en-US" w:eastAsia="zh-CN"/>
              </w:rPr>
              <w:t>使用</w:t>
            </w:r>
            <w:r>
              <w:rPr>
                <w:rFonts w:hint="eastAsia" w:cs="Times New Roman"/>
                <w:color w:val="auto"/>
              </w:rPr>
              <w:t>，定期补充，不外排。</w:t>
            </w:r>
            <w:r>
              <w:rPr>
                <w:rFonts w:hint="eastAsia" w:cs="Times New Roman"/>
                <w:color w:val="auto"/>
                <w:lang w:val="en-US" w:eastAsia="zh-CN"/>
              </w:rPr>
              <w:t>项目目前已建设</w:t>
            </w:r>
            <w:r>
              <w:rPr>
                <w:rFonts w:hint="eastAsia"/>
                <w:b w:val="0"/>
                <w:bCs w:val="0"/>
                <w:color w:val="auto"/>
                <w:lang w:val="en-US" w:eastAsia="zh-CN"/>
              </w:rPr>
              <w:t>8个循环冷却池，其中2个容积为30m</w:t>
            </w:r>
            <w:r>
              <w:rPr>
                <w:rFonts w:hint="eastAsia"/>
                <w:b w:val="0"/>
                <w:bCs w:val="0"/>
                <w:color w:val="auto"/>
                <w:vertAlign w:val="superscript"/>
                <w:lang w:val="en-US" w:eastAsia="zh-CN"/>
              </w:rPr>
              <w:t>3</w:t>
            </w:r>
            <w:r>
              <w:rPr>
                <w:rFonts w:hint="eastAsia"/>
                <w:b w:val="0"/>
                <w:bCs w:val="0"/>
                <w:color w:val="auto"/>
                <w:lang w:val="en-US" w:eastAsia="zh-CN"/>
              </w:rPr>
              <w:t>的循环冷却池，1个容积为15m</w:t>
            </w:r>
            <w:r>
              <w:rPr>
                <w:rFonts w:hint="eastAsia"/>
                <w:b w:val="0"/>
                <w:bCs w:val="0"/>
                <w:color w:val="auto"/>
                <w:vertAlign w:val="superscript"/>
                <w:lang w:val="en-US" w:eastAsia="zh-CN"/>
              </w:rPr>
              <w:t>3</w:t>
            </w:r>
            <w:r>
              <w:rPr>
                <w:rFonts w:hint="eastAsia"/>
                <w:b w:val="0"/>
                <w:bCs w:val="0"/>
                <w:color w:val="auto"/>
                <w:lang w:val="en-US" w:eastAsia="zh-CN"/>
              </w:rPr>
              <w:t>的循环冷却水池，1个10m</w:t>
            </w:r>
            <w:r>
              <w:rPr>
                <w:rFonts w:hint="eastAsia"/>
                <w:b w:val="0"/>
                <w:bCs w:val="0"/>
                <w:color w:val="auto"/>
                <w:vertAlign w:val="superscript"/>
                <w:lang w:val="en-US" w:eastAsia="zh-CN"/>
              </w:rPr>
              <w:t>3</w:t>
            </w:r>
            <w:r>
              <w:rPr>
                <w:rFonts w:hint="eastAsia"/>
                <w:b w:val="0"/>
                <w:bCs w:val="0"/>
                <w:color w:val="auto"/>
                <w:lang w:val="en-US" w:eastAsia="zh-CN"/>
              </w:rPr>
              <w:t>的循环冷却水池，4个容积均为20m</w:t>
            </w:r>
            <w:r>
              <w:rPr>
                <w:rFonts w:hint="eastAsia"/>
                <w:b w:val="0"/>
                <w:bCs w:val="0"/>
                <w:color w:val="auto"/>
                <w:vertAlign w:val="superscript"/>
                <w:lang w:val="en-US" w:eastAsia="zh-CN"/>
              </w:rPr>
              <w:t>3</w:t>
            </w:r>
            <w:r>
              <w:rPr>
                <w:rFonts w:hint="eastAsia"/>
                <w:b w:val="0"/>
                <w:bCs w:val="0"/>
                <w:color w:val="auto"/>
                <w:lang w:val="en-US" w:eastAsia="zh-CN"/>
              </w:rPr>
              <w:t>的循环冷却池，冷却池总容积为165m</w:t>
            </w:r>
            <w:r>
              <w:rPr>
                <w:rFonts w:hint="eastAsia"/>
                <w:b w:val="0"/>
                <w:bCs w:val="0"/>
                <w:color w:val="auto"/>
                <w:vertAlign w:val="superscript"/>
                <w:lang w:val="en-US" w:eastAsia="zh-CN"/>
              </w:rPr>
              <w:t>3</w:t>
            </w:r>
            <w:r>
              <w:rPr>
                <w:rFonts w:hint="eastAsia"/>
                <w:b w:val="0"/>
                <w:bCs w:val="0"/>
                <w:color w:val="auto"/>
                <w:lang w:val="en-US" w:eastAsia="zh-CN"/>
              </w:rPr>
              <w:t>。根据前文计算，本项目循环冷却水用量为160</w:t>
            </w:r>
            <w:r>
              <w:rPr>
                <w:rFonts w:hint="eastAsia" w:eastAsia="宋体"/>
                <w:b w:val="0"/>
                <w:bCs w:val="0"/>
                <w:color w:val="auto"/>
                <w:lang w:val="en-US" w:eastAsia="zh-CN"/>
              </w:rPr>
              <w:t>m</w:t>
            </w:r>
            <w:r>
              <w:rPr>
                <w:rFonts w:hint="eastAsia" w:eastAsia="宋体"/>
                <w:b w:val="0"/>
                <w:bCs w:val="0"/>
                <w:color w:val="auto"/>
                <w:vertAlign w:val="superscript"/>
                <w:lang w:val="en-US" w:eastAsia="zh-CN"/>
              </w:rPr>
              <w:t>3</w:t>
            </w:r>
            <w:r>
              <w:rPr>
                <w:rFonts w:hint="eastAsia" w:eastAsia="宋体"/>
                <w:b w:val="0"/>
                <w:bCs w:val="0"/>
                <w:color w:val="auto"/>
                <w:lang w:val="en-US" w:eastAsia="zh-CN"/>
              </w:rPr>
              <w:t>/d</w:t>
            </w:r>
            <w:r>
              <w:rPr>
                <w:rFonts w:hint="eastAsia"/>
                <w:b w:val="0"/>
                <w:bCs w:val="0"/>
                <w:color w:val="auto"/>
                <w:lang w:val="en-US" w:eastAsia="zh-CN"/>
              </w:rPr>
              <w:t>，已建循环冷却池总容积能够满足项目需求。</w:t>
            </w:r>
          </w:p>
          <w:p w14:paraId="6B8DDE93">
            <w:pPr>
              <w:bidi w:val="0"/>
              <w:rPr>
                <w:rFonts w:hint="default"/>
                <w:b/>
                <w:bCs/>
                <w:color w:val="auto"/>
                <w:lang w:val="en-US" w:eastAsia="zh-CN"/>
              </w:rPr>
            </w:pPr>
            <w:r>
              <w:rPr>
                <w:rFonts w:hint="eastAsia"/>
                <w:b/>
                <w:bCs/>
                <w:color w:val="auto"/>
                <w:lang w:val="en-US" w:eastAsia="zh-CN"/>
              </w:rPr>
              <w:t>④初期雨水收集池</w:t>
            </w:r>
          </w:p>
          <w:p w14:paraId="04F18AB3">
            <w:pPr>
              <w:bidi w:val="0"/>
              <w:rPr>
                <w:rFonts w:hint="eastAsia" w:ascii="Times New Roman" w:hAnsi="Times New Roman" w:eastAsia="宋体" w:cs="Times New Roman"/>
                <w:color w:val="auto"/>
                <w:sz w:val="24"/>
                <w:szCs w:val="24"/>
                <w:highlight w:val="none"/>
                <w:lang w:val="en-US" w:eastAsia="zh-CN"/>
              </w:rPr>
            </w:pPr>
            <w:r>
              <w:rPr>
                <w:rFonts w:hint="eastAsia" w:cs="Times New Roman"/>
                <w:bCs/>
                <w:color w:val="auto"/>
                <w:kern w:val="2"/>
                <w:sz w:val="24"/>
                <w:szCs w:val="24"/>
                <w:highlight w:val="none"/>
                <w:lang w:val="en-US" w:eastAsia="zh-CN"/>
              </w:rPr>
              <w:t>根据计算，项目生产区初期雨水量为</w:t>
            </w:r>
            <w:r>
              <w:rPr>
                <w:rFonts w:hint="eastAsia" w:cs="Times New Roman"/>
                <w:color w:val="auto"/>
                <w:sz w:val="24"/>
                <w:szCs w:val="24"/>
                <w:highlight w:val="none"/>
                <w:lang w:val="en-US" w:eastAsia="zh-CN"/>
              </w:rPr>
              <w:t>92.29</w:t>
            </w:r>
            <w:r>
              <w:rPr>
                <w:rFonts w:hint="eastAsia" w:ascii="Times New Roman" w:hAnsi="Times New Roman" w:eastAsia="宋体" w:cs="Times New Roman"/>
                <w:color w:val="auto"/>
                <w:sz w:val="24"/>
                <w:szCs w:val="24"/>
                <w:highlight w:val="none"/>
                <w:lang w:val="en-US" w:eastAsia="zh-CN"/>
              </w:rPr>
              <w:t>m</w:t>
            </w:r>
            <w:r>
              <w:rPr>
                <w:rFonts w:hint="eastAsia"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/次，本次项目</w:t>
            </w:r>
            <w:r>
              <w:rPr>
                <w:rFonts w:hint="eastAsia" w:cs="Times New Roman"/>
                <w:color w:val="auto"/>
                <w:sz w:val="24"/>
                <w:szCs w:val="24"/>
                <w:highlight w:val="none"/>
                <w:lang w:val="en-US" w:eastAsia="zh-CN"/>
              </w:rPr>
              <w:t>建设1个容积为100m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的初期雨水收集池，</w:t>
            </w:r>
            <w:r>
              <w:rPr>
                <w:rFonts w:hint="eastAsia" w:ascii="Times New Roman" w:hAnsi="Times New Roman" w:eastAsia="宋体" w:cs="Times New Roman"/>
                <w:color w:val="auto"/>
                <w:sz w:val="24"/>
                <w:szCs w:val="24"/>
                <w:highlight w:val="none"/>
                <w:lang w:val="en-US" w:eastAsia="zh-CN"/>
              </w:rPr>
              <w:t>能够完全收集1次本项目生产区初期雨水，且初期雨水中污染物主要是SS，经初期雨水收集池沉淀后能去除雨水中大部分SS，后回用于厂洒水降尘可行。</w:t>
            </w:r>
          </w:p>
          <w:p w14:paraId="3D32D870">
            <w:pPr>
              <w:bidi w:val="0"/>
              <w:rPr>
                <w:rFonts w:hint="default" w:ascii="Times New Roman" w:hAnsi="Times New Roman" w:eastAsia="宋体"/>
                <w:b/>
                <w:bCs/>
                <w:color w:val="auto"/>
                <w:lang w:val="en-US" w:eastAsia="zh-CN"/>
              </w:rPr>
            </w:pPr>
            <w:r>
              <w:rPr>
                <w:rFonts w:hint="eastAsia" w:ascii="Times New Roman" w:hAnsi="Times New Roman" w:eastAsia="宋体"/>
                <w:b/>
                <w:bCs/>
                <w:color w:val="auto"/>
                <w:lang w:val="en-US" w:eastAsia="zh-CN"/>
              </w:rPr>
              <w:t>⑤事故池</w:t>
            </w:r>
          </w:p>
          <w:p w14:paraId="1B7046B1">
            <w:pPr>
              <w:bidi w:val="0"/>
              <w:rPr>
                <w:rFonts w:hint="default" w:cs="Times New Roman"/>
                <w:color w:val="auto"/>
                <w:lang w:val="en-US" w:eastAsia="zh-CN"/>
              </w:rPr>
            </w:pPr>
            <w:r>
              <w:rPr>
                <w:rFonts w:hint="eastAsia" w:cs="Times New Roman"/>
                <w:color w:val="auto"/>
                <w:sz w:val="24"/>
                <w:szCs w:val="24"/>
                <w:highlight w:val="none"/>
                <w:lang w:val="en-US" w:eastAsia="zh-CN"/>
              </w:rPr>
              <w:t>本项目共设置8个冷却循环水池，总容积为</w:t>
            </w:r>
            <w:r>
              <w:rPr>
                <w:rFonts w:hint="eastAsia" w:cs="Times New Roman"/>
                <w:color w:val="auto"/>
                <w:lang w:val="en-US" w:eastAsia="zh-CN"/>
              </w:rPr>
              <w:t>165m</w:t>
            </w:r>
            <w:r>
              <w:rPr>
                <w:rFonts w:hint="eastAsia" w:cs="Times New Roman"/>
                <w:color w:val="auto"/>
                <w:vertAlign w:val="superscript"/>
                <w:lang w:val="en-US" w:eastAsia="zh-CN"/>
              </w:rPr>
              <w:t>3</w:t>
            </w:r>
            <w:r>
              <w:rPr>
                <w:rFonts w:hint="eastAsia" w:cs="Times New Roman"/>
                <w:color w:val="auto"/>
                <w:lang w:val="en-US" w:eastAsia="zh-CN"/>
              </w:rPr>
              <w:t>，其中单个最大容积为30m</w:t>
            </w:r>
            <w:r>
              <w:rPr>
                <w:rFonts w:hint="eastAsia" w:cs="Times New Roman"/>
                <w:color w:val="auto"/>
                <w:vertAlign w:val="superscript"/>
                <w:lang w:val="en-US" w:eastAsia="zh-CN"/>
              </w:rPr>
              <w:t>3</w:t>
            </w:r>
            <w:r>
              <w:rPr>
                <w:rFonts w:hint="eastAsia" w:cs="Times New Roman"/>
                <w:color w:val="auto"/>
                <w:lang w:val="en-US" w:eastAsia="zh-CN"/>
              </w:rPr>
              <w:t>，本项目设置1个容积为30m</w:t>
            </w:r>
            <w:r>
              <w:rPr>
                <w:rFonts w:hint="eastAsia" w:cs="Times New Roman"/>
                <w:color w:val="auto"/>
                <w:vertAlign w:val="superscript"/>
                <w:lang w:val="en-US" w:eastAsia="zh-CN"/>
              </w:rPr>
              <w:t>3</w:t>
            </w:r>
            <w:r>
              <w:rPr>
                <w:rFonts w:hint="eastAsia" w:cs="Times New Roman"/>
                <w:color w:val="auto"/>
                <w:lang w:val="en-US" w:eastAsia="zh-CN"/>
              </w:rPr>
              <w:t>的事故池，结合工程实际，8座水池同时故障泄漏概率很小，本项目考虑单座冷却循环水池满水全部泄漏的最不利条件下，事故池有效容积（30m</w:t>
            </w:r>
            <w:r>
              <w:rPr>
                <w:rFonts w:hint="eastAsia" w:cs="Times New Roman"/>
                <w:color w:val="auto"/>
                <w:vertAlign w:val="superscript"/>
                <w:lang w:val="en-US" w:eastAsia="zh-CN"/>
              </w:rPr>
              <w:t>3</w:t>
            </w:r>
            <w:r>
              <w:rPr>
                <w:rFonts w:hint="eastAsia" w:cs="Times New Roman"/>
                <w:color w:val="auto"/>
                <w:lang w:val="en-US" w:eastAsia="zh-CN"/>
              </w:rPr>
              <w:t>）与最大单次泄漏水量（30m</w:t>
            </w:r>
            <w:r>
              <w:rPr>
                <w:rFonts w:hint="eastAsia" w:cs="Times New Roman"/>
                <w:color w:val="auto"/>
                <w:vertAlign w:val="superscript"/>
                <w:lang w:val="en-US" w:eastAsia="zh-CN"/>
              </w:rPr>
              <w:t>3</w:t>
            </w:r>
            <w:r>
              <w:rPr>
                <w:rFonts w:hint="eastAsia" w:cs="Times New Roman"/>
                <w:color w:val="auto"/>
                <w:lang w:val="en-US" w:eastAsia="zh-CN"/>
              </w:rPr>
              <w:t>）相等，可完全容纳泄漏水体，能满足该工况下事故废水收集要求，防止废水外溢污染周边环境。</w:t>
            </w:r>
          </w:p>
          <w:p w14:paraId="700F2197">
            <w:pPr>
              <w:ind w:firstLine="480"/>
              <w:rPr>
                <w:rFonts w:hint="default" w:eastAsia="宋体" w:cs="Times New Roman"/>
                <w:color w:val="auto"/>
                <w:lang w:val="en-US" w:eastAsia="zh-CN"/>
              </w:rPr>
            </w:pPr>
            <w:r>
              <w:rPr>
                <w:rFonts w:hint="eastAsia" w:cs="Times New Roman"/>
                <w:b/>
                <w:bCs/>
                <w:color w:val="auto"/>
                <w:lang w:val="en-US" w:eastAsia="zh-CN"/>
              </w:rPr>
              <w:t>（2）</w:t>
            </w:r>
            <w:r>
              <w:rPr>
                <w:rFonts w:hint="eastAsia" w:cs="Times New Roman"/>
                <w:b/>
                <w:bCs/>
                <w:color w:val="auto"/>
              </w:rPr>
              <w:t>一体化污水处理设备</w:t>
            </w:r>
            <w:r>
              <w:rPr>
                <w:rFonts w:hint="eastAsia" w:cs="Times New Roman"/>
                <w:b/>
                <w:bCs w:val="0"/>
                <w:color w:val="auto"/>
                <w:kern w:val="2"/>
                <w:sz w:val="24"/>
                <w:szCs w:val="24"/>
                <w:highlight w:val="none"/>
                <w:lang w:val="en-US" w:eastAsia="zh-CN"/>
              </w:rPr>
              <w:t>处理工艺可行性分析</w:t>
            </w:r>
          </w:p>
          <w:p w14:paraId="2B752EE2">
            <w:pPr>
              <w:pStyle w:val="30"/>
              <w:adjustRightInd w:val="0"/>
              <w:snapToGrid w:val="0"/>
              <w:spacing w:line="360" w:lineRule="auto"/>
              <w:ind w:firstLine="480"/>
              <w:rPr>
                <w:rFonts w:hint="default" w:ascii="Times New Roman" w:hAnsi="Times New Roman" w:eastAsia="宋体" w:cs="Times New Roman"/>
                <w:bCs/>
                <w:color w:val="auto"/>
                <w:kern w:val="2"/>
                <w:sz w:val="24"/>
                <w:szCs w:val="24"/>
                <w:highlight w:val="none"/>
                <w:lang w:val="en-US" w:eastAsia="zh-CN"/>
              </w:rPr>
            </w:pPr>
            <w:r>
              <w:rPr>
                <w:rFonts w:hint="default" w:ascii="Times New Roman" w:hAnsi="Times New Roman" w:eastAsia="宋体" w:cs="Times New Roman"/>
                <w:bCs/>
                <w:color w:val="auto"/>
                <w:kern w:val="2"/>
                <w:sz w:val="24"/>
                <w:szCs w:val="24"/>
                <w:highlight w:val="none"/>
                <w:lang w:val="en-US" w:eastAsia="zh-CN"/>
              </w:rPr>
              <w:t>本项目采取一体化污水处理设施进行处理</w:t>
            </w:r>
            <w:r>
              <w:rPr>
                <w:rFonts w:hint="eastAsia" w:cs="Times New Roman"/>
                <w:bCs/>
                <w:color w:val="auto"/>
                <w:kern w:val="2"/>
                <w:sz w:val="24"/>
                <w:szCs w:val="24"/>
                <w:highlight w:val="none"/>
                <w:lang w:val="en-US" w:eastAsia="zh-CN"/>
              </w:rPr>
              <w:t>生活污水</w:t>
            </w:r>
            <w:r>
              <w:rPr>
                <w:rFonts w:hint="default" w:ascii="Times New Roman" w:hAnsi="Times New Roman" w:eastAsia="宋体" w:cs="Times New Roman"/>
                <w:bCs/>
                <w:color w:val="auto"/>
                <w:kern w:val="2"/>
                <w:sz w:val="24"/>
                <w:szCs w:val="24"/>
                <w:highlight w:val="none"/>
                <w:lang w:val="en-US" w:eastAsia="zh-CN"/>
              </w:rPr>
              <w:t>，采用A</w:t>
            </w:r>
            <w:r>
              <w:rPr>
                <w:rFonts w:hint="eastAsia" w:cs="Times New Roman"/>
                <w:bCs/>
                <w:color w:val="auto"/>
                <w:kern w:val="2"/>
                <w:sz w:val="24"/>
                <w:szCs w:val="24"/>
                <w:highlight w:val="none"/>
                <w:vertAlign w:val="superscript"/>
                <w:lang w:val="en-US" w:eastAsia="zh-CN"/>
              </w:rPr>
              <w:t>2</w:t>
            </w:r>
            <w:r>
              <w:rPr>
                <w:rFonts w:hint="default" w:ascii="Times New Roman" w:hAnsi="Times New Roman" w:eastAsia="宋体" w:cs="Times New Roman"/>
                <w:bCs/>
                <w:color w:val="auto"/>
                <w:kern w:val="2"/>
                <w:sz w:val="24"/>
                <w:szCs w:val="24"/>
                <w:highlight w:val="none"/>
                <w:lang w:val="en-US" w:eastAsia="zh-CN"/>
              </w:rPr>
              <w:t>/O处理工艺。A</w:t>
            </w:r>
            <w:r>
              <w:rPr>
                <w:rFonts w:hint="default" w:ascii="Times New Roman" w:hAnsi="Times New Roman" w:eastAsia="宋体" w:cs="Times New Roman"/>
                <w:bCs/>
                <w:color w:val="auto"/>
                <w:kern w:val="2"/>
                <w:sz w:val="24"/>
                <w:szCs w:val="24"/>
                <w:highlight w:val="none"/>
                <w:vertAlign w:val="superscript"/>
                <w:lang w:val="en-US" w:eastAsia="zh-CN"/>
              </w:rPr>
              <w:t>2</w:t>
            </w:r>
            <w:r>
              <w:rPr>
                <w:rFonts w:hint="eastAsia" w:cs="Times New Roman"/>
                <w:bCs/>
                <w:color w:val="auto"/>
                <w:kern w:val="2"/>
                <w:sz w:val="24"/>
                <w:szCs w:val="24"/>
                <w:highlight w:val="none"/>
                <w:lang w:val="en-US" w:eastAsia="zh-CN"/>
              </w:rPr>
              <w:t>/</w:t>
            </w:r>
            <w:r>
              <w:rPr>
                <w:rFonts w:hint="default" w:ascii="Times New Roman" w:hAnsi="Times New Roman" w:eastAsia="宋体" w:cs="Times New Roman"/>
                <w:bCs/>
                <w:color w:val="auto"/>
                <w:kern w:val="2"/>
                <w:sz w:val="24"/>
                <w:szCs w:val="24"/>
                <w:highlight w:val="none"/>
                <w:lang w:val="en-US" w:eastAsia="zh-CN"/>
              </w:rPr>
              <w:t>O工艺是将厌/好氧除磷系统和缺氧/好氧脱氮系统相结合而成，是生物脱氮除磷的基础工艺。工艺流程为：原水与从沉淀池回流的污泥首先进入厌氧池，在此污泥中的聚磷菌利用原污水中的溶解态有机物进行厌氧释磷；然后与好氧末端回流的混合液一起进入缺氧池，在此污泥中的反硝化菌利用剩余的有机物和回流的硝酸盐进行反硝化作用脱氮；脱氮反应完成后，进入好氧池，在此污泥中的硝化菌进行硝化作用将废水中的氨氮转化为硝酸盐同时聚磷菌进行好氧吸磷，剩余的有机物也在此被好氧细菌氧化，最后经沉淀池进行泥水分离，出水排放，沉淀的污泥部分返回厌氧池，部分以富磷剩余污泥排出。项目实施时具体采用的污水处理工艺可由建设单位委托有资质的单位设计施工，保证出水水质达到《城市污水再生利用 城市杂用水水质》（GB/T 18920-2020）中城市绿化、道路清扫标准限值。</w:t>
            </w:r>
          </w:p>
          <w:p w14:paraId="4D574D69">
            <w:pPr>
              <w:ind w:firstLine="480"/>
              <w:rPr>
                <w:rFonts w:hint="default" w:ascii="Times New Roman" w:hAnsi="Times New Roman" w:eastAsia="宋体" w:cs="Times New Roman"/>
                <w:bCs/>
                <w:color w:val="auto"/>
                <w:kern w:val="2"/>
                <w:sz w:val="24"/>
                <w:szCs w:val="24"/>
                <w:highlight w:val="none"/>
                <w:lang w:val="en-US" w:eastAsia="zh-CN"/>
              </w:rPr>
            </w:pPr>
            <w:r>
              <w:rPr>
                <w:rFonts w:hint="default" w:ascii="Times New Roman" w:hAnsi="Times New Roman" w:eastAsia="宋体" w:cs="Times New Roman"/>
                <w:bCs/>
                <w:color w:val="auto"/>
                <w:kern w:val="2"/>
                <w:sz w:val="24"/>
                <w:szCs w:val="24"/>
                <w:highlight w:val="none"/>
                <w:lang w:val="en-US" w:eastAsia="zh-CN"/>
              </w:rPr>
              <w:t>本项目一体化生活污水处理设施工艺流程见下图</w:t>
            </w:r>
            <w:r>
              <w:rPr>
                <w:rFonts w:hint="eastAsia" w:cs="Times New Roman"/>
                <w:bCs/>
                <w:color w:val="auto"/>
                <w:kern w:val="2"/>
                <w:sz w:val="24"/>
                <w:szCs w:val="24"/>
                <w:highlight w:val="none"/>
                <w:lang w:val="en-US" w:eastAsia="zh-CN"/>
              </w:rPr>
              <w:t>4-2</w:t>
            </w:r>
            <w:r>
              <w:rPr>
                <w:rFonts w:hint="default" w:ascii="Times New Roman" w:hAnsi="Times New Roman" w:eastAsia="宋体" w:cs="Times New Roman"/>
                <w:bCs/>
                <w:color w:val="auto"/>
                <w:kern w:val="2"/>
                <w:sz w:val="24"/>
                <w:szCs w:val="24"/>
                <w:highlight w:val="none"/>
                <w:lang w:val="en-US" w:eastAsia="zh-CN"/>
              </w:rPr>
              <w:t>。</w:t>
            </w:r>
          </w:p>
          <w:p w14:paraId="7D7B3896">
            <w:pPr>
              <w:ind w:firstLine="480"/>
              <w:rPr>
                <w:rFonts w:hint="default" w:ascii="Times New Roman" w:hAnsi="Times New Roman" w:eastAsia="宋体" w:cs="Times New Roman"/>
                <w:bCs/>
                <w:color w:val="auto"/>
                <w:kern w:val="2"/>
                <w:sz w:val="24"/>
                <w:szCs w:val="24"/>
                <w:highlight w:val="none"/>
                <w:lang w:val="en-US" w:eastAsia="zh-CN"/>
              </w:rPr>
            </w:pPr>
          </w:p>
          <w:p w14:paraId="5C7C6711">
            <w:pPr>
              <w:ind w:left="0" w:leftChars="0" w:firstLine="0" w:firstLineChars="0"/>
              <w:rPr>
                <w:rFonts w:cs="Times New Roman"/>
                <w:color w:val="auto"/>
              </w:rPr>
            </w:pPr>
            <w:r>
              <w:rPr>
                <w:rFonts w:hint="eastAsia"/>
                <w:color w:val="auto"/>
                <w:szCs w:val="21"/>
              </w:rPr>
              <w:drawing>
                <wp:inline distT="0" distB="0" distL="114300" distR="114300">
                  <wp:extent cx="4937125" cy="1470025"/>
                  <wp:effectExtent l="0" t="0" r="15875" b="15875"/>
                  <wp:docPr id="50" name="F360BE8B-6686-4F3D-AEAF-501FE73E4058-7" descr="C:/Users/ASUS/AppData/Local/Temp/绘图1(44).png绘图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F360BE8B-6686-4F3D-AEAF-501FE73E4058-7" descr="C:/Users/ASUS/AppData/Local/Temp/绘图1(44).png绘图1(44)"/>
                          <pic:cNvPicPr>
                            <a:picLocks noChangeAspect="1"/>
                          </pic:cNvPicPr>
                        </pic:nvPicPr>
                        <pic:blipFill>
                          <a:blip r:embed="rId25"/>
                          <a:stretch>
                            <a:fillRect/>
                          </a:stretch>
                        </pic:blipFill>
                        <pic:spPr>
                          <a:xfrm>
                            <a:off x="0" y="0"/>
                            <a:ext cx="4937125" cy="1470025"/>
                          </a:xfrm>
                          <a:prstGeom prst="rect">
                            <a:avLst/>
                          </a:prstGeom>
                        </pic:spPr>
                      </pic:pic>
                    </a:graphicData>
                  </a:graphic>
                </wp:inline>
              </w:drawing>
            </w:r>
          </w:p>
          <w:p w14:paraId="5A483F86">
            <w:pPr>
              <w:pStyle w:val="30"/>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val="0"/>
                <w:color w:val="auto"/>
                <w:kern w:val="2"/>
                <w:sz w:val="24"/>
                <w:szCs w:val="24"/>
                <w:highlight w:val="none"/>
                <w:lang w:val="en-US" w:eastAsia="zh-CN"/>
              </w:rPr>
            </w:pPr>
            <w:r>
              <w:rPr>
                <w:rFonts w:hint="default" w:ascii="Times New Roman" w:hAnsi="Times New Roman" w:eastAsia="宋体" w:cs="Times New Roman"/>
                <w:b/>
                <w:bCs w:val="0"/>
                <w:color w:val="auto"/>
                <w:kern w:val="2"/>
                <w:sz w:val="24"/>
                <w:szCs w:val="24"/>
                <w:highlight w:val="none"/>
                <w:lang w:val="en-US" w:eastAsia="zh-CN"/>
              </w:rPr>
              <w:t>图</w:t>
            </w:r>
            <w:r>
              <w:rPr>
                <w:rFonts w:hint="eastAsia" w:cs="Times New Roman"/>
                <w:b/>
                <w:bCs w:val="0"/>
                <w:color w:val="auto"/>
                <w:kern w:val="2"/>
                <w:sz w:val="24"/>
                <w:szCs w:val="24"/>
                <w:highlight w:val="none"/>
                <w:lang w:val="en-US" w:eastAsia="zh-CN"/>
              </w:rPr>
              <w:t>4</w:t>
            </w:r>
            <w:r>
              <w:rPr>
                <w:rFonts w:hint="default" w:ascii="Times New Roman" w:hAnsi="Times New Roman" w:eastAsia="宋体" w:cs="Times New Roman"/>
                <w:b/>
                <w:bCs w:val="0"/>
                <w:color w:val="auto"/>
                <w:kern w:val="2"/>
                <w:sz w:val="24"/>
                <w:szCs w:val="24"/>
                <w:highlight w:val="none"/>
                <w:lang w:val="en-US" w:eastAsia="zh-CN"/>
              </w:rPr>
              <w:t>-</w:t>
            </w:r>
            <w:r>
              <w:rPr>
                <w:rFonts w:hint="eastAsia" w:cs="Times New Roman"/>
                <w:b/>
                <w:bCs w:val="0"/>
                <w:color w:val="auto"/>
                <w:kern w:val="2"/>
                <w:sz w:val="24"/>
                <w:szCs w:val="24"/>
                <w:highlight w:val="none"/>
                <w:lang w:val="en-US" w:eastAsia="zh-CN"/>
              </w:rPr>
              <w:t>2</w:t>
            </w:r>
            <w:r>
              <w:rPr>
                <w:rFonts w:hint="default" w:ascii="Times New Roman" w:hAnsi="Times New Roman" w:eastAsia="宋体" w:cs="Times New Roman"/>
                <w:b/>
                <w:bCs w:val="0"/>
                <w:color w:val="auto"/>
                <w:kern w:val="2"/>
                <w:sz w:val="24"/>
                <w:szCs w:val="24"/>
                <w:highlight w:val="none"/>
                <w:lang w:val="en-US" w:eastAsia="zh-CN"/>
              </w:rPr>
              <w:t xml:space="preserve">  污水处理设施工艺流程图</w:t>
            </w:r>
          </w:p>
          <w:p w14:paraId="2AE77C6E">
            <w:pPr>
              <w:ind w:firstLine="480"/>
              <w:rPr>
                <w:rFonts w:hint="default" w:ascii="Times New Roman" w:hAnsi="Times New Roman" w:eastAsia="宋体" w:cs="Times New Roman"/>
                <w:bCs/>
                <w:color w:val="auto"/>
                <w:kern w:val="2"/>
                <w:sz w:val="24"/>
                <w:szCs w:val="24"/>
                <w:highlight w:val="none"/>
                <w:lang w:val="en-US" w:eastAsia="zh-CN"/>
              </w:rPr>
            </w:pPr>
            <w:r>
              <w:rPr>
                <w:rFonts w:hint="default" w:ascii="Times New Roman" w:hAnsi="Times New Roman" w:eastAsia="宋体" w:cs="Times New Roman"/>
                <w:bCs/>
                <w:color w:val="auto"/>
                <w:kern w:val="2"/>
                <w:sz w:val="24"/>
                <w:szCs w:val="24"/>
                <w:highlight w:val="none"/>
                <w:lang w:val="en-US" w:eastAsia="zh-CN"/>
              </w:rPr>
              <w:t>废水先经化粪池处理，化粪池处理效率根据《第一次全国污染源普查城镇生活源产排污系数手册》中的“第一分册城镇居民生活源污染物产生、排放系数手册”（表 4 四区二类）中，化粪池对CODCr、BOD</w:t>
            </w:r>
            <w:r>
              <w:rPr>
                <w:rFonts w:hint="default" w:ascii="Times New Roman" w:hAnsi="Times New Roman" w:eastAsia="宋体" w:cs="Times New Roman"/>
                <w:bCs/>
                <w:color w:val="auto"/>
                <w:kern w:val="2"/>
                <w:sz w:val="24"/>
                <w:szCs w:val="24"/>
                <w:highlight w:val="none"/>
                <w:vertAlign w:val="subscript"/>
                <w:lang w:val="en-US" w:eastAsia="zh-CN"/>
              </w:rPr>
              <w:t>5</w:t>
            </w:r>
            <w:r>
              <w:rPr>
                <w:rFonts w:hint="default" w:ascii="Times New Roman" w:hAnsi="Times New Roman" w:eastAsia="宋体" w:cs="Times New Roman"/>
                <w:bCs/>
                <w:color w:val="auto"/>
                <w:kern w:val="2"/>
                <w:sz w:val="24"/>
                <w:szCs w:val="24"/>
                <w:highlight w:val="none"/>
                <w:lang w:val="en-US" w:eastAsia="zh-CN"/>
              </w:rPr>
              <w:t>、SS、NH</w:t>
            </w:r>
            <w:r>
              <w:rPr>
                <w:rFonts w:hint="default" w:ascii="Times New Roman" w:hAnsi="Times New Roman" w:eastAsia="宋体" w:cs="Times New Roman"/>
                <w:bCs/>
                <w:color w:val="auto"/>
                <w:kern w:val="2"/>
                <w:sz w:val="24"/>
                <w:szCs w:val="24"/>
                <w:highlight w:val="none"/>
                <w:vertAlign w:val="subscript"/>
                <w:lang w:val="en-US" w:eastAsia="zh-CN"/>
              </w:rPr>
              <w:t>3</w:t>
            </w:r>
            <w:r>
              <w:rPr>
                <w:rFonts w:hint="default" w:ascii="Times New Roman" w:hAnsi="Times New Roman" w:eastAsia="宋体" w:cs="Times New Roman"/>
                <w:bCs/>
                <w:color w:val="auto"/>
                <w:kern w:val="2"/>
                <w:sz w:val="24"/>
                <w:szCs w:val="24"/>
                <w:highlight w:val="none"/>
                <w:lang w:val="en-US" w:eastAsia="zh-CN"/>
              </w:rPr>
              <w:t>-N的处理效率分别为21%、17.2%、50%、6%；</w:t>
            </w:r>
            <w:r>
              <w:rPr>
                <w:rFonts w:hint="eastAsia" w:cs="Times New Roman"/>
                <w:bCs/>
                <w:color w:val="auto"/>
                <w:kern w:val="2"/>
                <w:sz w:val="24"/>
                <w:szCs w:val="24"/>
                <w:highlight w:val="none"/>
                <w:lang w:val="en-US" w:eastAsia="zh-CN"/>
              </w:rPr>
              <w:t>化粪池预处理后废水进入一体化污水处理设备处理，项目一体化污水处理设施拟采用“A</w:t>
            </w:r>
            <w:r>
              <w:rPr>
                <w:rFonts w:hint="eastAsia" w:cs="Times New Roman"/>
                <w:bCs/>
                <w:color w:val="auto"/>
                <w:kern w:val="2"/>
                <w:sz w:val="24"/>
                <w:szCs w:val="24"/>
                <w:highlight w:val="none"/>
                <w:vertAlign w:val="superscript"/>
                <w:lang w:val="en-US" w:eastAsia="zh-CN"/>
              </w:rPr>
              <w:t>2</w:t>
            </w:r>
            <w:r>
              <w:rPr>
                <w:rFonts w:hint="eastAsia" w:cs="Times New Roman"/>
                <w:bCs/>
                <w:color w:val="auto"/>
                <w:kern w:val="2"/>
                <w:sz w:val="24"/>
                <w:szCs w:val="24"/>
                <w:highlight w:val="none"/>
                <w:lang w:val="en-US" w:eastAsia="zh-CN"/>
              </w:rPr>
              <w:t>/O处理工艺”对污水进行处理，处理效率参考《厌氧-缺氧-好氧活性污泥法污水处理工程技术规范》（HJ 576-2010）中A</w:t>
            </w:r>
            <w:r>
              <w:rPr>
                <w:rFonts w:hint="eastAsia" w:cs="Times New Roman"/>
                <w:bCs/>
                <w:color w:val="auto"/>
                <w:kern w:val="2"/>
                <w:sz w:val="24"/>
                <w:szCs w:val="24"/>
                <w:highlight w:val="none"/>
                <w:vertAlign w:val="superscript"/>
                <w:lang w:val="en-US" w:eastAsia="zh-CN"/>
              </w:rPr>
              <w:t>2</w:t>
            </w:r>
            <w:r>
              <w:rPr>
                <w:rFonts w:hint="eastAsia" w:cs="Times New Roman"/>
                <w:bCs/>
                <w:color w:val="auto"/>
                <w:kern w:val="2"/>
                <w:sz w:val="24"/>
                <w:szCs w:val="24"/>
                <w:highlight w:val="none"/>
                <w:lang w:val="en-US" w:eastAsia="zh-CN"/>
              </w:rPr>
              <w:t>/O工艺对城镇污水中</w:t>
            </w:r>
            <w:r>
              <w:rPr>
                <w:rFonts w:hint="default" w:ascii="Times New Roman" w:hAnsi="Times New Roman" w:eastAsia="宋体" w:cs="Times New Roman"/>
                <w:bCs/>
                <w:color w:val="auto"/>
                <w:kern w:val="2"/>
                <w:sz w:val="24"/>
                <w:szCs w:val="24"/>
                <w:highlight w:val="none"/>
                <w:lang w:val="en-US" w:eastAsia="zh-CN"/>
              </w:rPr>
              <w:t>CODCr、BOD</w:t>
            </w:r>
            <w:r>
              <w:rPr>
                <w:rFonts w:hint="default" w:ascii="Times New Roman" w:hAnsi="Times New Roman" w:eastAsia="宋体" w:cs="Times New Roman"/>
                <w:bCs/>
                <w:color w:val="auto"/>
                <w:kern w:val="2"/>
                <w:sz w:val="24"/>
                <w:szCs w:val="24"/>
                <w:highlight w:val="none"/>
                <w:vertAlign w:val="subscript"/>
                <w:lang w:val="en-US" w:eastAsia="zh-CN"/>
              </w:rPr>
              <w:t>5</w:t>
            </w:r>
            <w:r>
              <w:rPr>
                <w:rFonts w:hint="default" w:ascii="Times New Roman" w:hAnsi="Times New Roman" w:eastAsia="宋体" w:cs="Times New Roman"/>
                <w:bCs/>
                <w:color w:val="auto"/>
                <w:kern w:val="2"/>
                <w:sz w:val="24"/>
                <w:szCs w:val="24"/>
                <w:highlight w:val="none"/>
                <w:lang w:val="en-US" w:eastAsia="zh-CN"/>
              </w:rPr>
              <w:t>、SS、NH</w:t>
            </w:r>
            <w:r>
              <w:rPr>
                <w:rFonts w:hint="default" w:ascii="Times New Roman" w:hAnsi="Times New Roman" w:eastAsia="宋体" w:cs="Times New Roman"/>
                <w:bCs/>
                <w:color w:val="auto"/>
                <w:kern w:val="2"/>
                <w:sz w:val="24"/>
                <w:szCs w:val="24"/>
                <w:highlight w:val="none"/>
                <w:vertAlign w:val="subscript"/>
                <w:lang w:val="en-US" w:eastAsia="zh-CN"/>
              </w:rPr>
              <w:t>3</w:t>
            </w:r>
            <w:r>
              <w:rPr>
                <w:rFonts w:hint="default" w:ascii="Times New Roman" w:hAnsi="Times New Roman" w:eastAsia="宋体" w:cs="Times New Roman"/>
                <w:bCs/>
                <w:color w:val="auto"/>
                <w:kern w:val="2"/>
                <w:sz w:val="24"/>
                <w:szCs w:val="24"/>
                <w:highlight w:val="none"/>
                <w:lang w:val="en-US" w:eastAsia="zh-CN"/>
              </w:rPr>
              <w:t>-N</w:t>
            </w:r>
            <w:r>
              <w:rPr>
                <w:rFonts w:hint="eastAsia" w:ascii="Times New Roman" w:hAnsi="Times New Roman" w:eastAsia="宋体" w:cs="Times New Roman"/>
                <w:bCs/>
                <w:color w:val="auto"/>
                <w:kern w:val="2"/>
                <w:sz w:val="24"/>
                <w:szCs w:val="24"/>
                <w:highlight w:val="none"/>
                <w:lang w:val="en-US" w:eastAsia="zh-CN"/>
              </w:rPr>
              <w:t>的处理效率分别为80%、95%、90%、80%。</w:t>
            </w:r>
          </w:p>
          <w:p w14:paraId="75273AF7">
            <w:pPr>
              <w:pStyle w:val="30"/>
              <w:adjustRightInd w:val="0"/>
              <w:snapToGrid w:val="0"/>
              <w:spacing w:line="360" w:lineRule="auto"/>
              <w:ind w:firstLine="480"/>
              <w:rPr>
                <w:rFonts w:hint="default" w:ascii="Times New Roman" w:hAnsi="Times New Roman" w:eastAsia="宋体" w:cs="Times New Roman"/>
                <w:bCs/>
                <w:color w:val="auto"/>
                <w:kern w:val="2"/>
                <w:sz w:val="24"/>
                <w:szCs w:val="24"/>
                <w:highlight w:val="none"/>
                <w:lang w:val="en-US" w:eastAsia="zh-CN"/>
              </w:rPr>
            </w:pPr>
            <w:r>
              <w:rPr>
                <w:rFonts w:hint="default" w:ascii="Times New Roman" w:hAnsi="Times New Roman" w:eastAsia="宋体" w:cs="Times New Roman"/>
                <w:bCs/>
                <w:color w:val="auto"/>
                <w:kern w:val="2"/>
                <w:sz w:val="24"/>
                <w:szCs w:val="24"/>
                <w:highlight w:val="none"/>
                <w:lang w:val="en-US" w:eastAsia="zh-CN"/>
              </w:rPr>
              <w:t>生活污水经</w:t>
            </w:r>
            <w:r>
              <w:rPr>
                <w:rFonts w:hint="eastAsia" w:cs="Times New Roman"/>
                <w:bCs/>
                <w:color w:val="auto"/>
                <w:kern w:val="2"/>
                <w:sz w:val="24"/>
                <w:szCs w:val="24"/>
                <w:highlight w:val="none"/>
                <w:lang w:val="en-US" w:eastAsia="zh-CN"/>
              </w:rPr>
              <w:t>化粪池预处理后进入</w:t>
            </w:r>
            <w:r>
              <w:rPr>
                <w:rFonts w:hint="default" w:ascii="Times New Roman" w:hAnsi="Times New Roman" w:eastAsia="宋体" w:cs="Times New Roman"/>
                <w:bCs/>
                <w:color w:val="auto"/>
                <w:kern w:val="2"/>
                <w:sz w:val="24"/>
                <w:szCs w:val="24"/>
                <w:highlight w:val="none"/>
                <w:lang w:val="en-US" w:eastAsia="zh-CN"/>
              </w:rPr>
              <w:t>自建</w:t>
            </w:r>
            <w:r>
              <w:rPr>
                <w:rFonts w:hint="eastAsia" w:cs="Times New Roman"/>
                <w:bCs/>
                <w:color w:val="auto"/>
                <w:kern w:val="2"/>
                <w:sz w:val="24"/>
                <w:szCs w:val="24"/>
                <w:highlight w:val="none"/>
                <w:lang w:val="en-US" w:eastAsia="zh-CN"/>
              </w:rPr>
              <w:t>一体化污水处理设备</w:t>
            </w:r>
            <w:r>
              <w:rPr>
                <w:rFonts w:hint="default" w:ascii="Times New Roman" w:hAnsi="Times New Roman" w:eastAsia="宋体" w:cs="Times New Roman"/>
                <w:bCs/>
                <w:color w:val="auto"/>
                <w:kern w:val="2"/>
                <w:sz w:val="24"/>
                <w:szCs w:val="24"/>
                <w:highlight w:val="none"/>
                <w:lang w:val="en-US" w:eastAsia="zh-CN"/>
              </w:rPr>
              <w:t>处理，其具体处理效率和出水水质详见下表：</w:t>
            </w:r>
          </w:p>
          <w:p w14:paraId="31109FED">
            <w:pPr>
              <w:adjustRightInd w:val="0"/>
              <w:snapToGrid w:val="0"/>
              <w:spacing w:line="360" w:lineRule="auto"/>
              <w:ind w:firstLine="0" w:firstLineChars="0"/>
              <w:jc w:val="center"/>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表4-9  污水处理站水质情况一览表</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529"/>
              <w:gridCol w:w="1581"/>
              <w:gridCol w:w="1328"/>
              <w:gridCol w:w="894"/>
              <w:gridCol w:w="1057"/>
              <w:gridCol w:w="1057"/>
              <w:gridCol w:w="1391"/>
            </w:tblGrid>
            <w:tr w14:paraId="0EAD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3" w:hRule="atLeast"/>
              </w:trPr>
              <w:tc>
                <w:tcPr>
                  <w:tcW w:w="1347" w:type="pct"/>
                  <w:gridSpan w:val="2"/>
                  <w:vMerge w:val="restart"/>
                  <w:tcBorders>
                    <w:tl2br w:val="nil"/>
                    <w:tr2bl w:val="nil"/>
                  </w:tcBorders>
                  <w:noWrap w:val="0"/>
                  <w:vAlign w:val="center"/>
                </w:tcPr>
                <w:p w14:paraId="47B60B0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项目</w:t>
                  </w:r>
                </w:p>
              </w:tc>
              <w:tc>
                <w:tcPr>
                  <w:tcW w:w="847" w:type="pct"/>
                  <w:vMerge w:val="restart"/>
                  <w:tcBorders>
                    <w:tl2br w:val="nil"/>
                    <w:tr2bl w:val="nil"/>
                  </w:tcBorders>
                  <w:noWrap w:val="0"/>
                  <w:vAlign w:val="center"/>
                </w:tcPr>
                <w:p w14:paraId="012CF5A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水量（m</w:t>
                  </w:r>
                  <w:r>
                    <w:rPr>
                      <w:rFonts w:hint="default" w:ascii="Times New Roman" w:hAnsi="Times New Roman" w:eastAsia="宋体" w:cs="Times New Roman"/>
                      <w:b w:val="0"/>
                      <w:bCs w:val="0"/>
                      <w:color w:val="auto"/>
                      <w:kern w:val="0"/>
                      <w:sz w:val="21"/>
                      <w:szCs w:val="21"/>
                      <w:vertAlign w:val="superscript"/>
                      <w:lang w:val="en-US" w:eastAsia="zh-CN"/>
                    </w:rPr>
                    <w:t>3</w:t>
                  </w:r>
                  <w:r>
                    <w:rPr>
                      <w:rFonts w:hint="default" w:ascii="Times New Roman" w:hAnsi="Times New Roman" w:eastAsia="宋体" w:cs="Times New Roman"/>
                      <w:b w:val="0"/>
                      <w:bCs w:val="0"/>
                      <w:color w:val="auto"/>
                      <w:kern w:val="0"/>
                      <w:sz w:val="21"/>
                      <w:szCs w:val="21"/>
                      <w:lang w:val="en-US" w:eastAsia="zh-CN"/>
                    </w:rPr>
                    <w:t>/a）</w:t>
                  </w:r>
                </w:p>
              </w:tc>
              <w:tc>
                <w:tcPr>
                  <w:tcW w:w="2805" w:type="pct"/>
                  <w:gridSpan w:val="4"/>
                  <w:tcBorders>
                    <w:tl2br w:val="nil"/>
                    <w:tr2bl w:val="nil"/>
                  </w:tcBorders>
                  <w:noWrap w:val="0"/>
                  <w:vAlign w:val="center"/>
                </w:tcPr>
                <w:p w14:paraId="20D41A2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水质指标（单位：mg/L）</w:t>
                  </w:r>
                </w:p>
              </w:tc>
            </w:tr>
            <w:tr w14:paraId="54251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3" w:hRule="atLeast"/>
              </w:trPr>
              <w:tc>
                <w:tcPr>
                  <w:tcW w:w="1347" w:type="pct"/>
                  <w:gridSpan w:val="2"/>
                  <w:vMerge w:val="continue"/>
                  <w:tcBorders>
                    <w:tl2br w:val="nil"/>
                    <w:tr2bl w:val="nil"/>
                  </w:tcBorders>
                  <w:noWrap w:val="0"/>
                  <w:vAlign w:val="center"/>
                </w:tcPr>
                <w:p w14:paraId="1442FB6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p>
              </w:tc>
              <w:tc>
                <w:tcPr>
                  <w:tcW w:w="847" w:type="pct"/>
                  <w:vMerge w:val="continue"/>
                  <w:tcBorders>
                    <w:tl2br w:val="nil"/>
                    <w:tr2bl w:val="nil"/>
                  </w:tcBorders>
                  <w:noWrap w:val="0"/>
                  <w:vAlign w:val="center"/>
                </w:tcPr>
                <w:p w14:paraId="49C4A3E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p>
              </w:tc>
              <w:tc>
                <w:tcPr>
                  <w:tcW w:w="570" w:type="pct"/>
                  <w:tcBorders>
                    <w:tl2br w:val="nil"/>
                    <w:tr2bl w:val="nil"/>
                  </w:tcBorders>
                  <w:noWrap w:val="0"/>
                  <w:vAlign w:val="center"/>
                </w:tcPr>
                <w:p w14:paraId="7A4E9FA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CODcr</w:t>
                  </w:r>
                </w:p>
              </w:tc>
              <w:tc>
                <w:tcPr>
                  <w:tcW w:w="674" w:type="pct"/>
                  <w:tcBorders>
                    <w:tl2br w:val="nil"/>
                    <w:tr2bl w:val="nil"/>
                  </w:tcBorders>
                  <w:noWrap w:val="0"/>
                  <w:vAlign w:val="center"/>
                </w:tcPr>
                <w:p w14:paraId="3BB4DDC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BOD</w:t>
                  </w:r>
                  <w:r>
                    <w:rPr>
                      <w:rFonts w:hint="default" w:ascii="Times New Roman" w:hAnsi="Times New Roman" w:eastAsia="宋体" w:cs="Times New Roman"/>
                      <w:b w:val="0"/>
                      <w:bCs w:val="0"/>
                      <w:color w:val="auto"/>
                      <w:kern w:val="0"/>
                      <w:sz w:val="21"/>
                      <w:szCs w:val="21"/>
                      <w:vertAlign w:val="subscript"/>
                      <w:lang w:val="en-US" w:eastAsia="zh-CN"/>
                    </w:rPr>
                    <w:t>5</w:t>
                  </w:r>
                </w:p>
              </w:tc>
              <w:tc>
                <w:tcPr>
                  <w:tcW w:w="674" w:type="pct"/>
                  <w:tcBorders>
                    <w:tl2br w:val="nil"/>
                    <w:tr2bl w:val="nil"/>
                  </w:tcBorders>
                  <w:noWrap w:val="0"/>
                  <w:vAlign w:val="center"/>
                </w:tcPr>
                <w:p w14:paraId="0957C6E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SS</w:t>
                  </w:r>
                </w:p>
              </w:tc>
              <w:tc>
                <w:tcPr>
                  <w:tcW w:w="886" w:type="pct"/>
                  <w:tcBorders>
                    <w:tl2br w:val="nil"/>
                    <w:tr2bl w:val="nil"/>
                  </w:tcBorders>
                  <w:noWrap w:val="0"/>
                  <w:vAlign w:val="center"/>
                </w:tcPr>
                <w:p w14:paraId="2A024AC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氨氮</w:t>
                  </w:r>
                </w:p>
              </w:tc>
            </w:tr>
            <w:tr w14:paraId="3099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3" w:hRule="atLeast"/>
              </w:trPr>
              <w:tc>
                <w:tcPr>
                  <w:tcW w:w="338" w:type="pct"/>
                  <w:vMerge w:val="restart"/>
                  <w:tcBorders>
                    <w:tl2br w:val="nil"/>
                    <w:tr2bl w:val="nil"/>
                  </w:tcBorders>
                  <w:noWrap w:val="0"/>
                  <w:vAlign w:val="center"/>
                </w:tcPr>
                <w:p w14:paraId="251EE7C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处理前</w:t>
                  </w:r>
                </w:p>
              </w:tc>
              <w:tc>
                <w:tcPr>
                  <w:tcW w:w="1008" w:type="pct"/>
                  <w:tcBorders>
                    <w:tl2br w:val="nil"/>
                    <w:tr2bl w:val="nil"/>
                  </w:tcBorders>
                  <w:noWrap w:val="0"/>
                  <w:vAlign w:val="center"/>
                </w:tcPr>
                <w:p w14:paraId="1BA28F6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污染物产生浓度（mg/L）</w:t>
                  </w:r>
                </w:p>
              </w:tc>
              <w:tc>
                <w:tcPr>
                  <w:tcW w:w="847" w:type="pct"/>
                  <w:tcBorders>
                    <w:tl2br w:val="nil"/>
                    <w:tr2bl w:val="nil"/>
                  </w:tcBorders>
                  <w:noWrap w:val="0"/>
                  <w:vAlign w:val="center"/>
                </w:tcPr>
                <w:p w14:paraId="36D6288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273.6</w:t>
                  </w:r>
                </w:p>
              </w:tc>
              <w:tc>
                <w:tcPr>
                  <w:tcW w:w="570" w:type="pct"/>
                  <w:tcBorders>
                    <w:tl2br w:val="nil"/>
                    <w:tr2bl w:val="nil"/>
                  </w:tcBorders>
                  <w:noWrap w:val="0"/>
                  <w:vAlign w:val="center"/>
                </w:tcPr>
                <w:p w14:paraId="1842950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300</w:t>
                  </w:r>
                </w:p>
              </w:tc>
              <w:tc>
                <w:tcPr>
                  <w:tcW w:w="674" w:type="pct"/>
                  <w:tcBorders>
                    <w:tl2br w:val="nil"/>
                    <w:tr2bl w:val="nil"/>
                  </w:tcBorders>
                  <w:noWrap w:val="0"/>
                  <w:vAlign w:val="center"/>
                </w:tcPr>
                <w:p w14:paraId="1D477D9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200</w:t>
                  </w:r>
                </w:p>
              </w:tc>
              <w:tc>
                <w:tcPr>
                  <w:tcW w:w="674" w:type="pct"/>
                  <w:tcBorders>
                    <w:tl2br w:val="nil"/>
                    <w:tr2bl w:val="nil"/>
                  </w:tcBorders>
                  <w:noWrap w:val="0"/>
                  <w:vAlign w:val="center"/>
                </w:tcPr>
                <w:p w14:paraId="6C9EBCB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200</w:t>
                  </w:r>
                </w:p>
              </w:tc>
              <w:tc>
                <w:tcPr>
                  <w:tcW w:w="886" w:type="pct"/>
                  <w:tcBorders>
                    <w:tl2br w:val="nil"/>
                    <w:tr2bl w:val="nil"/>
                  </w:tcBorders>
                  <w:noWrap w:val="0"/>
                  <w:vAlign w:val="center"/>
                </w:tcPr>
                <w:p w14:paraId="233E27A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30</w:t>
                  </w:r>
                </w:p>
              </w:tc>
            </w:tr>
            <w:tr w14:paraId="710D1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3" w:hRule="atLeast"/>
              </w:trPr>
              <w:tc>
                <w:tcPr>
                  <w:tcW w:w="338" w:type="pct"/>
                  <w:vMerge w:val="continue"/>
                  <w:tcBorders>
                    <w:tl2br w:val="nil"/>
                    <w:tr2bl w:val="nil"/>
                  </w:tcBorders>
                  <w:noWrap w:val="0"/>
                  <w:vAlign w:val="center"/>
                </w:tcPr>
                <w:p w14:paraId="6786AC0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p>
              </w:tc>
              <w:tc>
                <w:tcPr>
                  <w:tcW w:w="1008" w:type="pct"/>
                  <w:tcBorders>
                    <w:tl2br w:val="nil"/>
                    <w:tr2bl w:val="nil"/>
                  </w:tcBorders>
                  <w:noWrap w:val="0"/>
                  <w:vAlign w:val="center"/>
                </w:tcPr>
                <w:p w14:paraId="69B9803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年产生量（t/a）</w:t>
                  </w:r>
                </w:p>
              </w:tc>
              <w:tc>
                <w:tcPr>
                  <w:tcW w:w="847" w:type="pct"/>
                  <w:tcBorders>
                    <w:tl2br w:val="nil"/>
                    <w:tr2bl w:val="nil"/>
                  </w:tcBorders>
                  <w:noWrap w:val="0"/>
                  <w:vAlign w:val="center"/>
                </w:tcPr>
                <w:p w14:paraId="3F961A4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p>
              </w:tc>
              <w:tc>
                <w:tcPr>
                  <w:tcW w:w="570" w:type="pct"/>
                  <w:tcBorders>
                    <w:tl2br w:val="nil"/>
                    <w:tr2bl w:val="nil"/>
                  </w:tcBorders>
                  <w:noWrap w:val="0"/>
                  <w:vAlign w:val="center"/>
                </w:tcPr>
                <w:p w14:paraId="5DB8F93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color w:val="auto"/>
                      <w:kern w:val="0"/>
                      <w:sz w:val="21"/>
                      <w:szCs w:val="21"/>
                      <w:lang w:val="en-US" w:eastAsia="zh-CN"/>
                    </w:rPr>
                  </w:pPr>
                  <w:r>
                    <w:rPr>
                      <w:rFonts w:hint="eastAsia" w:cs="Times New Roman"/>
                      <w:color w:val="auto"/>
                      <w:sz w:val="21"/>
                      <w:szCs w:val="21"/>
                      <w:highlight w:val="none"/>
                      <w:vertAlign w:val="baseline"/>
                      <w:lang w:val="en-US" w:eastAsia="zh-CN"/>
                    </w:rPr>
                    <w:t>0.082</w:t>
                  </w:r>
                </w:p>
              </w:tc>
              <w:tc>
                <w:tcPr>
                  <w:tcW w:w="674" w:type="pct"/>
                  <w:tcBorders>
                    <w:tl2br w:val="nil"/>
                    <w:tr2bl w:val="nil"/>
                  </w:tcBorders>
                  <w:noWrap w:val="0"/>
                  <w:vAlign w:val="center"/>
                </w:tcPr>
                <w:p w14:paraId="524EEAC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color w:val="auto"/>
                      <w:kern w:val="0"/>
                      <w:sz w:val="21"/>
                      <w:szCs w:val="21"/>
                      <w:lang w:val="en-US" w:eastAsia="zh-CN"/>
                    </w:rPr>
                  </w:pPr>
                  <w:r>
                    <w:rPr>
                      <w:rFonts w:hint="eastAsia" w:cs="Times New Roman"/>
                      <w:color w:val="auto"/>
                      <w:sz w:val="21"/>
                      <w:szCs w:val="21"/>
                      <w:highlight w:val="none"/>
                      <w:vertAlign w:val="baseline"/>
                      <w:lang w:val="en-US" w:eastAsia="zh-CN"/>
                    </w:rPr>
                    <w:t>0.055</w:t>
                  </w:r>
                </w:p>
              </w:tc>
              <w:tc>
                <w:tcPr>
                  <w:tcW w:w="674" w:type="pct"/>
                  <w:tcBorders>
                    <w:tl2br w:val="nil"/>
                    <w:tr2bl w:val="nil"/>
                  </w:tcBorders>
                  <w:noWrap w:val="0"/>
                  <w:vAlign w:val="center"/>
                </w:tcPr>
                <w:p w14:paraId="2AA61A1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color w:val="auto"/>
                      <w:kern w:val="0"/>
                      <w:sz w:val="21"/>
                      <w:szCs w:val="21"/>
                      <w:lang w:val="en-US" w:eastAsia="zh-CN"/>
                    </w:rPr>
                  </w:pPr>
                  <w:r>
                    <w:rPr>
                      <w:rFonts w:hint="eastAsia" w:cs="Times New Roman"/>
                      <w:color w:val="auto"/>
                      <w:sz w:val="21"/>
                      <w:szCs w:val="21"/>
                      <w:highlight w:val="none"/>
                      <w:vertAlign w:val="baseline"/>
                      <w:lang w:val="en-US" w:eastAsia="zh-CN"/>
                    </w:rPr>
                    <w:t>0.055</w:t>
                  </w:r>
                </w:p>
              </w:tc>
              <w:tc>
                <w:tcPr>
                  <w:tcW w:w="886" w:type="pct"/>
                  <w:tcBorders>
                    <w:tl2br w:val="nil"/>
                    <w:tr2bl w:val="nil"/>
                  </w:tcBorders>
                  <w:noWrap w:val="0"/>
                  <w:vAlign w:val="center"/>
                </w:tcPr>
                <w:p w14:paraId="698ED2C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color w:val="auto"/>
                      <w:kern w:val="0"/>
                      <w:sz w:val="21"/>
                      <w:szCs w:val="21"/>
                      <w:lang w:val="en-US" w:eastAsia="zh-CN"/>
                    </w:rPr>
                  </w:pPr>
                  <w:r>
                    <w:rPr>
                      <w:rFonts w:hint="eastAsia" w:cs="Times New Roman"/>
                      <w:color w:val="auto"/>
                      <w:sz w:val="21"/>
                      <w:szCs w:val="21"/>
                      <w:highlight w:val="none"/>
                      <w:vertAlign w:val="baseline"/>
                      <w:lang w:val="en-US" w:eastAsia="zh-CN"/>
                    </w:rPr>
                    <w:t>0.008</w:t>
                  </w:r>
                </w:p>
              </w:tc>
            </w:tr>
            <w:tr w14:paraId="4C70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3" w:hRule="atLeast"/>
              </w:trPr>
              <w:tc>
                <w:tcPr>
                  <w:tcW w:w="1347" w:type="pct"/>
                  <w:gridSpan w:val="2"/>
                  <w:tcBorders>
                    <w:tl2br w:val="nil"/>
                    <w:tr2bl w:val="nil"/>
                  </w:tcBorders>
                  <w:noWrap w:val="0"/>
                  <w:vAlign w:val="center"/>
                </w:tcPr>
                <w:p w14:paraId="5D320FE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化粪池+一体化污水处理设备去除效率</w:t>
                  </w:r>
                </w:p>
              </w:tc>
              <w:tc>
                <w:tcPr>
                  <w:tcW w:w="847" w:type="pct"/>
                  <w:tcBorders>
                    <w:tl2br w:val="nil"/>
                    <w:tr2bl w:val="nil"/>
                  </w:tcBorders>
                  <w:noWrap w:val="0"/>
                  <w:vAlign w:val="center"/>
                </w:tcPr>
                <w:p w14:paraId="5D7E8E8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w:t>
                  </w:r>
                </w:p>
              </w:tc>
              <w:tc>
                <w:tcPr>
                  <w:tcW w:w="570" w:type="pct"/>
                  <w:tcBorders>
                    <w:tl2br w:val="nil"/>
                    <w:tr2bl w:val="nil"/>
                  </w:tcBorders>
                  <w:noWrap w:val="0"/>
                  <w:vAlign w:val="center"/>
                </w:tcPr>
                <w:p w14:paraId="58C4712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84.2</w:t>
                  </w:r>
                </w:p>
              </w:tc>
              <w:tc>
                <w:tcPr>
                  <w:tcW w:w="674" w:type="pct"/>
                  <w:tcBorders>
                    <w:tl2br w:val="nil"/>
                    <w:tr2bl w:val="nil"/>
                  </w:tcBorders>
                  <w:noWrap w:val="0"/>
                  <w:vAlign w:val="center"/>
                </w:tcPr>
                <w:p w14:paraId="574BA20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95.86</w:t>
                  </w:r>
                </w:p>
              </w:tc>
              <w:tc>
                <w:tcPr>
                  <w:tcW w:w="674" w:type="pct"/>
                  <w:tcBorders>
                    <w:tl2br w:val="nil"/>
                    <w:tr2bl w:val="nil"/>
                  </w:tcBorders>
                  <w:noWrap w:val="0"/>
                  <w:vAlign w:val="center"/>
                </w:tcPr>
                <w:p w14:paraId="274E8B0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95</w:t>
                  </w:r>
                </w:p>
              </w:tc>
              <w:tc>
                <w:tcPr>
                  <w:tcW w:w="886" w:type="pct"/>
                  <w:tcBorders>
                    <w:tl2br w:val="nil"/>
                    <w:tr2bl w:val="nil"/>
                  </w:tcBorders>
                  <w:noWrap w:val="0"/>
                  <w:vAlign w:val="center"/>
                </w:tcPr>
                <w:p w14:paraId="33B00A4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81.2</w:t>
                  </w:r>
                </w:p>
              </w:tc>
            </w:tr>
            <w:tr w14:paraId="7BC50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3" w:hRule="atLeast"/>
              </w:trPr>
              <w:tc>
                <w:tcPr>
                  <w:tcW w:w="338" w:type="pct"/>
                  <w:vMerge w:val="restart"/>
                  <w:tcBorders>
                    <w:tl2br w:val="nil"/>
                    <w:tr2bl w:val="nil"/>
                  </w:tcBorders>
                  <w:noWrap w:val="0"/>
                  <w:vAlign w:val="center"/>
                </w:tcPr>
                <w:p w14:paraId="5D272DA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处理后</w:t>
                  </w:r>
                </w:p>
              </w:tc>
              <w:tc>
                <w:tcPr>
                  <w:tcW w:w="1008" w:type="pct"/>
                  <w:tcBorders>
                    <w:tl2br w:val="nil"/>
                    <w:tr2bl w:val="nil"/>
                  </w:tcBorders>
                  <w:noWrap w:val="0"/>
                  <w:vAlign w:val="center"/>
                </w:tcPr>
                <w:p w14:paraId="3A156A4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排放</w:t>
                  </w:r>
                  <w:r>
                    <w:rPr>
                      <w:rFonts w:hint="default" w:ascii="Times New Roman" w:hAnsi="Times New Roman" w:eastAsia="宋体" w:cs="Times New Roman"/>
                      <w:color w:val="auto"/>
                      <w:kern w:val="0"/>
                      <w:sz w:val="21"/>
                      <w:szCs w:val="21"/>
                      <w:lang w:val="en-US" w:eastAsia="zh-CN"/>
                    </w:rPr>
                    <w:t>浓度（mg/L）</w:t>
                  </w:r>
                </w:p>
              </w:tc>
              <w:tc>
                <w:tcPr>
                  <w:tcW w:w="847" w:type="pct"/>
                  <w:tcBorders>
                    <w:tl2br w:val="nil"/>
                    <w:tr2bl w:val="nil"/>
                  </w:tcBorders>
                  <w:noWrap w:val="0"/>
                  <w:vAlign w:val="center"/>
                </w:tcPr>
                <w:p w14:paraId="5EDCDE3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273.6</w:t>
                  </w:r>
                </w:p>
              </w:tc>
              <w:tc>
                <w:tcPr>
                  <w:tcW w:w="570" w:type="pct"/>
                  <w:tcBorders>
                    <w:tl2br w:val="nil"/>
                    <w:tr2bl w:val="nil"/>
                  </w:tcBorders>
                  <w:noWrap w:val="0"/>
                  <w:vAlign w:val="center"/>
                </w:tcPr>
                <w:p w14:paraId="20964CA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47.4</w:t>
                  </w:r>
                </w:p>
              </w:tc>
              <w:tc>
                <w:tcPr>
                  <w:tcW w:w="674" w:type="pct"/>
                  <w:tcBorders>
                    <w:tl2br w:val="nil"/>
                    <w:tr2bl w:val="nil"/>
                  </w:tcBorders>
                  <w:noWrap w:val="0"/>
                  <w:vAlign w:val="center"/>
                </w:tcPr>
                <w:p w14:paraId="3798FD9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8.28</w:t>
                  </w:r>
                </w:p>
              </w:tc>
              <w:tc>
                <w:tcPr>
                  <w:tcW w:w="674" w:type="pct"/>
                  <w:tcBorders>
                    <w:tl2br w:val="nil"/>
                    <w:tr2bl w:val="nil"/>
                  </w:tcBorders>
                  <w:noWrap w:val="0"/>
                  <w:vAlign w:val="center"/>
                </w:tcPr>
                <w:p w14:paraId="7E4293B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10</w:t>
                  </w:r>
                </w:p>
              </w:tc>
              <w:tc>
                <w:tcPr>
                  <w:tcW w:w="886" w:type="pct"/>
                  <w:tcBorders>
                    <w:tl2br w:val="nil"/>
                    <w:tr2bl w:val="nil"/>
                  </w:tcBorders>
                  <w:noWrap w:val="0"/>
                  <w:vAlign w:val="center"/>
                </w:tcPr>
                <w:p w14:paraId="3D64DDD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5.64</w:t>
                  </w:r>
                </w:p>
              </w:tc>
            </w:tr>
            <w:tr w14:paraId="48987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3" w:hRule="atLeast"/>
              </w:trPr>
              <w:tc>
                <w:tcPr>
                  <w:tcW w:w="338" w:type="pct"/>
                  <w:vMerge w:val="continue"/>
                  <w:tcBorders>
                    <w:tl2br w:val="nil"/>
                    <w:tr2bl w:val="nil"/>
                  </w:tcBorders>
                  <w:noWrap w:val="0"/>
                  <w:vAlign w:val="center"/>
                </w:tcPr>
                <w:p w14:paraId="30FE984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p>
              </w:tc>
              <w:tc>
                <w:tcPr>
                  <w:tcW w:w="1008" w:type="pct"/>
                  <w:tcBorders>
                    <w:tl2br w:val="nil"/>
                    <w:tr2bl w:val="nil"/>
                  </w:tcBorders>
                  <w:noWrap w:val="0"/>
                  <w:vAlign w:val="center"/>
                </w:tcPr>
                <w:p w14:paraId="7A8C0B1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排放</w:t>
                  </w:r>
                  <w:r>
                    <w:rPr>
                      <w:rFonts w:hint="default" w:ascii="Times New Roman" w:hAnsi="Times New Roman" w:eastAsia="宋体" w:cs="Times New Roman"/>
                      <w:color w:val="auto"/>
                      <w:kern w:val="0"/>
                      <w:sz w:val="21"/>
                      <w:szCs w:val="21"/>
                      <w:lang w:val="en-US" w:eastAsia="zh-CN"/>
                    </w:rPr>
                    <w:t>量（t/a）</w:t>
                  </w:r>
                </w:p>
              </w:tc>
              <w:tc>
                <w:tcPr>
                  <w:tcW w:w="847" w:type="pct"/>
                  <w:tcBorders>
                    <w:tl2br w:val="nil"/>
                    <w:tr2bl w:val="nil"/>
                  </w:tcBorders>
                  <w:noWrap w:val="0"/>
                  <w:vAlign w:val="center"/>
                </w:tcPr>
                <w:p w14:paraId="1C9FF8D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w:t>
                  </w:r>
                </w:p>
              </w:tc>
              <w:tc>
                <w:tcPr>
                  <w:tcW w:w="570" w:type="pct"/>
                  <w:tcBorders>
                    <w:tl2br w:val="nil"/>
                    <w:tr2bl w:val="nil"/>
                  </w:tcBorders>
                  <w:noWrap w:val="0"/>
                  <w:vAlign w:val="center"/>
                </w:tcPr>
                <w:p w14:paraId="3A4A67E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0.013</w:t>
                  </w:r>
                </w:p>
              </w:tc>
              <w:tc>
                <w:tcPr>
                  <w:tcW w:w="674" w:type="pct"/>
                  <w:tcBorders>
                    <w:tl2br w:val="nil"/>
                    <w:tr2bl w:val="nil"/>
                  </w:tcBorders>
                  <w:noWrap w:val="0"/>
                  <w:vAlign w:val="center"/>
                </w:tcPr>
                <w:p w14:paraId="5DED7D8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0.002</w:t>
                  </w:r>
                </w:p>
              </w:tc>
              <w:tc>
                <w:tcPr>
                  <w:tcW w:w="674" w:type="pct"/>
                  <w:tcBorders>
                    <w:tl2br w:val="nil"/>
                    <w:tr2bl w:val="nil"/>
                  </w:tcBorders>
                  <w:noWrap w:val="0"/>
                  <w:vAlign w:val="center"/>
                </w:tcPr>
                <w:p w14:paraId="32E7C5B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0.003</w:t>
                  </w:r>
                </w:p>
              </w:tc>
              <w:tc>
                <w:tcPr>
                  <w:tcW w:w="886" w:type="pct"/>
                  <w:tcBorders>
                    <w:tl2br w:val="nil"/>
                    <w:tr2bl w:val="nil"/>
                  </w:tcBorders>
                  <w:noWrap w:val="0"/>
                  <w:vAlign w:val="center"/>
                </w:tcPr>
                <w:p w14:paraId="63FAAB3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0.002</w:t>
                  </w:r>
                </w:p>
              </w:tc>
            </w:tr>
            <w:tr w14:paraId="18C1D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3" w:hRule="atLeast"/>
              </w:trPr>
              <w:tc>
                <w:tcPr>
                  <w:tcW w:w="1347" w:type="pct"/>
                  <w:gridSpan w:val="2"/>
                  <w:tcBorders>
                    <w:tl2br w:val="nil"/>
                    <w:tr2bl w:val="nil"/>
                  </w:tcBorders>
                  <w:noWrap w:val="0"/>
                  <w:vAlign w:val="center"/>
                </w:tcPr>
                <w:p w14:paraId="086FCA0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消减量</w:t>
                  </w:r>
                  <w:r>
                    <w:rPr>
                      <w:rFonts w:hint="default" w:ascii="Times New Roman" w:hAnsi="Times New Roman" w:eastAsia="宋体" w:cs="Times New Roman"/>
                      <w:color w:val="auto"/>
                      <w:kern w:val="0"/>
                      <w:sz w:val="21"/>
                      <w:szCs w:val="21"/>
                      <w:lang w:val="en-US" w:eastAsia="zh-CN"/>
                    </w:rPr>
                    <w:t>（t/a）</w:t>
                  </w:r>
                </w:p>
              </w:tc>
              <w:tc>
                <w:tcPr>
                  <w:tcW w:w="847" w:type="pct"/>
                  <w:tcBorders>
                    <w:tl2br w:val="nil"/>
                    <w:tr2bl w:val="nil"/>
                  </w:tcBorders>
                  <w:noWrap w:val="0"/>
                  <w:vAlign w:val="center"/>
                </w:tcPr>
                <w:p w14:paraId="4AF3C80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p>
              </w:tc>
              <w:tc>
                <w:tcPr>
                  <w:tcW w:w="570" w:type="pct"/>
                  <w:tcBorders>
                    <w:tl2br w:val="nil"/>
                    <w:tr2bl w:val="nil"/>
                  </w:tcBorders>
                  <w:noWrap w:val="0"/>
                  <w:vAlign w:val="center"/>
                </w:tcPr>
                <w:p w14:paraId="6A5E0DD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0.069</w:t>
                  </w:r>
                </w:p>
              </w:tc>
              <w:tc>
                <w:tcPr>
                  <w:tcW w:w="674" w:type="pct"/>
                  <w:tcBorders>
                    <w:tl2br w:val="nil"/>
                    <w:tr2bl w:val="nil"/>
                  </w:tcBorders>
                  <w:noWrap w:val="0"/>
                  <w:vAlign w:val="center"/>
                </w:tcPr>
                <w:p w14:paraId="7EACA50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0.053</w:t>
                  </w:r>
                </w:p>
              </w:tc>
              <w:tc>
                <w:tcPr>
                  <w:tcW w:w="674" w:type="pct"/>
                  <w:tcBorders>
                    <w:tl2br w:val="nil"/>
                    <w:tr2bl w:val="nil"/>
                  </w:tcBorders>
                  <w:noWrap w:val="0"/>
                  <w:vAlign w:val="center"/>
                </w:tcPr>
                <w:p w14:paraId="101AA7B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0.052</w:t>
                  </w:r>
                </w:p>
              </w:tc>
              <w:tc>
                <w:tcPr>
                  <w:tcW w:w="886" w:type="pct"/>
                  <w:tcBorders>
                    <w:tl2br w:val="nil"/>
                    <w:tr2bl w:val="nil"/>
                  </w:tcBorders>
                  <w:noWrap w:val="0"/>
                  <w:vAlign w:val="center"/>
                </w:tcPr>
                <w:p w14:paraId="706E5F3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0.006</w:t>
                  </w:r>
                </w:p>
              </w:tc>
            </w:tr>
            <w:tr w14:paraId="5AD68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3" w:hRule="atLeast"/>
              </w:trPr>
              <w:tc>
                <w:tcPr>
                  <w:tcW w:w="1347" w:type="pct"/>
                  <w:gridSpan w:val="2"/>
                  <w:tcBorders>
                    <w:tl2br w:val="nil"/>
                    <w:tr2bl w:val="nil"/>
                  </w:tcBorders>
                  <w:noWrap w:val="0"/>
                  <w:vAlign w:val="center"/>
                </w:tcPr>
                <w:p w14:paraId="6FD290B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排放标准</w:t>
                  </w:r>
                  <w:r>
                    <w:rPr>
                      <w:rFonts w:hint="default" w:ascii="Times New Roman" w:hAnsi="Times New Roman" w:eastAsia="宋体" w:cs="Times New Roman"/>
                      <w:color w:val="auto"/>
                      <w:kern w:val="0"/>
                      <w:sz w:val="21"/>
                      <w:szCs w:val="21"/>
                      <w:lang w:val="en-US" w:eastAsia="zh-CN"/>
                    </w:rPr>
                    <w:t>（mg/L）</w:t>
                  </w:r>
                </w:p>
              </w:tc>
              <w:tc>
                <w:tcPr>
                  <w:tcW w:w="847" w:type="pct"/>
                  <w:tcBorders>
                    <w:tl2br w:val="nil"/>
                    <w:tr2bl w:val="nil"/>
                  </w:tcBorders>
                  <w:noWrap w:val="0"/>
                  <w:vAlign w:val="center"/>
                </w:tcPr>
                <w:p w14:paraId="7B98059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p>
              </w:tc>
              <w:tc>
                <w:tcPr>
                  <w:tcW w:w="570" w:type="pct"/>
                  <w:tcBorders>
                    <w:tl2br w:val="nil"/>
                    <w:tr2bl w:val="nil"/>
                  </w:tcBorders>
                  <w:noWrap w:val="0"/>
                  <w:vAlign w:val="center"/>
                </w:tcPr>
                <w:p w14:paraId="59B4EA1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p>
              </w:tc>
              <w:tc>
                <w:tcPr>
                  <w:tcW w:w="674" w:type="pct"/>
                  <w:tcBorders>
                    <w:tl2br w:val="nil"/>
                    <w:tr2bl w:val="nil"/>
                  </w:tcBorders>
                  <w:noWrap w:val="0"/>
                  <w:vAlign w:val="center"/>
                </w:tcPr>
                <w:p w14:paraId="46A5B75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10</w:t>
                  </w:r>
                </w:p>
              </w:tc>
              <w:tc>
                <w:tcPr>
                  <w:tcW w:w="674" w:type="pct"/>
                  <w:tcBorders>
                    <w:tl2br w:val="nil"/>
                    <w:tr2bl w:val="nil"/>
                  </w:tcBorders>
                  <w:noWrap w:val="0"/>
                  <w:vAlign w:val="center"/>
                </w:tcPr>
                <w:p w14:paraId="6616325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p>
              </w:tc>
              <w:tc>
                <w:tcPr>
                  <w:tcW w:w="886" w:type="pct"/>
                  <w:tcBorders>
                    <w:tl2br w:val="nil"/>
                    <w:tr2bl w:val="nil"/>
                  </w:tcBorders>
                  <w:noWrap w:val="0"/>
                  <w:vAlign w:val="center"/>
                </w:tcPr>
                <w:p w14:paraId="6E9EBD4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8</w:t>
                  </w:r>
                </w:p>
              </w:tc>
            </w:tr>
            <w:tr w14:paraId="04A5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3" w:hRule="atLeast"/>
              </w:trPr>
              <w:tc>
                <w:tcPr>
                  <w:tcW w:w="1347" w:type="pct"/>
                  <w:gridSpan w:val="2"/>
                  <w:tcBorders>
                    <w:tl2br w:val="nil"/>
                    <w:tr2bl w:val="nil"/>
                  </w:tcBorders>
                  <w:noWrap w:val="0"/>
                  <w:vAlign w:val="center"/>
                </w:tcPr>
                <w:p w14:paraId="5E3EBE9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达标情况</w:t>
                  </w:r>
                </w:p>
              </w:tc>
              <w:tc>
                <w:tcPr>
                  <w:tcW w:w="847" w:type="pct"/>
                  <w:tcBorders>
                    <w:tl2br w:val="nil"/>
                    <w:tr2bl w:val="nil"/>
                  </w:tcBorders>
                  <w:noWrap w:val="0"/>
                  <w:vAlign w:val="center"/>
                </w:tcPr>
                <w:p w14:paraId="3914D01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p>
              </w:tc>
              <w:tc>
                <w:tcPr>
                  <w:tcW w:w="570" w:type="pct"/>
                  <w:tcBorders>
                    <w:tl2br w:val="nil"/>
                    <w:tr2bl w:val="nil"/>
                  </w:tcBorders>
                  <w:noWrap w:val="0"/>
                  <w:vAlign w:val="center"/>
                </w:tcPr>
                <w:p w14:paraId="587E331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达标</w:t>
                  </w:r>
                </w:p>
              </w:tc>
              <w:tc>
                <w:tcPr>
                  <w:tcW w:w="674" w:type="pct"/>
                  <w:tcBorders>
                    <w:tl2br w:val="nil"/>
                    <w:tr2bl w:val="nil"/>
                  </w:tcBorders>
                  <w:noWrap w:val="0"/>
                  <w:vAlign w:val="center"/>
                </w:tcPr>
                <w:p w14:paraId="13B9E45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p>
              </w:tc>
              <w:tc>
                <w:tcPr>
                  <w:tcW w:w="674" w:type="pct"/>
                  <w:tcBorders>
                    <w:tl2br w:val="nil"/>
                    <w:tr2bl w:val="nil"/>
                  </w:tcBorders>
                  <w:noWrap w:val="0"/>
                  <w:vAlign w:val="center"/>
                </w:tcPr>
                <w:p w14:paraId="61DEE04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p>
              </w:tc>
              <w:tc>
                <w:tcPr>
                  <w:tcW w:w="886" w:type="pct"/>
                  <w:tcBorders>
                    <w:tl2br w:val="nil"/>
                    <w:tr2bl w:val="nil"/>
                  </w:tcBorders>
                  <w:noWrap w:val="0"/>
                  <w:vAlign w:val="center"/>
                </w:tcPr>
                <w:p w14:paraId="103A2CB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达标</w:t>
                  </w:r>
                </w:p>
              </w:tc>
            </w:tr>
          </w:tbl>
          <w:p w14:paraId="1FFDC2DC">
            <w:pPr>
              <w:ind w:firstLine="480"/>
              <w:rPr>
                <w:rFonts w:hint="eastAsia" w:cs="Times New Roman"/>
                <w:color w:val="auto"/>
                <w:lang w:val="en-US" w:eastAsia="zh-CN"/>
              </w:rPr>
            </w:pPr>
            <w:r>
              <w:rPr>
                <w:rFonts w:hint="eastAsia" w:cs="Times New Roman"/>
                <w:color w:val="auto"/>
                <w:lang w:val="en-US" w:eastAsia="zh-CN"/>
              </w:rPr>
              <w:t>根据上边可知，项目生活污水经化粪池预处理后进入自建一体化污水处理设备处理后，出水水质可达到《城市污水再生利用 城市杂用水水质》（GB/T 18920-2020）中城市绿化、道路清扫标准限值要求。</w:t>
            </w:r>
          </w:p>
          <w:p w14:paraId="239B9BD2">
            <w:pPr>
              <w:ind w:firstLine="480"/>
              <w:rPr>
                <w:rFonts w:hint="eastAsia" w:cs="Times New Roman"/>
                <w:b/>
                <w:bCs/>
                <w:color w:val="auto"/>
                <w:lang w:val="en-US" w:eastAsia="zh-CN"/>
              </w:rPr>
            </w:pPr>
            <w:r>
              <w:rPr>
                <w:rFonts w:hint="eastAsia" w:cs="Times New Roman"/>
                <w:b/>
                <w:bCs/>
                <w:color w:val="auto"/>
                <w:lang w:val="en-US" w:eastAsia="zh-CN"/>
              </w:rPr>
              <w:t>（3）冷却水非正常排放情况下影响分析</w:t>
            </w:r>
          </w:p>
          <w:p w14:paraId="57BF0CC2">
            <w:pPr>
              <w:ind w:firstLine="480"/>
              <w:rPr>
                <w:rFonts w:hint="default" w:cs="Times New Roman"/>
                <w:color w:val="auto"/>
                <w:lang w:val="en-US" w:eastAsia="zh-CN"/>
              </w:rPr>
            </w:pPr>
            <w:r>
              <w:rPr>
                <w:rFonts w:hint="eastAsia" w:cs="Times New Roman"/>
                <w:color w:val="auto"/>
                <w:lang w:val="en-US" w:eastAsia="zh-CN"/>
              </w:rPr>
              <w:t>本项目共设置8个循环冷却水池收集焊管冷却水，总容积为165m</w:t>
            </w:r>
            <w:r>
              <w:rPr>
                <w:rFonts w:hint="eastAsia" w:cs="Times New Roman"/>
                <w:color w:val="auto"/>
                <w:vertAlign w:val="superscript"/>
                <w:lang w:val="en-US" w:eastAsia="zh-CN"/>
              </w:rPr>
              <w:t>3</w:t>
            </w:r>
            <w:r>
              <w:rPr>
                <w:rFonts w:hint="eastAsia" w:cs="Times New Roman"/>
                <w:color w:val="auto"/>
                <w:lang w:val="en-US" w:eastAsia="zh-CN"/>
              </w:rPr>
              <w:t>，单个最大容积为30m</w:t>
            </w:r>
            <w:r>
              <w:rPr>
                <w:rFonts w:hint="eastAsia" w:cs="Times New Roman"/>
                <w:color w:val="auto"/>
                <w:vertAlign w:val="superscript"/>
                <w:lang w:val="en-US" w:eastAsia="zh-CN"/>
              </w:rPr>
              <w:t>3</w:t>
            </w:r>
            <w:r>
              <w:rPr>
                <w:rFonts w:hint="eastAsia" w:cs="Times New Roman"/>
                <w:color w:val="auto"/>
                <w:lang w:val="en-US" w:eastAsia="zh-CN"/>
              </w:rPr>
              <w:t>，焊管冷却水为直接冷却水，冷却水中含有氧化铁皮悬浮物、铁锈等污染物，若循环冷却池池体破例导致冷却水事故外排，会对周边地表水产生影响，结合工程实际，8座水池同时故障泄漏概率很小，因此本项目要求设置1个容积为30m</w:t>
            </w:r>
            <w:r>
              <w:rPr>
                <w:rFonts w:hint="eastAsia" w:cs="Times New Roman"/>
                <w:color w:val="auto"/>
                <w:vertAlign w:val="superscript"/>
                <w:lang w:val="en-US" w:eastAsia="zh-CN"/>
              </w:rPr>
              <w:t>3</w:t>
            </w:r>
            <w:r>
              <w:rPr>
                <w:rFonts w:hint="eastAsia" w:cs="Times New Roman"/>
                <w:color w:val="auto"/>
                <w:lang w:val="en-US" w:eastAsia="zh-CN"/>
              </w:rPr>
              <w:t>的事故池，一旦循环冷却池发生破例，应立即将冷却水转移至事故池内暂存，并循环冷却池进行维修，严禁事故废水外排。</w:t>
            </w:r>
          </w:p>
          <w:p w14:paraId="1C4F7BCE">
            <w:pPr>
              <w:ind w:firstLine="480"/>
              <w:rPr>
                <w:rFonts w:hint="default" w:eastAsia="宋体" w:cs="Times New Roman"/>
                <w:b/>
                <w:bCs/>
                <w:color w:val="auto"/>
                <w:lang w:val="en-US" w:eastAsia="zh-CN"/>
              </w:rPr>
            </w:pPr>
            <w:r>
              <w:rPr>
                <w:rFonts w:hint="eastAsia" w:cs="Times New Roman"/>
                <w:b/>
                <w:bCs/>
                <w:color w:val="auto"/>
                <w:lang w:val="en-US" w:eastAsia="zh-CN"/>
              </w:rPr>
              <w:t>6、小结</w:t>
            </w:r>
          </w:p>
          <w:p w14:paraId="2B4C45A2">
            <w:pPr>
              <w:ind w:firstLine="480"/>
              <w:rPr>
                <w:rFonts w:hint="eastAsia" w:cs="Times New Roman"/>
                <w:color w:val="auto"/>
              </w:rPr>
            </w:pPr>
            <w:r>
              <w:rPr>
                <w:rFonts w:hint="default" w:ascii="Times New Roman" w:hAnsi="Times New Roman" w:cs="Times New Roman"/>
                <w:color w:val="auto"/>
                <w:sz w:val="24"/>
                <w:szCs w:val="24"/>
                <w:highlight w:val="none"/>
                <w:lang w:val="en-US" w:eastAsia="zh-CN"/>
              </w:rPr>
              <w:t>项目厂区采取雨污分流系统，</w:t>
            </w:r>
            <w:r>
              <w:rPr>
                <w:rFonts w:hint="eastAsia"/>
                <w:b w:val="0"/>
                <w:bCs w:val="0"/>
                <w:color w:val="auto"/>
                <w:kern w:val="0"/>
                <w:sz w:val="24"/>
                <w:lang w:val="en-US" w:eastAsia="zh-CN"/>
              </w:rPr>
              <w:t>初期雨水经雨水沟收集后进入初期雨水收集池沉淀后回用于厂区洒水降尘，不外排。</w:t>
            </w:r>
            <w:r>
              <w:rPr>
                <w:rFonts w:hint="eastAsia" w:cs="Times New Roman"/>
                <w:color w:val="auto"/>
              </w:rPr>
              <w:t>项目生产废水经循环水池沉淀后循环使用，不外排；生活污水经化粪池</w:t>
            </w:r>
            <w:r>
              <w:rPr>
                <w:rFonts w:hint="eastAsia" w:cs="Times New Roman"/>
                <w:color w:val="auto"/>
                <w:lang w:val="en-US" w:eastAsia="zh-CN"/>
              </w:rPr>
              <w:t>预</w:t>
            </w:r>
            <w:r>
              <w:rPr>
                <w:rFonts w:hint="eastAsia" w:cs="Times New Roman"/>
                <w:color w:val="auto"/>
              </w:rPr>
              <w:t>处理后进入一体化污水处理设备进行处理达标后回用于</w:t>
            </w:r>
            <w:r>
              <w:rPr>
                <w:rFonts w:hint="eastAsia" w:cs="Times New Roman"/>
                <w:color w:val="auto"/>
                <w:lang w:val="en-US" w:eastAsia="zh-CN"/>
              </w:rPr>
              <w:t>厂区绿化及道路空地浇洒</w:t>
            </w:r>
            <w:r>
              <w:rPr>
                <w:rFonts w:hint="eastAsia" w:cs="Times New Roman"/>
                <w:color w:val="auto"/>
              </w:rPr>
              <w:t>，不外排。</w:t>
            </w:r>
          </w:p>
          <w:p w14:paraId="5287BBA4">
            <w:pPr>
              <w:ind w:firstLine="480"/>
              <w:rPr>
                <w:rFonts w:cs="Times New Roman"/>
                <w:color w:val="auto"/>
              </w:rPr>
            </w:pPr>
            <w:r>
              <w:rPr>
                <w:rFonts w:hint="eastAsia" w:cs="Times New Roman"/>
                <w:color w:val="auto"/>
              </w:rPr>
              <w:t>综上，本项目运营期无废水外排，废水处理措施可行，对周围环境影响不大。</w:t>
            </w:r>
          </w:p>
          <w:p w14:paraId="44B52513">
            <w:pPr>
              <w:bidi w:val="0"/>
              <w:rPr>
                <w:rFonts w:hint="eastAsia"/>
                <w:b/>
                <w:bCs/>
                <w:color w:val="auto"/>
                <w:lang w:val="en-US" w:eastAsia="zh-CN"/>
              </w:rPr>
            </w:pPr>
            <w:r>
              <w:rPr>
                <w:rFonts w:hint="eastAsia"/>
                <w:b/>
                <w:bCs/>
                <w:color w:val="auto"/>
                <w:lang w:val="en-US" w:eastAsia="zh-CN"/>
              </w:rPr>
              <w:t>三、噪声</w:t>
            </w:r>
          </w:p>
          <w:p w14:paraId="247BA5AD">
            <w:pPr>
              <w:bidi w:val="0"/>
              <w:rPr>
                <w:rFonts w:hint="default"/>
                <w:b/>
                <w:bCs/>
                <w:color w:val="auto"/>
                <w:lang w:val="en-US" w:eastAsia="zh-CN"/>
              </w:rPr>
            </w:pPr>
            <w:r>
              <w:rPr>
                <w:rFonts w:hint="eastAsia"/>
                <w:b/>
                <w:bCs/>
                <w:color w:val="auto"/>
                <w:lang w:val="en-US" w:eastAsia="zh-CN"/>
              </w:rPr>
              <w:t>1、噪声污染源源强核算结果及相关参数</w:t>
            </w:r>
          </w:p>
          <w:p w14:paraId="11AD2C7B">
            <w:pPr>
              <w:bidi w:val="0"/>
              <w:rPr>
                <w:rFonts w:hint="default"/>
                <w:color w:val="auto"/>
                <w:lang w:val="en-US" w:eastAsia="zh-CN"/>
              </w:rPr>
            </w:pPr>
            <w:r>
              <w:rPr>
                <w:rFonts w:hint="eastAsia"/>
                <w:color w:val="auto"/>
                <w:lang w:val="en-US" w:eastAsia="zh-CN"/>
              </w:rPr>
              <w:t>本项目高噪声设备主要为开卷机、剪切机、空压机、焊管机、风机等设备，所有噪声源均位于相应的厂房内，源强为</w:t>
            </w:r>
            <w:r>
              <w:rPr>
                <w:rFonts w:hint="eastAsia" w:cs="Times New Roman"/>
                <w:color w:val="auto"/>
                <w:lang w:val="en-US" w:eastAsia="zh-CN"/>
              </w:rPr>
              <w:t>70</w:t>
            </w:r>
            <w:r>
              <w:rPr>
                <w:rFonts w:hint="default" w:ascii="Times New Roman" w:hAnsi="Times New Roman" w:cs="Times New Roman"/>
                <w:color w:val="auto"/>
                <w:lang w:val="en-US" w:eastAsia="zh-CN"/>
              </w:rPr>
              <w:t>~</w:t>
            </w:r>
            <w:r>
              <w:rPr>
                <w:rFonts w:hint="eastAsia" w:cs="Times New Roman"/>
                <w:color w:val="auto"/>
                <w:lang w:val="en-US" w:eastAsia="zh-CN"/>
              </w:rPr>
              <w:t>90</w:t>
            </w:r>
            <w:r>
              <w:rPr>
                <w:rFonts w:hint="default" w:ascii="Times New Roman" w:hAnsi="Times New Roman" w:cs="Times New Roman"/>
                <w:color w:val="auto"/>
                <w:lang w:val="en-US" w:eastAsia="zh-CN"/>
              </w:rPr>
              <w:t>dB(A)之间，噪声控制为</w:t>
            </w:r>
            <w:r>
              <w:rPr>
                <w:rFonts w:hint="eastAsia" w:ascii="Times New Roman" w:hAnsi="Times New Roman" w:eastAsia="宋体"/>
                <w:bCs/>
                <w:color w:val="auto"/>
                <w:sz w:val="24"/>
              </w:rPr>
              <w:t>选用低噪声设备、合理布局、基础减震，厂房隔声，安装消声器等</w:t>
            </w:r>
            <w:r>
              <w:rPr>
                <w:rFonts w:hint="eastAsia" w:ascii="Times New Roman" w:hAnsi="Times New Roman" w:cs="Times New Roman"/>
                <w:color w:val="auto"/>
                <w:lang w:val="en-US" w:eastAsia="zh-CN"/>
              </w:rPr>
              <w:t>。本项目取总平面图中西厂界与南厂界延长线交点作为坐标原点（0，0，0）</w:t>
            </w:r>
            <w:r>
              <w:rPr>
                <w:rFonts w:hint="eastAsia" w:cs="Times New Roman"/>
                <w:color w:val="auto"/>
                <w:lang w:val="en-US" w:eastAsia="zh-CN"/>
              </w:rPr>
              <w:t>（坐标为：东经102.74300964，北纬24.20217177）</w:t>
            </w:r>
            <w:r>
              <w:rPr>
                <w:rFonts w:hint="eastAsia" w:ascii="Times New Roman" w:hAnsi="Times New Roman" w:cs="Times New Roman"/>
                <w:color w:val="auto"/>
                <w:lang w:val="en-US" w:eastAsia="zh-CN"/>
              </w:rPr>
              <w:t>，项目运营期间设备产生的噪声源强见下表：</w:t>
            </w:r>
          </w:p>
          <w:p w14:paraId="6CE83A2B">
            <w:pPr>
              <w:rPr>
                <w:color w:val="auto"/>
                <w:vertAlign w:val="baseline"/>
              </w:rPr>
            </w:pPr>
          </w:p>
          <w:p w14:paraId="3E834785">
            <w:pPr>
              <w:ind w:left="0" w:leftChars="0" w:firstLine="0" w:firstLineChars="0"/>
              <w:rPr>
                <w:color w:val="auto"/>
                <w:vertAlign w:val="baseline"/>
              </w:rPr>
            </w:pPr>
          </w:p>
        </w:tc>
      </w:tr>
    </w:tbl>
    <w:p w14:paraId="21D4343B">
      <w:pPr>
        <w:ind w:firstLine="0" w:firstLineChars="0"/>
        <w:rPr>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1"/>
        <w:gridCol w:w="13703"/>
      </w:tblGrid>
      <w:tr w14:paraId="3A89B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 w:type="dxa"/>
            <w:vAlign w:val="center"/>
          </w:tcPr>
          <w:p w14:paraId="5E025F8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color w:val="auto"/>
                <w:vertAlign w:val="baseline"/>
              </w:rPr>
            </w:pPr>
            <w:r>
              <w:rPr>
                <w:rFonts w:hint="eastAsia"/>
                <w:color w:val="auto"/>
                <w:vertAlign w:val="baseline"/>
              </w:rPr>
              <w:t>运营</w:t>
            </w:r>
          </w:p>
          <w:p w14:paraId="55D3D5F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color w:val="auto"/>
                <w:vertAlign w:val="baseline"/>
              </w:rPr>
            </w:pPr>
            <w:r>
              <w:rPr>
                <w:rFonts w:hint="eastAsia"/>
                <w:color w:val="auto"/>
                <w:vertAlign w:val="baseline"/>
              </w:rPr>
              <w:t>期环</w:t>
            </w:r>
          </w:p>
          <w:p w14:paraId="5392762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color w:val="auto"/>
                <w:vertAlign w:val="baseline"/>
              </w:rPr>
            </w:pPr>
            <w:r>
              <w:rPr>
                <w:rFonts w:hint="eastAsia"/>
                <w:color w:val="auto"/>
                <w:vertAlign w:val="baseline"/>
              </w:rPr>
              <w:t>境影</w:t>
            </w:r>
          </w:p>
          <w:p w14:paraId="79307F8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color w:val="auto"/>
                <w:vertAlign w:val="baseline"/>
              </w:rPr>
            </w:pPr>
            <w:r>
              <w:rPr>
                <w:rFonts w:hint="eastAsia"/>
                <w:color w:val="auto"/>
                <w:vertAlign w:val="baseline"/>
              </w:rPr>
              <w:t>响和</w:t>
            </w:r>
          </w:p>
          <w:p w14:paraId="1060713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color w:val="auto"/>
                <w:vertAlign w:val="baseline"/>
              </w:rPr>
            </w:pPr>
            <w:r>
              <w:rPr>
                <w:rFonts w:hint="eastAsia"/>
                <w:color w:val="auto"/>
                <w:vertAlign w:val="baseline"/>
              </w:rPr>
              <w:t>保护</w:t>
            </w:r>
          </w:p>
          <w:p w14:paraId="38654B9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vertAlign w:val="baseline"/>
              </w:rPr>
            </w:pPr>
            <w:r>
              <w:rPr>
                <w:rFonts w:hint="eastAsia"/>
                <w:color w:val="auto"/>
                <w:vertAlign w:val="baseline"/>
              </w:rPr>
              <w:t>措施</w:t>
            </w:r>
          </w:p>
        </w:tc>
        <w:tc>
          <w:tcPr>
            <w:tcW w:w="13703" w:type="dxa"/>
          </w:tcPr>
          <w:p w14:paraId="7B7AA1CB">
            <w:pPr>
              <w:adjustRightInd w:val="0"/>
              <w:snapToGrid w:val="0"/>
              <w:spacing w:line="360" w:lineRule="auto"/>
              <w:ind w:firstLine="0" w:firstLineChars="0"/>
              <w:jc w:val="center"/>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表4-10 噪声源强调查清单（室内声源）</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1160"/>
              <w:gridCol w:w="602"/>
              <w:gridCol w:w="871"/>
              <w:gridCol w:w="2098"/>
              <w:gridCol w:w="887"/>
              <w:gridCol w:w="875"/>
              <w:gridCol w:w="659"/>
              <w:gridCol w:w="976"/>
              <w:gridCol w:w="963"/>
              <w:gridCol w:w="583"/>
              <w:gridCol w:w="1026"/>
              <w:gridCol w:w="951"/>
              <w:gridCol w:w="1168"/>
            </w:tblGrid>
            <w:tr w14:paraId="3ED9A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74" w:type="pct"/>
                  <w:gridSpan w:val="2"/>
                  <w:vMerge w:val="restart"/>
                  <w:vAlign w:val="center"/>
                </w:tcPr>
                <w:p w14:paraId="7FC0D1B1">
                  <w:pPr>
                    <w:pStyle w:val="31"/>
                    <w:bidi w:val="0"/>
                    <w:jc w:val="center"/>
                    <w:rPr>
                      <w:rFonts w:hint="default"/>
                      <w:color w:val="auto"/>
                      <w:lang w:val="en-US" w:eastAsia="zh-CN"/>
                    </w:rPr>
                  </w:pPr>
                  <w:r>
                    <w:rPr>
                      <w:rFonts w:hint="eastAsia"/>
                      <w:color w:val="auto"/>
                      <w:lang w:val="en-US" w:eastAsia="zh-CN"/>
                    </w:rPr>
                    <w:t>声源名称</w:t>
                  </w:r>
                </w:p>
              </w:tc>
              <w:tc>
                <w:tcPr>
                  <w:tcW w:w="223" w:type="pct"/>
                  <w:vMerge w:val="restart"/>
                  <w:vAlign w:val="center"/>
                </w:tcPr>
                <w:p w14:paraId="019FA933">
                  <w:pPr>
                    <w:pStyle w:val="31"/>
                    <w:bidi w:val="0"/>
                    <w:jc w:val="center"/>
                    <w:rPr>
                      <w:rFonts w:hint="default"/>
                      <w:color w:val="auto"/>
                      <w:lang w:val="en-US" w:eastAsia="zh-CN"/>
                    </w:rPr>
                  </w:pPr>
                  <w:r>
                    <w:rPr>
                      <w:rFonts w:hint="eastAsia"/>
                      <w:color w:val="auto"/>
                      <w:lang w:val="en-US" w:eastAsia="zh-CN"/>
                    </w:rPr>
                    <w:t>数量</w:t>
                  </w:r>
                </w:p>
              </w:tc>
              <w:tc>
                <w:tcPr>
                  <w:tcW w:w="322" w:type="pct"/>
                  <w:vMerge w:val="restart"/>
                  <w:vAlign w:val="center"/>
                </w:tcPr>
                <w:p w14:paraId="10690868">
                  <w:pPr>
                    <w:pStyle w:val="31"/>
                    <w:bidi w:val="0"/>
                    <w:jc w:val="center"/>
                    <w:rPr>
                      <w:rFonts w:hint="eastAsia"/>
                      <w:color w:val="auto"/>
                      <w:lang w:val="en-US" w:eastAsia="zh-CN"/>
                    </w:rPr>
                  </w:pPr>
                  <w:r>
                    <w:rPr>
                      <w:rFonts w:hint="eastAsia"/>
                      <w:color w:val="auto"/>
                      <w:lang w:val="en-US" w:eastAsia="zh-CN"/>
                    </w:rPr>
                    <w:t>声功率级</w:t>
                  </w:r>
                </w:p>
                <w:p w14:paraId="23D55285">
                  <w:pPr>
                    <w:pStyle w:val="31"/>
                    <w:bidi w:val="0"/>
                    <w:jc w:val="center"/>
                    <w:rPr>
                      <w:rFonts w:hint="default"/>
                      <w:color w:val="auto"/>
                      <w:lang w:val="en-US" w:eastAsia="zh-CN"/>
                    </w:rPr>
                  </w:pPr>
                  <w:r>
                    <w:rPr>
                      <w:rFonts w:hint="eastAsia"/>
                      <w:color w:val="auto"/>
                      <w:lang w:val="en-US" w:eastAsia="zh-CN"/>
                    </w:rPr>
                    <w:t>dB（A）</w:t>
                  </w:r>
                </w:p>
              </w:tc>
              <w:tc>
                <w:tcPr>
                  <w:tcW w:w="778" w:type="pct"/>
                  <w:vMerge w:val="restart"/>
                  <w:vAlign w:val="center"/>
                </w:tcPr>
                <w:p w14:paraId="7E6BE5D8">
                  <w:pPr>
                    <w:pStyle w:val="31"/>
                    <w:bidi w:val="0"/>
                    <w:jc w:val="center"/>
                    <w:rPr>
                      <w:rFonts w:hint="default"/>
                      <w:color w:val="auto"/>
                      <w:lang w:val="en-US" w:eastAsia="zh-CN"/>
                    </w:rPr>
                  </w:pPr>
                  <w:r>
                    <w:rPr>
                      <w:rFonts w:hint="eastAsia"/>
                      <w:color w:val="auto"/>
                      <w:lang w:val="en-US" w:eastAsia="zh-CN"/>
                    </w:rPr>
                    <w:t>声源控制措施</w:t>
                  </w:r>
                </w:p>
              </w:tc>
              <w:tc>
                <w:tcPr>
                  <w:tcW w:w="898" w:type="pct"/>
                  <w:gridSpan w:val="3"/>
                  <w:vAlign w:val="center"/>
                </w:tcPr>
                <w:p w14:paraId="254E2178">
                  <w:pPr>
                    <w:pStyle w:val="31"/>
                    <w:bidi w:val="0"/>
                    <w:jc w:val="center"/>
                    <w:rPr>
                      <w:rFonts w:hint="eastAsia"/>
                      <w:color w:val="auto"/>
                      <w:lang w:val="en-US" w:eastAsia="zh-CN"/>
                    </w:rPr>
                  </w:pPr>
                  <w:r>
                    <w:rPr>
                      <w:rFonts w:hint="eastAsia"/>
                      <w:color w:val="auto"/>
                      <w:lang w:val="en-US" w:eastAsia="zh-CN"/>
                    </w:rPr>
                    <w:t>空间相对位置/m</w:t>
                  </w:r>
                </w:p>
              </w:tc>
              <w:tc>
                <w:tcPr>
                  <w:tcW w:w="362" w:type="pct"/>
                  <w:vMerge w:val="restart"/>
                  <w:vAlign w:val="center"/>
                </w:tcPr>
                <w:p w14:paraId="3DDFFF32">
                  <w:pPr>
                    <w:pStyle w:val="31"/>
                    <w:bidi w:val="0"/>
                    <w:jc w:val="center"/>
                    <w:rPr>
                      <w:rFonts w:hint="eastAsia"/>
                      <w:color w:val="auto"/>
                      <w:lang w:val="en-US" w:eastAsia="zh-CN"/>
                    </w:rPr>
                  </w:pPr>
                  <w:r>
                    <w:rPr>
                      <w:color w:val="auto"/>
                    </w:rPr>
                    <w:t>距室内边界距离（m）</w:t>
                  </w:r>
                </w:p>
              </w:tc>
              <w:tc>
                <w:tcPr>
                  <w:tcW w:w="357" w:type="pct"/>
                  <w:vMerge w:val="restart"/>
                  <w:vAlign w:val="center"/>
                </w:tcPr>
                <w:p w14:paraId="66F08FA8">
                  <w:pPr>
                    <w:pStyle w:val="31"/>
                    <w:bidi w:val="0"/>
                    <w:jc w:val="center"/>
                    <w:rPr>
                      <w:rFonts w:hint="eastAsia"/>
                      <w:color w:val="auto"/>
                      <w:lang w:val="en-US" w:eastAsia="zh-CN"/>
                    </w:rPr>
                  </w:pPr>
                  <w:r>
                    <w:rPr>
                      <w:color w:val="auto"/>
                    </w:rPr>
                    <w:t>室内边界声级dB（A）</w:t>
                  </w:r>
                </w:p>
              </w:tc>
              <w:tc>
                <w:tcPr>
                  <w:tcW w:w="216" w:type="pct"/>
                  <w:vMerge w:val="restart"/>
                  <w:vAlign w:val="center"/>
                </w:tcPr>
                <w:p w14:paraId="75E479F5">
                  <w:pPr>
                    <w:pStyle w:val="31"/>
                    <w:bidi w:val="0"/>
                    <w:jc w:val="center"/>
                    <w:rPr>
                      <w:rFonts w:hint="default"/>
                      <w:color w:val="auto"/>
                      <w:lang w:val="en-US" w:eastAsia="zh-CN"/>
                    </w:rPr>
                  </w:pPr>
                  <w:r>
                    <w:rPr>
                      <w:rFonts w:hint="eastAsia"/>
                      <w:color w:val="auto"/>
                      <w:lang w:val="en-US" w:eastAsia="zh-CN"/>
                    </w:rPr>
                    <w:t>运行时段</w:t>
                  </w:r>
                </w:p>
              </w:tc>
              <w:tc>
                <w:tcPr>
                  <w:tcW w:w="380" w:type="pct"/>
                  <w:vMerge w:val="restart"/>
                  <w:vAlign w:val="center"/>
                </w:tcPr>
                <w:p w14:paraId="4436AE86">
                  <w:pPr>
                    <w:pStyle w:val="31"/>
                    <w:bidi w:val="0"/>
                    <w:jc w:val="center"/>
                    <w:rPr>
                      <w:rFonts w:hint="default"/>
                      <w:color w:val="auto"/>
                      <w:lang w:val="en-US" w:eastAsia="zh-CN"/>
                    </w:rPr>
                  </w:pPr>
                  <w:r>
                    <w:rPr>
                      <w:rFonts w:hint="eastAsia"/>
                      <w:color w:val="auto"/>
                      <w:lang w:val="en-US" w:eastAsia="zh-CN"/>
                    </w:rPr>
                    <w:t>建筑物插入损失dB（A）</w:t>
                  </w:r>
                </w:p>
              </w:tc>
              <w:tc>
                <w:tcPr>
                  <w:tcW w:w="786" w:type="pct"/>
                  <w:gridSpan w:val="2"/>
                  <w:vAlign w:val="center"/>
                </w:tcPr>
                <w:p w14:paraId="6CBBBE99">
                  <w:pPr>
                    <w:pStyle w:val="31"/>
                    <w:bidi w:val="0"/>
                    <w:jc w:val="center"/>
                    <w:rPr>
                      <w:rFonts w:hint="eastAsia"/>
                      <w:color w:val="auto"/>
                      <w:lang w:val="en-US" w:eastAsia="zh-CN"/>
                    </w:rPr>
                  </w:pPr>
                  <w:r>
                    <w:rPr>
                      <w:rFonts w:hint="eastAsia"/>
                      <w:color w:val="auto"/>
                      <w:lang w:val="en-US" w:eastAsia="zh-CN"/>
                    </w:rPr>
                    <w:t>建筑物外噪声</w:t>
                  </w:r>
                </w:p>
              </w:tc>
            </w:tr>
            <w:tr w14:paraId="70F7C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pct"/>
                  <w:gridSpan w:val="2"/>
                  <w:vMerge w:val="continue"/>
                  <w:vAlign w:val="center"/>
                </w:tcPr>
                <w:p w14:paraId="5F4E2309">
                  <w:pPr>
                    <w:pStyle w:val="31"/>
                    <w:bidi w:val="0"/>
                    <w:jc w:val="center"/>
                    <w:rPr>
                      <w:rFonts w:hint="default"/>
                      <w:color w:val="auto"/>
                      <w:lang w:val="en-US" w:eastAsia="zh-CN"/>
                    </w:rPr>
                  </w:pPr>
                </w:p>
              </w:tc>
              <w:tc>
                <w:tcPr>
                  <w:tcW w:w="223" w:type="pct"/>
                  <w:vMerge w:val="continue"/>
                  <w:vAlign w:val="center"/>
                </w:tcPr>
                <w:p w14:paraId="730EB7C3">
                  <w:pPr>
                    <w:pStyle w:val="31"/>
                    <w:bidi w:val="0"/>
                    <w:jc w:val="center"/>
                    <w:rPr>
                      <w:rFonts w:hint="default"/>
                      <w:color w:val="auto"/>
                      <w:lang w:val="en-US" w:eastAsia="zh-CN"/>
                    </w:rPr>
                  </w:pPr>
                </w:p>
              </w:tc>
              <w:tc>
                <w:tcPr>
                  <w:tcW w:w="322" w:type="pct"/>
                  <w:vMerge w:val="continue"/>
                  <w:vAlign w:val="center"/>
                </w:tcPr>
                <w:p w14:paraId="539D10D9">
                  <w:pPr>
                    <w:pStyle w:val="31"/>
                    <w:bidi w:val="0"/>
                    <w:jc w:val="center"/>
                    <w:rPr>
                      <w:rFonts w:hint="default"/>
                      <w:color w:val="auto"/>
                      <w:lang w:val="en-US" w:eastAsia="zh-CN"/>
                    </w:rPr>
                  </w:pPr>
                </w:p>
              </w:tc>
              <w:tc>
                <w:tcPr>
                  <w:tcW w:w="778" w:type="pct"/>
                  <w:vMerge w:val="continue"/>
                  <w:vAlign w:val="center"/>
                </w:tcPr>
                <w:p w14:paraId="07CC9768">
                  <w:pPr>
                    <w:pStyle w:val="31"/>
                    <w:bidi w:val="0"/>
                    <w:jc w:val="center"/>
                    <w:rPr>
                      <w:rFonts w:hint="default"/>
                      <w:color w:val="auto"/>
                      <w:lang w:val="en-US" w:eastAsia="zh-CN"/>
                    </w:rPr>
                  </w:pPr>
                </w:p>
              </w:tc>
              <w:tc>
                <w:tcPr>
                  <w:tcW w:w="329" w:type="pct"/>
                  <w:vAlign w:val="center"/>
                </w:tcPr>
                <w:p w14:paraId="4E70D6DD">
                  <w:pPr>
                    <w:pStyle w:val="31"/>
                    <w:bidi w:val="0"/>
                    <w:jc w:val="center"/>
                    <w:rPr>
                      <w:rFonts w:hint="default"/>
                      <w:color w:val="auto"/>
                      <w:lang w:val="en-US" w:eastAsia="zh-CN"/>
                    </w:rPr>
                  </w:pPr>
                  <w:r>
                    <w:rPr>
                      <w:rFonts w:hint="eastAsia"/>
                      <w:color w:val="auto"/>
                      <w:lang w:val="en-US" w:eastAsia="zh-CN"/>
                    </w:rPr>
                    <w:t>X</w:t>
                  </w:r>
                </w:p>
              </w:tc>
              <w:tc>
                <w:tcPr>
                  <w:tcW w:w="324" w:type="pct"/>
                  <w:vAlign w:val="center"/>
                </w:tcPr>
                <w:p w14:paraId="285DEDD1">
                  <w:pPr>
                    <w:pStyle w:val="31"/>
                    <w:bidi w:val="0"/>
                    <w:jc w:val="center"/>
                    <w:rPr>
                      <w:rFonts w:hint="default"/>
                      <w:color w:val="auto"/>
                      <w:lang w:val="en-US" w:eastAsia="zh-CN"/>
                    </w:rPr>
                  </w:pPr>
                  <w:r>
                    <w:rPr>
                      <w:rFonts w:hint="eastAsia"/>
                      <w:color w:val="auto"/>
                      <w:lang w:val="en-US" w:eastAsia="zh-CN"/>
                    </w:rPr>
                    <w:t>Y</w:t>
                  </w:r>
                </w:p>
              </w:tc>
              <w:tc>
                <w:tcPr>
                  <w:tcW w:w="244" w:type="pct"/>
                  <w:vAlign w:val="center"/>
                </w:tcPr>
                <w:p w14:paraId="287BAADB">
                  <w:pPr>
                    <w:pStyle w:val="31"/>
                    <w:bidi w:val="0"/>
                    <w:jc w:val="center"/>
                    <w:rPr>
                      <w:rFonts w:hint="default"/>
                      <w:color w:val="auto"/>
                      <w:lang w:val="en-US" w:eastAsia="zh-CN"/>
                    </w:rPr>
                  </w:pPr>
                  <w:r>
                    <w:rPr>
                      <w:rFonts w:hint="eastAsia"/>
                      <w:color w:val="auto"/>
                      <w:lang w:val="en-US" w:eastAsia="zh-CN"/>
                    </w:rPr>
                    <w:t>Z</w:t>
                  </w:r>
                </w:p>
              </w:tc>
              <w:tc>
                <w:tcPr>
                  <w:tcW w:w="362" w:type="pct"/>
                  <w:vMerge w:val="continue"/>
                  <w:vAlign w:val="center"/>
                </w:tcPr>
                <w:p w14:paraId="454B3711">
                  <w:pPr>
                    <w:pStyle w:val="31"/>
                    <w:bidi w:val="0"/>
                    <w:jc w:val="center"/>
                    <w:rPr>
                      <w:rFonts w:hint="default"/>
                      <w:color w:val="auto"/>
                      <w:lang w:val="en-US" w:eastAsia="zh-CN"/>
                    </w:rPr>
                  </w:pPr>
                </w:p>
              </w:tc>
              <w:tc>
                <w:tcPr>
                  <w:tcW w:w="357" w:type="pct"/>
                  <w:vMerge w:val="continue"/>
                  <w:vAlign w:val="center"/>
                </w:tcPr>
                <w:p w14:paraId="184F02DB">
                  <w:pPr>
                    <w:pStyle w:val="31"/>
                    <w:bidi w:val="0"/>
                    <w:jc w:val="center"/>
                    <w:rPr>
                      <w:rFonts w:hint="default"/>
                      <w:color w:val="auto"/>
                      <w:lang w:val="en-US" w:eastAsia="zh-CN"/>
                    </w:rPr>
                  </w:pPr>
                </w:p>
              </w:tc>
              <w:tc>
                <w:tcPr>
                  <w:tcW w:w="216" w:type="pct"/>
                  <w:vMerge w:val="continue"/>
                  <w:vAlign w:val="center"/>
                </w:tcPr>
                <w:p w14:paraId="5884CD77">
                  <w:pPr>
                    <w:pStyle w:val="31"/>
                    <w:bidi w:val="0"/>
                    <w:jc w:val="center"/>
                    <w:rPr>
                      <w:rFonts w:hint="default"/>
                      <w:color w:val="auto"/>
                      <w:lang w:val="en-US" w:eastAsia="zh-CN"/>
                    </w:rPr>
                  </w:pPr>
                </w:p>
              </w:tc>
              <w:tc>
                <w:tcPr>
                  <w:tcW w:w="380" w:type="pct"/>
                  <w:vMerge w:val="continue"/>
                  <w:vAlign w:val="center"/>
                </w:tcPr>
                <w:p w14:paraId="0FC92524">
                  <w:pPr>
                    <w:pStyle w:val="31"/>
                    <w:bidi w:val="0"/>
                    <w:jc w:val="center"/>
                    <w:rPr>
                      <w:rFonts w:hint="default"/>
                      <w:color w:val="auto"/>
                      <w:lang w:val="en-US" w:eastAsia="zh-CN"/>
                    </w:rPr>
                  </w:pPr>
                </w:p>
              </w:tc>
              <w:tc>
                <w:tcPr>
                  <w:tcW w:w="352" w:type="pct"/>
                  <w:vAlign w:val="center"/>
                </w:tcPr>
                <w:p w14:paraId="54EC1262">
                  <w:pPr>
                    <w:pStyle w:val="31"/>
                    <w:ind w:firstLine="0" w:firstLineChars="0"/>
                    <w:rPr>
                      <w:rFonts w:hint="default" w:ascii="Times New Roman" w:hAnsi="Times New Roman" w:eastAsia="宋体" w:cs="黑体"/>
                      <w:b w:val="0"/>
                      <w:color w:val="auto"/>
                      <w:kern w:val="2"/>
                      <w:sz w:val="21"/>
                      <w:szCs w:val="24"/>
                      <w:lang w:val="en-US" w:eastAsia="zh-CN" w:bidi="ar-SA"/>
                    </w:rPr>
                  </w:pPr>
                  <w:r>
                    <w:rPr>
                      <w:color w:val="auto"/>
                    </w:rPr>
                    <w:t>声压级dB（A）</w:t>
                  </w:r>
                </w:p>
              </w:tc>
              <w:tc>
                <w:tcPr>
                  <w:tcW w:w="433" w:type="pct"/>
                  <w:vAlign w:val="center"/>
                </w:tcPr>
                <w:p w14:paraId="64BE00FA">
                  <w:pPr>
                    <w:pStyle w:val="31"/>
                    <w:ind w:firstLine="0" w:firstLineChars="0"/>
                    <w:rPr>
                      <w:rFonts w:hint="default" w:ascii="Times New Roman" w:hAnsi="Times New Roman" w:eastAsia="宋体" w:cs="黑体"/>
                      <w:b w:val="0"/>
                      <w:color w:val="auto"/>
                      <w:kern w:val="2"/>
                      <w:sz w:val="21"/>
                      <w:szCs w:val="24"/>
                      <w:lang w:val="en-US" w:eastAsia="zh-CN" w:bidi="ar-SA"/>
                    </w:rPr>
                  </w:pPr>
                  <w:r>
                    <w:rPr>
                      <w:color w:val="auto"/>
                    </w:rPr>
                    <w:t>建筑物外距离（m）</w:t>
                  </w:r>
                </w:p>
              </w:tc>
            </w:tr>
            <w:tr w14:paraId="5D97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restart"/>
                  <w:vAlign w:val="center"/>
                </w:tcPr>
                <w:p w14:paraId="0CD04983">
                  <w:pPr>
                    <w:pStyle w:val="31"/>
                    <w:bidi w:val="0"/>
                    <w:jc w:val="center"/>
                    <w:rPr>
                      <w:rFonts w:hint="default"/>
                      <w:color w:val="auto"/>
                      <w:lang w:val="en-US" w:eastAsia="zh-CN"/>
                    </w:rPr>
                  </w:pPr>
                  <w:r>
                    <w:rPr>
                      <w:rFonts w:hint="eastAsia"/>
                      <w:color w:val="auto"/>
                      <w:lang w:val="en-US" w:eastAsia="zh-CN"/>
                    </w:rPr>
                    <w:t>1#焊管车间</w:t>
                  </w:r>
                </w:p>
              </w:tc>
              <w:tc>
                <w:tcPr>
                  <w:tcW w:w="430" w:type="pct"/>
                  <w:vAlign w:val="center"/>
                </w:tcPr>
                <w:p w14:paraId="5CBCFAE4">
                  <w:pPr>
                    <w:pStyle w:val="31"/>
                    <w:bidi w:val="0"/>
                    <w:jc w:val="center"/>
                    <w:rPr>
                      <w:rFonts w:hint="default"/>
                      <w:color w:val="auto"/>
                      <w:lang w:val="en-US" w:eastAsia="zh-CN"/>
                    </w:rPr>
                  </w:pPr>
                  <w:r>
                    <w:rPr>
                      <w:rFonts w:hint="eastAsia"/>
                      <w:color w:val="auto"/>
                      <w:lang w:val="en-US" w:eastAsia="zh-CN"/>
                    </w:rPr>
                    <w:t>焊机1#</w:t>
                  </w:r>
                </w:p>
              </w:tc>
              <w:tc>
                <w:tcPr>
                  <w:tcW w:w="223" w:type="pct"/>
                  <w:vAlign w:val="center"/>
                </w:tcPr>
                <w:p w14:paraId="611104EF">
                  <w:pPr>
                    <w:pStyle w:val="31"/>
                    <w:bidi w:val="0"/>
                    <w:jc w:val="center"/>
                    <w:rPr>
                      <w:rFonts w:hint="default"/>
                      <w:color w:val="auto"/>
                      <w:lang w:val="en-US" w:eastAsia="zh-CN"/>
                    </w:rPr>
                  </w:pPr>
                  <w:r>
                    <w:rPr>
                      <w:rFonts w:hint="eastAsia"/>
                      <w:color w:val="auto"/>
                      <w:lang w:val="en-US" w:eastAsia="zh-CN"/>
                    </w:rPr>
                    <w:t>1台</w:t>
                  </w:r>
                </w:p>
              </w:tc>
              <w:tc>
                <w:tcPr>
                  <w:tcW w:w="322" w:type="pct"/>
                  <w:vAlign w:val="center"/>
                </w:tcPr>
                <w:p w14:paraId="16757D60">
                  <w:pPr>
                    <w:pStyle w:val="31"/>
                    <w:bidi w:val="0"/>
                    <w:jc w:val="center"/>
                    <w:rPr>
                      <w:rFonts w:hint="default" w:eastAsia="宋体"/>
                      <w:color w:val="auto"/>
                      <w:lang w:val="en-US" w:eastAsia="zh-CN"/>
                    </w:rPr>
                  </w:pPr>
                  <w:r>
                    <w:rPr>
                      <w:rFonts w:hint="eastAsia"/>
                      <w:color w:val="auto"/>
                      <w:lang w:val="en-US" w:eastAsia="zh-CN"/>
                    </w:rPr>
                    <w:t>70</w:t>
                  </w:r>
                </w:p>
              </w:tc>
              <w:tc>
                <w:tcPr>
                  <w:tcW w:w="778" w:type="pct"/>
                  <w:vAlign w:val="center"/>
                </w:tcPr>
                <w:p w14:paraId="3BAA8A34">
                  <w:pPr>
                    <w:pStyle w:val="31"/>
                    <w:bidi w:val="0"/>
                    <w:jc w:val="center"/>
                    <w:rPr>
                      <w:rFonts w:hint="default"/>
                      <w:color w:val="auto"/>
                      <w:lang w:val="en-US" w:eastAsia="zh-CN"/>
                    </w:rPr>
                  </w:pPr>
                  <w:r>
                    <w:rPr>
                      <w:rFonts w:hint="eastAsia"/>
                      <w:color w:val="auto"/>
                      <w:lang w:val="en-US" w:eastAsia="zh-CN"/>
                    </w:rPr>
                    <w:t>厂房隔声、基础减振</w:t>
                  </w:r>
                </w:p>
              </w:tc>
              <w:tc>
                <w:tcPr>
                  <w:tcW w:w="329" w:type="pct"/>
                  <w:vAlign w:val="center"/>
                </w:tcPr>
                <w:p w14:paraId="3BCD95F6">
                  <w:pPr>
                    <w:pStyle w:val="31"/>
                    <w:bidi w:val="0"/>
                    <w:jc w:val="center"/>
                    <w:rPr>
                      <w:rFonts w:hint="default"/>
                      <w:color w:val="auto"/>
                      <w:lang w:val="en-US" w:eastAsia="zh-CN"/>
                    </w:rPr>
                  </w:pPr>
                  <w:r>
                    <w:rPr>
                      <w:rFonts w:hint="eastAsia"/>
                      <w:color w:val="auto"/>
                      <w:lang w:val="en-US" w:eastAsia="zh-CN"/>
                    </w:rPr>
                    <w:t>26.47</w:t>
                  </w:r>
                </w:p>
              </w:tc>
              <w:tc>
                <w:tcPr>
                  <w:tcW w:w="324" w:type="pct"/>
                  <w:vAlign w:val="center"/>
                </w:tcPr>
                <w:p w14:paraId="79F56F15">
                  <w:pPr>
                    <w:pStyle w:val="31"/>
                    <w:bidi w:val="0"/>
                    <w:jc w:val="center"/>
                    <w:rPr>
                      <w:rFonts w:hint="default"/>
                      <w:color w:val="auto"/>
                      <w:lang w:val="en-US" w:eastAsia="zh-CN"/>
                    </w:rPr>
                  </w:pPr>
                  <w:r>
                    <w:rPr>
                      <w:rFonts w:hint="eastAsia"/>
                      <w:color w:val="auto"/>
                      <w:lang w:val="en-US" w:eastAsia="zh-CN"/>
                    </w:rPr>
                    <w:t>14.08</w:t>
                  </w:r>
                </w:p>
              </w:tc>
              <w:tc>
                <w:tcPr>
                  <w:tcW w:w="244" w:type="pct"/>
                  <w:vAlign w:val="center"/>
                </w:tcPr>
                <w:p w14:paraId="424DBAA1">
                  <w:pPr>
                    <w:pStyle w:val="31"/>
                    <w:bidi w:val="0"/>
                    <w:jc w:val="center"/>
                    <w:rPr>
                      <w:rFonts w:hint="default"/>
                      <w:color w:val="auto"/>
                      <w:lang w:val="en-US" w:eastAsia="zh-CN"/>
                    </w:rPr>
                  </w:pPr>
                  <w:r>
                    <w:rPr>
                      <w:rFonts w:hint="eastAsia"/>
                      <w:color w:val="auto"/>
                      <w:lang w:val="en-US" w:eastAsia="zh-CN"/>
                    </w:rPr>
                    <w:t>1</w:t>
                  </w:r>
                </w:p>
              </w:tc>
              <w:tc>
                <w:tcPr>
                  <w:tcW w:w="362" w:type="pct"/>
                  <w:vAlign w:val="center"/>
                </w:tcPr>
                <w:p w14:paraId="62D98520">
                  <w:pPr>
                    <w:pStyle w:val="31"/>
                    <w:bidi w:val="0"/>
                    <w:jc w:val="center"/>
                    <w:rPr>
                      <w:rFonts w:hint="default"/>
                      <w:color w:val="auto"/>
                      <w:lang w:val="en-US" w:eastAsia="zh-CN"/>
                    </w:rPr>
                  </w:pPr>
                  <w:r>
                    <w:rPr>
                      <w:rFonts w:hint="eastAsia"/>
                      <w:color w:val="auto"/>
                      <w:lang w:val="en-US" w:eastAsia="zh-CN"/>
                    </w:rPr>
                    <w:t>3</w:t>
                  </w:r>
                </w:p>
              </w:tc>
              <w:tc>
                <w:tcPr>
                  <w:tcW w:w="357" w:type="pct"/>
                  <w:vAlign w:val="center"/>
                </w:tcPr>
                <w:p w14:paraId="2B6C1F1E">
                  <w:pPr>
                    <w:pStyle w:val="31"/>
                    <w:bidi w:val="0"/>
                    <w:jc w:val="center"/>
                    <w:rPr>
                      <w:rFonts w:hint="default"/>
                      <w:color w:val="auto"/>
                      <w:lang w:val="en-US" w:eastAsia="zh-CN"/>
                    </w:rPr>
                  </w:pPr>
                  <w:r>
                    <w:rPr>
                      <w:rFonts w:hint="eastAsia"/>
                      <w:color w:val="auto"/>
                      <w:lang w:val="en-US" w:eastAsia="zh-CN"/>
                    </w:rPr>
                    <w:t>60.46</w:t>
                  </w:r>
                </w:p>
              </w:tc>
              <w:tc>
                <w:tcPr>
                  <w:tcW w:w="216" w:type="pct"/>
                  <w:vAlign w:val="center"/>
                </w:tcPr>
                <w:p w14:paraId="6FAF72D7">
                  <w:pPr>
                    <w:pStyle w:val="31"/>
                    <w:bidi w:val="0"/>
                    <w:jc w:val="center"/>
                    <w:rPr>
                      <w:rFonts w:hint="default"/>
                      <w:color w:val="auto"/>
                      <w:lang w:val="en-US" w:eastAsia="zh-CN"/>
                    </w:rPr>
                  </w:pPr>
                  <w:r>
                    <w:rPr>
                      <w:rFonts w:hint="eastAsia"/>
                      <w:color w:val="auto"/>
                      <w:lang w:val="en-US" w:eastAsia="zh-CN"/>
                    </w:rPr>
                    <w:t>昼间</w:t>
                  </w:r>
                </w:p>
              </w:tc>
              <w:tc>
                <w:tcPr>
                  <w:tcW w:w="380" w:type="pct"/>
                  <w:vAlign w:val="center"/>
                </w:tcPr>
                <w:p w14:paraId="38081680">
                  <w:pPr>
                    <w:pStyle w:val="31"/>
                    <w:bidi w:val="0"/>
                    <w:jc w:val="center"/>
                    <w:rPr>
                      <w:rFonts w:hint="default" w:eastAsia="宋体"/>
                      <w:color w:val="auto"/>
                      <w:lang w:val="en-US" w:eastAsia="zh-CN"/>
                    </w:rPr>
                  </w:pPr>
                  <w:r>
                    <w:rPr>
                      <w:rFonts w:hint="eastAsia"/>
                      <w:color w:val="auto"/>
                      <w:lang w:val="en-US" w:eastAsia="zh-CN"/>
                    </w:rPr>
                    <w:t>20</w:t>
                  </w:r>
                </w:p>
              </w:tc>
              <w:tc>
                <w:tcPr>
                  <w:tcW w:w="352" w:type="pct"/>
                  <w:vAlign w:val="center"/>
                </w:tcPr>
                <w:p w14:paraId="46D83FF4">
                  <w:pPr>
                    <w:pStyle w:val="31"/>
                    <w:bidi w:val="0"/>
                    <w:jc w:val="center"/>
                    <w:rPr>
                      <w:rFonts w:hint="default"/>
                      <w:color w:val="auto"/>
                      <w:lang w:val="en-US" w:eastAsia="zh-CN"/>
                    </w:rPr>
                  </w:pPr>
                  <w:r>
                    <w:rPr>
                      <w:rFonts w:hint="eastAsia"/>
                      <w:color w:val="auto"/>
                      <w:lang w:val="en-US" w:eastAsia="zh-CN"/>
                    </w:rPr>
                    <w:t>34.46</w:t>
                  </w:r>
                </w:p>
              </w:tc>
              <w:tc>
                <w:tcPr>
                  <w:tcW w:w="433" w:type="pct"/>
                  <w:vAlign w:val="center"/>
                </w:tcPr>
                <w:p w14:paraId="15C014A1">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w:t>
                  </w:r>
                </w:p>
              </w:tc>
            </w:tr>
            <w:tr w14:paraId="013B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6E9FDAF7">
                  <w:pPr>
                    <w:pStyle w:val="31"/>
                    <w:bidi w:val="0"/>
                    <w:jc w:val="center"/>
                    <w:rPr>
                      <w:rFonts w:hint="default"/>
                      <w:color w:val="auto"/>
                      <w:lang w:val="en-US" w:eastAsia="zh-CN"/>
                    </w:rPr>
                  </w:pPr>
                </w:p>
              </w:tc>
              <w:tc>
                <w:tcPr>
                  <w:tcW w:w="430" w:type="pct"/>
                  <w:vAlign w:val="center"/>
                </w:tcPr>
                <w:p w14:paraId="2A37F9C6">
                  <w:pPr>
                    <w:pStyle w:val="31"/>
                    <w:bidi w:val="0"/>
                    <w:jc w:val="center"/>
                    <w:rPr>
                      <w:rFonts w:hint="default"/>
                      <w:color w:val="auto"/>
                      <w:lang w:val="en-US" w:eastAsia="zh-CN"/>
                    </w:rPr>
                  </w:pPr>
                  <w:r>
                    <w:rPr>
                      <w:rFonts w:hint="eastAsia"/>
                      <w:color w:val="auto"/>
                      <w:lang w:val="en-US" w:eastAsia="zh-CN"/>
                    </w:rPr>
                    <w:t>开卷机1#</w:t>
                  </w:r>
                </w:p>
              </w:tc>
              <w:tc>
                <w:tcPr>
                  <w:tcW w:w="223" w:type="pct"/>
                  <w:vAlign w:val="center"/>
                </w:tcPr>
                <w:p w14:paraId="71A597AB">
                  <w:pPr>
                    <w:pStyle w:val="31"/>
                    <w:bidi w:val="0"/>
                    <w:jc w:val="center"/>
                    <w:rPr>
                      <w:rFonts w:hint="default"/>
                      <w:color w:val="auto"/>
                      <w:lang w:val="en-US" w:eastAsia="zh-CN"/>
                    </w:rPr>
                  </w:pPr>
                  <w:r>
                    <w:rPr>
                      <w:rFonts w:hint="eastAsia"/>
                      <w:color w:val="auto"/>
                      <w:lang w:val="en-US" w:eastAsia="zh-CN"/>
                    </w:rPr>
                    <w:t>1台</w:t>
                  </w:r>
                </w:p>
              </w:tc>
              <w:tc>
                <w:tcPr>
                  <w:tcW w:w="322" w:type="pct"/>
                  <w:vAlign w:val="center"/>
                </w:tcPr>
                <w:p w14:paraId="2C765D1D">
                  <w:pPr>
                    <w:pStyle w:val="31"/>
                    <w:bidi w:val="0"/>
                    <w:jc w:val="center"/>
                    <w:rPr>
                      <w:rFonts w:hint="default" w:eastAsia="宋体"/>
                      <w:color w:val="auto"/>
                      <w:lang w:val="en-US" w:eastAsia="zh-CN"/>
                    </w:rPr>
                  </w:pPr>
                  <w:r>
                    <w:rPr>
                      <w:rFonts w:hint="eastAsia"/>
                      <w:color w:val="auto"/>
                      <w:lang w:val="en-US" w:eastAsia="zh-CN"/>
                    </w:rPr>
                    <w:t>70</w:t>
                  </w:r>
                </w:p>
              </w:tc>
              <w:tc>
                <w:tcPr>
                  <w:tcW w:w="778" w:type="pct"/>
                  <w:vAlign w:val="center"/>
                </w:tcPr>
                <w:p w14:paraId="0B7246F2">
                  <w:pPr>
                    <w:pStyle w:val="31"/>
                    <w:bidi w:val="0"/>
                    <w:jc w:val="center"/>
                    <w:rPr>
                      <w:rFonts w:hint="default"/>
                      <w:color w:val="auto"/>
                      <w:lang w:val="en-US" w:eastAsia="zh-CN"/>
                    </w:rPr>
                  </w:pPr>
                  <w:r>
                    <w:rPr>
                      <w:rFonts w:hint="eastAsia"/>
                      <w:color w:val="auto"/>
                      <w:lang w:val="en-US" w:eastAsia="zh-CN"/>
                    </w:rPr>
                    <w:t>厂房隔声、基础减振</w:t>
                  </w:r>
                </w:p>
              </w:tc>
              <w:tc>
                <w:tcPr>
                  <w:tcW w:w="329" w:type="pct"/>
                  <w:vAlign w:val="center"/>
                </w:tcPr>
                <w:p w14:paraId="1B9DFB23">
                  <w:pPr>
                    <w:pStyle w:val="31"/>
                    <w:bidi w:val="0"/>
                    <w:jc w:val="center"/>
                    <w:rPr>
                      <w:rFonts w:hint="default"/>
                      <w:color w:val="auto"/>
                      <w:lang w:val="en-US" w:eastAsia="zh-CN"/>
                    </w:rPr>
                  </w:pPr>
                  <w:r>
                    <w:rPr>
                      <w:rFonts w:hint="eastAsia"/>
                      <w:color w:val="auto"/>
                      <w:lang w:val="en-US" w:eastAsia="zh-CN"/>
                    </w:rPr>
                    <w:t>34.07</w:t>
                  </w:r>
                </w:p>
              </w:tc>
              <w:tc>
                <w:tcPr>
                  <w:tcW w:w="324" w:type="pct"/>
                  <w:vAlign w:val="center"/>
                </w:tcPr>
                <w:p w14:paraId="6127C8AF">
                  <w:pPr>
                    <w:pStyle w:val="31"/>
                    <w:bidi w:val="0"/>
                    <w:jc w:val="center"/>
                    <w:rPr>
                      <w:rFonts w:hint="default"/>
                      <w:color w:val="auto"/>
                      <w:lang w:val="en-US" w:eastAsia="zh-CN"/>
                    </w:rPr>
                  </w:pPr>
                  <w:r>
                    <w:rPr>
                      <w:rFonts w:hint="eastAsia"/>
                      <w:color w:val="auto"/>
                      <w:lang w:val="en-US" w:eastAsia="zh-CN"/>
                    </w:rPr>
                    <w:t>10.97</w:t>
                  </w:r>
                </w:p>
              </w:tc>
              <w:tc>
                <w:tcPr>
                  <w:tcW w:w="244" w:type="pct"/>
                  <w:vAlign w:val="center"/>
                </w:tcPr>
                <w:p w14:paraId="4BED556A">
                  <w:pPr>
                    <w:pStyle w:val="31"/>
                    <w:bidi w:val="0"/>
                    <w:jc w:val="center"/>
                    <w:rPr>
                      <w:rFonts w:hint="default"/>
                      <w:color w:val="auto"/>
                      <w:lang w:val="en-US" w:eastAsia="zh-CN"/>
                    </w:rPr>
                  </w:pPr>
                  <w:r>
                    <w:rPr>
                      <w:rFonts w:hint="eastAsia"/>
                      <w:color w:val="auto"/>
                      <w:lang w:val="en-US" w:eastAsia="zh-CN"/>
                    </w:rPr>
                    <w:t>1</w:t>
                  </w:r>
                </w:p>
              </w:tc>
              <w:tc>
                <w:tcPr>
                  <w:tcW w:w="362" w:type="pct"/>
                  <w:vAlign w:val="center"/>
                </w:tcPr>
                <w:p w14:paraId="142D621F">
                  <w:pPr>
                    <w:pStyle w:val="31"/>
                    <w:bidi w:val="0"/>
                    <w:jc w:val="center"/>
                    <w:rPr>
                      <w:rFonts w:hint="default"/>
                      <w:color w:val="auto"/>
                      <w:lang w:val="en-US" w:eastAsia="zh-CN"/>
                    </w:rPr>
                  </w:pPr>
                  <w:r>
                    <w:rPr>
                      <w:rFonts w:hint="eastAsia"/>
                      <w:color w:val="auto"/>
                      <w:lang w:val="en-US" w:eastAsia="zh-CN"/>
                    </w:rPr>
                    <w:t>5</w:t>
                  </w:r>
                </w:p>
              </w:tc>
              <w:tc>
                <w:tcPr>
                  <w:tcW w:w="357" w:type="pct"/>
                  <w:vAlign w:val="center"/>
                </w:tcPr>
                <w:p w14:paraId="4352DA1E">
                  <w:pPr>
                    <w:pStyle w:val="31"/>
                    <w:bidi w:val="0"/>
                    <w:jc w:val="center"/>
                    <w:rPr>
                      <w:rFonts w:hint="default"/>
                      <w:color w:val="auto"/>
                      <w:lang w:val="en-US" w:eastAsia="zh-CN"/>
                    </w:rPr>
                  </w:pPr>
                  <w:r>
                    <w:rPr>
                      <w:rFonts w:hint="eastAsia"/>
                      <w:color w:val="auto"/>
                      <w:lang w:val="en-US" w:eastAsia="zh-CN"/>
                    </w:rPr>
                    <w:t>56.02</w:t>
                  </w:r>
                </w:p>
              </w:tc>
              <w:tc>
                <w:tcPr>
                  <w:tcW w:w="216" w:type="pct"/>
                  <w:vAlign w:val="center"/>
                </w:tcPr>
                <w:p w14:paraId="7ED2FA8F">
                  <w:pPr>
                    <w:pStyle w:val="31"/>
                    <w:bidi w:val="0"/>
                    <w:jc w:val="center"/>
                    <w:rPr>
                      <w:rFonts w:hint="default"/>
                      <w:color w:val="auto"/>
                      <w:lang w:val="en-US" w:eastAsia="zh-CN"/>
                    </w:rPr>
                  </w:pPr>
                  <w:r>
                    <w:rPr>
                      <w:rFonts w:hint="eastAsia"/>
                      <w:color w:val="auto"/>
                      <w:lang w:val="en-US" w:eastAsia="zh-CN"/>
                    </w:rPr>
                    <w:t>昼间</w:t>
                  </w:r>
                </w:p>
              </w:tc>
              <w:tc>
                <w:tcPr>
                  <w:tcW w:w="380" w:type="pct"/>
                  <w:vAlign w:val="center"/>
                </w:tcPr>
                <w:p w14:paraId="5F2D0C16">
                  <w:pPr>
                    <w:pStyle w:val="31"/>
                    <w:bidi w:val="0"/>
                    <w:jc w:val="center"/>
                    <w:rPr>
                      <w:rFonts w:hint="default"/>
                      <w:color w:val="auto"/>
                      <w:lang w:val="en-US" w:eastAsia="zh-CN"/>
                    </w:rPr>
                  </w:pPr>
                  <w:r>
                    <w:rPr>
                      <w:rFonts w:hint="eastAsia"/>
                      <w:color w:val="auto"/>
                      <w:lang w:val="en-US" w:eastAsia="zh-CN"/>
                    </w:rPr>
                    <w:t>20</w:t>
                  </w:r>
                </w:p>
              </w:tc>
              <w:tc>
                <w:tcPr>
                  <w:tcW w:w="352" w:type="pct"/>
                  <w:vAlign w:val="center"/>
                </w:tcPr>
                <w:p w14:paraId="429D4067">
                  <w:pPr>
                    <w:pStyle w:val="31"/>
                    <w:bidi w:val="0"/>
                    <w:jc w:val="center"/>
                    <w:rPr>
                      <w:rFonts w:hint="default"/>
                      <w:color w:val="auto"/>
                      <w:lang w:val="en-US" w:eastAsia="zh-CN"/>
                    </w:rPr>
                  </w:pPr>
                  <w:r>
                    <w:rPr>
                      <w:rFonts w:hint="eastAsia"/>
                      <w:color w:val="auto"/>
                      <w:lang w:val="en-US" w:eastAsia="zh-CN"/>
                    </w:rPr>
                    <w:t>30.02</w:t>
                  </w:r>
                </w:p>
              </w:tc>
              <w:tc>
                <w:tcPr>
                  <w:tcW w:w="433" w:type="pct"/>
                  <w:vAlign w:val="center"/>
                </w:tcPr>
                <w:p w14:paraId="0A9F59C1">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w:t>
                  </w:r>
                </w:p>
              </w:tc>
            </w:tr>
            <w:tr w14:paraId="6F254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30E7323A">
                  <w:pPr>
                    <w:pStyle w:val="31"/>
                    <w:bidi w:val="0"/>
                    <w:jc w:val="center"/>
                    <w:rPr>
                      <w:rFonts w:hint="default"/>
                      <w:color w:val="auto"/>
                      <w:lang w:val="en-US" w:eastAsia="zh-CN"/>
                    </w:rPr>
                  </w:pPr>
                </w:p>
              </w:tc>
              <w:tc>
                <w:tcPr>
                  <w:tcW w:w="430" w:type="pct"/>
                  <w:vAlign w:val="center"/>
                </w:tcPr>
                <w:p w14:paraId="3C704921">
                  <w:pPr>
                    <w:pStyle w:val="31"/>
                    <w:bidi w:val="0"/>
                    <w:jc w:val="center"/>
                    <w:rPr>
                      <w:rFonts w:hint="default"/>
                      <w:color w:val="auto"/>
                      <w:lang w:val="en-US" w:eastAsia="zh-CN"/>
                    </w:rPr>
                  </w:pPr>
                  <w:r>
                    <w:rPr>
                      <w:rFonts w:hint="eastAsia"/>
                      <w:color w:val="auto"/>
                      <w:lang w:val="en-US" w:eastAsia="zh-CN"/>
                    </w:rPr>
                    <w:t>矫直机1#</w:t>
                  </w:r>
                </w:p>
              </w:tc>
              <w:tc>
                <w:tcPr>
                  <w:tcW w:w="223" w:type="pct"/>
                  <w:vAlign w:val="center"/>
                </w:tcPr>
                <w:p w14:paraId="3DD20E91">
                  <w:pPr>
                    <w:pStyle w:val="31"/>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1台</w:t>
                  </w:r>
                </w:p>
              </w:tc>
              <w:tc>
                <w:tcPr>
                  <w:tcW w:w="322" w:type="pct"/>
                  <w:vAlign w:val="center"/>
                </w:tcPr>
                <w:p w14:paraId="3563B840">
                  <w:pPr>
                    <w:pStyle w:val="31"/>
                    <w:bidi w:val="0"/>
                    <w:jc w:val="center"/>
                    <w:rPr>
                      <w:rFonts w:hint="default" w:eastAsia="宋体"/>
                      <w:color w:val="auto"/>
                      <w:lang w:val="en-US" w:eastAsia="zh-CN"/>
                    </w:rPr>
                  </w:pPr>
                  <w:r>
                    <w:rPr>
                      <w:rFonts w:hint="eastAsia"/>
                      <w:color w:val="auto"/>
                      <w:lang w:val="en-US" w:eastAsia="zh-CN"/>
                    </w:rPr>
                    <w:t>85</w:t>
                  </w:r>
                </w:p>
              </w:tc>
              <w:tc>
                <w:tcPr>
                  <w:tcW w:w="778" w:type="pct"/>
                  <w:vAlign w:val="center"/>
                </w:tcPr>
                <w:p w14:paraId="26663A9A">
                  <w:pPr>
                    <w:pStyle w:val="31"/>
                    <w:bidi w:val="0"/>
                    <w:jc w:val="center"/>
                    <w:rPr>
                      <w:rFonts w:hint="default"/>
                      <w:color w:val="auto"/>
                      <w:lang w:val="en-US" w:eastAsia="zh-CN"/>
                    </w:rPr>
                  </w:pPr>
                  <w:r>
                    <w:rPr>
                      <w:rFonts w:hint="eastAsia"/>
                      <w:color w:val="auto"/>
                      <w:lang w:val="en-US" w:eastAsia="zh-CN"/>
                    </w:rPr>
                    <w:t>厂房隔声、基础减振</w:t>
                  </w:r>
                </w:p>
              </w:tc>
              <w:tc>
                <w:tcPr>
                  <w:tcW w:w="329" w:type="pct"/>
                  <w:vAlign w:val="center"/>
                </w:tcPr>
                <w:p w14:paraId="5C3A51AF">
                  <w:pPr>
                    <w:pStyle w:val="31"/>
                    <w:bidi w:val="0"/>
                    <w:jc w:val="center"/>
                    <w:rPr>
                      <w:rFonts w:hint="default"/>
                      <w:color w:val="auto"/>
                      <w:lang w:val="en-US" w:eastAsia="zh-CN"/>
                    </w:rPr>
                  </w:pPr>
                  <w:r>
                    <w:rPr>
                      <w:rFonts w:hint="eastAsia"/>
                      <w:color w:val="auto"/>
                      <w:lang w:val="en-US" w:eastAsia="zh-CN"/>
                    </w:rPr>
                    <w:t>41.31</w:t>
                  </w:r>
                </w:p>
              </w:tc>
              <w:tc>
                <w:tcPr>
                  <w:tcW w:w="324" w:type="pct"/>
                  <w:vAlign w:val="center"/>
                </w:tcPr>
                <w:p w14:paraId="54BBE7B8">
                  <w:pPr>
                    <w:pStyle w:val="31"/>
                    <w:bidi w:val="0"/>
                    <w:jc w:val="center"/>
                    <w:rPr>
                      <w:rFonts w:hint="default"/>
                      <w:color w:val="auto"/>
                      <w:lang w:val="en-US" w:eastAsia="zh-CN"/>
                    </w:rPr>
                  </w:pPr>
                  <w:r>
                    <w:rPr>
                      <w:rFonts w:hint="eastAsia"/>
                      <w:color w:val="auto"/>
                      <w:lang w:val="en-US" w:eastAsia="zh-CN"/>
                    </w:rPr>
                    <w:t>8.04</w:t>
                  </w:r>
                </w:p>
              </w:tc>
              <w:tc>
                <w:tcPr>
                  <w:tcW w:w="244" w:type="pct"/>
                  <w:vAlign w:val="center"/>
                </w:tcPr>
                <w:p w14:paraId="66AD7295">
                  <w:pPr>
                    <w:pStyle w:val="31"/>
                    <w:bidi w:val="0"/>
                    <w:jc w:val="center"/>
                    <w:rPr>
                      <w:rFonts w:hint="default"/>
                      <w:color w:val="auto"/>
                      <w:lang w:val="en-US" w:eastAsia="zh-CN"/>
                    </w:rPr>
                  </w:pPr>
                  <w:r>
                    <w:rPr>
                      <w:rFonts w:hint="eastAsia"/>
                      <w:color w:val="auto"/>
                      <w:lang w:val="en-US" w:eastAsia="zh-CN"/>
                    </w:rPr>
                    <w:t>1</w:t>
                  </w:r>
                </w:p>
              </w:tc>
              <w:tc>
                <w:tcPr>
                  <w:tcW w:w="362" w:type="pct"/>
                  <w:vAlign w:val="center"/>
                </w:tcPr>
                <w:p w14:paraId="556261C2">
                  <w:pPr>
                    <w:pStyle w:val="31"/>
                    <w:bidi w:val="0"/>
                    <w:jc w:val="center"/>
                    <w:rPr>
                      <w:rFonts w:hint="default"/>
                      <w:color w:val="auto"/>
                      <w:lang w:val="en-US" w:eastAsia="zh-CN"/>
                    </w:rPr>
                  </w:pPr>
                  <w:r>
                    <w:rPr>
                      <w:rFonts w:hint="eastAsia"/>
                      <w:color w:val="auto"/>
                      <w:lang w:val="en-US" w:eastAsia="zh-CN"/>
                    </w:rPr>
                    <w:t>2</w:t>
                  </w:r>
                </w:p>
              </w:tc>
              <w:tc>
                <w:tcPr>
                  <w:tcW w:w="357" w:type="pct"/>
                  <w:vAlign w:val="center"/>
                </w:tcPr>
                <w:p w14:paraId="71A8F43B">
                  <w:pPr>
                    <w:pStyle w:val="31"/>
                    <w:bidi w:val="0"/>
                    <w:jc w:val="center"/>
                    <w:rPr>
                      <w:rFonts w:hint="default"/>
                      <w:color w:val="auto"/>
                      <w:lang w:val="en-US" w:eastAsia="zh-CN"/>
                    </w:rPr>
                  </w:pPr>
                  <w:r>
                    <w:rPr>
                      <w:rFonts w:hint="eastAsia"/>
                      <w:color w:val="auto"/>
                      <w:lang w:val="en-US" w:eastAsia="zh-CN"/>
                    </w:rPr>
                    <w:t>78.98</w:t>
                  </w:r>
                </w:p>
              </w:tc>
              <w:tc>
                <w:tcPr>
                  <w:tcW w:w="216" w:type="pct"/>
                  <w:vAlign w:val="center"/>
                </w:tcPr>
                <w:p w14:paraId="30BD409A">
                  <w:pPr>
                    <w:pStyle w:val="31"/>
                    <w:bidi w:val="0"/>
                    <w:jc w:val="center"/>
                    <w:rPr>
                      <w:rFonts w:hint="default"/>
                      <w:color w:val="auto"/>
                      <w:lang w:val="en-US" w:eastAsia="zh-CN"/>
                    </w:rPr>
                  </w:pPr>
                  <w:r>
                    <w:rPr>
                      <w:rFonts w:hint="eastAsia"/>
                      <w:color w:val="auto"/>
                      <w:lang w:val="en-US" w:eastAsia="zh-CN"/>
                    </w:rPr>
                    <w:t>昼间</w:t>
                  </w:r>
                </w:p>
              </w:tc>
              <w:tc>
                <w:tcPr>
                  <w:tcW w:w="380" w:type="pct"/>
                  <w:vAlign w:val="center"/>
                </w:tcPr>
                <w:p w14:paraId="33C8757C">
                  <w:pPr>
                    <w:pStyle w:val="31"/>
                    <w:bidi w:val="0"/>
                    <w:jc w:val="center"/>
                    <w:rPr>
                      <w:rFonts w:hint="default"/>
                      <w:color w:val="auto"/>
                      <w:lang w:val="en-US" w:eastAsia="zh-CN"/>
                    </w:rPr>
                  </w:pPr>
                  <w:r>
                    <w:rPr>
                      <w:rFonts w:hint="eastAsia"/>
                      <w:color w:val="auto"/>
                      <w:lang w:val="en-US" w:eastAsia="zh-CN"/>
                    </w:rPr>
                    <w:t>20</w:t>
                  </w:r>
                </w:p>
              </w:tc>
              <w:tc>
                <w:tcPr>
                  <w:tcW w:w="352" w:type="pct"/>
                  <w:vAlign w:val="center"/>
                </w:tcPr>
                <w:p w14:paraId="576BF824">
                  <w:pPr>
                    <w:pStyle w:val="31"/>
                    <w:bidi w:val="0"/>
                    <w:jc w:val="center"/>
                    <w:rPr>
                      <w:rFonts w:hint="default"/>
                      <w:color w:val="auto"/>
                      <w:lang w:val="en-US" w:eastAsia="zh-CN"/>
                    </w:rPr>
                  </w:pPr>
                  <w:r>
                    <w:rPr>
                      <w:rFonts w:hint="eastAsia"/>
                      <w:color w:val="auto"/>
                      <w:lang w:val="en-US" w:eastAsia="zh-CN"/>
                    </w:rPr>
                    <w:t>52.98</w:t>
                  </w:r>
                </w:p>
              </w:tc>
              <w:tc>
                <w:tcPr>
                  <w:tcW w:w="433" w:type="pct"/>
                  <w:vAlign w:val="center"/>
                </w:tcPr>
                <w:p w14:paraId="5FF81B3F">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w:t>
                  </w:r>
                </w:p>
              </w:tc>
            </w:tr>
            <w:tr w14:paraId="0A23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23B7966C">
                  <w:pPr>
                    <w:pStyle w:val="31"/>
                    <w:bidi w:val="0"/>
                    <w:jc w:val="center"/>
                    <w:rPr>
                      <w:rFonts w:hint="default"/>
                      <w:color w:val="auto"/>
                      <w:lang w:val="en-US" w:eastAsia="zh-CN"/>
                    </w:rPr>
                  </w:pPr>
                </w:p>
              </w:tc>
              <w:tc>
                <w:tcPr>
                  <w:tcW w:w="430" w:type="pct"/>
                  <w:vAlign w:val="center"/>
                </w:tcPr>
                <w:p w14:paraId="6D7DCA2B">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焊机2#</w:t>
                  </w:r>
                </w:p>
              </w:tc>
              <w:tc>
                <w:tcPr>
                  <w:tcW w:w="223" w:type="pct"/>
                  <w:vAlign w:val="center"/>
                </w:tcPr>
                <w:p w14:paraId="702B2533">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1台</w:t>
                  </w:r>
                </w:p>
              </w:tc>
              <w:tc>
                <w:tcPr>
                  <w:tcW w:w="322" w:type="pct"/>
                  <w:vAlign w:val="center"/>
                </w:tcPr>
                <w:p w14:paraId="5AE66DA2">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70</w:t>
                  </w:r>
                </w:p>
              </w:tc>
              <w:tc>
                <w:tcPr>
                  <w:tcW w:w="778" w:type="pct"/>
                  <w:vAlign w:val="center"/>
                </w:tcPr>
                <w:p w14:paraId="532FEE7C">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厂房隔声、基础减振</w:t>
                  </w:r>
                </w:p>
              </w:tc>
              <w:tc>
                <w:tcPr>
                  <w:tcW w:w="329" w:type="pct"/>
                  <w:vAlign w:val="center"/>
                </w:tcPr>
                <w:p w14:paraId="26BF5994">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54.43</w:t>
                  </w:r>
                </w:p>
              </w:tc>
              <w:tc>
                <w:tcPr>
                  <w:tcW w:w="324" w:type="pct"/>
                  <w:vAlign w:val="center"/>
                </w:tcPr>
                <w:p w14:paraId="3FEA3928">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-14.25</w:t>
                  </w:r>
                </w:p>
              </w:tc>
              <w:tc>
                <w:tcPr>
                  <w:tcW w:w="244" w:type="pct"/>
                  <w:vAlign w:val="center"/>
                </w:tcPr>
                <w:p w14:paraId="061BAC3F">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c>
                <w:tcPr>
                  <w:tcW w:w="362" w:type="pct"/>
                  <w:vAlign w:val="center"/>
                </w:tcPr>
                <w:p w14:paraId="41C913AF">
                  <w:pPr>
                    <w:pStyle w:val="31"/>
                    <w:bidi w:val="0"/>
                    <w:ind w:firstLine="0" w:firstLineChars="0"/>
                    <w:jc w:val="center"/>
                    <w:rPr>
                      <w:rFonts w:hint="default"/>
                      <w:color w:val="auto"/>
                      <w:lang w:val="en-US" w:eastAsia="zh-CN"/>
                    </w:rPr>
                  </w:pPr>
                  <w:r>
                    <w:rPr>
                      <w:rFonts w:hint="eastAsia"/>
                      <w:color w:val="auto"/>
                      <w:lang w:val="en-US" w:eastAsia="zh-CN"/>
                    </w:rPr>
                    <w:t>3</w:t>
                  </w:r>
                </w:p>
              </w:tc>
              <w:tc>
                <w:tcPr>
                  <w:tcW w:w="357" w:type="pct"/>
                  <w:vAlign w:val="center"/>
                </w:tcPr>
                <w:p w14:paraId="2FBC84EE">
                  <w:pPr>
                    <w:pStyle w:val="31"/>
                    <w:bidi w:val="0"/>
                    <w:ind w:firstLine="0" w:firstLineChars="0"/>
                    <w:jc w:val="center"/>
                    <w:rPr>
                      <w:rFonts w:hint="eastAsia"/>
                      <w:color w:val="auto"/>
                      <w:lang w:val="en-US" w:eastAsia="zh-CN"/>
                    </w:rPr>
                  </w:pPr>
                  <w:r>
                    <w:rPr>
                      <w:rFonts w:hint="eastAsia"/>
                      <w:color w:val="auto"/>
                      <w:lang w:val="en-US" w:eastAsia="zh-CN"/>
                    </w:rPr>
                    <w:t>60.46</w:t>
                  </w:r>
                </w:p>
              </w:tc>
              <w:tc>
                <w:tcPr>
                  <w:tcW w:w="216" w:type="pct"/>
                  <w:vAlign w:val="center"/>
                </w:tcPr>
                <w:p w14:paraId="404AE217">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昼间</w:t>
                  </w:r>
                </w:p>
              </w:tc>
              <w:tc>
                <w:tcPr>
                  <w:tcW w:w="380" w:type="pct"/>
                  <w:vAlign w:val="center"/>
                </w:tcPr>
                <w:p w14:paraId="0022CF6A">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20</w:t>
                  </w:r>
                </w:p>
              </w:tc>
              <w:tc>
                <w:tcPr>
                  <w:tcW w:w="352" w:type="pct"/>
                  <w:vAlign w:val="center"/>
                </w:tcPr>
                <w:p w14:paraId="61461EC3">
                  <w:pPr>
                    <w:pStyle w:val="31"/>
                    <w:bidi w:val="0"/>
                    <w:ind w:firstLine="0" w:firstLineChars="0"/>
                    <w:jc w:val="center"/>
                    <w:rPr>
                      <w:rFonts w:hint="default"/>
                      <w:color w:val="auto"/>
                      <w:lang w:val="en-US" w:eastAsia="zh-CN"/>
                    </w:rPr>
                  </w:pPr>
                  <w:r>
                    <w:rPr>
                      <w:rFonts w:hint="eastAsia"/>
                      <w:color w:val="auto"/>
                      <w:lang w:val="en-US" w:eastAsia="zh-CN"/>
                    </w:rPr>
                    <w:t>34.46</w:t>
                  </w:r>
                </w:p>
              </w:tc>
              <w:tc>
                <w:tcPr>
                  <w:tcW w:w="433" w:type="pct"/>
                  <w:vAlign w:val="center"/>
                </w:tcPr>
                <w:p w14:paraId="67E44364">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r>
            <w:tr w14:paraId="192F1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16BF4CCE">
                  <w:pPr>
                    <w:pStyle w:val="31"/>
                    <w:bidi w:val="0"/>
                    <w:jc w:val="center"/>
                    <w:rPr>
                      <w:rFonts w:hint="default"/>
                      <w:color w:val="auto"/>
                      <w:lang w:val="en-US" w:eastAsia="zh-CN"/>
                    </w:rPr>
                  </w:pPr>
                </w:p>
              </w:tc>
              <w:tc>
                <w:tcPr>
                  <w:tcW w:w="430" w:type="pct"/>
                  <w:vAlign w:val="center"/>
                </w:tcPr>
                <w:p w14:paraId="208C9C2B">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开卷机2#</w:t>
                  </w:r>
                </w:p>
              </w:tc>
              <w:tc>
                <w:tcPr>
                  <w:tcW w:w="223" w:type="pct"/>
                  <w:vAlign w:val="center"/>
                </w:tcPr>
                <w:p w14:paraId="0A782667">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1台</w:t>
                  </w:r>
                </w:p>
              </w:tc>
              <w:tc>
                <w:tcPr>
                  <w:tcW w:w="322" w:type="pct"/>
                  <w:vAlign w:val="center"/>
                </w:tcPr>
                <w:p w14:paraId="10E7A2B1">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70</w:t>
                  </w:r>
                </w:p>
              </w:tc>
              <w:tc>
                <w:tcPr>
                  <w:tcW w:w="778" w:type="pct"/>
                  <w:vAlign w:val="center"/>
                </w:tcPr>
                <w:p w14:paraId="5356D690">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厂房隔声、基础减振</w:t>
                  </w:r>
                </w:p>
              </w:tc>
              <w:tc>
                <w:tcPr>
                  <w:tcW w:w="329" w:type="pct"/>
                  <w:vAlign w:val="center"/>
                </w:tcPr>
                <w:p w14:paraId="09F54421">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50.76</w:t>
                  </w:r>
                </w:p>
              </w:tc>
              <w:tc>
                <w:tcPr>
                  <w:tcW w:w="324" w:type="pct"/>
                  <w:vAlign w:val="center"/>
                </w:tcPr>
                <w:p w14:paraId="3651A973">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-12.52</w:t>
                  </w:r>
                </w:p>
              </w:tc>
              <w:tc>
                <w:tcPr>
                  <w:tcW w:w="244" w:type="pct"/>
                  <w:vAlign w:val="center"/>
                </w:tcPr>
                <w:p w14:paraId="6F354BF2">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c>
                <w:tcPr>
                  <w:tcW w:w="362" w:type="pct"/>
                  <w:vAlign w:val="center"/>
                </w:tcPr>
                <w:p w14:paraId="6EA192FF">
                  <w:pPr>
                    <w:pStyle w:val="31"/>
                    <w:bidi w:val="0"/>
                    <w:ind w:firstLine="0" w:firstLineChars="0"/>
                    <w:jc w:val="center"/>
                    <w:rPr>
                      <w:rFonts w:hint="default"/>
                      <w:color w:val="auto"/>
                      <w:lang w:val="en-US" w:eastAsia="zh-CN"/>
                    </w:rPr>
                  </w:pPr>
                  <w:r>
                    <w:rPr>
                      <w:rFonts w:hint="eastAsia"/>
                      <w:color w:val="auto"/>
                      <w:lang w:val="en-US" w:eastAsia="zh-CN"/>
                    </w:rPr>
                    <w:t>3</w:t>
                  </w:r>
                </w:p>
              </w:tc>
              <w:tc>
                <w:tcPr>
                  <w:tcW w:w="357" w:type="pct"/>
                  <w:vAlign w:val="center"/>
                </w:tcPr>
                <w:p w14:paraId="6EE68679">
                  <w:pPr>
                    <w:pStyle w:val="31"/>
                    <w:bidi w:val="0"/>
                    <w:ind w:firstLine="0" w:firstLineChars="0"/>
                    <w:jc w:val="center"/>
                    <w:rPr>
                      <w:rFonts w:hint="eastAsia"/>
                      <w:color w:val="auto"/>
                      <w:lang w:val="en-US" w:eastAsia="zh-CN"/>
                    </w:rPr>
                  </w:pPr>
                  <w:r>
                    <w:rPr>
                      <w:rFonts w:hint="eastAsia"/>
                      <w:color w:val="auto"/>
                      <w:lang w:val="en-US" w:eastAsia="zh-CN"/>
                    </w:rPr>
                    <w:t>60.46</w:t>
                  </w:r>
                </w:p>
              </w:tc>
              <w:tc>
                <w:tcPr>
                  <w:tcW w:w="216" w:type="pct"/>
                  <w:vAlign w:val="center"/>
                </w:tcPr>
                <w:p w14:paraId="53EC98C5">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昼间</w:t>
                  </w:r>
                </w:p>
              </w:tc>
              <w:tc>
                <w:tcPr>
                  <w:tcW w:w="380" w:type="pct"/>
                  <w:vAlign w:val="center"/>
                </w:tcPr>
                <w:p w14:paraId="11A5E084">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20</w:t>
                  </w:r>
                </w:p>
              </w:tc>
              <w:tc>
                <w:tcPr>
                  <w:tcW w:w="352" w:type="pct"/>
                  <w:vAlign w:val="center"/>
                </w:tcPr>
                <w:p w14:paraId="65EB5E28">
                  <w:pPr>
                    <w:pStyle w:val="31"/>
                    <w:bidi w:val="0"/>
                    <w:ind w:firstLine="0" w:firstLineChars="0"/>
                    <w:jc w:val="center"/>
                    <w:rPr>
                      <w:rFonts w:hint="default"/>
                      <w:color w:val="auto"/>
                      <w:lang w:val="en-US" w:eastAsia="zh-CN"/>
                    </w:rPr>
                  </w:pPr>
                  <w:r>
                    <w:rPr>
                      <w:rFonts w:hint="eastAsia"/>
                      <w:color w:val="auto"/>
                      <w:lang w:val="en-US" w:eastAsia="zh-CN"/>
                    </w:rPr>
                    <w:t>34.46</w:t>
                  </w:r>
                </w:p>
              </w:tc>
              <w:tc>
                <w:tcPr>
                  <w:tcW w:w="433" w:type="pct"/>
                  <w:vAlign w:val="center"/>
                </w:tcPr>
                <w:p w14:paraId="4C0E2FA1">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r>
            <w:tr w14:paraId="1E6CB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62C3E905">
                  <w:pPr>
                    <w:pStyle w:val="31"/>
                    <w:bidi w:val="0"/>
                    <w:jc w:val="center"/>
                    <w:rPr>
                      <w:rFonts w:hint="default"/>
                      <w:color w:val="auto"/>
                      <w:lang w:val="en-US" w:eastAsia="zh-CN"/>
                    </w:rPr>
                  </w:pPr>
                </w:p>
              </w:tc>
              <w:tc>
                <w:tcPr>
                  <w:tcW w:w="430" w:type="pct"/>
                  <w:vAlign w:val="center"/>
                </w:tcPr>
                <w:p w14:paraId="6C21F569">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矫直机2#</w:t>
                  </w:r>
                </w:p>
              </w:tc>
              <w:tc>
                <w:tcPr>
                  <w:tcW w:w="223" w:type="pct"/>
                  <w:vAlign w:val="center"/>
                </w:tcPr>
                <w:p w14:paraId="5326D1CC">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1台</w:t>
                  </w:r>
                </w:p>
              </w:tc>
              <w:tc>
                <w:tcPr>
                  <w:tcW w:w="322" w:type="pct"/>
                  <w:vAlign w:val="center"/>
                </w:tcPr>
                <w:p w14:paraId="6003A9A7">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85</w:t>
                  </w:r>
                </w:p>
              </w:tc>
              <w:tc>
                <w:tcPr>
                  <w:tcW w:w="778" w:type="pct"/>
                  <w:vAlign w:val="center"/>
                </w:tcPr>
                <w:p w14:paraId="52A3DAF8">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厂房隔声、基础减振</w:t>
                  </w:r>
                </w:p>
              </w:tc>
              <w:tc>
                <w:tcPr>
                  <w:tcW w:w="329" w:type="pct"/>
                  <w:vAlign w:val="center"/>
                </w:tcPr>
                <w:p w14:paraId="12CD13FA">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47.2</w:t>
                  </w:r>
                </w:p>
              </w:tc>
              <w:tc>
                <w:tcPr>
                  <w:tcW w:w="324" w:type="pct"/>
                  <w:vAlign w:val="center"/>
                </w:tcPr>
                <w:p w14:paraId="2C00330C">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-10.26</w:t>
                  </w:r>
                </w:p>
              </w:tc>
              <w:tc>
                <w:tcPr>
                  <w:tcW w:w="244" w:type="pct"/>
                  <w:vAlign w:val="center"/>
                </w:tcPr>
                <w:p w14:paraId="62DA45BB">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c>
                <w:tcPr>
                  <w:tcW w:w="362" w:type="pct"/>
                  <w:vAlign w:val="center"/>
                </w:tcPr>
                <w:p w14:paraId="5F9B392B">
                  <w:pPr>
                    <w:pStyle w:val="31"/>
                    <w:bidi w:val="0"/>
                    <w:ind w:firstLine="0" w:firstLineChars="0"/>
                    <w:jc w:val="center"/>
                    <w:rPr>
                      <w:rFonts w:hint="default"/>
                      <w:color w:val="auto"/>
                      <w:lang w:val="en-US" w:eastAsia="zh-CN"/>
                    </w:rPr>
                  </w:pPr>
                  <w:r>
                    <w:rPr>
                      <w:rFonts w:hint="eastAsia"/>
                      <w:color w:val="auto"/>
                      <w:lang w:val="en-US" w:eastAsia="zh-CN"/>
                    </w:rPr>
                    <w:t>4</w:t>
                  </w:r>
                </w:p>
              </w:tc>
              <w:tc>
                <w:tcPr>
                  <w:tcW w:w="357" w:type="pct"/>
                  <w:vAlign w:val="center"/>
                </w:tcPr>
                <w:p w14:paraId="0FAB72A5">
                  <w:pPr>
                    <w:pStyle w:val="31"/>
                    <w:bidi w:val="0"/>
                    <w:ind w:firstLine="0" w:firstLineChars="0"/>
                    <w:jc w:val="center"/>
                    <w:rPr>
                      <w:rFonts w:hint="default"/>
                      <w:color w:val="auto"/>
                      <w:lang w:val="en-US" w:eastAsia="zh-CN"/>
                    </w:rPr>
                  </w:pPr>
                  <w:r>
                    <w:rPr>
                      <w:rFonts w:hint="eastAsia"/>
                      <w:color w:val="auto"/>
                      <w:lang w:val="en-US" w:eastAsia="zh-CN"/>
                    </w:rPr>
                    <w:t>72.96</w:t>
                  </w:r>
                </w:p>
              </w:tc>
              <w:tc>
                <w:tcPr>
                  <w:tcW w:w="216" w:type="pct"/>
                  <w:vAlign w:val="center"/>
                </w:tcPr>
                <w:p w14:paraId="6C9AFFCD">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昼间</w:t>
                  </w:r>
                </w:p>
              </w:tc>
              <w:tc>
                <w:tcPr>
                  <w:tcW w:w="380" w:type="pct"/>
                  <w:vAlign w:val="center"/>
                </w:tcPr>
                <w:p w14:paraId="4A7F096F">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20</w:t>
                  </w:r>
                </w:p>
              </w:tc>
              <w:tc>
                <w:tcPr>
                  <w:tcW w:w="352" w:type="pct"/>
                  <w:vAlign w:val="center"/>
                </w:tcPr>
                <w:p w14:paraId="0F0D37D3">
                  <w:pPr>
                    <w:pStyle w:val="31"/>
                    <w:bidi w:val="0"/>
                    <w:ind w:firstLine="0" w:firstLineChars="0"/>
                    <w:jc w:val="center"/>
                    <w:rPr>
                      <w:rFonts w:hint="default"/>
                      <w:color w:val="auto"/>
                      <w:lang w:val="en-US" w:eastAsia="zh-CN"/>
                    </w:rPr>
                  </w:pPr>
                  <w:r>
                    <w:rPr>
                      <w:rFonts w:hint="eastAsia"/>
                      <w:color w:val="auto"/>
                      <w:lang w:val="en-US" w:eastAsia="zh-CN"/>
                    </w:rPr>
                    <w:t>46.96</w:t>
                  </w:r>
                </w:p>
              </w:tc>
              <w:tc>
                <w:tcPr>
                  <w:tcW w:w="433" w:type="pct"/>
                  <w:vAlign w:val="center"/>
                </w:tcPr>
                <w:p w14:paraId="7D718DDE">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r>
            <w:tr w14:paraId="6C72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01D807D7">
                  <w:pPr>
                    <w:pStyle w:val="31"/>
                    <w:bidi w:val="0"/>
                    <w:jc w:val="center"/>
                    <w:rPr>
                      <w:rFonts w:hint="default"/>
                      <w:color w:val="auto"/>
                      <w:lang w:val="en-US" w:eastAsia="zh-CN"/>
                    </w:rPr>
                  </w:pPr>
                </w:p>
              </w:tc>
              <w:tc>
                <w:tcPr>
                  <w:tcW w:w="430" w:type="pct"/>
                  <w:vAlign w:val="center"/>
                </w:tcPr>
                <w:p w14:paraId="59BB7516">
                  <w:pPr>
                    <w:pStyle w:val="31"/>
                    <w:bidi w:val="0"/>
                    <w:jc w:val="center"/>
                    <w:rPr>
                      <w:rFonts w:hint="default"/>
                      <w:color w:val="auto"/>
                      <w:lang w:val="en-US" w:eastAsia="zh-CN"/>
                    </w:rPr>
                  </w:pPr>
                  <w:r>
                    <w:rPr>
                      <w:rFonts w:hint="eastAsia"/>
                      <w:color w:val="auto"/>
                      <w:lang w:val="en-US" w:eastAsia="zh-CN"/>
                    </w:rPr>
                    <w:t>空压机1#</w:t>
                  </w:r>
                </w:p>
              </w:tc>
              <w:tc>
                <w:tcPr>
                  <w:tcW w:w="223" w:type="pct"/>
                  <w:vAlign w:val="center"/>
                </w:tcPr>
                <w:p w14:paraId="7A7CE7A5">
                  <w:pPr>
                    <w:pStyle w:val="31"/>
                    <w:ind w:firstLine="0" w:firstLineChars="0"/>
                    <w:rPr>
                      <w:rFonts w:hint="default"/>
                      <w:color w:val="auto"/>
                      <w:lang w:val="en-US" w:eastAsia="zh-CN"/>
                    </w:rPr>
                  </w:pPr>
                  <w:r>
                    <w:rPr>
                      <w:rFonts w:hint="eastAsia"/>
                      <w:color w:val="auto"/>
                      <w:lang w:val="en-US" w:eastAsia="zh-CN"/>
                    </w:rPr>
                    <w:t>1台</w:t>
                  </w:r>
                </w:p>
              </w:tc>
              <w:tc>
                <w:tcPr>
                  <w:tcW w:w="322" w:type="pct"/>
                  <w:vAlign w:val="center"/>
                </w:tcPr>
                <w:p w14:paraId="1F419F80">
                  <w:pPr>
                    <w:pStyle w:val="31"/>
                    <w:bidi w:val="0"/>
                    <w:jc w:val="center"/>
                    <w:rPr>
                      <w:rFonts w:hint="default"/>
                      <w:color w:val="auto"/>
                      <w:lang w:val="en-US" w:eastAsia="zh-CN"/>
                    </w:rPr>
                  </w:pPr>
                  <w:r>
                    <w:rPr>
                      <w:rFonts w:hint="eastAsia"/>
                      <w:color w:val="auto"/>
                      <w:lang w:val="en-US" w:eastAsia="zh-CN"/>
                    </w:rPr>
                    <w:t>75</w:t>
                  </w:r>
                </w:p>
              </w:tc>
              <w:tc>
                <w:tcPr>
                  <w:tcW w:w="778" w:type="pct"/>
                  <w:vAlign w:val="center"/>
                </w:tcPr>
                <w:p w14:paraId="6AD461A4">
                  <w:pPr>
                    <w:pStyle w:val="31"/>
                    <w:bidi w:val="0"/>
                    <w:jc w:val="center"/>
                    <w:rPr>
                      <w:rFonts w:hint="eastAsia"/>
                      <w:color w:val="auto"/>
                      <w:lang w:val="en-US" w:eastAsia="zh-CN"/>
                    </w:rPr>
                  </w:pPr>
                  <w:r>
                    <w:rPr>
                      <w:rFonts w:hint="eastAsia"/>
                      <w:color w:val="auto"/>
                      <w:lang w:val="en-US" w:eastAsia="zh-CN"/>
                    </w:rPr>
                    <w:t>厂房隔声、基础减震</w:t>
                  </w:r>
                </w:p>
              </w:tc>
              <w:tc>
                <w:tcPr>
                  <w:tcW w:w="329" w:type="pct"/>
                  <w:vAlign w:val="center"/>
                </w:tcPr>
                <w:p w14:paraId="57DD9A6A">
                  <w:pPr>
                    <w:pStyle w:val="31"/>
                    <w:bidi w:val="0"/>
                    <w:jc w:val="center"/>
                    <w:rPr>
                      <w:rFonts w:hint="default"/>
                      <w:color w:val="auto"/>
                      <w:lang w:val="en-US" w:eastAsia="zh-CN"/>
                    </w:rPr>
                  </w:pPr>
                  <w:r>
                    <w:rPr>
                      <w:rFonts w:hint="eastAsia"/>
                      <w:color w:val="auto"/>
                      <w:lang w:val="en-US" w:eastAsia="zh-CN"/>
                    </w:rPr>
                    <w:t>55.97</w:t>
                  </w:r>
                </w:p>
              </w:tc>
              <w:tc>
                <w:tcPr>
                  <w:tcW w:w="324" w:type="pct"/>
                  <w:vAlign w:val="center"/>
                </w:tcPr>
                <w:p w14:paraId="5140A4FF">
                  <w:pPr>
                    <w:pStyle w:val="31"/>
                    <w:bidi w:val="0"/>
                    <w:jc w:val="center"/>
                    <w:rPr>
                      <w:rFonts w:hint="default"/>
                      <w:color w:val="auto"/>
                      <w:lang w:val="en-US" w:eastAsia="zh-CN"/>
                    </w:rPr>
                  </w:pPr>
                  <w:r>
                    <w:rPr>
                      <w:rFonts w:hint="eastAsia"/>
                      <w:color w:val="auto"/>
                      <w:lang w:val="en-US" w:eastAsia="zh-CN"/>
                    </w:rPr>
                    <w:t>-5.96</w:t>
                  </w:r>
                </w:p>
              </w:tc>
              <w:tc>
                <w:tcPr>
                  <w:tcW w:w="244" w:type="pct"/>
                  <w:vAlign w:val="center"/>
                </w:tcPr>
                <w:p w14:paraId="2DF1D78E">
                  <w:pPr>
                    <w:pStyle w:val="31"/>
                    <w:bidi w:val="0"/>
                    <w:jc w:val="center"/>
                    <w:rPr>
                      <w:rFonts w:hint="default"/>
                      <w:color w:val="auto"/>
                      <w:lang w:val="en-US" w:eastAsia="zh-CN"/>
                    </w:rPr>
                  </w:pPr>
                  <w:r>
                    <w:rPr>
                      <w:rFonts w:hint="eastAsia"/>
                      <w:color w:val="auto"/>
                      <w:lang w:val="en-US" w:eastAsia="zh-CN"/>
                    </w:rPr>
                    <w:t>1</w:t>
                  </w:r>
                </w:p>
              </w:tc>
              <w:tc>
                <w:tcPr>
                  <w:tcW w:w="362" w:type="pct"/>
                  <w:vAlign w:val="center"/>
                </w:tcPr>
                <w:p w14:paraId="3B2E6FD5">
                  <w:pPr>
                    <w:pStyle w:val="31"/>
                    <w:bidi w:val="0"/>
                    <w:jc w:val="center"/>
                    <w:rPr>
                      <w:rFonts w:hint="default"/>
                      <w:color w:val="auto"/>
                      <w:lang w:val="en-US" w:eastAsia="zh-CN"/>
                    </w:rPr>
                  </w:pPr>
                  <w:r>
                    <w:rPr>
                      <w:rFonts w:hint="eastAsia"/>
                      <w:color w:val="auto"/>
                      <w:lang w:val="en-US" w:eastAsia="zh-CN"/>
                    </w:rPr>
                    <w:t>4</w:t>
                  </w:r>
                </w:p>
              </w:tc>
              <w:tc>
                <w:tcPr>
                  <w:tcW w:w="357" w:type="pct"/>
                  <w:vAlign w:val="center"/>
                </w:tcPr>
                <w:p w14:paraId="60F5C126">
                  <w:pPr>
                    <w:pStyle w:val="31"/>
                    <w:bidi w:val="0"/>
                    <w:jc w:val="center"/>
                    <w:rPr>
                      <w:rFonts w:hint="default"/>
                      <w:color w:val="auto"/>
                      <w:lang w:val="en-US" w:eastAsia="zh-CN"/>
                    </w:rPr>
                  </w:pPr>
                  <w:r>
                    <w:rPr>
                      <w:rFonts w:hint="eastAsia"/>
                      <w:color w:val="auto"/>
                      <w:lang w:val="en-US" w:eastAsia="zh-CN"/>
                    </w:rPr>
                    <w:t>62.96</w:t>
                  </w:r>
                </w:p>
              </w:tc>
              <w:tc>
                <w:tcPr>
                  <w:tcW w:w="216" w:type="pct"/>
                  <w:vAlign w:val="center"/>
                </w:tcPr>
                <w:p w14:paraId="4DB31E13">
                  <w:pPr>
                    <w:pStyle w:val="31"/>
                    <w:bidi w:val="0"/>
                    <w:jc w:val="center"/>
                    <w:rPr>
                      <w:rFonts w:hint="eastAsia"/>
                      <w:color w:val="auto"/>
                      <w:lang w:val="en-US" w:eastAsia="zh-CN"/>
                    </w:rPr>
                  </w:pPr>
                  <w:r>
                    <w:rPr>
                      <w:rFonts w:hint="eastAsia"/>
                      <w:color w:val="auto"/>
                      <w:lang w:val="en-US" w:eastAsia="zh-CN"/>
                    </w:rPr>
                    <w:t>昼间</w:t>
                  </w:r>
                </w:p>
              </w:tc>
              <w:tc>
                <w:tcPr>
                  <w:tcW w:w="380" w:type="pct"/>
                  <w:vAlign w:val="center"/>
                </w:tcPr>
                <w:p w14:paraId="4B07B343">
                  <w:pPr>
                    <w:pStyle w:val="31"/>
                    <w:bidi w:val="0"/>
                    <w:jc w:val="center"/>
                    <w:rPr>
                      <w:rFonts w:hint="default"/>
                      <w:color w:val="auto"/>
                      <w:lang w:val="en-US" w:eastAsia="zh-CN"/>
                    </w:rPr>
                  </w:pPr>
                  <w:r>
                    <w:rPr>
                      <w:rFonts w:hint="eastAsia"/>
                      <w:color w:val="auto"/>
                      <w:lang w:val="en-US" w:eastAsia="zh-CN"/>
                    </w:rPr>
                    <w:t>20</w:t>
                  </w:r>
                </w:p>
              </w:tc>
              <w:tc>
                <w:tcPr>
                  <w:tcW w:w="352" w:type="pct"/>
                  <w:vAlign w:val="center"/>
                </w:tcPr>
                <w:p w14:paraId="2A80210C">
                  <w:pPr>
                    <w:pStyle w:val="31"/>
                    <w:bidi w:val="0"/>
                    <w:jc w:val="center"/>
                    <w:rPr>
                      <w:rFonts w:hint="default"/>
                      <w:color w:val="auto"/>
                      <w:lang w:val="en-US" w:eastAsia="zh-CN"/>
                    </w:rPr>
                  </w:pPr>
                  <w:r>
                    <w:rPr>
                      <w:rFonts w:hint="eastAsia"/>
                      <w:color w:val="auto"/>
                      <w:lang w:val="en-US" w:eastAsia="zh-CN"/>
                    </w:rPr>
                    <w:t>36.96</w:t>
                  </w:r>
                </w:p>
              </w:tc>
              <w:tc>
                <w:tcPr>
                  <w:tcW w:w="433" w:type="pct"/>
                  <w:vAlign w:val="center"/>
                </w:tcPr>
                <w:p w14:paraId="0280801D">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w:t>
                  </w:r>
                </w:p>
              </w:tc>
            </w:tr>
            <w:tr w14:paraId="5463C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restart"/>
                  <w:vAlign w:val="center"/>
                </w:tcPr>
                <w:p w14:paraId="2FCB50C5">
                  <w:pPr>
                    <w:pStyle w:val="31"/>
                    <w:bidi w:val="0"/>
                    <w:jc w:val="center"/>
                    <w:rPr>
                      <w:rFonts w:hint="default"/>
                      <w:color w:val="auto"/>
                      <w:lang w:val="en-US" w:eastAsia="zh-CN"/>
                    </w:rPr>
                  </w:pPr>
                  <w:r>
                    <w:rPr>
                      <w:rFonts w:hint="eastAsia"/>
                      <w:color w:val="auto"/>
                      <w:lang w:val="en-US" w:eastAsia="zh-CN"/>
                    </w:rPr>
                    <w:t>2#焊管车间</w:t>
                  </w:r>
                </w:p>
              </w:tc>
              <w:tc>
                <w:tcPr>
                  <w:tcW w:w="430" w:type="pct"/>
                  <w:vAlign w:val="center"/>
                </w:tcPr>
                <w:p w14:paraId="4E3C26D4">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焊机3#</w:t>
                  </w:r>
                </w:p>
              </w:tc>
              <w:tc>
                <w:tcPr>
                  <w:tcW w:w="223" w:type="pct"/>
                  <w:vAlign w:val="center"/>
                </w:tcPr>
                <w:p w14:paraId="1F9CB681">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1台</w:t>
                  </w:r>
                </w:p>
              </w:tc>
              <w:tc>
                <w:tcPr>
                  <w:tcW w:w="322" w:type="pct"/>
                  <w:vAlign w:val="center"/>
                </w:tcPr>
                <w:p w14:paraId="00610601">
                  <w:pPr>
                    <w:pStyle w:val="31"/>
                    <w:bidi w:val="0"/>
                    <w:ind w:firstLine="0" w:firstLineChars="0"/>
                    <w:jc w:val="center"/>
                    <w:rPr>
                      <w:rFonts w:hint="default"/>
                      <w:color w:val="auto"/>
                      <w:lang w:val="en-US" w:eastAsia="zh-CN"/>
                    </w:rPr>
                  </w:pPr>
                  <w:r>
                    <w:rPr>
                      <w:rFonts w:hint="eastAsia"/>
                      <w:color w:val="auto"/>
                      <w:lang w:val="en-US" w:eastAsia="zh-CN"/>
                    </w:rPr>
                    <w:t>70</w:t>
                  </w:r>
                </w:p>
              </w:tc>
              <w:tc>
                <w:tcPr>
                  <w:tcW w:w="778" w:type="pct"/>
                  <w:vAlign w:val="center"/>
                </w:tcPr>
                <w:p w14:paraId="37849016">
                  <w:pPr>
                    <w:pStyle w:val="31"/>
                    <w:bidi w:val="0"/>
                    <w:jc w:val="center"/>
                    <w:rPr>
                      <w:rFonts w:hint="default"/>
                      <w:color w:val="auto"/>
                      <w:lang w:val="en-US" w:eastAsia="zh-CN"/>
                    </w:rPr>
                  </w:pPr>
                  <w:r>
                    <w:rPr>
                      <w:rFonts w:hint="eastAsia"/>
                      <w:color w:val="auto"/>
                      <w:lang w:val="en-US" w:eastAsia="zh-CN"/>
                    </w:rPr>
                    <w:t>厂房隔声、基础减振</w:t>
                  </w:r>
                </w:p>
              </w:tc>
              <w:tc>
                <w:tcPr>
                  <w:tcW w:w="329" w:type="pct"/>
                  <w:vAlign w:val="center"/>
                </w:tcPr>
                <w:p w14:paraId="401A8231">
                  <w:pPr>
                    <w:pStyle w:val="31"/>
                    <w:bidi w:val="0"/>
                    <w:jc w:val="center"/>
                    <w:rPr>
                      <w:rFonts w:hint="default"/>
                      <w:color w:val="auto"/>
                      <w:lang w:val="en-US" w:eastAsia="zh-CN"/>
                    </w:rPr>
                  </w:pPr>
                  <w:r>
                    <w:rPr>
                      <w:rFonts w:hint="eastAsia"/>
                      <w:color w:val="auto"/>
                      <w:lang w:val="en-US" w:eastAsia="zh-CN"/>
                    </w:rPr>
                    <w:t>76.91</w:t>
                  </w:r>
                </w:p>
              </w:tc>
              <w:tc>
                <w:tcPr>
                  <w:tcW w:w="324" w:type="pct"/>
                  <w:vAlign w:val="center"/>
                </w:tcPr>
                <w:p w14:paraId="5B1B03D6">
                  <w:pPr>
                    <w:pStyle w:val="31"/>
                    <w:bidi w:val="0"/>
                    <w:jc w:val="center"/>
                    <w:rPr>
                      <w:rFonts w:hint="default"/>
                      <w:color w:val="auto"/>
                      <w:lang w:val="en-US" w:eastAsia="zh-CN"/>
                    </w:rPr>
                  </w:pPr>
                  <w:r>
                    <w:rPr>
                      <w:rFonts w:hint="eastAsia"/>
                      <w:color w:val="auto"/>
                      <w:lang w:val="en-US" w:eastAsia="zh-CN"/>
                    </w:rPr>
                    <w:t>-3.8</w:t>
                  </w:r>
                </w:p>
              </w:tc>
              <w:tc>
                <w:tcPr>
                  <w:tcW w:w="244" w:type="pct"/>
                  <w:vAlign w:val="center"/>
                </w:tcPr>
                <w:p w14:paraId="5FCC5DBA">
                  <w:pPr>
                    <w:pStyle w:val="31"/>
                    <w:bidi w:val="0"/>
                    <w:jc w:val="center"/>
                    <w:rPr>
                      <w:rFonts w:hint="default"/>
                      <w:color w:val="auto"/>
                      <w:lang w:val="en-US" w:eastAsia="zh-CN"/>
                    </w:rPr>
                  </w:pPr>
                  <w:r>
                    <w:rPr>
                      <w:rFonts w:hint="eastAsia"/>
                      <w:color w:val="auto"/>
                      <w:lang w:val="en-US" w:eastAsia="zh-CN"/>
                    </w:rPr>
                    <w:t>1</w:t>
                  </w:r>
                </w:p>
              </w:tc>
              <w:tc>
                <w:tcPr>
                  <w:tcW w:w="362" w:type="pct"/>
                  <w:vAlign w:val="center"/>
                </w:tcPr>
                <w:p w14:paraId="14ED32F2">
                  <w:pPr>
                    <w:pStyle w:val="31"/>
                    <w:bidi w:val="0"/>
                    <w:jc w:val="center"/>
                    <w:rPr>
                      <w:rFonts w:hint="default"/>
                      <w:color w:val="auto"/>
                      <w:lang w:val="en-US" w:eastAsia="zh-CN"/>
                    </w:rPr>
                  </w:pPr>
                  <w:r>
                    <w:rPr>
                      <w:rFonts w:hint="eastAsia"/>
                      <w:color w:val="auto"/>
                      <w:lang w:val="en-US" w:eastAsia="zh-CN"/>
                    </w:rPr>
                    <w:t>5</w:t>
                  </w:r>
                </w:p>
              </w:tc>
              <w:tc>
                <w:tcPr>
                  <w:tcW w:w="357" w:type="pct"/>
                  <w:vAlign w:val="center"/>
                </w:tcPr>
                <w:p w14:paraId="459EA662">
                  <w:pPr>
                    <w:pStyle w:val="31"/>
                    <w:bidi w:val="0"/>
                    <w:jc w:val="center"/>
                    <w:rPr>
                      <w:rFonts w:hint="default"/>
                      <w:color w:val="auto"/>
                      <w:lang w:val="en-US" w:eastAsia="zh-CN"/>
                    </w:rPr>
                  </w:pPr>
                  <w:r>
                    <w:rPr>
                      <w:rFonts w:hint="eastAsia"/>
                      <w:color w:val="auto"/>
                      <w:lang w:val="en-US" w:eastAsia="zh-CN"/>
                    </w:rPr>
                    <w:t>56.02</w:t>
                  </w:r>
                </w:p>
              </w:tc>
              <w:tc>
                <w:tcPr>
                  <w:tcW w:w="216" w:type="pct"/>
                  <w:vAlign w:val="center"/>
                </w:tcPr>
                <w:p w14:paraId="783542B8">
                  <w:pPr>
                    <w:pStyle w:val="31"/>
                    <w:bidi w:val="0"/>
                    <w:jc w:val="center"/>
                    <w:rPr>
                      <w:rFonts w:hint="default"/>
                      <w:color w:val="auto"/>
                      <w:lang w:val="en-US" w:eastAsia="zh-CN"/>
                    </w:rPr>
                  </w:pPr>
                  <w:r>
                    <w:rPr>
                      <w:rFonts w:hint="eastAsia"/>
                      <w:color w:val="auto"/>
                      <w:lang w:val="en-US" w:eastAsia="zh-CN"/>
                    </w:rPr>
                    <w:t>昼间</w:t>
                  </w:r>
                </w:p>
              </w:tc>
              <w:tc>
                <w:tcPr>
                  <w:tcW w:w="380" w:type="pct"/>
                  <w:vAlign w:val="center"/>
                </w:tcPr>
                <w:p w14:paraId="4A8B30F7">
                  <w:pPr>
                    <w:pStyle w:val="31"/>
                    <w:bidi w:val="0"/>
                    <w:jc w:val="center"/>
                    <w:rPr>
                      <w:rFonts w:hint="default"/>
                      <w:color w:val="auto"/>
                      <w:lang w:val="en-US" w:eastAsia="zh-CN"/>
                    </w:rPr>
                  </w:pPr>
                  <w:r>
                    <w:rPr>
                      <w:rFonts w:hint="eastAsia"/>
                      <w:color w:val="auto"/>
                      <w:lang w:val="en-US" w:eastAsia="zh-CN"/>
                    </w:rPr>
                    <w:t>20</w:t>
                  </w:r>
                </w:p>
              </w:tc>
              <w:tc>
                <w:tcPr>
                  <w:tcW w:w="352" w:type="pct"/>
                  <w:vAlign w:val="center"/>
                </w:tcPr>
                <w:p w14:paraId="0304E2DE">
                  <w:pPr>
                    <w:pStyle w:val="31"/>
                    <w:bidi w:val="0"/>
                    <w:jc w:val="center"/>
                    <w:rPr>
                      <w:rFonts w:hint="default"/>
                      <w:color w:val="auto"/>
                      <w:lang w:val="en-US" w:eastAsia="zh-CN"/>
                    </w:rPr>
                  </w:pPr>
                  <w:r>
                    <w:rPr>
                      <w:rFonts w:hint="eastAsia"/>
                      <w:color w:val="auto"/>
                      <w:lang w:val="en-US" w:eastAsia="zh-CN"/>
                    </w:rPr>
                    <w:t>30.02</w:t>
                  </w:r>
                </w:p>
              </w:tc>
              <w:tc>
                <w:tcPr>
                  <w:tcW w:w="433" w:type="pct"/>
                  <w:vAlign w:val="center"/>
                </w:tcPr>
                <w:p w14:paraId="51949CAB">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w:t>
                  </w:r>
                </w:p>
              </w:tc>
            </w:tr>
            <w:tr w14:paraId="1C7B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50D5F60E">
                  <w:pPr>
                    <w:pStyle w:val="31"/>
                    <w:bidi w:val="0"/>
                    <w:jc w:val="center"/>
                    <w:rPr>
                      <w:rFonts w:hint="default"/>
                      <w:color w:val="auto"/>
                      <w:lang w:val="en-US" w:eastAsia="zh-CN"/>
                    </w:rPr>
                  </w:pPr>
                </w:p>
              </w:tc>
              <w:tc>
                <w:tcPr>
                  <w:tcW w:w="430" w:type="pct"/>
                  <w:vAlign w:val="center"/>
                </w:tcPr>
                <w:p w14:paraId="48B61436">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开卷机3#</w:t>
                  </w:r>
                </w:p>
              </w:tc>
              <w:tc>
                <w:tcPr>
                  <w:tcW w:w="223" w:type="pct"/>
                  <w:vAlign w:val="center"/>
                </w:tcPr>
                <w:p w14:paraId="65B9F4F4">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1台</w:t>
                  </w:r>
                </w:p>
              </w:tc>
              <w:tc>
                <w:tcPr>
                  <w:tcW w:w="322" w:type="pct"/>
                  <w:vAlign w:val="center"/>
                </w:tcPr>
                <w:p w14:paraId="58A4B43A">
                  <w:pPr>
                    <w:pStyle w:val="31"/>
                    <w:bidi w:val="0"/>
                    <w:ind w:firstLine="0" w:firstLineChars="0"/>
                    <w:jc w:val="center"/>
                    <w:rPr>
                      <w:rFonts w:hint="default"/>
                      <w:color w:val="auto"/>
                      <w:lang w:val="en-US" w:eastAsia="zh-CN"/>
                    </w:rPr>
                  </w:pPr>
                  <w:r>
                    <w:rPr>
                      <w:rFonts w:hint="eastAsia"/>
                      <w:color w:val="auto"/>
                      <w:lang w:val="en-US" w:eastAsia="zh-CN"/>
                    </w:rPr>
                    <w:t>70</w:t>
                  </w:r>
                </w:p>
              </w:tc>
              <w:tc>
                <w:tcPr>
                  <w:tcW w:w="778" w:type="pct"/>
                  <w:vAlign w:val="center"/>
                </w:tcPr>
                <w:p w14:paraId="38D94486">
                  <w:pPr>
                    <w:pStyle w:val="31"/>
                    <w:bidi w:val="0"/>
                    <w:jc w:val="center"/>
                    <w:rPr>
                      <w:rFonts w:hint="default"/>
                      <w:color w:val="auto"/>
                      <w:lang w:val="en-US" w:eastAsia="zh-CN"/>
                    </w:rPr>
                  </w:pPr>
                  <w:r>
                    <w:rPr>
                      <w:rFonts w:hint="eastAsia"/>
                      <w:color w:val="auto"/>
                      <w:lang w:val="en-US" w:eastAsia="zh-CN"/>
                    </w:rPr>
                    <w:t>厂房隔声、基础减振</w:t>
                  </w:r>
                </w:p>
              </w:tc>
              <w:tc>
                <w:tcPr>
                  <w:tcW w:w="329" w:type="pct"/>
                  <w:vAlign w:val="center"/>
                </w:tcPr>
                <w:p w14:paraId="50EF03A0">
                  <w:pPr>
                    <w:pStyle w:val="31"/>
                    <w:bidi w:val="0"/>
                    <w:jc w:val="center"/>
                    <w:rPr>
                      <w:rFonts w:hint="default"/>
                      <w:color w:val="auto"/>
                      <w:lang w:val="en-US" w:eastAsia="zh-CN"/>
                    </w:rPr>
                  </w:pPr>
                  <w:r>
                    <w:rPr>
                      <w:rFonts w:hint="eastAsia"/>
                      <w:color w:val="auto"/>
                      <w:lang w:val="en-US" w:eastAsia="zh-CN"/>
                    </w:rPr>
                    <w:t>78.4</w:t>
                  </w:r>
                </w:p>
              </w:tc>
              <w:tc>
                <w:tcPr>
                  <w:tcW w:w="324" w:type="pct"/>
                  <w:vAlign w:val="center"/>
                </w:tcPr>
                <w:p w14:paraId="3B5018BE">
                  <w:pPr>
                    <w:pStyle w:val="31"/>
                    <w:bidi w:val="0"/>
                    <w:jc w:val="center"/>
                    <w:rPr>
                      <w:rFonts w:hint="default"/>
                      <w:color w:val="auto"/>
                      <w:lang w:val="en-US" w:eastAsia="zh-CN"/>
                    </w:rPr>
                  </w:pPr>
                  <w:r>
                    <w:rPr>
                      <w:rFonts w:hint="eastAsia"/>
                      <w:color w:val="auto"/>
                      <w:lang w:val="en-US" w:eastAsia="zh-CN"/>
                    </w:rPr>
                    <w:t>-10.7</w:t>
                  </w:r>
                </w:p>
              </w:tc>
              <w:tc>
                <w:tcPr>
                  <w:tcW w:w="244" w:type="pct"/>
                  <w:vAlign w:val="center"/>
                </w:tcPr>
                <w:p w14:paraId="768CE48B">
                  <w:pPr>
                    <w:pStyle w:val="31"/>
                    <w:bidi w:val="0"/>
                    <w:jc w:val="center"/>
                    <w:rPr>
                      <w:rFonts w:hint="default"/>
                      <w:color w:val="auto"/>
                      <w:lang w:val="en-US" w:eastAsia="zh-CN"/>
                    </w:rPr>
                  </w:pPr>
                  <w:r>
                    <w:rPr>
                      <w:rFonts w:hint="eastAsia"/>
                      <w:color w:val="auto"/>
                      <w:lang w:val="en-US" w:eastAsia="zh-CN"/>
                    </w:rPr>
                    <w:t>1</w:t>
                  </w:r>
                </w:p>
              </w:tc>
              <w:tc>
                <w:tcPr>
                  <w:tcW w:w="362" w:type="pct"/>
                  <w:vAlign w:val="center"/>
                </w:tcPr>
                <w:p w14:paraId="3CDCF8F4">
                  <w:pPr>
                    <w:pStyle w:val="31"/>
                    <w:bidi w:val="0"/>
                    <w:jc w:val="center"/>
                    <w:rPr>
                      <w:rFonts w:hint="default"/>
                      <w:color w:val="auto"/>
                      <w:lang w:val="en-US" w:eastAsia="zh-CN"/>
                    </w:rPr>
                  </w:pPr>
                  <w:r>
                    <w:rPr>
                      <w:rFonts w:hint="eastAsia"/>
                      <w:color w:val="auto"/>
                      <w:lang w:val="en-US" w:eastAsia="zh-CN"/>
                    </w:rPr>
                    <w:t>3</w:t>
                  </w:r>
                </w:p>
              </w:tc>
              <w:tc>
                <w:tcPr>
                  <w:tcW w:w="357" w:type="pct"/>
                  <w:vAlign w:val="center"/>
                </w:tcPr>
                <w:p w14:paraId="06606EA4">
                  <w:pPr>
                    <w:pStyle w:val="31"/>
                    <w:bidi w:val="0"/>
                    <w:jc w:val="center"/>
                    <w:rPr>
                      <w:rFonts w:hint="eastAsia"/>
                      <w:color w:val="auto"/>
                      <w:lang w:val="en-US" w:eastAsia="zh-CN"/>
                    </w:rPr>
                  </w:pPr>
                  <w:r>
                    <w:rPr>
                      <w:rFonts w:hint="eastAsia"/>
                      <w:color w:val="auto"/>
                      <w:lang w:val="en-US" w:eastAsia="zh-CN"/>
                    </w:rPr>
                    <w:t>60.46</w:t>
                  </w:r>
                </w:p>
              </w:tc>
              <w:tc>
                <w:tcPr>
                  <w:tcW w:w="216" w:type="pct"/>
                  <w:vAlign w:val="center"/>
                </w:tcPr>
                <w:p w14:paraId="5C2C1955">
                  <w:pPr>
                    <w:pStyle w:val="31"/>
                    <w:bidi w:val="0"/>
                    <w:jc w:val="center"/>
                    <w:rPr>
                      <w:rFonts w:hint="default"/>
                      <w:color w:val="auto"/>
                      <w:lang w:val="en-US" w:eastAsia="zh-CN"/>
                    </w:rPr>
                  </w:pPr>
                  <w:r>
                    <w:rPr>
                      <w:rFonts w:hint="eastAsia"/>
                      <w:color w:val="auto"/>
                      <w:lang w:val="en-US" w:eastAsia="zh-CN"/>
                    </w:rPr>
                    <w:t>昼间</w:t>
                  </w:r>
                </w:p>
              </w:tc>
              <w:tc>
                <w:tcPr>
                  <w:tcW w:w="380" w:type="pct"/>
                  <w:vAlign w:val="center"/>
                </w:tcPr>
                <w:p w14:paraId="04C3DA34">
                  <w:pPr>
                    <w:pStyle w:val="31"/>
                    <w:bidi w:val="0"/>
                    <w:ind w:firstLine="0" w:firstLineChars="0"/>
                    <w:jc w:val="center"/>
                    <w:rPr>
                      <w:rFonts w:hint="default"/>
                      <w:color w:val="auto"/>
                      <w:lang w:val="en-US" w:eastAsia="zh-CN"/>
                    </w:rPr>
                  </w:pPr>
                  <w:r>
                    <w:rPr>
                      <w:rFonts w:hint="eastAsia"/>
                      <w:color w:val="auto"/>
                      <w:lang w:val="en-US" w:eastAsia="zh-CN"/>
                    </w:rPr>
                    <w:t>20</w:t>
                  </w:r>
                </w:p>
              </w:tc>
              <w:tc>
                <w:tcPr>
                  <w:tcW w:w="352" w:type="pct"/>
                  <w:vAlign w:val="center"/>
                </w:tcPr>
                <w:p w14:paraId="1509B059">
                  <w:pPr>
                    <w:pStyle w:val="31"/>
                    <w:bidi w:val="0"/>
                    <w:ind w:firstLine="0" w:firstLineChars="0"/>
                    <w:jc w:val="center"/>
                    <w:rPr>
                      <w:rFonts w:hint="default"/>
                      <w:color w:val="auto"/>
                      <w:lang w:val="en-US" w:eastAsia="zh-CN"/>
                    </w:rPr>
                  </w:pPr>
                  <w:r>
                    <w:rPr>
                      <w:rFonts w:hint="eastAsia"/>
                      <w:color w:val="auto"/>
                      <w:lang w:val="en-US" w:eastAsia="zh-CN"/>
                    </w:rPr>
                    <w:t>34.46</w:t>
                  </w:r>
                </w:p>
              </w:tc>
              <w:tc>
                <w:tcPr>
                  <w:tcW w:w="433" w:type="pct"/>
                  <w:vAlign w:val="center"/>
                </w:tcPr>
                <w:p w14:paraId="666FEA15">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w:t>
                  </w:r>
                </w:p>
              </w:tc>
            </w:tr>
            <w:tr w14:paraId="27DA5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46A4727D">
                  <w:pPr>
                    <w:pStyle w:val="31"/>
                    <w:bidi w:val="0"/>
                    <w:jc w:val="center"/>
                    <w:rPr>
                      <w:rFonts w:hint="default"/>
                      <w:color w:val="auto"/>
                      <w:lang w:val="en-US" w:eastAsia="zh-CN"/>
                    </w:rPr>
                  </w:pPr>
                </w:p>
              </w:tc>
              <w:tc>
                <w:tcPr>
                  <w:tcW w:w="430" w:type="pct"/>
                  <w:vAlign w:val="center"/>
                </w:tcPr>
                <w:p w14:paraId="26C07142">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矫直机3#</w:t>
                  </w:r>
                </w:p>
              </w:tc>
              <w:tc>
                <w:tcPr>
                  <w:tcW w:w="223" w:type="pct"/>
                  <w:vAlign w:val="center"/>
                </w:tcPr>
                <w:p w14:paraId="6F8BD94B">
                  <w:pPr>
                    <w:pStyle w:val="31"/>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1台</w:t>
                  </w:r>
                </w:p>
              </w:tc>
              <w:tc>
                <w:tcPr>
                  <w:tcW w:w="322" w:type="pct"/>
                  <w:vAlign w:val="center"/>
                </w:tcPr>
                <w:p w14:paraId="48A95BC7">
                  <w:pPr>
                    <w:pStyle w:val="31"/>
                    <w:bidi w:val="0"/>
                    <w:ind w:firstLine="0" w:firstLineChars="0"/>
                    <w:jc w:val="center"/>
                    <w:rPr>
                      <w:rFonts w:hint="default"/>
                      <w:color w:val="auto"/>
                      <w:lang w:val="en-US" w:eastAsia="zh-CN"/>
                    </w:rPr>
                  </w:pPr>
                  <w:r>
                    <w:rPr>
                      <w:rFonts w:hint="eastAsia"/>
                      <w:color w:val="auto"/>
                      <w:lang w:val="en-US" w:eastAsia="zh-CN"/>
                    </w:rPr>
                    <w:t>85</w:t>
                  </w:r>
                </w:p>
              </w:tc>
              <w:tc>
                <w:tcPr>
                  <w:tcW w:w="778" w:type="pct"/>
                  <w:vAlign w:val="center"/>
                </w:tcPr>
                <w:p w14:paraId="79A082C9">
                  <w:pPr>
                    <w:pStyle w:val="31"/>
                    <w:bidi w:val="0"/>
                    <w:jc w:val="center"/>
                    <w:rPr>
                      <w:rFonts w:hint="default"/>
                      <w:color w:val="auto"/>
                      <w:lang w:val="en-US" w:eastAsia="zh-CN"/>
                    </w:rPr>
                  </w:pPr>
                  <w:r>
                    <w:rPr>
                      <w:rFonts w:hint="eastAsia"/>
                      <w:color w:val="auto"/>
                      <w:lang w:val="en-US" w:eastAsia="zh-CN"/>
                    </w:rPr>
                    <w:t>厂房隔声、基础减振</w:t>
                  </w:r>
                </w:p>
              </w:tc>
              <w:tc>
                <w:tcPr>
                  <w:tcW w:w="329" w:type="pct"/>
                  <w:vAlign w:val="center"/>
                </w:tcPr>
                <w:p w14:paraId="4C38D0FE">
                  <w:pPr>
                    <w:pStyle w:val="31"/>
                    <w:bidi w:val="0"/>
                    <w:jc w:val="center"/>
                    <w:rPr>
                      <w:rFonts w:hint="default"/>
                      <w:color w:val="auto"/>
                      <w:lang w:val="en-US" w:eastAsia="zh-CN"/>
                    </w:rPr>
                  </w:pPr>
                  <w:r>
                    <w:rPr>
                      <w:rFonts w:hint="eastAsia"/>
                      <w:color w:val="auto"/>
                      <w:lang w:val="en-US" w:eastAsia="zh-CN"/>
                    </w:rPr>
                    <w:t>78.72</w:t>
                  </w:r>
                </w:p>
              </w:tc>
              <w:tc>
                <w:tcPr>
                  <w:tcW w:w="324" w:type="pct"/>
                  <w:vAlign w:val="center"/>
                </w:tcPr>
                <w:p w14:paraId="31CFD0BC">
                  <w:pPr>
                    <w:pStyle w:val="31"/>
                    <w:bidi w:val="0"/>
                    <w:jc w:val="center"/>
                    <w:rPr>
                      <w:rFonts w:hint="default"/>
                      <w:color w:val="auto"/>
                      <w:lang w:val="en-US" w:eastAsia="zh-CN"/>
                    </w:rPr>
                  </w:pPr>
                  <w:r>
                    <w:rPr>
                      <w:rFonts w:hint="eastAsia"/>
                      <w:color w:val="auto"/>
                      <w:lang w:val="en-US" w:eastAsia="zh-CN"/>
                    </w:rPr>
                    <w:t>-17.71</w:t>
                  </w:r>
                </w:p>
              </w:tc>
              <w:tc>
                <w:tcPr>
                  <w:tcW w:w="244" w:type="pct"/>
                  <w:vAlign w:val="center"/>
                </w:tcPr>
                <w:p w14:paraId="3ECD355B">
                  <w:pPr>
                    <w:pStyle w:val="31"/>
                    <w:bidi w:val="0"/>
                    <w:jc w:val="center"/>
                    <w:rPr>
                      <w:rFonts w:hint="default"/>
                      <w:color w:val="auto"/>
                      <w:lang w:val="en-US" w:eastAsia="zh-CN"/>
                    </w:rPr>
                  </w:pPr>
                  <w:r>
                    <w:rPr>
                      <w:rFonts w:hint="eastAsia"/>
                      <w:color w:val="auto"/>
                      <w:lang w:val="en-US" w:eastAsia="zh-CN"/>
                    </w:rPr>
                    <w:t>1</w:t>
                  </w:r>
                </w:p>
              </w:tc>
              <w:tc>
                <w:tcPr>
                  <w:tcW w:w="362" w:type="pct"/>
                  <w:vAlign w:val="center"/>
                </w:tcPr>
                <w:p w14:paraId="6B6E9508">
                  <w:pPr>
                    <w:pStyle w:val="31"/>
                    <w:bidi w:val="0"/>
                    <w:jc w:val="center"/>
                    <w:rPr>
                      <w:rFonts w:hint="default"/>
                      <w:color w:val="auto"/>
                      <w:lang w:val="en-US" w:eastAsia="zh-CN"/>
                    </w:rPr>
                  </w:pPr>
                  <w:r>
                    <w:rPr>
                      <w:rFonts w:hint="eastAsia"/>
                      <w:color w:val="auto"/>
                      <w:lang w:val="en-US" w:eastAsia="zh-CN"/>
                    </w:rPr>
                    <w:t>4</w:t>
                  </w:r>
                </w:p>
              </w:tc>
              <w:tc>
                <w:tcPr>
                  <w:tcW w:w="357" w:type="pct"/>
                  <w:vAlign w:val="center"/>
                </w:tcPr>
                <w:p w14:paraId="02E5E9E8">
                  <w:pPr>
                    <w:pStyle w:val="31"/>
                    <w:bidi w:val="0"/>
                    <w:jc w:val="center"/>
                    <w:rPr>
                      <w:rFonts w:hint="eastAsia"/>
                      <w:color w:val="auto"/>
                      <w:lang w:val="en-US" w:eastAsia="zh-CN"/>
                    </w:rPr>
                  </w:pPr>
                  <w:r>
                    <w:rPr>
                      <w:rFonts w:hint="eastAsia"/>
                      <w:color w:val="auto"/>
                      <w:lang w:val="en-US" w:eastAsia="zh-CN"/>
                    </w:rPr>
                    <w:t>72.96</w:t>
                  </w:r>
                </w:p>
              </w:tc>
              <w:tc>
                <w:tcPr>
                  <w:tcW w:w="216" w:type="pct"/>
                  <w:vAlign w:val="center"/>
                </w:tcPr>
                <w:p w14:paraId="6E3FA3B8">
                  <w:pPr>
                    <w:pStyle w:val="31"/>
                    <w:bidi w:val="0"/>
                    <w:jc w:val="center"/>
                    <w:rPr>
                      <w:rFonts w:hint="default"/>
                      <w:color w:val="auto"/>
                      <w:lang w:val="en-US" w:eastAsia="zh-CN"/>
                    </w:rPr>
                  </w:pPr>
                  <w:r>
                    <w:rPr>
                      <w:rFonts w:hint="eastAsia"/>
                      <w:color w:val="auto"/>
                      <w:lang w:val="en-US" w:eastAsia="zh-CN"/>
                    </w:rPr>
                    <w:t>昼间</w:t>
                  </w:r>
                </w:p>
              </w:tc>
              <w:tc>
                <w:tcPr>
                  <w:tcW w:w="380" w:type="pct"/>
                  <w:vAlign w:val="center"/>
                </w:tcPr>
                <w:p w14:paraId="7CF9A667">
                  <w:pPr>
                    <w:pStyle w:val="31"/>
                    <w:bidi w:val="0"/>
                    <w:ind w:firstLine="0" w:firstLineChars="0"/>
                    <w:jc w:val="center"/>
                    <w:rPr>
                      <w:rFonts w:hint="eastAsia" w:eastAsia="宋体"/>
                      <w:color w:val="auto"/>
                      <w:lang w:val="en-US" w:eastAsia="zh-CN"/>
                    </w:rPr>
                  </w:pPr>
                  <w:r>
                    <w:rPr>
                      <w:rFonts w:hint="eastAsia"/>
                      <w:color w:val="auto"/>
                      <w:lang w:val="en-US" w:eastAsia="zh-CN"/>
                    </w:rPr>
                    <w:t>20</w:t>
                  </w:r>
                </w:p>
              </w:tc>
              <w:tc>
                <w:tcPr>
                  <w:tcW w:w="352" w:type="pct"/>
                  <w:vAlign w:val="center"/>
                </w:tcPr>
                <w:p w14:paraId="5937C0B4">
                  <w:pPr>
                    <w:pStyle w:val="31"/>
                    <w:bidi w:val="0"/>
                    <w:ind w:firstLine="0" w:firstLineChars="0"/>
                    <w:jc w:val="center"/>
                    <w:rPr>
                      <w:rFonts w:hint="default"/>
                      <w:color w:val="auto"/>
                      <w:lang w:val="en-US" w:eastAsia="zh-CN"/>
                    </w:rPr>
                  </w:pPr>
                  <w:r>
                    <w:rPr>
                      <w:rFonts w:hint="eastAsia"/>
                      <w:color w:val="auto"/>
                      <w:lang w:val="en-US" w:eastAsia="zh-CN"/>
                    </w:rPr>
                    <w:t>46.96</w:t>
                  </w:r>
                </w:p>
              </w:tc>
              <w:tc>
                <w:tcPr>
                  <w:tcW w:w="433" w:type="pct"/>
                  <w:vAlign w:val="center"/>
                </w:tcPr>
                <w:p w14:paraId="60409520">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w:t>
                  </w:r>
                </w:p>
              </w:tc>
            </w:tr>
            <w:tr w14:paraId="63C0E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24AFF11F">
                  <w:pPr>
                    <w:pStyle w:val="31"/>
                    <w:bidi w:val="0"/>
                    <w:jc w:val="center"/>
                    <w:rPr>
                      <w:rFonts w:hint="default"/>
                      <w:color w:val="auto"/>
                      <w:lang w:val="en-US" w:eastAsia="zh-CN"/>
                    </w:rPr>
                  </w:pPr>
                </w:p>
              </w:tc>
              <w:tc>
                <w:tcPr>
                  <w:tcW w:w="430" w:type="pct"/>
                  <w:vAlign w:val="center"/>
                </w:tcPr>
                <w:p w14:paraId="74760202">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焊机4#</w:t>
                  </w:r>
                </w:p>
              </w:tc>
              <w:tc>
                <w:tcPr>
                  <w:tcW w:w="223" w:type="pct"/>
                  <w:vAlign w:val="center"/>
                </w:tcPr>
                <w:p w14:paraId="1EB733C7">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1台</w:t>
                  </w:r>
                </w:p>
              </w:tc>
              <w:tc>
                <w:tcPr>
                  <w:tcW w:w="322" w:type="pct"/>
                  <w:vAlign w:val="center"/>
                </w:tcPr>
                <w:p w14:paraId="2FA2C3EB">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70</w:t>
                  </w:r>
                </w:p>
              </w:tc>
              <w:tc>
                <w:tcPr>
                  <w:tcW w:w="778" w:type="pct"/>
                  <w:vAlign w:val="center"/>
                </w:tcPr>
                <w:p w14:paraId="50500241">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厂房隔声、基础减振</w:t>
                  </w:r>
                </w:p>
              </w:tc>
              <w:tc>
                <w:tcPr>
                  <w:tcW w:w="329" w:type="pct"/>
                  <w:vAlign w:val="center"/>
                </w:tcPr>
                <w:p w14:paraId="6C704839">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84.11</w:t>
                  </w:r>
                </w:p>
              </w:tc>
              <w:tc>
                <w:tcPr>
                  <w:tcW w:w="324" w:type="pct"/>
                  <w:vAlign w:val="center"/>
                </w:tcPr>
                <w:p w14:paraId="1A53BD4A">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28.05</w:t>
                  </w:r>
                </w:p>
              </w:tc>
              <w:tc>
                <w:tcPr>
                  <w:tcW w:w="244" w:type="pct"/>
                  <w:vAlign w:val="center"/>
                </w:tcPr>
                <w:p w14:paraId="6FAC20C8">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c>
                <w:tcPr>
                  <w:tcW w:w="362" w:type="pct"/>
                  <w:vAlign w:val="center"/>
                </w:tcPr>
                <w:p w14:paraId="69C242E6">
                  <w:pPr>
                    <w:pStyle w:val="31"/>
                    <w:bidi w:val="0"/>
                    <w:ind w:firstLine="0" w:firstLineChars="0"/>
                    <w:jc w:val="center"/>
                    <w:rPr>
                      <w:rFonts w:hint="default"/>
                      <w:color w:val="auto"/>
                      <w:lang w:val="en-US" w:eastAsia="zh-CN"/>
                    </w:rPr>
                  </w:pPr>
                  <w:r>
                    <w:rPr>
                      <w:rFonts w:hint="eastAsia"/>
                      <w:color w:val="auto"/>
                      <w:lang w:val="en-US" w:eastAsia="zh-CN"/>
                    </w:rPr>
                    <w:t>3</w:t>
                  </w:r>
                </w:p>
              </w:tc>
              <w:tc>
                <w:tcPr>
                  <w:tcW w:w="357" w:type="pct"/>
                  <w:vAlign w:val="center"/>
                </w:tcPr>
                <w:p w14:paraId="04E2BFD4">
                  <w:pPr>
                    <w:pStyle w:val="31"/>
                    <w:bidi w:val="0"/>
                    <w:ind w:firstLine="0" w:firstLineChars="0"/>
                    <w:jc w:val="center"/>
                    <w:rPr>
                      <w:rFonts w:hint="default"/>
                      <w:color w:val="auto"/>
                      <w:lang w:val="en-US" w:eastAsia="zh-CN"/>
                    </w:rPr>
                  </w:pPr>
                  <w:r>
                    <w:rPr>
                      <w:rFonts w:hint="eastAsia"/>
                      <w:color w:val="auto"/>
                      <w:lang w:val="en-US" w:eastAsia="zh-CN"/>
                    </w:rPr>
                    <w:t>60.46</w:t>
                  </w:r>
                </w:p>
              </w:tc>
              <w:tc>
                <w:tcPr>
                  <w:tcW w:w="216" w:type="pct"/>
                  <w:vAlign w:val="center"/>
                </w:tcPr>
                <w:p w14:paraId="1A108DF7">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昼间</w:t>
                  </w:r>
                </w:p>
              </w:tc>
              <w:tc>
                <w:tcPr>
                  <w:tcW w:w="380" w:type="pct"/>
                  <w:vAlign w:val="center"/>
                </w:tcPr>
                <w:p w14:paraId="25A153D9">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20</w:t>
                  </w:r>
                </w:p>
              </w:tc>
              <w:tc>
                <w:tcPr>
                  <w:tcW w:w="352" w:type="pct"/>
                  <w:vAlign w:val="center"/>
                </w:tcPr>
                <w:p w14:paraId="33F4BB9B">
                  <w:pPr>
                    <w:pStyle w:val="31"/>
                    <w:bidi w:val="0"/>
                    <w:ind w:firstLine="0" w:firstLineChars="0"/>
                    <w:jc w:val="center"/>
                    <w:rPr>
                      <w:rFonts w:hint="default"/>
                      <w:color w:val="auto"/>
                      <w:lang w:val="en-US" w:eastAsia="zh-CN"/>
                    </w:rPr>
                  </w:pPr>
                  <w:r>
                    <w:rPr>
                      <w:rFonts w:hint="eastAsia"/>
                      <w:color w:val="auto"/>
                      <w:lang w:val="en-US" w:eastAsia="zh-CN"/>
                    </w:rPr>
                    <w:t>34.46</w:t>
                  </w:r>
                </w:p>
              </w:tc>
              <w:tc>
                <w:tcPr>
                  <w:tcW w:w="433" w:type="pct"/>
                  <w:vAlign w:val="center"/>
                </w:tcPr>
                <w:p w14:paraId="436E698A">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r>
            <w:tr w14:paraId="10FA1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3FE167E4">
                  <w:pPr>
                    <w:pStyle w:val="31"/>
                    <w:bidi w:val="0"/>
                    <w:jc w:val="center"/>
                    <w:rPr>
                      <w:rFonts w:hint="default"/>
                      <w:color w:val="auto"/>
                      <w:lang w:val="en-US" w:eastAsia="zh-CN"/>
                    </w:rPr>
                  </w:pPr>
                </w:p>
              </w:tc>
              <w:tc>
                <w:tcPr>
                  <w:tcW w:w="430" w:type="pct"/>
                  <w:vAlign w:val="center"/>
                </w:tcPr>
                <w:p w14:paraId="753068A3">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开卷机4#</w:t>
                  </w:r>
                </w:p>
              </w:tc>
              <w:tc>
                <w:tcPr>
                  <w:tcW w:w="223" w:type="pct"/>
                  <w:vAlign w:val="center"/>
                </w:tcPr>
                <w:p w14:paraId="038554E1">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1台</w:t>
                  </w:r>
                </w:p>
              </w:tc>
              <w:tc>
                <w:tcPr>
                  <w:tcW w:w="322" w:type="pct"/>
                  <w:vAlign w:val="center"/>
                </w:tcPr>
                <w:p w14:paraId="4B0273CF">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70</w:t>
                  </w:r>
                </w:p>
              </w:tc>
              <w:tc>
                <w:tcPr>
                  <w:tcW w:w="778" w:type="pct"/>
                  <w:vAlign w:val="center"/>
                </w:tcPr>
                <w:p w14:paraId="4F4DD7DB">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厂房隔声、基础减振</w:t>
                  </w:r>
                </w:p>
              </w:tc>
              <w:tc>
                <w:tcPr>
                  <w:tcW w:w="329" w:type="pct"/>
                  <w:vAlign w:val="center"/>
                </w:tcPr>
                <w:p w14:paraId="2953E263">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84.97</w:t>
                  </w:r>
                </w:p>
              </w:tc>
              <w:tc>
                <w:tcPr>
                  <w:tcW w:w="324" w:type="pct"/>
                  <w:vAlign w:val="center"/>
                </w:tcPr>
                <w:p w14:paraId="1A259B36">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15.8</w:t>
                  </w:r>
                </w:p>
              </w:tc>
              <w:tc>
                <w:tcPr>
                  <w:tcW w:w="244" w:type="pct"/>
                  <w:vAlign w:val="center"/>
                </w:tcPr>
                <w:p w14:paraId="38CF2F93">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c>
                <w:tcPr>
                  <w:tcW w:w="362" w:type="pct"/>
                  <w:vAlign w:val="center"/>
                </w:tcPr>
                <w:p w14:paraId="66CC4E8D">
                  <w:pPr>
                    <w:pStyle w:val="31"/>
                    <w:bidi w:val="0"/>
                    <w:ind w:firstLine="0" w:firstLineChars="0"/>
                    <w:jc w:val="center"/>
                    <w:rPr>
                      <w:rFonts w:hint="default"/>
                      <w:color w:val="auto"/>
                      <w:lang w:val="en-US" w:eastAsia="zh-CN"/>
                    </w:rPr>
                  </w:pPr>
                  <w:r>
                    <w:rPr>
                      <w:rFonts w:hint="eastAsia"/>
                      <w:color w:val="auto"/>
                      <w:lang w:val="en-US" w:eastAsia="zh-CN"/>
                    </w:rPr>
                    <w:t>5</w:t>
                  </w:r>
                </w:p>
              </w:tc>
              <w:tc>
                <w:tcPr>
                  <w:tcW w:w="357" w:type="pct"/>
                  <w:vAlign w:val="center"/>
                </w:tcPr>
                <w:p w14:paraId="1B1D9332">
                  <w:pPr>
                    <w:pStyle w:val="31"/>
                    <w:bidi w:val="0"/>
                    <w:ind w:firstLine="0" w:firstLineChars="0"/>
                    <w:jc w:val="center"/>
                    <w:rPr>
                      <w:rFonts w:hint="default"/>
                      <w:color w:val="auto"/>
                      <w:lang w:val="en-US" w:eastAsia="zh-CN"/>
                    </w:rPr>
                  </w:pPr>
                  <w:r>
                    <w:rPr>
                      <w:rFonts w:hint="eastAsia"/>
                      <w:color w:val="auto"/>
                      <w:lang w:val="en-US" w:eastAsia="zh-CN"/>
                    </w:rPr>
                    <w:t>56.02</w:t>
                  </w:r>
                </w:p>
              </w:tc>
              <w:tc>
                <w:tcPr>
                  <w:tcW w:w="216" w:type="pct"/>
                  <w:vAlign w:val="center"/>
                </w:tcPr>
                <w:p w14:paraId="0E2DDF8D">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昼间</w:t>
                  </w:r>
                </w:p>
              </w:tc>
              <w:tc>
                <w:tcPr>
                  <w:tcW w:w="380" w:type="pct"/>
                  <w:vAlign w:val="center"/>
                </w:tcPr>
                <w:p w14:paraId="3A34BF51">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20</w:t>
                  </w:r>
                </w:p>
              </w:tc>
              <w:tc>
                <w:tcPr>
                  <w:tcW w:w="352" w:type="pct"/>
                  <w:vAlign w:val="center"/>
                </w:tcPr>
                <w:p w14:paraId="341E1281">
                  <w:pPr>
                    <w:pStyle w:val="31"/>
                    <w:bidi w:val="0"/>
                    <w:ind w:firstLine="0" w:firstLineChars="0"/>
                    <w:jc w:val="center"/>
                    <w:rPr>
                      <w:rFonts w:hint="default"/>
                      <w:color w:val="auto"/>
                      <w:lang w:val="en-US" w:eastAsia="zh-CN"/>
                    </w:rPr>
                  </w:pPr>
                  <w:r>
                    <w:rPr>
                      <w:rFonts w:hint="eastAsia"/>
                      <w:color w:val="auto"/>
                      <w:lang w:val="en-US" w:eastAsia="zh-CN"/>
                    </w:rPr>
                    <w:t>30.02</w:t>
                  </w:r>
                </w:p>
              </w:tc>
              <w:tc>
                <w:tcPr>
                  <w:tcW w:w="433" w:type="pct"/>
                  <w:vAlign w:val="center"/>
                </w:tcPr>
                <w:p w14:paraId="405FCE0C">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r>
            <w:tr w14:paraId="0A23F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370B33C7">
                  <w:pPr>
                    <w:pStyle w:val="31"/>
                    <w:bidi w:val="0"/>
                    <w:jc w:val="center"/>
                    <w:rPr>
                      <w:rFonts w:hint="default"/>
                      <w:color w:val="auto"/>
                      <w:lang w:val="en-US" w:eastAsia="zh-CN"/>
                    </w:rPr>
                  </w:pPr>
                </w:p>
              </w:tc>
              <w:tc>
                <w:tcPr>
                  <w:tcW w:w="430" w:type="pct"/>
                  <w:vAlign w:val="center"/>
                </w:tcPr>
                <w:p w14:paraId="59DA6636">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矫直机4#</w:t>
                  </w:r>
                </w:p>
              </w:tc>
              <w:tc>
                <w:tcPr>
                  <w:tcW w:w="223" w:type="pct"/>
                  <w:vAlign w:val="center"/>
                </w:tcPr>
                <w:p w14:paraId="0D09E3E3">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1台</w:t>
                  </w:r>
                </w:p>
              </w:tc>
              <w:tc>
                <w:tcPr>
                  <w:tcW w:w="322" w:type="pct"/>
                  <w:vAlign w:val="center"/>
                </w:tcPr>
                <w:p w14:paraId="234EB3C9">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85</w:t>
                  </w:r>
                </w:p>
              </w:tc>
              <w:tc>
                <w:tcPr>
                  <w:tcW w:w="778" w:type="pct"/>
                  <w:vAlign w:val="center"/>
                </w:tcPr>
                <w:p w14:paraId="1F2F6B96">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厂房隔声、基础减振</w:t>
                  </w:r>
                </w:p>
              </w:tc>
              <w:tc>
                <w:tcPr>
                  <w:tcW w:w="329" w:type="pct"/>
                  <w:vAlign w:val="center"/>
                </w:tcPr>
                <w:p w14:paraId="393B3115">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85.49</w:t>
                  </w:r>
                </w:p>
              </w:tc>
              <w:tc>
                <w:tcPr>
                  <w:tcW w:w="324" w:type="pct"/>
                  <w:vAlign w:val="center"/>
                </w:tcPr>
                <w:p w14:paraId="0FFBA075">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8.38</w:t>
                  </w:r>
                </w:p>
              </w:tc>
              <w:tc>
                <w:tcPr>
                  <w:tcW w:w="244" w:type="pct"/>
                  <w:vAlign w:val="center"/>
                </w:tcPr>
                <w:p w14:paraId="5E74E998">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c>
                <w:tcPr>
                  <w:tcW w:w="362" w:type="pct"/>
                  <w:vAlign w:val="center"/>
                </w:tcPr>
                <w:p w14:paraId="4B08D9FE">
                  <w:pPr>
                    <w:pStyle w:val="31"/>
                    <w:bidi w:val="0"/>
                    <w:ind w:firstLine="0" w:firstLineChars="0"/>
                    <w:jc w:val="center"/>
                    <w:rPr>
                      <w:rFonts w:hint="default"/>
                      <w:color w:val="auto"/>
                      <w:lang w:val="en-US" w:eastAsia="zh-CN"/>
                    </w:rPr>
                  </w:pPr>
                  <w:r>
                    <w:rPr>
                      <w:rFonts w:hint="eastAsia"/>
                      <w:color w:val="auto"/>
                      <w:lang w:val="en-US" w:eastAsia="zh-CN"/>
                    </w:rPr>
                    <w:t>4</w:t>
                  </w:r>
                </w:p>
              </w:tc>
              <w:tc>
                <w:tcPr>
                  <w:tcW w:w="357" w:type="pct"/>
                  <w:vAlign w:val="center"/>
                </w:tcPr>
                <w:p w14:paraId="0F81A3F3">
                  <w:pPr>
                    <w:pStyle w:val="31"/>
                    <w:bidi w:val="0"/>
                    <w:ind w:firstLine="0" w:firstLineChars="0"/>
                    <w:jc w:val="center"/>
                    <w:rPr>
                      <w:rFonts w:hint="default"/>
                      <w:color w:val="auto"/>
                      <w:lang w:val="en-US" w:eastAsia="zh-CN"/>
                    </w:rPr>
                  </w:pPr>
                  <w:r>
                    <w:rPr>
                      <w:rFonts w:hint="eastAsia"/>
                      <w:color w:val="auto"/>
                      <w:lang w:val="en-US" w:eastAsia="zh-CN"/>
                    </w:rPr>
                    <w:t>72.96</w:t>
                  </w:r>
                </w:p>
              </w:tc>
              <w:tc>
                <w:tcPr>
                  <w:tcW w:w="216" w:type="pct"/>
                  <w:vAlign w:val="center"/>
                </w:tcPr>
                <w:p w14:paraId="15F8AD08">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昼间</w:t>
                  </w:r>
                </w:p>
              </w:tc>
              <w:tc>
                <w:tcPr>
                  <w:tcW w:w="380" w:type="pct"/>
                  <w:vAlign w:val="center"/>
                </w:tcPr>
                <w:p w14:paraId="523C42C1">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20</w:t>
                  </w:r>
                </w:p>
              </w:tc>
              <w:tc>
                <w:tcPr>
                  <w:tcW w:w="352" w:type="pct"/>
                  <w:vAlign w:val="center"/>
                </w:tcPr>
                <w:p w14:paraId="4DB028C5">
                  <w:pPr>
                    <w:pStyle w:val="31"/>
                    <w:bidi w:val="0"/>
                    <w:ind w:firstLine="0" w:firstLineChars="0"/>
                    <w:jc w:val="center"/>
                    <w:rPr>
                      <w:rFonts w:hint="default"/>
                      <w:color w:val="auto"/>
                      <w:lang w:val="en-US" w:eastAsia="zh-CN"/>
                    </w:rPr>
                  </w:pPr>
                  <w:r>
                    <w:rPr>
                      <w:rFonts w:hint="eastAsia"/>
                      <w:color w:val="auto"/>
                      <w:lang w:val="en-US" w:eastAsia="zh-CN"/>
                    </w:rPr>
                    <w:t>46.96</w:t>
                  </w:r>
                </w:p>
              </w:tc>
              <w:tc>
                <w:tcPr>
                  <w:tcW w:w="433" w:type="pct"/>
                  <w:vAlign w:val="center"/>
                </w:tcPr>
                <w:p w14:paraId="76CE186A">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r>
            <w:tr w14:paraId="162D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5BA6CE02">
                  <w:pPr>
                    <w:pStyle w:val="31"/>
                    <w:bidi w:val="0"/>
                    <w:jc w:val="center"/>
                    <w:rPr>
                      <w:rFonts w:hint="default"/>
                      <w:color w:val="auto"/>
                      <w:lang w:val="en-US" w:eastAsia="zh-CN"/>
                    </w:rPr>
                  </w:pPr>
                </w:p>
              </w:tc>
              <w:tc>
                <w:tcPr>
                  <w:tcW w:w="430" w:type="pct"/>
                  <w:vAlign w:val="center"/>
                </w:tcPr>
                <w:p w14:paraId="6A10FACD">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焊机5#</w:t>
                  </w:r>
                </w:p>
              </w:tc>
              <w:tc>
                <w:tcPr>
                  <w:tcW w:w="223" w:type="pct"/>
                  <w:vAlign w:val="center"/>
                </w:tcPr>
                <w:p w14:paraId="07360D55">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1台</w:t>
                  </w:r>
                </w:p>
              </w:tc>
              <w:tc>
                <w:tcPr>
                  <w:tcW w:w="322" w:type="pct"/>
                  <w:vAlign w:val="center"/>
                </w:tcPr>
                <w:p w14:paraId="653C20B9">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70</w:t>
                  </w:r>
                </w:p>
              </w:tc>
              <w:tc>
                <w:tcPr>
                  <w:tcW w:w="778" w:type="pct"/>
                  <w:vAlign w:val="center"/>
                </w:tcPr>
                <w:p w14:paraId="6D3565D7">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厂房隔声、基础减振</w:t>
                  </w:r>
                </w:p>
              </w:tc>
              <w:tc>
                <w:tcPr>
                  <w:tcW w:w="329" w:type="pct"/>
                  <w:vAlign w:val="center"/>
                </w:tcPr>
                <w:p w14:paraId="037D569B">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98.35</w:t>
                  </w:r>
                </w:p>
              </w:tc>
              <w:tc>
                <w:tcPr>
                  <w:tcW w:w="324" w:type="pct"/>
                  <w:vAlign w:val="center"/>
                </w:tcPr>
                <w:p w14:paraId="46142738">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2.13</w:t>
                  </w:r>
                </w:p>
              </w:tc>
              <w:tc>
                <w:tcPr>
                  <w:tcW w:w="244" w:type="pct"/>
                  <w:vAlign w:val="center"/>
                </w:tcPr>
                <w:p w14:paraId="6801C45C">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c>
                <w:tcPr>
                  <w:tcW w:w="362" w:type="pct"/>
                  <w:vAlign w:val="center"/>
                </w:tcPr>
                <w:p w14:paraId="210239F7">
                  <w:pPr>
                    <w:pStyle w:val="31"/>
                    <w:bidi w:val="0"/>
                    <w:ind w:firstLine="0" w:firstLineChars="0"/>
                    <w:jc w:val="center"/>
                    <w:rPr>
                      <w:rFonts w:hint="default"/>
                      <w:color w:val="auto"/>
                      <w:lang w:val="en-US" w:eastAsia="zh-CN"/>
                    </w:rPr>
                  </w:pPr>
                  <w:r>
                    <w:rPr>
                      <w:rFonts w:hint="eastAsia"/>
                      <w:color w:val="auto"/>
                      <w:lang w:val="en-US" w:eastAsia="zh-CN"/>
                    </w:rPr>
                    <w:t>4</w:t>
                  </w:r>
                </w:p>
              </w:tc>
              <w:tc>
                <w:tcPr>
                  <w:tcW w:w="357" w:type="pct"/>
                  <w:vAlign w:val="center"/>
                </w:tcPr>
                <w:p w14:paraId="11ACBC64">
                  <w:pPr>
                    <w:pStyle w:val="31"/>
                    <w:bidi w:val="0"/>
                    <w:ind w:firstLine="0" w:firstLineChars="0"/>
                    <w:jc w:val="center"/>
                    <w:rPr>
                      <w:rFonts w:hint="default"/>
                      <w:color w:val="auto"/>
                      <w:lang w:val="en-US" w:eastAsia="zh-CN"/>
                    </w:rPr>
                  </w:pPr>
                  <w:r>
                    <w:rPr>
                      <w:rFonts w:hint="eastAsia"/>
                      <w:color w:val="auto"/>
                      <w:lang w:val="en-US" w:eastAsia="zh-CN"/>
                    </w:rPr>
                    <w:t>57.96</w:t>
                  </w:r>
                </w:p>
              </w:tc>
              <w:tc>
                <w:tcPr>
                  <w:tcW w:w="216" w:type="pct"/>
                  <w:vAlign w:val="center"/>
                </w:tcPr>
                <w:p w14:paraId="3977A5AB">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昼间</w:t>
                  </w:r>
                </w:p>
              </w:tc>
              <w:tc>
                <w:tcPr>
                  <w:tcW w:w="380" w:type="pct"/>
                  <w:vAlign w:val="center"/>
                </w:tcPr>
                <w:p w14:paraId="213BDE4D">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20</w:t>
                  </w:r>
                </w:p>
              </w:tc>
              <w:tc>
                <w:tcPr>
                  <w:tcW w:w="352" w:type="pct"/>
                  <w:vAlign w:val="center"/>
                </w:tcPr>
                <w:p w14:paraId="0C13F947">
                  <w:pPr>
                    <w:pStyle w:val="31"/>
                    <w:bidi w:val="0"/>
                    <w:ind w:firstLine="0" w:firstLineChars="0"/>
                    <w:jc w:val="center"/>
                    <w:rPr>
                      <w:rFonts w:hint="default"/>
                      <w:color w:val="auto"/>
                      <w:lang w:val="en-US" w:eastAsia="zh-CN"/>
                    </w:rPr>
                  </w:pPr>
                  <w:r>
                    <w:rPr>
                      <w:rFonts w:hint="eastAsia"/>
                      <w:color w:val="auto"/>
                      <w:lang w:val="en-US" w:eastAsia="zh-CN"/>
                    </w:rPr>
                    <w:t>31.96</w:t>
                  </w:r>
                </w:p>
              </w:tc>
              <w:tc>
                <w:tcPr>
                  <w:tcW w:w="433" w:type="pct"/>
                  <w:vAlign w:val="center"/>
                </w:tcPr>
                <w:p w14:paraId="1B561F37">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r>
            <w:tr w14:paraId="7E4A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5ED6DD6D">
                  <w:pPr>
                    <w:pStyle w:val="31"/>
                    <w:bidi w:val="0"/>
                    <w:jc w:val="center"/>
                    <w:rPr>
                      <w:rFonts w:hint="default"/>
                      <w:color w:val="auto"/>
                      <w:lang w:val="en-US" w:eastAsia="zh-CN"/>
                    </w:rPr>
                  </w:pPr>
                </w:p>
              </w:tc>
              <w:tc>
                <w:tcPr>
                  <w:tcW w:w="430" w:type="pct"/>
                  <w:vAlign w:val="center"/>
                </w:tcPr>
                <w:p w14:paraId="3E782516">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开卷机5#</w:t>
                  </w:r>
                </w:p>
              </w:tc>
              <w:tc>
                <w:tcPr>
                  <w:tcW w:w="223" w:type="pct"/>
                  <w:vAlign w:val="center"/>
                </w:tcPr>
                <w:p w14:paraId="78B88716">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1台</w:t>
                  </w:r>
                </w:p>
              </w:tc>
              <w:tc>
                <w:tcPr>
                  <w:tcW w:w="322" w:type="pct"/>
                  <w:vAlign w:val="center"/>
                </w:tcPr>
                <w:p w14:paraId="2CD04D61">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70</w:t>
                  </w:r>
                </w:p>
              </w:tc>
              <w:tc>
                <w:tcPr>
                  <w:tcW w:w="778" w:type="pct"/>
                  <w:vAlign w:val="center"/>
                </w:tcPr>
                <w:p w14:paraId="062AF8F2">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厂房隔声、基础减振</w:t>
                  </w:r>
                </w:p>
              </w:tc>
              <w:tc>
                <w:tcPr>
                  <w:tcW w:w="329" w:type="pct"/>
                  <w:vAlign w:val="center"/>
                </w:tcPr>
                <w:p w14:paraId="115FA310">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97.81</w:t>
                  </w:r>
                </w:p>
              </w:tc>
              <w:tc>
                <w:tcPr>
                  <w:tcW w:w="324" w:type="pct"/>
                  <w:vAlign w:val="center"/>
                </w:tcPr>
                <w:p w14:paraId="16EA1C16">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8.28</w:t>
                  </w:r>
                </w:p>
              </w:tc>
              <w:tc>
                <w:tcPr>
                  <w:tcW w:w="244" w:type="pct"/>
                  <w:vAlign w:val="center"/>
                </w:tcPr>
                <w:p w14:paraId="2575E31B">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c>
                <w:tcPr>
                  <w:tcW w:w="362" w:type="pct"/>
                  <w:vAlign w:val="center"/>
                </w:tcPr>
                <w:p w14:paraId="0550CA5D">
                  <w:pPr>
                    <w:pStyle w:val="31"/>
                    <w:bidi w:val="0"/>
                    <w:ind w:firstLine="0" w:firstLineChars="0"/>
                    <w:jc w:val="center"/>
                    <w:rPr>
                      <w:rFonts w:hint="default"/>
                      <w:color w:val="auto"/>
                      <w:lang w:val="en-US" w:eastAsia="zh-CN"/>
                    </w:rPr>
                  </w:pPr>
                  <w:r>
                    <w:rPr>
                      <w:rFonts w:hint="eastAsia"/>
                      <w:color w:val="auto"/>
                      <w:lang w:val="en-US" w:eastAsia="zh-CN"/>
                    </w:rPr>
                    <w:t>5</w:t>
                  </w:r>
                </w:p>
              </w:tc>
              <w:tc>
                <w:tcPr>
                  <w:tcW w:w="357" w:type="pct"/>
                  <w:vAlign w:val="center"/>
                </w:tcPr>
                <w:p w14:paraId="7C463F65">
                  <w:pPr>
                    <w:pStyle w:val="31"/>
                    <w:bidi w:val="0"/>
                    <w:ind w:firstLine="0" w:firstLineChars="0"/>
                    <w:jc w:val="center"/>
                    <w:rPr>
                      <w:rFonts w:hint="eastAsia"/>
                      <w:color w:val="auto"/>
                      <w:lang w:val="en-US" w:eastAsia="zh-CN"/>
                    </w:rPr>
                  </w:pPr>
                  <w:r>
                    <w:rPr>
                      <w:rFonts w:hint="eastAsia"/>
                      <w:color w:val="auto"/>
                      <w:lang w:val="en-US" w:eastAsia="zh-CN"/>
                    </w:rPr>
                    <w:t>56.02</w:t>
                  </w:r>
                </w:p>
              </w:tc>
              <w:tc>
                <w:tcPr>
                  <w:tcW w:w="216" w:type="pct"/>
                  <w:vAlign w:val="center"/>
                </w:tcPr>
                <w:p w14:paraId="61A59E3A">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昼间</w:t>
                  </w:r>
                </w:p>
              </w:tc>
              <w:tc>
                <w:tcPr>
                  <w:tcW w:w="380" w:type="pct"/>
                  <w:vAlign w:val="center"/>
                </w:tcPr>
                <w:p w14:paraId="361E8518">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20</w:t>
                  </w:r>
                </w:p>
              </w:tc>
              <w:tc>
                <w:tcPr>
                  <w:tcW w:w="352" w:type="pct"/>
                  <w:vAlign w:val="center"/>
                </w:tcPr>
                <w:p w14:paraId="58446D57">
                  <w:pPr>
                    <w:pStyle w:val="31"/>
                    <w:bidi w:val="0"/>
                    <w:ind w:firstLine="0" w:firstLineChars="0"/>
                    <w:jc w:val="center"/>
                    <w:rPr>
                      <w:rFonts w:hint="default"/>
                      <w:color w:val="auto"/>
                      <w:lang w:val="en-US" w:eastAsia="zh-CN"/>
                    </w:rPr>
                  </w:pPr>
                  <w:r>
                    <w:rPr>
                      <w:rFonts w:hint="eastAsia"/>
                      <w:color w:val="auto"/>
                      <w:lang w:val="en-US" w:eastAsia="zh-CN"/>
                    </w:rPr>
                    <w:t>30.02</w:t>
                  </w:r>
                </w:p>
              </w:tc>
              <w:tc>
                <w:tcPr>
                  <w:tcW w:w="433" w:type="pct"/>
                  <w:vAlign w:val="center"/>
                </w:tcPr>
                <w:p w14:paraId="63016A55">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r>
            <w:tr w14:paraId="42DD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4438D979">
                  <w:pPr>
                    <w:pStyle w:val="31"/>
                    <w:bidi w:val="0"/>
                    <w:jc w:val="center"/>
                    <w:rPr>
                      <w:rFonts w:hint="default"/>
                      <w:color w:val="auto"/>
                      <w:lang w:val="en-US" w:eastAsia="zh-CN"/>
                    </w:rPr>
                  </w:pPr>
                </w:p>
              </w:tc>
              <w:tc>
                <w:tcPr>
                  <w:tcW w:w="430" w:type="pct"/>
                  <w:vAlign w:val="center"/>
                </w:tcPr>
                <w:p w14:paraId="6F54DA2D">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矫直机5#</w:t>
                  </w:r>
                </w:p>
              </w:tc>
              <w:tc>
                <w:tcPr>
                  <w:tcW w:w="223" w:type="pct"/>
                  <w:vAlign w:val="center"/>
                </w:tcPr>
                <w:p w14:paraId="12DF9D0D">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1台</w:t>
                  </w:r>
                </w:p>
              </w:tc>
              <w:tc>
                <w:tcPr>
                  <w:tcW w:w="322" w:type="pct"/>
                  <w:vAlign w:val="center"/>
                </w:tcPr>
                <w:p w14:paraId="138B92D0">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85</w:t>
                  </w:r>
                </w:p>
              </w:tc>
              <w:tc>
                <w:tcPr>
                  <w:tcW w:w="778" w:type="pct"/>
                  <w:vAlign w:val="center"/>
                </w:tcPr>
                <w:p w14:paraId="32D000DB">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厂房隔声、基础减振</w:t>
                  </w:r>
                </w:p>
              </w:tc>
              <w:tc>
                <w:tcPr>
                  <w:tcW w:w="329" w:type="pct"/>
                  <w:vAlign w:val="center"/>
                </w:tcPr>
                <w:p w14:paraId="608FF72B">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96.95</w:t>
                  </w:r>
                </w:p>
              </w:tc>
              <w:tc>
                <w:tcPr>
                  <w:tcW w:w="324" w:type="pct"/>
                  <w:vAlign w:val="center"/>
                </w:tcPr>
                <w:p w14:paraId="0E4A8A63">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14.64</w:t>
                  </w:r>
                </w:p>
              </w:tc>
              <w:tc>
                <w:tcPr>
                  <w:tcW w:w="244" w:type="pct"/>
                  <w:vAlign w:val="center"/>
                </w:tcPr>
                <w:p w14:paraId="52C99FFA">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c>
                <w:tcPr>
                  <w:tcW w:w="362" w:type="pct"/>
                  <w:vAlign w:val="center"/>
                </w:tcPr>
                <w:p w14:paraId="43E7434F">
                  <w:pPr>
                    <w:pStyle w:val="31"/>
                    <w:bidi w:val="0"/>
                    <w:ind w:firstLine="0" w:firstLineChars="0"/>
                    <w:jc w:val="center"/>
                    <w:rPr>
                      <w:rFonts w:hint="default"/>
                      <w:color w:val="auto"/>
                      <w:lang w:val="en-US" w:eastAsia="zh-CN"/>
                    </w:rPr>
                  </w:pPr>
                  <w:r>
                    <w:rPr>
                      <w:rFonts w:hint="eastAsia"/>
                      <w:color w:val="auto"/>
                      <w:lang w:val="en-US" w:eastAsia="zh-CN"/>
                    </w:rPr>
                    <w:t>2</w:t>
                  </w:r>
                </w:p>
              </w:tc>
              <w:tc>
                <w:tcPr>
                  <w:tcW w:w="357" w:type="pct"/>
                  <w:vAlign w:val="center"/>
                </w:tcPr>
                <w:p w14:paraId="3D727F55">
                  <w:pPr>
                    <w:pStyle w:val="31"/>
                    <w:bidi w:val="0"/>
                    <w:ind w:firstLine="0" w:firstLineChars="0"/>
                    <w:jc w:val="center"/>
                    <w:rPr>
                      <w:rFonts w:hint="default"/>
                      <w:color w:val="auto"/>
                      <w:lang w:val="en-US" w:eastAsia="zh-CN"/>
                    </w:rPr>
                  </w:pPr>
                  <w:r>
                    <w:rPr>
                      <w:rFonts w:hint="eastAsia"/>
                      <w:color w:val="auto"/>
                      <w:lang w:val="en-US" w:eastAsia="zh-CN"/>
                    </w:rPr>
                    <w:t>78.98</w:t>
                  </w:r>
                </w:p>
              </w:tc>
              <w:tc>
                <w:tcPr>
                  <w:tcW w:w="216" w:type="pct"/>
                  <w:vAlign w:val="center"/>
                </w:tcPr>
                <w:p w14:paraId="6151C4C3">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昼间</w:t>
                  </w:r>
                </w:p>
              </w:tc>
              <w:tc>
                <w:tcPr>
                  <w:tcW w:w="380" w:type="pct"/>
                  <w:vAlign w:val="center"/>
                </w:tcPr>
                <w:p w14:paraId="53EBEC30">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20</w:t>
                  </w:r>
                </w:p>
              </w:tc>
              <w:tc>
                <w:tcPr>
                  <w:tcW w:w="352" w:type="pct"/>
                  <w:vAlign w:val="center"/>
                </w:tcPr>
                <w:p w14:paraId="032120A3">
                  <w:pPr>
                    <w:pStyle w:val="31"/>
                    <w:bidi w:val="0"/>
                    <w:ind w:firstLine="0" w:firstLineChars="0"/>
                    <w:jc w:val="center"/>
                    <w:rPr>
                      <w:rFonts w:hint="default"/>
                      <w:color w:val="auto"/>
                      <w:lang w:val="en-US" w:eastAsia="zh-CN"/>
                    </w:rPr>
                  </w:pPr>
                  <w:r>
                    <w:rPr>
                      <w:rFonts w:hint="eastAsia"/>
                      <w:color w:val="auto"/>
                      <w:lang w:val="en-US" w:eastAsia="zh-CN"/>
                    </w:rPr>
                    <w:t>52.98</w:t>
                  </w:r>
                </w:p>
              </w:tc>
              <w:tc>
                <w:tcPr>
                  <w:tcW w:w="433" w:type="pct"/>
                  <w:vAlign w:val="center"/>
                </w:tcPr>
                <w:p w14:paraId="3D8A7C70">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r>
            <w:tr w14:paraId="64B1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70810A49">
                  <w:pPr>
                    <w:pStyle w:val="31"/>
                    <w:bidi w:val="0"/>
                    <w:jc w:val="center"/>
                    <w:rPr>
                      <w:rFonts w:hint="default"/>
                      <w:color w:val="auto"/>
                      <w:lang w:val="en-US" w:eastAsia="zh-CN"/>
                    </w:rPr>
                  </w:pPr>
                </w:p>
              </w:tc>
              <w:tc>
                <w:tcPr>
                  <w:tcW w:w="430" w:type="pct"/>
                  <w:vAlign w:val="center"/>
                </w:tcPr>
                <w:p w14:paraId="0D90128A">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焊机6#</w:t>
                  </w:r>
                </w:p>
              </w:tc>
              <w:tc>
                <w:tcPr>
                  <w:tcW w:w="223" w:type="pct"/>
                  <w:vAlign w:val="center"/>
                </w:tcPr>
                <w:p w14:paraId="42D5CB99">
                  <w:pPr>
                    <w:pStyle w:val="31"/>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1台</w:t>
                  </w:r>
                </w:p>
              </w:tc>
              <w:tc>
                <w:tcPr>
                  <w:tcW w:w="322" w:type="pct"/>
                  <w:vAlign w:val="center"/>
                </w:tcPr>
                <w:p w14:paraId="6FE259C5">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70</w:t>
                  </w:r>
                </w:p>
              </w:tc>
              <w:tc>
                <w:tcPr>
                  <w:tcW w:w="778" w:type="pct"/>
                  <w:vAlign w:val="center"/>
                </w:tcPr>
                <w:p w14:paraId="7413A395">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厂房隔声、基础减振</w:t>
                  </w:r>
                </w:p>
              </w:tc>
              <w:tc>
                <w:tcPr>
                  <w:tcW w:w="329" w:type="pct"/>
                  <w:vAlign w:val="center"/>
                </w:tcPr>
                <w:p w14:paraId="6AA6C6E1">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76.74</w:t>
                  </w:r>
                </w:p>
              </w:tc>
              <w:tc>
                <w:tcPr>
                  <w:tcW w:w="324" w:type="pct"/>
                  <w:vAlign w:val="center"/>
                </w:tcPr>
                <w:p w14:paraId="63620283">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48.14</w:t>
                  </w:r>
                </w:p>
              </w:tc>
              <w:tc>
                <w:tcPr>
                  <w:tcW w:w="244" w:type="pct"/>
                  <w:vAlign w:val="center"/>
                </w:tcPr>
                <w:p w14:paraId="183C0CF4">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c>
                <w:tcPr>
                  <w:tcW w:w="362" w:type="pct"/>
                  <w:vAlign w:val="center"/>
                </w:tcPr>
                <w:p w14:paraId="63EC50D6">
                  <w:pPr>
                    <w:pStyle w:val="31"/>
                    <w:bidi w:val="0"/>
                    <w:ind w:firstLine="0" w:firstLineChars="0"/>
                    <w:jc w:val="center"/>
                    <w:rPr>
                      <w:rFonts w:hint="default"/>
                      <w:color w:val="auto"/>
                      <w:lang w:val="en-US" w:eastAsia="zh-CN"/>
                    </w:rPr>
                  </w:pPr>
                  <w:r>
                    <w:rPr>
                      <w:rFonts w:hint="eastAsia"/>
                      <w:color w:val="auto"/>
                      <w:lang w:val="en-US" w:eastAsia="zh-CN"/>
                    </w:rPr>
                    <w:t>3</w:t>
                  </w:r>
                </w:p>
              </w:tc>
              <w:tc>
                <w:tcPr>
                  <w:tcW w:w="357" w:type="pct"/>
                  <w:vAlign w:val="center"/>
                </w:tcPr>
                <w:p w14:paraId="546AD5B3">
                  <w:pPr>
                    <w:pStyle w:val="31"/>
                    <w:bidi w:val="0"/>
                    <w:ind w:firstLine="0" w:firstLineChars="0"/>
                    <w:jc w:val="center"/>
                    <w:rPr>
                      <w:rFonts w:hint="default"/>
                      <w:color w:val="auto"/>
                      <w:lang w:val="en-US" w:eastAsia="zh-CN"/>
                    </w:rPr>
                  </w:pPr>
                  <w:r>
                    <w:rPr>
                      <w:rFonts w:hint="eastAsia"/>
                      <w:color w:val="auto"/>
                      <w:lang w:val="en-US" w:eastAsia="zh-CN"/>
                    </w:rPr>
                    <w:t>60.46</w:t>
                  </w:r>
                </w:p>
              </w:tc>
              <w:tc>
                <w:tcPr>
                  <w:tcW w:w="216" w:type="pct"/>
                  <w:vAlign w:val="center"/>
                </w:tcPr>
                <w:p w14:paraId="60381BA2">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昼间</w:t>
                  </w:r>
                </w:p>
              </w:tc>
              <w:tc>
                <w:tcPr>
                  <w:tcW w:w="380" w:type="pct"/>
                  <w:vAlign w:val="center"/>
                </w:tcPr>
                <w:p w14:paraId="68954B71">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20</w:t>
                  </w:r>
                </w:p>
              </w:tc>
              <w:tc>
                <w:tcPr>
                  <w:tcW w:w="352" w:type="pct"/>
                  <w:vAlign w:val="center"/>
                </w:tcPr>
                <w:p w14:paraId="4B3D3512">
                  <w:pPr>
                    <w:pStyle w:val="31"/>
                    <w:bidi w:val="0"/>
                    <w:ind w:firstLine="0" w:firstLineChars="0"/>
                    <w:jc w:val="center"/>
                    <w:rPr>
                      <w:rFonts w:hint="default"/>
                      <w:color w:val="auto"/>
                      <w:lang w:val="en-US" w:eastAsia="zh-CN"/>
                    </w:rPr>
                  </w:pPr>
                  <w:r>
                    <w:rPr>
                      <w:rFonts w:hint="eastAsia"/>
                      <w:color w:val="auto"/>
                      <w:lang w:val="en-US" w:eastAsia="zh-CN"/>
                    </w:rPr>
                    <w:t>34.46</w:t>
                  </w:r>
                </w:p>
              </w:tc>
              <w:tc>
                <w:tcPr>
                  <w:tcW w:w="433" w:type="pct"/>
                  <w:vAlign w:val="center"/>
                </w:tcPr>
                <w:p w14:paraId="58D2A406">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r>
            <w:tr w14:paraId="2EA94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42B531A2">
                  <w:pPr>
                    <w:pStyle w:val="31"/>
                    <w:bidi w:val="0"/>
                    <w:jc w:val="center"/>
                    <w:rPr>
                      <w:rFonts w:hint="default"/>
                      <w:color w:val="auto"/>
                      <w:lang w:val="en-US" w:eastAsia="zh-CN"/>
                    </w:rPr>
                  </w:pPr>
                </w:p>
              </w:tc>
              <w:tc>
                <w:tcPr>
                  <w:tcW w:w="430" w:type="pct"/>
                  <w:vAlign w:val="center"/>
                </w:tcPr>
                <w:p w14:paraId="751AF457">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开卷机6#</w:t>
                  </w:r>
                </w:p>
              </w:tc>
              <w:tc>
                <w:tcPr>
                  <w:tcW w:w="223" w:type="pct"/>
                  <w:vAlign w:val="center"/>
                </w:tcPr>
                <w:p w14:paraId="565728CA">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1台</w:t>
                  </w:r>
                </w:p>
              </w:tc>
              <w:tc>
                <w:tcPr>
                  <w:tcW w:w="322" w:type="pct"/>
                  <w:vAlign w:val="center"/>
                </w:tcPr>
                <w:p w14:paraId="435BE67C">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70</w:t>
                  </w:r>
                </w:p>
              </w:tc>
              <w:tc>
                <w:tcPr>
                  <w:tcW w:w="778" w:type="pct"/>
                  <w:vAlign w:val="center"/>
                </w:tcPr>
                <w:p w14:paraId="4719A07C">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厂房隔声、基础减振</w:t>
                  </w:r>
                </w:p>
              </w:tc>
              <w:tc>
                <w:tcPr>
                  <w:tcW w:w="329" w:type="pct"/>
                  <w:vAlign w:val="center"/>
                </w:tcPr>
                <w:p w14:paraId="4E949337">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85.08</w:t>
                  </w:r>
                </w:p>
              </w:tc>
              <w:tc>
                <w:tcPr>
                  <w:tcW w:w="324" w:type="pct"/>
                  <w:vAlign w:val="center"/>
                </w:tcPr>
                <w:p w14:paraId="2F6E6348">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48.4</w:t>
                  </w:r>
                </w:p>
              </w:tc>
              <w:tc>
                <w:tcPr>
                  <w:tcW w:w="244" w:type="pct"/>
                  <w:vAlign w:val="center"/>
                </w:tcPr>
                <w:p w14:paraId="46E82443">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c>
                <w:tcPr>
                  <w:tcW w:w="362" w:type="pct"/>
                  <w:vAlign w:val="center"/>
                </w:tcPr>
                <w:p w14:paraId="51943728">
                  <w:pPr>
                    <w:pStyle w:val="31"/>
                    <w:bidi w:val="0"/>
                    <w:ind w:firstLine="0" w:firstLineChars="0"/>
                    <w:jc w:val="center"/>
                    <w:rPr>
                      <w:rFonts w:hint="default"/>
                      <w:color w:val="auto"/>
                      <w:lang w:val="en-US" w:eastAsia="zh-CN"/>
                    </w:rPr>
                  </w:pPr>
                  <w:r>
                    <w:rPr>
                      <w:rFonts w:hint="eastAsia"/>
                      <w:color w:val="auto"/>
                      <w:lang w:val="en-US" w:eastAsia="zh-CN"/>
                    </w:rPr>
                    <w:t>3</w:t>
                  </w:r>
                </w:p>
              </w:tc>
              <w:tc>
                <w:tcPr>
                  <w:tcW w:w="357" w:type="pct"/>
                  <w:vAlign w:val="center"/>
                </w:tcPr>
                <w:p w14:paraId="7446578C">
                  <w:pPr>
                    <w:pStyle w:val="31"/>
                    <w:bidi w:val="0"/>
                    <w:ind w:firstLine="0" w:firstLineChars="0"/>
                    <w:jc w:val="center"/>
                    <w:rPr>
                      <w:rFonts w:hint="eastAsia"/>
                      <w:color w:val="auto"/>
                      <w:lang w:val="en-US" w:eastAsia="zh-CN"/>
                    </w:rPr>
                  </w:pPr>
                  <w:r>
                    <w:rPr>
                      <w:rFonts w:hint="eastAsia"/>
                      <w:color w:val="auto"/>
                      <w:lang w:val="en-US" w:eastAsia="zh-CN"/>
                    </w:rPr>
                    <w:t>60.46</w:t>
                  </w:r>
                </w:p>
              </w:tc>
              <w:tc>
                <w:tcPr>
                  <w:tcW w:w="216" w:type="pct"/>
                  <w:vAlign w:val="center"/>
                </w:tcPr>
                <w:p w14:paraId="31297004">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昼间</w:t>
                  </w:r>
                </w:p>
              </w:tc>
              <w:tc>
                <w:tcPr>
                  <w:tcW w:w="380" w:type="pct"/>
                  <w:vAlign w:val="center"/>
                </w:tcPr>
                <w:p w14:paraId="0CCEDD21">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20</w:t>
                  </w:r>
                </w:p>
              </w:tc>
              <w:tc>
                <w:tcPr>
                  <w:tcW w:w="352" w:type="pct"/>
                  <w:vAlign w:val="center"/>
                </w:tcPr>
                <w:p w14:paraId="2AE0EF8F">
                  <w:pPr>
                    <w:pStyle w:val="31"/>
                    <w:bidi w:val="0"/>
                    <w:ind w:firstLine="0" w:firstLineChars="0"/>
                    <w:jc w:val="center"/>
                    <w:rPr>
                      <w:rFonts w:hint="default"/>
                      <w:color w:val="auto"/>
                      <w:lang w:val="en-US" w:eastAsia="zh-CN"/>
                    </w:rPr>
                  </w:pPr>
                  <w:r>
                    <w:rPr>
                      <w:rFonts w:hint="eastAsia"/>
                      <w:color w:val="auto"/>
                      <w:lang w:val="en-US" w:eastAsia="zh-CN"/>
                    </w:rPr>
                    <w:t>34.46</w:t>
                  </w:r>
                </w:p>
              </w:tc>
              <w:tc>
                <w:tcPr>
                  <w:tcW w:w="433" w:type="pct"/>
                  <w:vAlign w:val="center"/>
                </w:tcPr>
                <w:p w14:paraId="0DBC4CAC">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r>
            <w:tr w14:paraId="534B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17590836">
                  <w:pPr>
                    <w:pStyle w:val="31"/>
                    <w:bidi w:val="0"/>
                    <w:jc w:val="center"/>
                    <w:rPr>
                      <w:rFonts w:hint="default"/>
                      <w:color w:val="auto"/>
                      <w:lang w:val="en-US" w:eastAsia="zh-CN"/>
                    </w:rPr>
                  </w:pPr>
                </w:p>
              </w:tc>
              <w:tc>
                <w:tcPr>
                  <w:tcW w:w="430" w:type="pct"/>
                  <w:vAlign w:val="center"/>
                </w:tcPr>
                <w:p w14:paraId="549A21AF">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矫直机6#</w:t>
                  </w:r>
                </w:p>
              </w:tc>
              <w:tc>
                <w:tcPr>
                  <w:tcW w:w="223" w:type="pct"/>
                  <w:vAlign w:val="center"/>
                </w:tcPr>
                <w:p w14:paraId="4A294B1A">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1台</w:t>
                  </w:r>
                </w:p>
              </w:tc>
              <w:tc>
                <w:tcPr>
                  <w:tcW w:w="322" w:type="pct"/>
                  <w:vAlign w:val="center"/>
                </w:tcPr>
                <w:p w14:paraId="7AB68754">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85</w:t>
                  </w:r>
                </w:p>
              </w:tc>
              <w:tc>
                <w:tcPr>
                  <w:tcW w:w="778" w:type="pct"/>
                  <w:vAlign w:val="center"/>
                </w:tcPr>
                <w:p w14:paraId="552D7B22">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厂房隔声、基础减振</w:t>
                  </w:r>
                </w:p>
              </w:tc>
              <w:tc>
                <w:tcPr>
                  <w:tcW w:w="329" w:type="pct"/>
                  <w:vAlign w:val="center"/>
                </w:tcPr>
                <w:p w14:paraId="36EBDDF0">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93.06</w:t>
                  </w:r>
                </w:p>
              </w:tc>
              <w:tc>
                <w:tcPr>
                  <w:tcW w:w="324" w:type="pct"/>
                  <w:vAlign w:val="center"/>
                </w:tcPr>
                <w:p w14:paraId="558B8F6C">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48.61</w:t>
                  </w:r>
                </w:p>
              </w:tc>
              <w:tc>
                <w:tcPr>
                  <w:tcW w:w="244" w:type="pct"/>
                  <w:vAlign w:val="center"/>
                </w:tcPr>
                <w:p w14:paraId="74C7C1D6">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c>
                <w:tcPr>
                  <w:tcW w:w="362" w:type="pct"/>
                  <w:vAlign w:val="center"/>
                </w:tcPr>
                <w:p w14:paraId="217399CF">
                  <w:pPr>
                    <w:pStyle w:val="31"/>
                    <w:bidi w:val="0"/>
                    <w:ind w:firstLine="0" w:firstLineChars="0"/>
                    <w:jc w:val="center"/>
                    <w:rPr>
                      <w:rFonts w:hint="default"/>
                      <w:color w:val="auto"/>
                      <w:lang w:val="en-US" w:eastAsia="zh-CN"/>
                    </w:rPr>
                  </w:pPr>
                  <w:r>
                    <w:rPr>
                      <w:rFonts w:hint="eastAsia"/>
                      <w:color w:val="auto"/>
                      <w:lang w:val="en-US" w:eastAsia="zh-CN"/>
                    </w:rPr>
                    <w:t>4</w:t>
                  </w:r>
                </w:p>
              </w:tc>
              <w:tc>
                <w:tcPr>
                  <w:tcW w:w="357" w:type="pct"/>
                  <w:vAlign w:val="center"/>
                </w:tcPr>
                <w:p w14:paraId="72772D15">
                  <w:pPr>
                    <w:pStyle w:val="31"/>
                    <w:bidi w:val="0"/>
                    <w:ind w:firstLine="0" w:firstLineChars="0"/>
                    <w:jc w:val="center"/>
                    <w:rPr>
                      <w:rFonts w:hint="default"/>
                      <w:color w:val="auto"/>
                      <w:lang w:val="en-US" w:eastAsia="zh-CN"/>
                    </w:rPr>
                  </w:pPr>
                  <w:r>
                    <w:rPr>
                      <w:rFonts w:hint="eastAsia"/>
                      <w:color w:val="auto"/>
                      <w:lang w:val="en-US" w:eastAsia="zh-CN"/>
                    </w:rPr>
                    <w:t>72.96</w:t>
                  </w:r>
                </w:p>
              </w:tc>
              <w:tc>
                <w:tcPr>
                  <w:tcW w:w="216" w:type="pct"/>
                  <w:vAlign w:val="center"/>
                </w:tcPr>
                <w:p w14:paraId="50F338D6">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昼间</w:t>
                  </w:r>
                </w:p>
              </w:tc>
              <w:tc>
                <w:tcPr>
                  <w:tcW w:w="380" w:type="pct"/>
                  <w:vAlign w:val="center"/>
                </w:tcPr>
                <w:p w14:paraId="05AB3667">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20</w:t>
                  </w:r>
                </w:p>
              </w:tc>
              <w:tc>
                <w:tcPr>
                  <w:tcW w:w="352" w:type="pct"/>
                  <w:vAlign w:val="center"/>
                </w:tcPr>
                <w:p w14:paraId="54C46377">
                  <w:pPr>
                    <w:pStyle w:val="31"/>
                    <w:bidi w:val="0"/>
                    <w:ind w:firstLine="0" w:firstLineChars="0"/>
                    <w:jc w:val="center"/>
                    <w:rPr>
                      <w:rFonts w:hint="default"/>
                      <w:color w:val="auto"/>
                      <w:lang w:val="en-US" w:eastAsia="zh-CN"/>
                    </w:rPr>
                  </w:pPr>
                  <w:r>
                    <w:rPr>
                      <w:rFonts w:hint="eastAsia"/>
                      <w:color w:val="auto"/>
                      <w:lang w:val="en-US" w:eastAsia="zh-CN"/>
                    </w:rPr>
                    <w:t>46.96</w:t>
                  </w:r>
                </w:p>
              </w:tc>
              <w:tc>
                <w:tcPr>
                  <w:tcW w:w="433" w:type="pct"/>
                  <w:vAlign w:val="center"/>
                </w:tcPr>
                <w:p w14:paraId="27C7C730">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w:t>
                  </w:r>
                </w:p>
              </w:tc>
            </w:tr>
            <w:tr w14:paraId="2AD4D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restart"/>
                  <w:vAlign w:val="center"/>
                </w:tcPr>
                <w:p w14:paraId="342C8BE7">
                  <w:pPr>
                    <w:pStyle w:val="31"/>
                    <w:bidi w:val="0"/>
                    <w:jc w:val="center"/>
                    <w:rPr>
                      <w:rFonts w:hint="default"/>
                      <w:color w:val="auto"/>
                      <w:lang w:val="en-US" w:eastAsia="zh-CN"/>
                    </w:rPr>
                  </w:pPr>
                  <w:r>
                    <w:rPr>
                      <w:rFonts w:hint="eastAsia"/>
                      <w:color w:val="auto"/>
                      <w:lang w:val="en-US" w:eastAsia="zh-CN"/>
                    </w:rPr>
                    <w:t>3#焊管车间</w:t>
                  </w:r>
                </w:p>
              </w:tc>
              <w:tc>
                <w:tcPr>
                  <w:tcW w:w="430" w:type="pct"/>
                  <w:vAlign w:val="center"/>
                </w:tcPr>
                <w:p w14:paraId="7686E13F">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焊机7#</w:t>
                  </w:r>
                </w:p>
              </w:tc>
              <w:tc>
                <w:tcPr>
                  <w:tcW w:w="223" w:type="pct"/>
                  <w:vAlign w:val="center"/>
                </w:tcPr>
                <w:p w14:paraId="4F1225F0">
                  <w:pPr>
                    <w:pStyle w:val="31"/>
                    <w:ind w:firstLine="0" w:firstLineChars="0"/>
                    <w:rPr>
                      <w:rFonts w:hint="default" w:ascii="Times New Roman" w:hAnsi="Times New Roman" w:eastAsia="宋体" w:cs="黑体"/>
                      <w:b w:val="0"/>
                      <w:color w:val="auto"/>
                      <w:kern w:val="2"/>
                      <w:sz w:val="21"/>
                      <w:szCs w:val="24"/>
                      <w:lang w:val="en-US" w:eastAsia="zh-CN" w:bidi="ar-SA"/>
                    </w:rPr>
                  </w:pPr>
                  <w:r>
                    <w:rPr>
                      <w:rFonts w:hint="eastAsia" w:eastAsia="宋体" w:cs="黑体"/>
                      <w:b w:val="0"/>
                      <w:color w:val="auto"/>
                      <w:kern w:val="2"/>
                      <w:sz w:val="21"/>
                      <w:szCs w:val="24"/>
                      <w:lang w:val="en-US" w:eastAsia="zh-CN" w:bidi="ar-SA"/>
                    </w:rPr>
                    <w:t>1</w:t>
                  </w:r>
                  <w:r>
                    <w:rPr>
                      <w:rFonts w:hint="eastAsia"/>
                      <w:color w:val="auto"/>
                      <w:lang w:val="en-US" w:eastAsia="zh-CN"/>
                    </w:rPr>
                    <w:t>台</w:t>
                  </w:r>
                </w:p>
              </w:tc>
              <w:tc>
                <w:tcPr>
                  <w:tcW w:w="322" w:type="pct"/>
                  <w:vAlign w:val="center"/>
                </w:tcPr>
                <w:p w14:paraId="59713B52">
                  <w:pPr>
                    <w:pStyle w:val="31"/>
                    <w:bidi w:val="0"/>
                    <w:ind w:firstLine="0" w:firstLineChars="0"/>
                    <w:jc w:val="center"/>
                    <w:rPr>
                      <w:rFonts w:hint="default"/>
                      <w:color w:val="auto"/>
                      <w:lang w:val="en-US" w:eastAsia="zh-CN"/>
                    </w:rPr>
                  </w:pPr>
                  <w:r>
                    <w:rPr>
                      <w:rFonts w:hint="eastAsia"/>
                      <w:color w:val="auto"/>
                      <w:lang w:val="en-US" w:eastAsia="zh-CN"/>
                    </w:rPr>
                    <w:t>70</w:t>
                  </w:r>
                </w:p>
              </w:tc>
              <w:tc>
                <w:tcPr>
                  <w:tcW w:w="778" w:type="pct"/>
                  <w:vAlign w:val="center"/>
                </w:tcPr>
                <w:p w14:paraId="5A41A26B">
                  <w:pPr>
                    <w:pStyle w:val="31"/>
                    <w:bidi w:val="0"/>
                    <w:jc w:val="center"/>
                    <w:rPr>
                      <w:rFonts w:hint="default"/>
                      <w:color w:val="auto"/>
                      <w:lang w:val="en-US" w:eastAsia="zh-CN"/>
                    </w:rPr>
                  </w:pPr>
                  <w:r>
                    <w:rPr>
                      <w:rFonts w:hint="eastAsia"/>
                      <w:color w:val="auto"/>
                      <w:lang w:val="en-US" w:eastAsia="zh-CN"/>
                    </w:rPr>
                    <w:t>厂房隔声、基础减振</w:t>
                  </w:r>
                </w:p>
              </w:tc>
              <w:tc>
                <w:tcPr>
                  <w:tcW w:w="329" w:type="pct"/>
                  <w:vAlign w:val="center"/>
                </w:tcPr>
                <w:p w14:paraId="5D5CD45A">
                  <w:pPr>
                    <w:pStyle w:val="31"/>
                    <w:bidi w:val="0"/>
                    <w:jc w:val="center"/>
                    <w:rPr>
                      <w:rFonts w:hint="default"/>
                      <w:color w:val="auto"/>
                      <w:lang w:val="en-US" w:eastAsia="zh-CN"/>
                    </w:rPr>
                  </w:pPr>
                  <w:r>
                    <w:rPr>
                      <w:rFonts w:hint="eastAsia"/>
                      <w:color w:val="auto"/>
                      <w:lang w:val="en-US" w:eastAsia="zh-CN"/>
                    </w:rPr>
                    <w:t>72.23</w:t>
                  </w:r>
                </w:p>
              </w:tc>
              <w:tc>
                <w:tcPr>
                  <w:tcW w:w="324" w:type="pct"/>
                  <w:vAlign w:val="center"/>
                </w:tcPr>
                <w:p w14:paraId="6636EAB0">
                  <w:pPr>
                    <w:pStyle w:val="31"/>
                    <w:bidi w:val="0"/>
                    <w:jc w:val="center"/>
                    <w:rPr>
                      <w:rFonts w:hint="default"/>
                      <w:color w:val="auto"/>
                      <w:lang w:val="en-US" w:eastAsia="zh-CN"/>
                    </w:rPr>
                  </w:pPr>
                  <w:r>
                    <w:rPr>
                      <w:rFonts w:hint="eastAsia"/>
                      <w:color w:val="auto"/>
                      <w:lang w:val="en-US" w:eastAsia="zh-CN"/>
                    </w:rPr>
                    <w:t>98.06</w:t>
                  </w:r>
                </w:p>
              </w:tc>
              <w:tc>
                <w:tcPr>
                  <w:tcW w:w="244" w:type="pct"/>
                  <w:vAlign w:val="center"/>
                </w:tcPr>
                <w:p w14:paraId="64024605">
                  <w:pPr>
                    <w:pStyle w:val="31"/>
                    <w:bidi w:val="0"/>
                    <w:jc w:val="center"/>
                    <w:rPr>
                      <w:rFonts w:hint="default"/>
                      <w:color w:val="auto"/>
                      <w:lang w:val="en-US" w:eastAsia="zh-CN"/>
                    </w:rPr>
                  </w:pPr>
                  <w:r>
                    <w:rPr>
                      <w:rFonts w:hint="eastAsia"/>
                      <w:color w:val="auto"/>
                      <w:lang w:val="en-US" w:eastAsia="zh-CN"/>
                    </w:rPr>
                    <w:t>1</w:t>
                  </w:r>
                </w:p>
              </w:tc>
              <w:tc>
                <w:tcPr>
                  <w:tcW w:w="362" w:type="pct"/>
                  <w:vAlign w:val="center"/>
                </w:tcPr>
                <w:p w14:paraId="5070405D">
                  <w:pPr>
                    <w:pStyle w:val="31"/>
                    <w:bidi w:val="0"/>
                    <w:jc w:val="center"/>
                    <w:rPr>
                      <w:rFonts w:hint="default"/>
                      <w:color w:val="auto"/>
                      <w:lang w:val="en-US" w:eastAsia="zh-CN"/>
                    </w:rPr>
                  </w:pPr>
                  <w:r>
                    <w:rPr>
                      <w:rFonts w:hint="eastAsia"/>
                      <w:color w:val="auto"/>
                      <w:lang w:val="en-US" w:eastAsia="zh-CN"/>
                    </w:rPr>
                    <w:t>5</w:t>
                  </w:r>
                </w:p>
              </w:tc>
              <w:tc>
                <w:tcPr>
                  <w:tcW w:w="357" w:type="pct"/>
                  <w:vAlign w:val="center"/>
                </w:tcPr>
                <w:p w14:paraId="5D54A8C6">
                  <w:pPr>
                    <w:pStyle w:val="31"/>
                    <w:bidi w:val="0"/>
                    <w:jc w:val="center"/>
                    <w:rPr>
                      <w:rFonts w:hint="eastAsia"/>
                      <w:color w:val="auto"/>
                      <w:lang w:val="en-US" w:eastAsia="zh-CN"/>
                    </w:rPr>
                  </w:pPr>
                  <w:r>
                    <w:rPr>
                      <w:rFonts w:hint="eastAsia"/>
                      <w:color w:val="auto"/>
                      <w:lang w:val="en-US" w:eastAsia="zh-CN"/>
                    </w:rPr>
                    <w:t>56.02</w:t>
                  </w:r>
                </w:p>
              </w:tc>
              <w:tc>
                <w:tcPr>
                  <w:tcW w:w="216" w:type="pct"/>
                  <w:vAlign w:val="center"/>
                </w:tcPr>
                <w:p w14:paraId="22954F80">
                  <w:pPr>
                    <w:pStyle w:val="31"/>
                    <w:bidi w:val="0"/>
                    <w:jc w:val="center"/>
                    <w:rPr>
                      <w:rFonts w:hint="default"/>
                      <w:color w:val="auto"/>
                      <w:lang w:val="en-US" w:eastAsia="zh-CN"/>
                    </w:rPr>
                  </w:pPr>
                  <w:r>
                    <w:rPr>
                      <w:rFonts w:hint="eastAsia"/>
                      <w:color w:val="auto"/>
                      <w:lang w:val="en-US" w:eastAsia="zh-CN"/>
                    </w:rPr>
                    <w:t>昼间</w:t>
                  </w:r>
                </w:p>
              </w:tc>
              <w:tc>
                <w:tcPr>
                  <w:tcW w:w="380" w:type="pct"/>
                  <w:vAlign w:val="center"/>
                </w:tcPr>
                <w:p w14:paraId="5C383CC3">
                  <w:pPr>
                    <w:pStyle w:val="31"/>
                    <w:bidi w:val="0"/>
                    <w:ind w:firstLine="0" w:firstLineChars="0"/>
                    <w:jc w:val="center"/>
                    <w:rPr>
                      <w:rFonts w:hint="default"/>
                      <w:color w:val="auto"/>
                      <w:lang w:val="en-US" w:eastAsia="zh-CN"/>
                    </w:rPr>
                  </w:pPr>
                  <w:r>
                    <w:rPr>
                      <w:rFonts w:hint="eastAsia"/>
                      <w:color w:val="auto"/>
                      <w:lang w:val="en-US" w:eastAsia="zh-CN"/>
                    </w:rPr>
                    <w:t>20</w:t>
                  </w:r>
                </w:p>
              </w:tc>
              <w:tc>
                <w:tcPr>
                  <w:tcW w:w="352" w:type="pct"/>
                  <w:vAlign w:val="center"/>
                </w:tcPr>
                <w:p w14:paraId="36A7E083">
                  <w:pPr>
                    <w:pStyle w:val="31"/>
                    <w:bidi w:val="0"/>
                    <w:ind w:firstLine="0" w:firstLineChars="0"/>
                    <w:jc w:val="center"/>
                    <w:rPr>
                      <w:rFonts w:hint="default"/>
                      <w:color w:val="auto"/>
                      <w:lang w:val="en-US" w:eastAsia="zh-CN"/>
                    </w:rPr>
                  </w:pPr>
                  <w:r>
                    <w:rPr>
                      <w:rFonts w:hint="eastAsia"/>
                      <w:color w:val="auto"/>
                      <w:lang w:val="en-US" w:eastAsia="zh-CN"/>
                    </w:rPr>
                    <w:t>30.02</w:t>
                  </w:r>
                </w:p>
              </w:tc>
              <w:tc>
                <w:tcPr>
                  <w:tcW w:w="433" w:type="pct"/>
                  <w:vAlign w:val="center"/>
                </w:tcPr>
                <w:p w14:paraId="1FE99298">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w:t>
                  </w:r>
                </w:p>
              </w:tc>
            </w:tr>
            <w:tr w14:paraId="55E1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7D795C0E">
                  <w:pPr>
                    <w:pStyle w:val="31"/>
                    <w:bidi w:val="0"/>
                    <w:jc w:val="center"/>
                    <w:rPr>
                      <w:rFonts w:hint="default"/>
                      <w:color w:val="auto"/>
                      <w:lang w:val="en-US" w:eastAsia="zh-CN"/>
                    </w:rPr>
                  </w:pPr>
                </w:p>
              </w:tc>
              <w:tc>
                <w:tcPr>
                  <w:tcW w:w="430" w:type="pct"/>
                  <w:vAlign w:val="center"/>
                </w:tcPr>
                <w:p w14:paraId="3C7458D0">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开卷机7#</w:t>
                  </w:r>
                </w:p>
              </w:tc>
              <w:tc>
                <w:tcPr>
                  <w:tcW w:w="223" w:type="pct"/>
                  <w:vAlign w:val="center"/>
                </w:tcPr>
                <w:p w14:paraId="04AE714A">
                  <w:pPr>
                    <w:pStyle w:val="31"/>
                    <w:bidi w:val="0"/>
                    <w:jc w:val="center"/>
                    <w:rPr>
                      <w:rFonts w:hint="default"/>
                      <w:color w:val="auto"/>
                      <w:lang w:val="en-US" w:eastAsia="zh-CN"/>
                    </w:rPr>
                  </w:pPr>
                  <w:r>
                    <w:rPr>
                      <w:rFonts w:hint="eastAsia" w:eastAsia="宋体" w:cs="黑体"/>
                      <w:b w:val="0"/>
                      <w:color w:val="auto"/>
                      <w:kern w:val="2"/>
                      <w:sz w:val="21"/>
                      <w:szCs w:val="24"/>
                      <w:lang w:val="en-US" w:eastAsia="zh-CN" w:bidi="ar-SA"/>
                    </w:rPr>
                    <w:t>1</w:t>
                  </w:r>
                  <w:r>
                    <w:rPr>
                      <w:rFonts w:hint="eastAsia"/>
                      <w:color w:val="auto"/>
                      <w:lang w:val="en-US" w:eastAsia="zh-CN"/>
                    </w:rPr>
                    <w:t>台</w:t>
                  </w:r>
                </w:p>
              </w:tc>
              <w:tc>
                <w:tcPr>
                  <w:tcW w:w="322" w:type="pct"/>
                  <w:vAlign w:val="center"/>
                </w:tcPr>
                <w:p w14:paraId="03AB9C30">
                  <w:pPr>
                    <w:pStyle w:val="31"/>
                    <w:bidi w:val="0"/>
                    <w:ind w:firstLine="0" w:firstLineChars="0"/>
                    <w:jc w:val="center"/>
                    <w:rPr>
                      <w:rFonts w:hint="default"/>
                      <w:color w:val="auto"/>
                      <w:lang w:val="en-US" w:eastAsia="zh-CN"/>
                    </w:rPr>
                  </w:pPr>
                  <w:r>
                    <w:rPr>
                      <w:rFonts w:hint="eastAsia"/>
                      <w:color w:val="auto"/>
                      <w:lang w:val="en-US" w:eastAsia="zh-CN"/>
                    </w:rPr>
                    <w:t>70</w:t>
                  </w:r>
                </w:p>
              </w:tc>
              <w:tc>
                <w:tcPr>
                  <w:tcW w:w="778" w:type="pct"/>
                  <w:vAlign w:val="center"/>
                </w:tcPr>
                <w:p w14:paraId="4274107D">
                  <w:pPr>
                    <w:pStyle w:val="31"/>
                    <w:bidi w:val="0"/>
                    <w:jc w:val="center"/>
                    <w:rPr>
                      <w:rFonts w:hint="default"/>
                      <w:color w:val="auto"/>
                      <w:lang w:val="en-US" w:eastAsia="zh-CN"/>
                    </w:rPr>
                  </w:pPr>
                  <w:r>
                    <w:rPr>
                      <w:rFonts w:hint="eastAsia"/>
                      <w:color w:val="auto"/>
                      <w:lang w:val="en-US" w:eastAsia="zh-CN"/>
                    </w:rPr>
                    <w:t>厂房隔声、基础减振</w:t>
                  </w:r>
                </w:p>
              </w:tc>
              <w:tc>
                <w:tcPr>
                  <w:tcW w:w="329" w:type="pct"/>
                  <w:vAlign w:val="center"/>
                </w:tcPr>
                <w:p w14:paraId="506D8DF1">
                  <w:pPr>
                    <w:pStyle w:val="31"/>
                    <w:bidi w:val="0"/>
                    <w:jc w:val="center"/>
                    <w:rPr>
                      <w:rFonts w:hint="default"/>
                      <w:color w:val="auto"/>
                      <w:lang w:val="en-US" w:eastAsia="zh-CN"/>
                    </w:rPr>
                  </w:pPr>
                  <w:r>
                    <w:rPr>
                      <w:rFonts w:hint="eastAsia"/>
                      <w:color w:val="auto"/>
                      <w:lang w:val="en-US" w:eastAsia="zh-CN"/>
                    </w:rPr>
                    <w:t>73.24</w:t>
                  </w:r>
                </w:p>
              </w:tc>
              <w:tc>
                <w:tcPr>
                  <w:tcW w:w="324" w:type="pct"/>
                  <w:vAlign w:val="center"/>
                </w:tcPr>
                <w:p w14:paraId="01A00B36">
                  <w:pPr>
                    <w:pStyle w:val="31"/>
                    <w:bidi w:val="0"/>
                    <w:jc w:val="center"/>
                    <w:rPr>
                      <w:rFonts w:hint="default"/>
                      <w:color w:val="auto"/>
                      <w:lang w:val="en-US" w:eastAsia="zh-CN"/>
                    </w:rPr>
                  </w:pPr>
                  <w:r>
                    <w:rPr>
                      <w:rFonts w:hint="eastAsia"/>
                      <w:color w:val="auto"/>
                      <w:lang w:val="en-US" w:eastAsia="zh-CN"/>
                    </w:rPr>
                    <w:t>89.31</w:t>
                  </w:r>
                </w:p>
              </w:tc>
              <w:tc>
                <w:tcPr>
                  <w:tcW w:w="244" w:type="pct"/>
                  <w:vAlign w:val="center"/>
                </w:tcPr>
                <w:p w14:paraId="6125D6BB">
                  <w:pPr>
                    <w:pStyle w:val="31"/>
                    <w:bidi w:val="0"/>
                    <w:jc w:val="center"/>
                    <w:rPr>
                      <w:rFonts w:hint="default"/>
                      <w:color w:val="auto"/>
                      <w:lang w:val="en-US" w:eastAsia="zh-CN"/>
                    </w:rPr>
                  </w:pPr>
                  <w:r>
                    <w:rPr>
                      <w:rFonts w:hint="eastAsia"/>
                      <w:color w:val="auto"/>
                      <w:lang w:val="en-US" w:eastAsia="zh-CN"/>
                    </w:rPr>
                    <w:t>1</w:t>
                  </w:r>
                </w:p>
              </w:tc>
              <w:tc>
                <w:tcPr>
                  <w:tcW w:w="362" w:type="pct"/>
                  <w:vAlign w:val="center"/>
                </w:tcPr>
                <w:p w14:paraId="0876EA16">
                  <w:pPr>
                    <w:pStyle w:val="31"/>
                    <w:bidi w:val="0"/>
                    <w:jc w:val="center"/>
                    <w:rPr>
                      <w:rFonts w:hint="default"/>
                      <w:color w:val="auto"/>
                      <w:lang w:val="en-US" w:eastAsia="zh-CN"/>
                    </w:rPr>
                  </w:pPr>
                  <w:r>
                    <w:rPr>
                      <w:rFonts w:hint="eastAsia"/>
                      <w:color w:val="auto"/>
                      <w:lang w:val="en-US" w:eastAsia="zh-CN"/>
                    </w:rPr>
                    <w:t>5</w:t>
                  </w:r>
                </w:p>
              </w:tc>
              <w:tc>
                <w:tcPr>
                  <w:tcW w:w="357" w:type="pct"/>
                  <w:vAlign w:val="center"/>
                </w:tcPr>
                <w:p w14:paraId="7429E07E">
                  <w:pPr>
                    <w:pStyle w:val="31"/>
                    <w:bidi w:val="0"/>
                    <w:jc w:val="center"/>
                    <w:rPr>
                      <w:rFonts w:hint="eastAsia"/>
                      <w:color w:val="auto"/>
                      <w:lang w:val="en-US" w:eastAsia="zh-CN"/>
                    </w:rPr>
                  </w:pPr>
                  <w:r>
                    <w:rPr>
                      <w:rFonts w:hint="eastAsia"/>
                      <w:color w:val="auto"/>
                      <w:lang w:val="en-US" w:eastAsia="zh-CN"/>
                    </w:rPr>
                    <w:t>56.02</w:t>
                  </w:r>
                </w:p>
              </w:tc>
              <w:tc>
                <w:tcPr>
                  <w:tcW w:w="216" w:type="pct"/>
                  <w:vAlign w:val="center"/>
                </w:tcPr>
                <w:p w14:paraId="7A64805A">
                  <w:pPr>
                    <w:pStyle w:val="31"/>
                    <w:bidi w:val="0"/>
                    <w:jc w:val="center"/>
                    <w:rPr>
                      <w:rFonts w:hint="default"/>
                      <w:color w:val="auto"/>
                      <w:lang w:val="en-US" w:eastAsia="zh-CN"/>
                    </w:rPr>
                  </w:pPr>
                  <w:r>
                    <w:rPr>
                      <w:rFonts w:hint="eastAsia"/>
                      <w:color w:val="auto"/>
                      <w:lang w:val="en-US" w:eastAsia="zh-CN"/>
                    </w:rPr>
                    <w:t>昼间</w:t>
                  </w:r>
                </w:p>
              </w:tc>
              <w:tc>
                <w:tcPr>
                  <w:tcW w:w="380" w:type="pct"/>
                  <w:vAlign w:val="center"/>
                </w:tcPr>
                <w:p w14:paraId="053CA04D">
                  <w:pPr>
                    <w:pStyle w:val="31"/>
                    <w:bidi w:val="0"/>
                    <w:ind w:firstLine="0" w:firstLineChars="0"/>
                    <w:jc w:val="center"/>
                    <w:rPr>
                      <w:rFonts w:hint="default"/>
                      <w:color w:val="auto"/>
                      <w:lang w:val="en-US" w:eastAsia="zh-CN"/>
                    </w:rPr>
                  </w:pPr>
                  <w:r>
                    <w:rPr>
                      <w:rFonts w:hint="eastAsia"/>
                      <w:color w:val="auto"/>
                      <w:lang w:val="en-US" w:eastAsia="zh-CN"/>
                    </w:rPr>
                    <w:t>20</w:t>
                  </w:r>
                </w:p>
              </w:tc>
              <w:tc>
                <w:tcPr>
                  <w:tcW w:w="352" w:type="pct"/>
                  <w:vAlign w:val="center"/>
                </w:tcPr>
                <w:p w14:paraId="023583FB">
                  <w:pPr>
                    <w:pStyle w:val="31"/>
                    <w:bidi w:val="0"/>
                    <w:ind w:firstLine="0" w:firstLineChars="0"/>
                    <w:jc w:val="center"/>
                    <w:rPr>
                      <w:rFonts w:hint="default"/>
                      <w:color w:val="auto"/>
                      <w:lang w:val="en-US" w:eastAsia="zh-CN"/>
                    </w:rPr>
                  </w:pPr>
                  <w:r>
                    <w:rPr>
                      <w:rFonts w:hint="eastAsia"/>
                      <w:color w:val="auto"/>
                      <w:lang w:val="en-US" w:eastAsia="zh-CN"/>
                    </w:rPr>
                    <w:t>30.02</w:t>
                  </w:r>
                </w:p>
              </w:tc>
              <w:tc>
                <w:tcPr>
                  <w:tcW w:w="433" w:type="pct"/>
                  <w:vAlign w:val="center"/>
                </w:tcPr>
                <w:p w14:paraId="7091CAF1">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w:t>
                  </w:r>
                </w:p>
              </w:tc>
            </w:tr>
            <w:tr w14:paraId="7CDF1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36D6F3F3">
                  <w:pPr>
                    <w:pStyle w:val="31"/>
                    <w:bidi w:val="0"/>
                    <w:jc w:val="center"/>
                    <w:rPr>
                      <w:rFonts w:hint="default"/>
                      <w:color w:val="auto"/>
                      <w:lang w:val="en-US" w:eastAsia="zh-CN"/>
                    </w:rPr>
                  </w:pPr>
                </w:p>
              </w:tc>
              <w:tc>
                <w:tcPr>
                  <w:tcW w:w="430" w:type="pct"/>
                  <w:vAlign w:val="center"/>
                </w:tcPr>
                <w:p w14:paraId="56134E1E">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矫直机7#</w:t>
                  </w:r>
                </w:p>
              </w:tc>
              <w:tc>
                <w:tcPr>
                  <w:tcW w:w="223" w:type="pct"/>
                  <w:vAlign w:val="center"/>
                </w:tcPr>
                <w:p w14:paraId="6473159C">
                  <w:pPr>
                    <w:pStyle w:val="31"/>
                    <w:bidi w:val="0"/>
                    <w:jc w:val="center"/>
                    <w:rPr>
                      <w:rFonts w:hint="default"/>
                      <w:color w:val="auto"/>
                      <w:lang w:val="en-US" w:eastAsia="zh-CN"/>
                    </w:rPr>
                  </w:pPr>
                  <w:r>
                    <w:rPr>
                      <w:rFonts w:hint="eastAsia" w:eastAsia="宋体" w:cs="黑体"/>
                      <w:b w:val="0"/>
                      <w:color w:val="auto"/>
                      <w:kern w:val="2"/>
                      <w:sz w:val="21"/>
                      <w:szCs w:val="24"/>
                      <w:lang w:val="en-US" w:eastAsia="zh-CN" w:bidi="ar-SA"/>
                    </w:rPr>
                    <w:t>1</w:t>
                  </w:r>
                  <w:r>
                    <w:rPr>
                      <w:rFonts w:hint="eastAsia"/>
                      <w:color w:val="auto"/>
                      <w:lang w:val="en-US" w:eastAsia="zh-CN"/>
                    </w:rPr>
                    <w:t>台</w:t>
                  </w:r>
                </w:p>
              </w:tc>
              <w:tc>
                <w:tcPr>
                  <w:tcW w:w="322" w:type="pct"/>
                  <w:vAlign w:val="center"/>
                </w:tcPr>
                <w:p w14:paraId="37FC08EF">
                  <w:pPr>
                    <w:pStyle w:val="31"/>
                    <w:bidi w:val="0"/>
                    <w:ind w:firstLine="0" w:firstLineChars="0"/>
                    <w:jc w:val="center"/>
                    <w:rPr>
                      <w:rFonts w:hint="default"/>
                      <w:color w:val="auto"/>
                      <w:lang w:val="en-US" w:eastAsia="zh-CN"/>
                    </w:rPr>
                  </w:pPr>
                  <w:r>
                    <w:rPr>
                      <w:rFonts w:hint="eastAsia"/>
                      <w:color w:val="auto"/>
                      <w:lang w:val="en-US" w:eastAsia="zh-CN"/>
                    </w:rPr>
                    <w:t>85</w:t>
                  </w:r>
                </w:p>
              </w:tc>
              <w:tc>
                <w:tcPr>
                  <w:tcW w:w="778" w:type="pct"/>
                  <w:vAlign w:val="center"/>
                </w:tcPr>
                <w:p w14:paraId="1D5505F2">
                  <w:pPr>
                    <w:pStyle w:val="31"/>
                    <w:bidi w:val="0"/>
                    <w:jc w:val="center"/>
                    <w:rPr>
                      <w:rFonts w:hint="default"/>
                      <w:color w:val="auto"/>
                      <w:lang w:val="en-US" w:eastAsia="zh-CN"/>
                    </w:rPr>
                  </w:pPr>
                  <w:r>
                    <w:rPr>
                      <w:rFonts w:hint="eastAsia"/>
                      <w:color w:val="auto"/>
                      <w:lang w:val="en-US" w:eastAsia="zh-CN"/>
                    </w:rPr>
                    <w:t>厂房隔声、基础减振</w:t>
                  </w:r>
                </w:p>
              </w:tc>
              <w:tc>
                <w:tcPr>
                  <w:tcW w:w="329" w:type="pct"/>
                  <w:vAlign w:val="center"/>
                </w:tcPr>
                <w:p w14:paraId="2519346F">
                  <w:pPr>
                    <w:pStyle w:val="31"/>
                    <w:bidi w:val="0"/>
                    <w:jc w:val="center"/>
                    <w:rPr>
                      <w:rFonts w:hint="default"/>
                      <w:color w:val="auto"/>
                      <w:lang w:val="en-US" w:eastAsia="zh-CN"/>
                    </w:rPr>
                  </w:pPr>
                  <w:r>
                    <w:rPr>
                      <w:rFonts w:hint="eastAsia"/>
                      <w:color w:val="auto"/>
                      <w:lang w:val="en-US" w:eastAsia="zh-CN"/>
                    </w:rPr>
                    <w:t>73.93</w:t>
                  </w:r>
                </w:p>
              </w:tc>
              <w:tc>
                <w:tcPr>
                  <w:tcW w:w="324" w:type="pct"/>
                  <w:vAlign w:val="center"/>
                </w:tcPr>
                <w:p w14:paraId="37B9C420">
                  <w:pPr>
                    <w:pStyle w:val="31"/>
                    <w:bidi w:val="0"/>
                    <w:jc w:val="center"/>
                    <w:rPr>
                      <w:rFonts w:hint="default"/>
                      <w:color w:val="auto"/>
                      <w:lang w:val="en-US" w:eastAsia="zh-CN"/>
                    </w:rPr>
                  </w:pPr>
                  <w:r>
                    <w:rPr>
                      <w:rFonts w:hint="eastAsia"/>
                      <w:color w:val="auto"/>
                      <w:lang w:val="en-US" w:eastAsia="zh-CN"/>
                    </w:rPr>
                    <w:t>83.44</w:t>
                  </w:r>
                </w:p>
              </w:tc>
              <w:tc>
                <w:tcPr>
                  <w:tcW w:w="244" w:type="pct"/>
                  <w:vAlign w:val="center"/>
                </w:tcPr>
                <w:p w14:paraId="5AB40247">
                  <w:pPr>
                    <w:pStyle w:val="31"/>
                    <w:bidi w:val="0"/>
                    <w:jc w:val="center"/>
                    <w:rPr>
                      <w:rFonts w:hint="default"/>
                      <w:color w:val="auto"/>
                      <w:lang w:val="en-US" w:eastAsia="zh-CN"/>
                    </w:rPr>
                  </w:pPr>
                  <w:r>
                    <w:rPr>
                      <w:rFonts w:hint="eastAsia"/>
                      <w:color w:val="auto"/>
                      <w:lang w:val="en-US" w:eastAsia="zh-CN"/>
                    </w:rPr>
                    <w:t>1</w:t>
                  </w:r>
                </w:p>
              </w:tc>
              <w:tc>
                <w:tcPr>
                  <w:tcW w:w="362" w:type="pct"/>
                  <w:vAlign w:val="center"/>
                </w:tcPr>
                <w:p w14:paraId="12CDCE23">
                  <w:pPr>
                    <w:pStyle w:val="31"/>
                    <w:bidi w:val="0"/>
                    <w:jc w:val="center"/>
                    <w:rPr>
                      <w:rFonts w:hint="default"/>
                      <w:color w:val="auto"/>
                      <w:lang w:val="en-US" w:eastAsia="zh-CN"/>
                    </w:rPr>
                  </w:pPr>
                  <w:r>
                    <w:rPr>
                      <w:rFonts w:hint="eastAsia"/>
                      <w:color w:val="auto"/>
                      <w:lang w:val="en-US" w:eastAsia="zh-CN"/>
                    </w:rPr>
                    <w:t>3</w:t>
                  </w:r>
                </w:p>
              </w:tc>
              <w:tc>
                <w:tcPr>
                  <w:tcW w:w="357" w:type="pct"/>
                  <w:vAlign w:val="center"/>
                </w:tcPr>
                <w:p w14:paraId="083750E8">
                  <w:pPr>
                    <w:pStyle w:val="31"/>
                    <w:bidi w:val="0"/>
                    <w:jc w:val="center"/>
                    <w:rPr>
                      <w:rFonts w:hint="default"/>
                      <w:color w:val="auto"/>
                      <w:lang w:val="en-US" w:eastAsia="zh-CN"/>
                    </w:rPr>
                  </w:pPr>
                  <w:r>
                    <w:rPr>
                      <w:rFonts w:hint="eastAsia"/>
                      <w:color w:val="auto"/>
                      <w:lang w:val="en-US" w:eastAsia="zh-CN"/>
                    </w:rPr>
                    <w:t>75.46</w:t>
                  </w:r>
                </w:p>
              </w:tc>
              <w:tc>
                <w:tcPr>
                  <w:tcW w:w="216" w:type="pct"/>
                  <w:vAlign w:val="center"/>
                </w:tcPr>
                <w:p w14:paraId="7609DC27">
                  <w:pPr>
                    <w:pStyle w:val="31"/>
                    <w:bidi w:val="0"/>
                    <w:jc w:val="center"/>
                    <w:rPr>
                      <w:rFonts w:hint="default"/>
                      <w:color w:val="auto"/>
                      <w:lang w:val="en-US" w:eastAsia="zh-CN"/>
                    </w:rPr>
                  </w:pPr>
                  <w:r>
                    <w:rPr>
                      <w:rFonts w:hint="eastAsia"/>
                      <w:color w:val="auto"/>
                      <w:lang w:val="en-US" w:eastAsia="zh-CN"/>
                    </w:rPr>
                    <w:t>昼间</w:t>
                  </w:r>
                </w:p>
              </w:tc>
              <w:tc>
                <w:tcPr>
                  <w:tcW w:w="380" w:type="pct"/>
                  <w:vAlign w:val="center"/>
                </w:tcPr>
                <w:p w14:paraId="609B9885">
                  <w:pPr>
                    <w:pStyle w:val="31"/>
                    <w:bidi w:val="0"/>
                    <w:ind w:firstLine="0" w:firstLineChars="0"/>
                    <w:jc w:val="center"/>
                    <w:rPr>
                      <w:rFonts w:hint="default"/>
                      <w:color w:val="auto"/>
                      <w:lang w:val="en-US" w:eastAsia="zh-CN"/>
                    </w:rPr>
                  </w:pPr>
                  <w:r>
                    <w:rPr>
                      <w:rFonts w:hint="eastAsia"/>
                      <w:color w:val="auto"/>
                      <w:lang w:val="en-US" w:eastAsia="zh-CN"/>
                    </w:rPr>
                    <w:t>20</w:t>
                  </w:r>
                </w:p>
              </w:tc>
              <w:tc>
                <w:tcPr>
                  <w:tcW w:w="352" w:type="pct"/>
                  <w:vAlign w:val="center"/>
                </w:tcPr>
                <w:p w14:paraId="7D1DF5D5">
                  <w:pPr>
                    <w:pStyle w:val="31"/>
                    <w:bidi w:val="0"/>
                    <w:ind w:firstLine="0" w:firstLineChars="0"/>
                    <w:jc w:val="center"/>
                    <w:rPr>
                      <w:rFonts w:hint="default"/>
                      <w:color w:val="auto"/>
                      <w:lang w:val="en-US" w:eastAsia="zh-CN"/>
                    </w:rPr>
                  </w:pPr>
                  <w:r>
                    <w:rPr>
                      <w:rFonts w:hint="eastAsia"/>
                      <w:color w:val="auto"/>
                      <w:lang w:val="en-US" w:eastAsia="zh-CN"/>
                    </w:rPr>
                    <w:t>49.46</w:t>
                  </w:r>
                </w:p>
              </w:tc>
              <w:tc>
                <w:tcPr>
                  <w:tcW w:w="433" w:type="pct"/>
                  <w:vAlign w:val="center"/>
                </w:tcPr>
                <w:p w14:paraId="090C5E37">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w:t>
                  </w:r>
                </w:p>
              </w:tc>
            </w:tr>
            <w:tr w14:paraId="4205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2F233F2F">
                  <w:pPr>
                    <w:pStyle w:val="31"/>
                    <w:bidi w:val="0"/>
                    <w:jc w:val="center"/>
                    <w:rPr>
                      <w:rFonts w:hint="default"/>
                      <w:color w:val="auto"/>
                      <w:lang w:val="en-US" w:eastAsia="zh-CN"/>
                    </w:rPr>
                  </w:pPr>
                </w:p>
              </w:tc>
              <w:tc>
                <w:tcPr>
                  <w:tcW w:w="430" w:type="pct"/>
                  <w:vAlign w:val="center"/>
                </w:tcPr>
                <w:p w14:paraId="0C60C0B0">
                  <w:pPr>
                    <w:pStyle w:val="31"/>
                    <w:bidi w:val="0"/>
                    <w:ind w:firstLine="0" w:firstLineChars="0"/>
                    <w:jc w:val="center"/>
                    <w:rPr>
                      <w:rFonts w:hint="default"/>
                      <w:color w:val="auto"/>
                      <w:lang w:val="en-US" w:eastAsia="zh-CN"/>
                    </w:rPr>
                  </w:pPr>
                  <w:r>
                    <w:rPr>
                      <w:rFonts w:hint="eastAsia"/>
                      <w:color w:val="auto"/>
                      <w:lang w:val="en-US" w:eastAsia="zh-CN"/>
                    </w:rPr>
                    <w:t>空压机2#</w:t>
                  </w:r>
                </w:p>
              </w:tc>
              <w:tc>
                <w:tcPr>
                  <w:tcW w:w="223" w:type="pct"/>
                  <w:vAlign w:val="center"/>
                </w:tcPr>
                <w:p w14:paraId="6D6B0946">
                  <w:pPr>
                    <w:pStyle w:val="31"/>
                    <w:bidi w:val="0"/>
                    <w:jc w:val="center"/>
                    <w:rPr>
                      <w:rFonts w:hint="default"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1台</w:t>
                  </w:r>
                </w:p>
              </w:tc>
              <w:tc>
                <w:tcPr>
                  <w:tcW w:w="322" w:type="pct"/>
                  <w:vAlign w:val="center"/>
                </w:tcPr>
                <w:p w14:paraId="5BE181C5">
                  <w:pPr>
                    <w:pStyle w:val="31"/>
                    <w:bidi w:val="0"/>
                    <w:ind w:firstLine="0" w:firstLineChars="0"/>
                    <w:jc w:val="center"/>
                    <w:rPr>
                      <w:rFonts w:hint="default"/>
                      <w:color w:val="auto"/>
                      <w:lang w:val="en-US" w:eastAsia="zh-CN"/>
                    </w:rPr>
                  </w:pPr>
                  <w:r>
                    <w:rPr>
                      <w:rFonts w:hint="eastAsia"/>
                      <w:color w:val="auto"/>
                      <w:lang w:val="en-US" w:eastAsia="zh-CN"/>
                    </w:rPr>
                    <w:t>75</w:t>
                  </w:r>
                </w:p>
              </w:tc>
              <w:tc>
                <w:tcPr>
                  <w:tcW w:w="778" w:type="pct"/>
                  <w:vAlign w:val="center"/>
                </w:tcPr>
                <w:p w14:paraId="02A793E5">
                  <w:pPr>
                    <w:pStyle w:val="31"/>
                    <w:bidi w:val="0"/>
                    <w:jc w:val="center"/>
                    <w:rPr>
                      <w:rFonts w:hint="eastAsia"/>
                      <w:color w:val="auto"/>
                      <w:lang w:val="en-US" w:eastAsia="zh-CN"/>
                    </w:rPr>
                  </w:pPr>
                  <w:r>
                    <w:rPr>
                      <w:rFonts w:hint="eastAsia"/>
                      <w:color w:val="auto"/>
                      <w:lang w:val="en-US" w:eastAsia="zh-CN"/>
                    </w:rPr>
                    <w:t>厂房隔声、基础减震</w:t>
                  </w:r>
                </w:p>
              </w:tc>
              <w:tc>
                <w:tcPr>
                  <w:tcW w:w="329" w:type="pct"/>
                  <w:vAlign w:val="center"/>
                </w:tcPr>
                <w:p w14:paraId="08CF76E1">
                  <w:pPr>
                    <w:pStyle w:val="31"/>
                    <w:bidi w:val="0"/>
                    <w:jc w:val="center"/>
                    <w:rPr>
                      <w:rFonts w:hint="default"/>
                      <w:color w:val="auto"/>
                      <w:lang w:val="en-US" w:eastAsia="zh-CN"/>
                    </w:rPr>
                  </w:pPr>
                  <w:r>
                    <w:rPr>
                      <w:rFonts w:hint="eastAsia"/>
                      <w:color w:val="auto"/>
                      <w:lang w:val="en-US" w:eastAsia="zh-CN"/>
                    </w:rPr>
                    <w:t>66.23</w:t>
                  </w:r>
                </w:p>
              </w:tc>
              <w:tc>
                <w:tcPr>
                  <w:tcW w:w="324" w:type="pct"/>
                  <w:vAlign w:val="center"/>
                </w:tcPr>
                <w:p w14:paraId="134CDF56">
                  <w:pPr>
                    <w:pStyle w:val="31"/>
                    <w:bidi w:val="0"/>
                    <w:jc w:val="center"/>
                    <w:rPr>
                      <w:rFonts w:hint="default"/>
                      <w:color w:val="auto"/>
                      <w:lang w:val="en-US" w:eastAsia="zh-CN"/>
                    </w:rPr>
                  </w:pPr>
                  <w:r>
                    <w:rPr>
                      <w:rFonts w:hint="eastAsia"/>
                      <w:color w:val="auto"/>
                      <w:lang w:val="en-US" w:eastAsia="zh-CN"/>
                    </w:rPr>
                    <w:t>75.5</w:t>
                  </w:r>
                </w:p>
              </w:tc>
              <w:tc>
                <w:tcPr>
                  <w:tcW w:w="244" w:type="pct"/>
                  <w:vAlign w:val="center"/>
                </w:tcPr>
                <w:p w14:paraId="5C659A66">
                  <w:pPr>
                    <w:pStyle w:val="31"/>
                    <w:bidi w:val="0"/>
                    <w:jc w:val="center"/>
                    <w:rPr>
                      <w:rFonts w:hint="default"/>
                      <w:color w:val="auto"/>
                      <w:lang w:val="en-US" w:eastAsia="zh-CN"/>
                    </w:rPr>
                  </w:pPr>
                  <w:r>
                    <w:rPr>
                      <w:rFonts w:hint="eastAsia"/>
                      <w:color w:val="auto"/>
                      <w:lang w:val="en-US" w:eastAsia="zh-CN"/>
                    </w:rPr>
                    <w:t>1</w:t>
                  </w:r>
                </w:p>
              </w:tc>
              <w:tc>
                <w:tcPr>
                  <w:tcW w:w="362" w:type="pct"/>
                  <w:vAlign w:val="center"/>
                </w:tcPr>
                <w:p w14:paraId="57DC3DA9">
                  <w:pPr>
                    <w:pStyle w:val="31"/>
                    <w:bidi w:val="0"/>
                    <w:jc w:val="center"/>
                    <w:rPr>
                      <w:rFonts w:hint="default"/>
                      <w:color w:val="auto"/>
                      <w:lang w:val="en-US" w:eastAsia="zh-CN"/>
                    </w:rPr>
                  </w:pPr>
                  <w:r>
                    <w:rPr>
                      <w:rFonts w:hint="eastAsia"/>
                      <w:color w:val="auto"/>
                      <w:lang w:val="en-US" w:eastAsia="zh-CN"/>
                    </w:rPr>
                    <w:t>3</w:t>
                  </w:r>
                </w:p>
              </w:tc>
              <w:tc>
                <w:tcPr>
                  <w:tcW w:w="357" w:type="pct"/>
                  <w:vAlign w:val="center"/>
                </w:tcPr>
                <w:p w14:paraId="61552AD3">
                  <w:pPr>
                    <w:pStyle w:val="31"/>
                    <w:bidi w:val="0"/>
                    <w:jc w:val="center"/>
                    <w:rPr>
                      <w:rFonts w:hint="default"/>
                      <w:color w:val="auto"/>
                      <w:lang w:val="en-US" w:eastAsia="zh-CN"/>
                    </w:rPr>
                  </w:pPr>
                  <w:r>
                    <w:rPr>
                      <w:rFonts w:hint="eastAsia"/>
                      <w:color w:val="auto"/>
                      <w:lang w:val="en-US" w:eastAsia="zh-CN"/>
                    </w:rPr>
                    <w:t>65.46</w:t>
                  </w:r>
                </w:p>
              </w:tc>
              <w:tc>
                <w:tcPr>
                  <w:tcW w:w="216" w:type="pct"/>
                  <w:vAlign w:val="center"/>
                </w:tcPr>
                <w:p w14:paraId="76183ABA">
                  <w:pPr>
                    <w:pStyle w:val="31"/>
                    <w:bidi w:val="0"/>
                    <w:jc w:val="center"/>
                    <w:rPr>
                      <w:rFonts w:hint="eastAsia"/>
                      <w:color w:val="auto"/>
                      <w:lang w:val="en-US" w:eastAsia="zh-CN"/>
                    </w:rPr>
                  </w:pPr>
                  <w:r>
                    <w:rPr>
                      <w:rFonts w:hint="eastAsia"/>
                      <w:color w:val="auto"/>
                      <w:lang w:val="en-US" w:eastAsia="zh-CN"/>
                    </w:rPr>
                    <w:t>昼间</w:t>
                  </w:r>
                </w:p>
              </w:tc>
              <w:tc>
                <w:tcPr>
                  <w:tcW w:w="380" w:type="pct"/>
                  <w:vAlign w:val="center"/>
                </w:tcPr>
                <w:p w14:paraId="052A9073">
                  <w:pPr>
                    <w:pStyle w:val="31"/>
                    <w:bidi w:val="0"/>
                    <w:ind w:firstLine="0" w:firstLineChars="0"/>
                    <w:jc w:val="center"/>
                    <w:rPr>
                      <w:rFonts w:hint="default"/>
                      <w:color w:val="auto"/>
                      <w:lang w:val="en-US" w:eastAsia="zh-CN"/>
                    </w:rPr>
                  </w:pPr>
                  <w:r>
                    <w:rPr>
                      <w:rFonts w:hint="eastAsia"/>
                      <w:color w:val="auto"/>
                      <w:lang w:val="en-US" w:eastAsia="zh-CN"/>
                    </w:rPr>
                    <w:t>20</w:t>
                  </w:r>
                </w:p>
              </w:tc>
              <w:tc>
                <w:tcPr>
                  <w:tcW w:w="352" w:type="pct"/>
                  <w:vAlign w:val="center"/>
                </w:tcPr>
                <w:p w14:paraId="55E09344">
                  <w:pPr>
                    <w:pStyle w:val="31"/>
                    <w:bidi w:val="0"/>
                    <w:ind w:firstLine="0" w:firstLineChars="0"/>
                    <w:jc w:val="center"/>
                    <w:rPr>
                      <w:rFonts w:hint="default"/>
                      <w:color w:val="auto"/>
                      <w:lang w:val="en-US" w:eastAsia="zh-CN"/>
                    </w:rPr>
                  </w:pPr>
                  <w:r>
                    <w:rPr>
                      <w:rFonts w:hint="eastAsia"/>
                      <w:color w:val="auto"/>
                      <w:lang w:val="en-US" w:eastAsia="zh-CN"/>
                    </w:rPr>
                    <w:t>39.46</w:t>
                  </w:r>
                </w:p>
              </w:tc>
              <w:tc>
                <w:tcPr>
                  <w:tcW w:w="433" w:type="pct"/>
                  <w:vAlign w:val="center"/>
                </w:tcPr>
                <w:p w14:paraId="24159EDC">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w:t>
                  </w:r>
                </w:p>
              </w:tc>
            </w:tr>
            <w:tr w14:paraId="66459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restart"/>
                  <w:vAlign w:val="center"/>
                </w:tcPr>
                <w:p w14:paraId="45101462">
                  <w:pPr>
                    <w:pStyle w:val="31"/>
                    <w:bidi w:val="0"/>
                    <w:jc w:val="center"/>
                    <w:rPr>
                      <w:rFonts w:hint="default"/>
                      <w:color w:val="auto"/>
                      <w:lang w:val="en-US" w:eastAsia="zh-CN"/>
                    </w:rPr>
                  </w:pPr>
                  <w:r>
                    <w:rPr>
                      <w:rFonts w:hint="eastAsia"/>
                      <w:color w:val="auto"/>
                      <w:lang w:val="en-US" w:eastAsia="zh-CN"/>
                    </w:rPr>
                    <w:t>4#焊管车间</w:t>
                  </w:r>
                </w:p>
              </w:tc>
              <w:tc>
                <w:tcPr>
                  <w:tcW w:w="430" w:type="pct"/>
                  <w:vAlign w:val="center"/>
                </w:tcPr>
                <w:p w14:paraId="2BF8CFD1">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焊机8#</w:t>
                  </w:r>
                </w:p>
              </w:tc>
              <w:tc>
                <w:tcPr>
                  <w:tcW w:w="223" w:type="pct"/>
                  <w:vAlign w:val="center"/>
                </w:tcPr>
                <w:p w14:paraId="0F1CCC99">
                  <w:pPr>
                    <w:pStyle w:val="31"/>
                    <w:bidi w:val="0"/>
                    <w:jc w:val="center"/>
                    <w:rPr>
                      <w:rFonts w:hint="default"/>
                      <w:color w:val="auto"/>
                      <w:lang w:val="en-US" w:eastAsia="zh-CN"/>
                    </w:rPr>
                  </w:pPr>
                  <w:r>
                    <w:rPr>
                      <w:rFonts w:hint="eastAsia" w:eastAsia="宋体" w:cs="黑体"/>
                      <w:b w:val="0"/>
                      <w:color w:val="auto"/>
                      <w:kern w:val="2"/>
                      <w:sz w:val="21"/>
                      <w:szCs w:val="24"/>
                      <w:lang w:val="en-US" w:eastAsia="zh-CN" w:bidi="ar-SA"/>
                    </w:rPr>
                    <w:t>1</w:t>
                  </w:r>
                  <w:r>
                    <w:rPr>
                      <w:rFonts w:hint="eastAsia"/>
                      <w:color w:val="auto"/>
                      <w:lang w:val="en-US" w:eastAsia="zh-CN"/>
                    </w:rPr>
                    <w:t>台</w:t>
                  </w:r>
                </w:p>
              </w:tc>
              <w:tc>
                <w:tcPr>
                  <w:tcW w:w="322" w:type="pct"/>
                  <w:vAlign w:val="center"/>
                </w:tcPr>
                <w:p w14:paraId="51ED715E">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70</w:t>
                  </w:r>
                </w:p>
              </w:tc>
              <w:tc>
                <w:tcPr>
                  <w:tcW w:w="778" w:type="pct"/>
                  <w:vAlign w:val="center"/>
                </w:tcPr>
                <w:p w14:paraId="4EE53127">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厂房隔声、基础减振</w:t>
                  </w:r>
                </w:p>
              </w:tc>
              <w:tc>
                <w:tcPr>
                  <w:tcW w:w="329" w:type="pct"/>
                  <w:vAlign w:val="center"/>
                </w:tcPr>
                <w:p w14:paraId="188C96FA">
                  <w:pPr>
                    <w:pStyle w:val="31"/>
                    <w:bidi w:val="0"/>
                    <w:jc w:val="center"/>
                    <w:rPr>
                      <w:rFonts w:hint="default"/>
                      <w:color w:val="auto"/>
                      <w:lang w:val="en-US" w:eastAsia="zh-CN"/>
                    </w:rPr>
                  </w:pPr>
                  <w:r>
                    <w:rPr>
                      <w:rFonts w:hint="eastAsia"/>
                      <w:color w:val="auto"/>
                      <w:lang w:val="en-US" w:eastAsia="zh-CN"/>
                    </w:rPr>
                    <w:t>73.61</w:t>
                  </w:r>
                </w:p>
              </w:tc>
              <w:tc>
                <w:tcPr>
                  <w:tcW w:w="324" w:type="pct"/>
                  <w:vAlign w:val="center"/>
                </w:tcPr>
                <w:p w14:paraId="6F6B1834">
                  <w:pPr>
                    <w:pStyle w:val="31"/>
                    <w:bidi w:val="0"/>
                    <w:jc w:val="center"/>
                    <w:rPr>
                      <w:rFonts w:hint="default"/>
                      <w:color w:val="auto"/>
                      <w:lang w:val="en-US" w:eastAsia="zh-CN"/>
                    </w:rPr>
                  </w:pPr>
                  <w:r>
                    <w:rPr>
                      <w:rFonts w:hint="eastAsia"/>
                      <w:color w:val="auto"/>
                      <w:lang w:val="en-US" w:eastAsia="zh-CN"/>
                    </w:rPr>
                    <w:t>112.41</w:t>
                  </w:r>
                </w:p>
              </w:tc>
              <w:tc>
                <w:tcPr>
                  <w:tcW w:w="244" w:type="pct"/>
                  <w:vAlign w:val="center"/>
                </w:tcPr>
                <w:p w14:paraId="37C84B17">
                  <w:pPr>
                    <w:pStyle w:val="31"/>
                    <w:bidi w:val="0"/>
                    <w:jc w:val="center"/>
                    <w:rPr>
                      <w:rFonts w:hint="default"/>
                      <w:color w:val="auto"/>
                      <w:lang w:val="en-US" w:eastAsia="zh-CN"/>
                    </w:rPr>
                  </w:pPr>
                  <w:r>
                    <w:rPr>
                      <w:rFonts w:hint="eastAsia"/>
                      <w:color w:val="auto"/>
                      <w:lang w:val="en-US" w:eastAsia="zh-CN"/>
                    </w:rPr>
                    <w:t>1</w:t>
                  </w:r>
                </w:p>
              </w:tc>
              <w:tc>
                <w:tcPr>
                  <w:tcW w:w="362" w:type="pct"/>
                  <w:vAlign w:val="center"/>
                </w:tcPr>
                <w:p w14:paraId="3CF067D7">
                  <w:pPr>
                    <w:pStyle w:val="31"/>
                    <w:bidi w:val="0"/>
                    <w:ind w:firstLine="0" w:firstLineChars="0"/>
                    <w:jc w:val="center"/>
                    <w:rPr>
                      <w:rFonts w:hint="default"/>
                      <w:color w:val="auto"/>
                      <w:lang w:val="en-US" w:eastAsia="zh-CN"/>
                    </w:rPr>
                  </w:pPr>
                  <w:r>
                    <w:rPr>
                      <w:rFonts w:hint="eastAsia"/>
                      <w:color w:val="auto"/>
                      <w:lang w:val="en-US" w:eastAsia="zh-CN"/>
                    </w:rPr>
                    <w:t>4</w:t>
                  </w:r>
                </w:p>
              </w:tc>
              <w:tc>
                <w:tcPr>
                  <w:tcW w:w="357" w:type="pct"/>
                  <w:vAlign w:val="center"/>
                </w:tcPr>
                <w:p w14:paraId="75A3D107">
                  <w:pPr>
                    <w:pStyle w:val="31"/>
                    <w:bidi w:val="0"/>
                    <w:ind w:firstLine="0" w:firstLineChars="0"/>
                    <w:jc w:val="center"/>
                    <w:rPr>
                      <w:rFonts w:hint="default"/>
                      <w:color w:val="auto"/>
                      <w:lang w:val="en-US" w:eastAsia="zh-CN"/>
                    </w:rPr>
                  </w:pPr>
                  <w:r>
                    <w:rPr>
                      <w:rFonts w:hint="eastAsia"/>
                      <w:color w:val="auto"/>
                      <w:lang w:val="en-US" w:eastAsia="zh-CN"/>
                    </w:rPr>
                    <w:t>57.96</w:t>
                  </w:r>
                </w:p>
              </w:tc>
              <w:tc>
                <w:tcPr>
                  <w:tcW w:w="216" w:type="pct"/>
                  <w:vAlign w:val="center"/>
                </w:tcPr>
                <w:p w14:paraId="2F33D573">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昼间</w:t>
                  </w:r>
                </w:p>
              </w:tc>
              <w:tc>
                <w:tcPr>
                  <w:tcW w:w="380" w:type="pct"/>
                  <w:vAlign w:val="center"/>
                </w:tcPr>
                <w:p w14:paraId="4522F6EA">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20</w:t>
                  </w:r>
                </w:p>
              </w:tc>
              <w:tc>
                <w:tcPr>
                  <w:tcW w:w="352" w:type="pct"/>
                  <w:vAlign w:val="center"/>
                </w:tcPr>
                <w:p w14:paraId="4606A4EF">
                  <w:pPr>
                    <w:pStyle w:val="31"/>
                    <w:bidi w:val="0"/>
                    <w:ind w:firstLine="0" w:firstLineChars="0"/>
                    <w:jc w:val="center"/>
                    <w:rPr>
                      <w:rFonts w:hint="default"/>
                      <w:color w:val="auto"/>
                      <w:lang w:val="en-US" w:eastAsia="zh-CN"/>
                    </w:rPr>
                  </w:pPr>
                  <w:r>
                    <w:rPr>
                      <w:rFonts w:hint="eastAsia"/>
                      <w:color w:val="auto"/>
                      <w:lang w:val="en-US" w:eastAsia="zh-CN"/>
                    </w:rPr>
                    <w:t>31.96</w:t>
                  </w:r>
                </w:p>
              </w:tc>
              <w:tc>
                <w:tcPr>
                  <w:tcW w:w="433" w:type="pct"/>
                  <w:vAlign w:val="center"/>
                </w:tcPr>
                <w:p w14:paraId="04C30A26">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w:t>
                  </w:r>
                </w:p>
              </w:tc>
            </w:tr>
            <w:tr w14:paraId="38F0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2BA932B5">
                  <w:pPr>
                    <w:pStyle w:val="31"/>
                    <w:bidi w:val="0"/>
                    <w:jc w:val="center"/>
                    <w:rPr>
                      <w:rFonts w:hint="default"/>
                      <w:color w:val="auto"/>
                      <w:lang w:val="en-US" w:eastAsia="zh-CN"/>
                    </w:rPr>
                  </w:pPr>
                </w:p>
              </w:tc>
              <w:tc>
                <w:tcPr>
                  <w:tcW w:w="430" w:type="pct"/>
                  <w:vAlign w:val="center"/>
                </w:tcPr>
                <w:p w14:paraId="78074D02">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开卷机8#</w:t>
                  </w:r>
                </w:p>
              </w:tc>
              <w:tc>
                <w:tcPr>
                  <w:tcW w:w="223" w:type="pct"/>
                  <w:vAlign w:val="center"/>
                </w:tcPr>
                <w:p w14:paraId="58F87661">
                  <w:pPr>
                    <w:pStyle w:val="31"/>
                    <w:bidi w:val="0"/>
                    <w:jc w:val="center"/>
                    <w:rPr>
                      <w:rFonts w:hint="default"/>
                      <w:color w:val="auto"/>
                      <w:lang w:val="en-US" w:eastAsia="zh-CN"/>
                    </w:rPr>
                  </w:pPr>
                  <w:r>
                    <w:rPr>
                      <w:rFonts w:hint="eastAsia" w:eastAsia="宋体" w:cs="黑体"/>
                      <w:b w:val="0"/>
                      <w:color w:val="auto"/>
                      <w:kern w:val="2"/>
                      <w:sz w:val="21"/>
                      <w:szCs w:val="24"/>
                      <w:lang w:val="en-US" w:eastAsia="zh-CN" w:bidi="ar-SA"/>
                    </w:rPr>
                    <w:t>1</w:t>
                  </w:r>
                  <w:r>
                    <w:rPr>
                      <w:rFonts w:hint="eastAsia"/>
                      <w:color w:val="auto"/>
                      <w:lang w:val="en-US" w:eastAsia="zh-CN"/>
                    </w:rPr>
                    <w:t>台</w:t>
                  </w:r>
                </w:p>
              </w:tc>
              <w:tc>
                <w:tcPr>
                  <w:tcW w:w="322" w:type="pct"/>
                  <w:vAlign w:val="center"/>
                </w:tcPr>
                <w:p w14:paraId="043CFC06">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70</w:t>
                  </w:r>
                </w:p>
              </w:tc>
              <w:tc>
                <w:tcPr>
                  <w:tcW w:w="778" w:type="pct"/>
                  <w:vAlign w:val="center"/>
                </w:tcPr>
                <w:p w14:paraId="04CECA4C">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厂房隔声、基础减振</w:t>
                  </w:r>
                </w:p>
              </w:tc>
              <w:tc>
                <w:tcPr>
                  <w:tcW w:w="329" w:type="pct"/>
                  <w:vAlign w:val="center"/>
                </w:tcPr>
                <w:p w14:paraId="0B648CF9">
                  <w:pPr>
                    <w:pStyle w:val="31"/>
                    <w:bidi w:val="0"/>
                    <w:jc w:val="center"/>
                    <w:rPr>
                      <w:rFonts w:hint="default"/>
                      <w:color w:val="auto"/>
                      <w:lang w:val="en-US" w:eastAsia="zh-CN"/>
                    </w:rPr>
                  </w:pPr>
                  <w:r>
                    <w:rPr>
                      <w:rFonts w:hint="eastAsia"/>
                      <w:color w:val="auto"/>
                      <w:lang w:val="en-US" w:eastAsia="zh-CN"/>
                    </w:rPr>
                    <w:t>75.82</w:t>
                  </w:r>
                </w:p>
              </w:tc>
              <w:tc>
                <w:tcPr>
                  <w:tcW w:w="324" w:type="pct"/>
                  <w:vAlign w:val="center"/>
                </w:tcPr>
                <w:p w14:paraId="01CABE75">
                  <w:pPr>
                    <w:pStyle w:val="31"/>
                    <w:bidi w:val="0"/>
                    <w:jc w:val="center"/>
                    <w:rPr>
                      <w:rFonts w:hint="default"/>
                      <w:color w:val="auto"/>
                      <w:lang w:val="en-US" w:eastAsia="zh-CN"/>
                    </w:rPr>
                  </w:pPr>
                  <w:r>
                    <w:rPr>
                      <w:rFonts w:hint="eastAsia"/>
                      <w:color w:val="auto"/>
                      <w:lang w:val="en-US" w:eastAsia="zh-CN"/>
                    </w:rPr>
                    <w:t>103.11</w:t>
                  </w:r>
                </w:p>
              </w:tc>
              <w:tc>
                <w:tcPr>
                  <w:tcW w:w="244" w:type="pct"/>
                  <w:vAlign w:val="center"/>
                </w:tcPr>
                <w:p w14:paraId="6C6582FC">
                  <w:pPr>
                    <w:pStyle w:val="31"/>
                    <w:bidi w:val="0"/>
                    <w:jc w:val="center"/>
                    <w:rPr>
                      <w:rFonts w:hint="default"/>
                      <w:color w:val="auto"/>
                      <w:lang w:val="en-US" w:eastAsia="zh-CN"/>
                    </w:rPr>
                  </w:pPr>
                  <w:r>
                    <w:rPr>
                      <w:rFonts w:hint="eastAsia"/>
                      <w:color w:val="auto"/>
                      <w:lang w:val="en-US" w:eastAsia="zh-CN"/>
                    </w:rPr>
                    <w:t>1</w:t>
                  </w:r>
                </w:p>
              </w:tc>
              <w:tc>
                <w:tcPr>
                  <w:tcW w:w="362" w:type="pct"/>
                  <w:vAlign w:val="center"/>
                </w:tcPr>
                <w:p w14:paraId="15F0D050">
                  <w:pPr>
                    <w:pStyle w:val="31"/>
                    <w:bidi w:val="0"/>
                    <w:ind w:firstLine="0" w:firstLineChars="0"/>
                    <w:jc w:val="center"/>
                    <w:rPr>
                      <w:rFonts w:hint="default"/>
                      <w:color w:val="auto"/>
                      <w:lang w:val="en-US" w:eastAsia="zh-CN"/>
                    </w:rPr>
                  </w:pPr>
                  <w:r>
                    <w:rPr>
                      <w:rFonts w:hint="eastAsia"/>
                      <w:color w:val="auto"/>
                      <w:lang w:val="en-US" w:eastAsia="zh-CN"/>
                    </w:rPr>
                    <w:t>4</w:t>
                  </w:r>
                </w:p>
              </w:tc>
              <w:tc>
                <w:tcPr>
                  <w:tcW w:w="357" w:type="pct"/>
                  <w:vAlign w:val="center"/>
                </w:tcPr>
                <w:p w14:paraId="3F0A7D8A">
                  <w:pPr>
                    <w:pStyle w:val="31"/>
                    <w:bidi w:val="0"/>
                    <w:ind w:firstLine="0" w:firstLineChars="0"/>
                    <w:jc w:val="center"/>
                    <w:rPr>
                      <w:rFonts w:hint="default"/>
                      <w:color w:val="auto"/>
                      <w:lang w:val="en-US" w:eastAsia="zh-CN"/>
                    </w:rPr>
                  </w:pPr>
                  <w:r>
                    <w:rPr>
                      <w:rFonts w:hint="eastAsia"/>
                      <w:color w:val="auto"/>
                      <w:lang w:val="en-US" w:eastAsia="zh-CN"/>
                    </w:rPr>
                    <w:t>57.96</w:t>
                  </w:r>
                </w:p>
              </w:tc>
              <w:tc>
                <w:tcPr>
                  <w:tcW w:w="216" w:type="pct"/>
                  <w:vAlign w:val="center"/>
                </w:tcPr>
                <w:p w14:paraId="19B72A1C">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昼间</w:t>
                  </w:r>
                </w:p>
              </w:tc>
              <w:tc>
                <w:tcPr>
                  <w:tcW w:w="380" w:type="pct"/>
                  <w:vAlign w:val="center"/>
                </w:tcPr>
                <w:p w14:paraId="23202612">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20</w:t>
                  </w:r>
                </w:p>
              </w:tc>
              <w:tc>
                <w:tcPr>
                  <w:tcW w:w="352" w:type="pct"/>
                  <w:vAlign w:val="center"/>
                </w:tcPr>
                <w:p w14:paraId="7F61ED00">
                  <w:pPr>
                    <w:pStyle w:val="31"/>
                    <w:bidi w:val="0"/>
                    <w:ind w:firstLine="0" w:firstLineChars="0"/>
                    <w:jc w:val="center"/>
                    <w:rPr>
                      <w:rFonts w:hint="default"/>
                      <w:color w:val="auto"/>
                      <w:lang w:val="en-US" w:eastAsia="zh-CN"/>
                    </w:rPr>
                  </w:pPr>
                  <w:r>
                    <w:rPr>
                      <w:rFonts w:hint="eastAsia"/>
                      <w:color w:val="auto"/>
                      <w:lang w:val="en-US" w:eastAsia="zh-CN"/>
                    </w:rPr>
                    <w:t>31.96</w:t>
                  </w:r>
                </w:p>
              </w:tc>
              <w:tc>
                <w:tcPr>
                  <w:tcW w:w="433" w:type="pct"/>
                  <w:vAlign w:val="center"/>
                </w:tcPr>
                <w:p w14:paraId="63628399">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w:t>
                  </w:r>
                </w:p>
              </w:tc>
            </w:tr>
            <w:tr w14:paraId="2D00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6334037A">
                  <w:pPr>
                    <w:pStyle w:val="31"/>
                    <w:bidi w:val="0"/>
                    <w:jc w:val="center"/>
                    <w:rPr>
                      <w:rFonts w:hint="default"/>
                      <w:color w:val="auto"/>
                      <w:lang w:val="en-US" w:eastAsia="zh-CN"/>
                    </w:rPr>
                  </w:pPr>
                </w:p>
              </w:tc>
              <w:tc>
                <w:tcPr>
                  <w:tcW w:w="430" w:type="pct"/>
                  <w:vAlign w:val="center"/>
                </w:tcPr>
                <w:p w14:paraId="45C9BA31">
                  <w:pPr>
                    <w:pStyle w:val="31"/>
                    <w:bidi w:val="0"/>
                    <w:ind w:firstLine="0" w:firstLineChars="0"/>
                    <w:jc w:val="center"/>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矫直机8#</w:t>
                  </w:r>
                </w:p>
              </w:tc>
              <w:tc>
                <w:tcPr>
                  <w:tcW w:w="223" w:type="pct"/>
                  <w:vAlign w:val="center"/>
                </w:tcPr>
                <w:p w14:paraId="2AA89848">
                  <w:pPr>
                    <w:pStyle w:val="31"/>
                    <w:bidi w:val="0"/>
                    <w:jc w:val="center"/>
                    <w:rPr>
                      <w:rFonts w:hint="default"/>
                      <w:color w:val="auto"/>
                      <w:lang w:val="en-US" w:eastAsia="zh-CN"/>
                    </w:rPr>
                  </w:pPr>
                  <w:r>
                    <w:rPr>
                      <w:rFonts w:hint="eastAsia" w:eastAsia="宋体" w:cs="黑体"/>
                      <w:b w:val="0"/>
                      <w:color w:val="auto"/>
                      <w:kern w:val="2"/>
                      <w:sz w:val="21"/>
                      <w:szCs w:val="24"/>
                      <w:lang w:val="en-US" w:eastAsia="zh-CN" w:bidi="ar-SA"/>
                    </w:rPr>
                    <w:t>1</w:t>
                  </w:r>
                  <w:r>
                    <w:rPr>
                      <w:rFonts w:hint="eastAsia"/>
                      <w:color w:val="auto"/>
                      <w:lang w:val="en-US" w:eastAsia="zh-CN"/>
                    </w:rPr>
                    <w:t>台</w:t>
                  </w:r>
                </w:p>
              </w:tc>
              <w:tc>
                <w:tcPr>
                  <w:tcW w:w="322" w:type="pct"/>
                  <w:vAlign w:val="center"/>
                </w:tcPr>
                <w:p w14:paraId="38AD6D90">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85</w:t>
                  </w:r>
                </w:p>
              </w:tc>
              <w:tc>
                <w:tcPr>
                  <w:tcW w:w="778" w:type="pct"/>
                  <w:vAlign w:val="center"/>
                </w:tcPr>
                <w:p w14:paraId="015F916F">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厂房隔声、基础减振</w:t>
                  </w:r>
                </w:p>
              </w:tc>
              <w:tc>
                <w:tcPr>
                  <w:tcW w:w="329" w:type="pct"/>
                  <w:vAlign w:val="center"/>
                </w:tcPr>
                <w:p w14:paraId="2347E4B8">
                  <w:pPr>
                    <w:pStyle w:val="31"/>
                    <w:bidi w:val="0"/>
                    <w:jc w:val="center"/>
                    <w:rPr>
                      <w:rFonts w:hint="default"/>
                      <w:color w:val="auto"/>
                      <w:lang w:val="en-US" w:eastAsia="zh-CN"/>
                    </w:rPr>
                  </w:pPr>
                  <w:r>
                    <w:rPr>
                      <w:rFonts w:hint="eastAsia"/>
                      <w:color w:val="auto"/>
                      <w:lang w:val="en-US" w:eastAsia="zh-CN"/>
                    </w:rPr>
                    <w:t>77.2</w:t>
                  </w:r>
                </w:p>
              </w:tc>
              <w:tc>
                <w:tcPr>
                  <w:tcW w:w="324" w:type="pct"/>
                  <w:vAlign w:val="center"/>
                </w:tcPr>
                <w:p w14:paraId="1FEDD5FC">
                  <w:pPr>
                    <w:pStyle w:val="31"/>
                    <w:bidi w:val="0"/>
                    <w:jc w:val="center"/>
                    <w:rPr>
                      <w:rFonts w:hint="default"/>
                      <w:color w:val="auto"/>
                      <w:lang w:val="en-US" w:eastAsia="zh-CN"/>
                    </w:rPr>
                  </w:pPr>
                  <w:r>
                    <w:rPr>
                      <w:rFonts w:hint="eastAsia"/>
                      <w:color w:val="auto"/>
                      <w:lang w:val="en-US" w:eastAsia="zh-CN"/>
                    </w:rPr>
                    <w:t>96.38</w:t>
                  </w:r>
                </w:p>
              </w:tc>
              <w:tc>
                <w:tcPr>
                  <w:tcW w:w="244" w:type="pct"/>
                  <w:vAlign w:val="center"/>
                </w:tcPr>
                <w:p w14:paraId="564AF59A">
                  <w:pPr>
                    <w:pStyle w:val="31"/>
                    <w:bidi w:val="0"/>
                    <w:jc w:val="center"/>
                    <w:rPr>
                      <w:rFonts w:hint="default"/>
                      <w:color w:val="auto"/>
                      <w:lang w:val="en-US" w:eastAsia="zh-CN"/>
                    </w:rPr>
                  </w:pPr>
                  <w:r>
                    <w:rPr>
                      <w:rFonts w:hint="eastAsia"/>
                      <w:color w:val="auto"/>
                      <w:lang w:val="en-US" w:eastAsia="zh-CN"/>
                    </w:rPr>
                    <w:t>1</w:t>
                  </w:r>
                </w:p>
              </w:tc>
              <w:tc>
                <w:tcPr>
                  <w:tcW w:w="362" w:type="pct"/>
                  <w:vAlign w:val="center"/>
                </w:tcPr>
                <w:p w14:paraId="4B650960">
                  <w:pPr>
                    <w:pStyle w:val="31"/>
                    <w:bidi w:val="0"/>
                    <w:ind w:firstLine="0" w:firstLineChars="0"/>
                    <w:jc w:val="center"/>
                    <w:rPr>
                      <w:rFonts w:hint="default"/>
                      <w:color w:val="auto"/>
                      <w:lang w:val="en-US" w:eastAsia="zh-CN"/>
                    </w:rPr>
                  </w:pPr>
                  <w:r>
                    <w:rPr>
                      <w:rFonts w:hint="eastAsia"/>
                      <w:color w:val="auto"/>
                      <w:lang w:val="en-US" w:eastAsia="zh-CN"/>
                    </w:rPr>
                    <w:t>5</w:t>
                  </w:r>
                </w:p>
              </w:tc>
              <w:tc>
                <w:tcPr>
                  <w:tcW w:w="357" w:type="pct"/>
                  <w:vAlign w:val="center"/>
                </w:tcPr>
                <w:p w14:paraId="389A4102">
                  <w:pPr>
                    <w:pStyle w:val="31"/>
                    <w:bidi w:val="0"/>
                    <w:ind w:firstLine="0" w:firstLineChars="0"/>
                    <w:jc w:val="center"/>
                    <w:rPr>
                      <w:rFonts w:hint="default"/>
                      <w:color w:val="auto"/>
                      <w:lang w:val="en-US" w:eastAsia="zh-CN"/>
                    </w:rPr>
                  </w:pPr>
                  <w:r>
                    <w:rPr>
                      <w:rFonts w:hint="eastAsia"/>
                      <w:color w:val="auto"/>
                      <w:lang w:val="en-US" w:eastAsia="zh-CN"/>
                    </w:rPr>
                    <w:t>71.02</w:t>
                  </w:r>
                </w:p>
              </w:tc>
              <w:tc>
                <w:tcPr>
                  <w:tcW w:w="216" w:type="pct"/>
                  <w:vAlign w:val="center"/>
                </w:tcPr>
                <w:p w14:paraId="3EEFFF80">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昼间</w:t>
                  </w:r>
                </w:p>
              </w:tc>
              <w:tc>
                <w:tcPr>
                  <w:tcW w:w="380" w:type="pct"/>
                  <w:vAlign w:val="center"/>
                </w:tcPr>
                <w:p w14:paraId="73116749">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20</w:t>
                  </w:r>
                </w:p>
              </w:tc>
              <w:tc>
                <w:tcPr>
                  <w:tcW w:w="352" w:type="pct"/>
                  <w:vAlign w:val="center"/>
                </w:tcPr>
                <w:p w14:paraId="612E0C0E">
                  <w:pPr>
                    <w:pStyle w:val="31"/>
                    <w:bidi w:val="0"/>
                    <w:ind w:firstLine="0" w:firstLineChars="0"/>
                    <w:jc w:val="center"/>
                    <w:rPr>
                      <w:rFonts w:hint="default"/>
                      <w:color w:val="auto"/>
                      <w:lang w:val="en-US" w:eastAsia="zh-CN"/>
                    </w:rPr>
                  </w:pPr>
                  <w:r>
                    <w:rPr>
                      <w:rFonts w:hint="eastAsia"/>
                      <w:color w:val="auto"/>
                      <w:lang w:val="en-US" w:eastAsia="zh-CN"/>
                    </w:rPr>
                    <w:t>45.02</w:t>
                  </w:r>
                </w:p>
              </w:tc>
              <w:tc>
                <w:tcPr>
                  <w:tcW w:w="433" w:type="pct"/>
                  <w:vAlign w:val="center"/>
                </w:tcPr>
                <w:p w14:paraId="18363707">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w:t>
                  </w:r>
                </w:p>
              </w:tc>
            </w:tr>
            <w:tr w14:paraId="34AE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Merge w:val="continue"/>
                  <w:vAlign w:val="center"/>
                </w:tcPr>
                <w:p w14:paraId="1C58ED68">
                  <w:pPr>
                    <w:pStyle w:val="31"/>
                    <w:bidi w:val="0"/>
                    <w:jc w:val="center"/>
                    <w:rPr>
                      <w:rFonts w:hint="default"/>
                      <w:color w:val="auto"/>
                      <w:lang w:val="en-US" w:eastAsia="zh-CN"/>
                    </w:rPr>
                  </w:pPr>
                </w:p>
              </w:tc>
              <w:tc>
                <w:tcPr>
                  <w:tcW w:w="430" w:type="pct"/>
                  <w:vAlign w:val="center"/>
                </w:tcPr>
                <w:p w14:paraId="0C49D24C">
                  <w:pPr>
                    <w:pStyle w:val="31"/>
                    <w:bidi w:val="0"/>
                    <w:ind w:firstLine="0" w:firstLineChars="0"/>
                    <w:jc w:val="center"/>
                    <w:rPr>
                      <w:rFonts w:hint="default"/>
                      <w:color w:val="auto"/>
                      <w:lang w:val="en-US" w:eastAsia="zh-CN"/>
                    </w:rPr>
                  </w:pPr>
                  <w:r>
                    <w:rPr>
                      <w:rFonts w:hint="eastAsia"/>
                      <w:color w:val="auto"/>
                      <w:lang w:val="en-US" w:eastAsia="zh-CN"/>
                    </w:rPr>
                    <w:t>空压机3#</w:t>
                  </w:r>
                </w:p>
              </w:tc>
              <w:tc>
                <w:tcPr>
                  <w:tcW w:w="223" w:type="pct"/>
                  <w:vAlign w:val="center"/>
                </w:tcPr>
                <w:p w14:paraId="11F2C7AF">
                  <w:pPr>
                    <w:pStyle w:val="31"/>
                    <w:bidi w:val="0"/>
                    <w:jc w:val="center"/>
                    <w:rPr>
                      <w:rFonts w:hint="default" w:eastAsia="宋体" w:cs="黑体"/>
                      <w:b w:val="0"/>
                      <w:color w:val="auto"/>
                      <w:kern w:val="2"/>
                      <w:sz w:val="21"/>
                      <w:szCs w:val="24"/>
                      <w:lang w:val="en-US" w:eastAsia="zh-CN" w:bidi="ar-SA"/>
                    </w:rPr>
                  </w:pPr>
                  <w:r>
                    <w:rPr>
                      <w:rFonts w:hint="eastAsia" w:cs="黑体"/>
                      <w:b w:val="0"/>
                      <w:color w:val="auto"/>
                      <w:kern w:val="2"/>
                      <w:sz w:val="21"/>
                      <w:szCs w:val="24"/>
                      <w:lang w:val="en-US" w:eastAsia="zh-CN" w:bidi="ar-SA"/>
                    </w:rPr>
                    <w:t>1台</w:t>
                  </w:r>
                </w:p>
              </w:tc>
              <w:tc>
                <w:tcPr>
                  <w:tcW w:w="322" w:type="pct"/>
                  <w:vAlign w:val="center"/>
                </w:tcPr>
                <w:p w14:paraId="5E6FC883">
                  <w:pPr>
                    <w:pStyle w:val="31"/>
                    <w:bidi w:val="0"/>
                    <w:ind w:firstLine="0" w:firstLineChars="0"/>
                    <w:jc w:val="center"/>
                    <w:rPr>
                      <w:rFonts w:hint="default"/>
                      <w:color w:val="auto"/>
                      <w:lang w:val="en-US" w:eastAsia="zh-CN"/>
                    </w:rPr>
                  </w:pPr>
                  <w:r>
                    <w:rPr>
                      <w:rFonts w:hint="eastAsia"/>
                      <w:color w:val="auto"/>
                      <w:lang w:val="en-US" w:eastAsia="zh-CN"/>
                    </w:rPr>
                    <w:t>75</w:t>
                  </w:r>
                </w:p>
              </w:tc>
              <w:tc>
                <w:tcPr>
                  <w:tcW w:w="778" w:type="pct"/>
                  <w:vAlign w:val="center"/>
                </w:tcPr>
                <w:p w14:paraId="5D370B0B">
                  <w:pPr>
                    <w:pStyle w:val="31"/>
                    <w:bidi w:val="0"/>
                    <w:ind w:firstLine="0" w:firstLineChars="0"/>
                    <w:jc w:val="center"/>
                    <w:rPr>
                      <w:rFonts w:hint="eastAsia"/>
                      <w:color w:val="auto"/>
                      <w:lang w:val="en-US" w:eastAsia="zh-CN"/>
                    </w:rPr>
                  </w:pPr>
                  <w:r>
                    <w:rPr>
                      <w:rFonts w:hint="eastAsia"/>
                      <w:color w:val="auto"/>
                      <w:lang w:val="en-US" w:eastAsia="zh-CN"/>
                    </w:rPr>
                    <w:t>厂房隔声、基础减振</w:t>
                  </w:r>
                </w:p>
              </w:tc>
              <w:tc>
                <w:tcPr>
                  <w:tcW w:w="329" w:type="pct"/>
                  <w:vAlign w:val="center"/>
                </w:tcPr>
                <w:p w14:paraId="0FCB4592">
                  <w:pPr>
                    <w:pStyle w:val="31"/>
                    <w:bidi w:val="0"/>
                    <w:jc w:val="center"/>
                    <w:rPr>
                      <w:rFonts w:hint="default"/>
                      <w:color w:val="auto"/>
                      <w:lang w:val="en-US" w:eastAsia="zh-CN"/>
                    </w:rPr>
                  </w:pPr>
                  <w:r>
                    <w:rPr>
                      <w:rFonts w:hint="eastAsia"/>
                      <w:color w:val="auto"/>
                      <w:lang w:val="en-US" w:eastAsia="zh-CN"/>
                    </w:rPr>
                    <w:t>87.8</w:t>
                  </w:r>
                </w:p>
              </w:tc>
              <w:tc>
                <w:tcPr>
                  <w:tcW w:w="324" w:type="pct"/>
                  <w:vAlign w:val="center"/>
                </w:tcPr>
                <w:p w14:paraId="3EBFAABC">
                  <w:pPr>
                    <w:pStyle w:val="31"/>
                    <w:bidi w:val="0"/>
                    <w:jc w:val="center"/>
                    <w:rPr>
                      <w:rFonts w:hint="default"/>
                      <w:color w:val="auto"/>
                      <w:lang w:val="en-US" w:eastAsia="zh-CN"/>
                    </w:rPr>
                  </w:pPr>
                  <w:r>
                    <w:rPr>
                      <w:rFonts w:hint="eastAsia"/>
                      <w:color w:val="auto"/>
                      <w:lang w:val="en-US" w:eastAsia="zh-CN"/>
                    </w:rPr>
                    <w:t>84.99</w:t>
                  </w:r>
                </w:p>
              </w:tc>
              <w:tc>
                <w:tcPr>
                  <w:tcW w:w="244" w:type="pct"/>
                  <w:vAlign w:val="center"/>
                </w:tcPr>
                <w:p w14:paraId="59F730B6">
                  <w:pPr>
                    <w:pStyle w:val="31"/>
                    <w:bidi w:val="0"/>
                    <w:jc w:val="center"/>
                    <w:rPr>
                      <w:rFonts w:hint="default"/>
                      <w:color w:val="auto"/>
                      <w:lang w:val="en-US" w:eastAsia="zh-CN"/>
                    </w:rPr>
                  </w:pPr>
                  <w:r>
                    <w:rPr>
                      <w:rFonts w:hint="eastAsia"/>
                      <w:color w:val="auto"/>
                      <w:lang w:val="en-US" w:eastAsia="zh-CN"/>
                    </w:rPr>
                    <w:t>1</w:t>
                  </w:r>
                </w:p>
              </w:tc>
              <w:tc>
                <w:tcPr>
                  <w:tcW w:w="362" w:type="pct"/>
                  <w:vAlign w:val="center"/>
                </w:tcPr>
                <w:p w14:paraId="1E031494">
                  <w:pPr>
                    <w:pStyle w:val="31"/>
                    <w:bidi w:val="0"/>
                    <w:ind w:firstLine="0" w:firstLineChars="0"/>
                    <w:jc w:val="center"/>
                    <w:rPr>
                      <w:rFonts w:hint="default"/>
                      <w:color w:val="auto"/>
                      <w:lang w:val="en-US" w:eastAsia="zh-CN"/>
                    </w:rPr>
                  </w:pPr>
                  <w:r>
                    <w:rPr>
                      <w:rFonts w:hint="eastAsia"/>
                      <w:color w:val="auto"/>
                      <w:lang w:val="en-US" w:eastAsia="zh-CN"/>
                    </w:rPr>
                    <w:t>3</w:t>
                  </w:r>
                </w:p>
              </w:tc>
              <w:tc>
                <w:tcPr>
                  <w:tcW w:w="357" w:type="pct"/>
                  <w:vAlign w:val="center"/>
                </w:tcPr>
                <w:p w14:paraId="47ACCB17">
                  <w:pPr>
                    <w:pStyle w:val="31"/>
                    <w:bidi w:val="0"/>
                    <w:ind w:firstLine="0" w:firstLineChars="0"/>
                    <w:jc w:val="center"/>
                    <w:rPr>
                      <w:rFonts w:hint="default"/>
                      <w:color w:val="auto"/>
                      <w:lang w:val="en-US" w:eastAsia="zh-CN"/>
                    </w:rPr>
                  </w:pPr>
                  <w:r>
                    <w:rPr>
                      <w:rFonts w:hint="eastAsia"/>
                      <w:color w:val="auto"/>
                      <w:lang w:val="en-US" w:eastAsia="zh-CN"/>
                    </w:rPr>
                    <w:t>65.46</w:t>
                  </w:r>
                </w:p>
              </w:tc>
              <w:tc>
                <w:tcPr>
                  <w:tcW w:w="216" w:type="pct"/>
                  <w:vAlign w:val="center"/>
                </w:tcPr>
                <w:p w14:paraId="6138F4B4">
                  <w:pPr>
                    <w:pStyle w:val="31"/>
                    <w:bidi w:val="0"/>
                    <w:ind w:firstLine="0" w:firstLineChars="0"/>
                    <w:jc w:val="center"/>
                    <w:rPr>
                      <w:rFonts w:hint="eastAsia"/>
                      <w:color w:val="auto"/>
                      <w:lang w:val="en-US" w:eastAsia="zh-CN"/>
                    </w:rPr>
                  </w:pPr>
                  <w:r>
                    <w:rPr>
                      <w:rFonts w:hint="eastAsia"/>
                      <w:color w:val="auto"/>
                      <w:lang w:val="en-US" w:eastAsia="zh-CN"/>
                    </w:rPr>
                    <w:t>昼间</w:t>
                  </w:r>
                </w:p>
              </w:tc>
              <w:tc>
                <w:tcPr>
                  <w:tcW w:w="380" w:type="pct"/>
                  <w:vAlign w:val="center"/>
                </w:tcPr>
                <w:p w14:paraId="6736B513">
                  <w:pPr>
                    <w:pStyle w:val="31"/>
                    <w:bidi w:val="0"/>
                    <w:ind w:firstLine="0" w:firstLineChars="0"/>
                    <w:jc w:val="center"/>
                    <w:rPr>
                      <w:rFonts w:hint="default"/>
                      <w:color w:val="auto"/>
                      <w:lang w:val="en-US" w:eastAsia="zh-CN"/>
                    </w:rPr>
                  </w:pPr>
                  <w:r>
                    <w:rPr>
                      <w:rFonts w:hint="eastAsia"/>
                      <w:color w:val="auto"/>
                      <w:lang w:val="en-US" w:eastAsia="zh-CN"/>
                    </w:rPr>
                    <w:t>20</w:t>
                  </w:r>
                </w:p>
              </w:tc>
              <w:tc>
                <w:tcPr>
                  <w:tcW w:w="352" w:type="pct"/>
                  <w:vAlign w:val="center"/>
                </w:tcPr>
                <w:p w14:paraId="6ADEE508">
                  <w:pPr>
                    <w:pStyle w:val="31"/>
                    <w:bidi w:val="0"/>
                    <w:ind w:firstLine="0" w:firstLineChars="0"/>
                    <w:jc w:val="center"/>
                    <w:rPr>
                      <w:rFonts w:hint="default"/>
                      <w:color w:val="auto"/>
                      <w:lang w:val="en-US" w:eastAsia="zh-CN"/>
                    </w:rPr>
                  </w:pPr>
                  <w:r>
                    <w:rPr>
                      <w:rFonts w:hint="eastAsia"/>
                      <w:color w:val="auto"/>
                      <w:lang w:val="en-US" w:eastAsia="zh-CN"/>
                    </w:rPr>
                    <w:t>39.46</w:t>
                  </w:r>
                </w:p>
              </w:tc>
              <w:tc>
                <w:tcPr>
                  <w:tcW w:w="433" w:type="pct"/>
                  <w:vAlign w:val="center"/>
                </w:tcPr>
                <w:p w14:paraId="2F7699D2">
                  <w:pPr>
                    <w:pStyle w:val="31"/>
                    <w:bidi w:val="0"/>
                    <w:ind w:firstLine="0" w:firstLineChars="0"/>
                    <w:jc w:val="center"/>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1</w:t>
                  </w:r>
                </w:p>
              </w:tc>
            </w:tr>
            <w:tr w14:paraId="5F33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Align w:val="center"/>
                </w:tcPr>
                <w:p w14:paraId="51F4BC7D">
                  <w:pPr>
                    <w:pStyle w:val="31"/>
                    <w:bidi w:val="0"/>
                    <w:jc w:val="center"/>
                    <w:rPr>
                      <w:rFonts w:hint="default"/>
                      <w:color w:val="auto"/>
                      <w:lang w:val="en-US" w:eastAsia="zh-CN"/>
                    </w:rPr>
                  </w:pPr>
                  <w:r>
                    <w:rPr>
                      <w:rFonts w:hint="eastAsia"/>
                      <w:color w:val="auto"/>
                      <w:lang w:val="en-US" w:eastAsia="zh-CN"/>
                    </w:rPr>
                    <w:t>2#焊管车间</w:t>
                  </w:r>
                </w:p>
              </w:tc>
              <w:tc>
                <w:tcPr>
                  <w:tcW w:w="430" w:type="pct"/>
                  <w:vAlign w:val="center"/>
                </w:tcPr>
                <w:p w14:paraId="519D4199">
                  <w:pPr>
                    <w:pStyle w:val="31"/>
                    <w:bidi w:val="0"/>
                    <w:ind w:firstLine="0" w:firstLineChars="0"/>
                    <w:jc w:val="center"/>
                    <w:rPr>
                      <w:rFonts w:hint="default"/>
                      <w:color w:val="auto"/>
                      <w:lang w:val="en-US" w:eastAsia="zh-CN"/>
                    </w:rPr>
                  </w:pPr>
                  <w:r>
                    <w:rPr>
                      <w:rFonts w:hint="eastAsia"/>
                      <w:color w:val="auto"/>
                      <w:lang w:val="en-US" w:eastAsia="zh-CN"/>
                    </w:rPr>
                    <w:t>1#风机</w:t>
                  </w:r>
                </w:p>
              </w:tc>
              <w:tc>
                <w:tcPr>
                  <w:tcW w:w="223" w:type="pct"/>
                  <w:vAlign w:val="center"/>
                </w:tcPr>
                <w:p w14:paraId="449B6A00">
                  <w:pPr>
                    <w:pStyle w:val="31"/>
                    <w:bidi w:val="0"/>
                    <w:jc w:val="center"/>
                    <w:rPr>
                      <w:rFonts w:hint="default" w:cs="黑体"/>
                      <w:b w:val="0"/>
                      <w:color w:val="auto"/>
                      <w:kern w:val="2"/>
                      <w:sz w:val="21"/>
                      <w:szCs w:val="24"/>
                      <w:lang w:val="en-US" w:eastAsia="zh-CN" w:bidi="ar-SA"/>
                    </w:rPr>
                  </w:pPr>
                  <w:r>
                    <w:rPr>
                      <w:rFonts w:hint="eastAsia" w:cs="黑体"/>
                      <w:b w:val="0"/>
                      <w:color w:val="auto"/>
                      <w:kern w:val="2"/>
                      <w:sz w:val="21"/>
                      <w:szCs w:val="24"/>
                      <w:lang w:val="en-US" w:eastAsia="zh-CN" w:bidi="ar-SA"/>
                    </w:rPr>
                    <w:t>1台</w:t>
                  </w:r>
                </w:p>
              </w:tc>
              <w:tc>
                <w:tcPr>
                  <w:tcW w:w="322" w:type="pct"/>
                  <w:vAlign w:val="center"/>
                </w:tcPr>
                <w:p w14:paraId="3B7468DD">
                  <w:pPr>
                    <w:pStyle w:val="31"/>
                    <w:bidi w:val="0"/>
                    <w:ind w:firstLine="0" w:firstLineChars="0"/>
                    <w:jc w:val="center"/>
                    <w:rPr>
                      <w:rFonts w:hint="default"/>
                      <w:color w:val="auto"/>
                      <w:lang w:val="en-US" w:eastAsia="zh-CN"/>
                    </w:rPr>
                  </w:pPr>
                  <w:r>
                    <w:rPr>
                      <w:rFonts w:hint="eastAsia"/>
                      <w:color w:val="auto"/>
                      <w:lang w:val="en-US" w:eastAsia="zh-CN"/>
                    </w:rPr>
                    <w:t>90</w:t>
                  </w:r>
                </w:p>
              </w:tc>
              <w:tc>
                <w:tcPr>
                  <w:tcW w:w="778" w:type="pct"/>
                  <w:vAlign w:val="center"/>
                </w:tcPr>
                <w:p w14:paraId="7C8B1B28">
                  <w:pPr>
                    <w:pStyle w:val="31"/>
                    <w:bidi w:val="0"/>
                    <w:ind w:firstLine="0" w:firstLineChars="0"/>
                    <w:jc w:val="center"/>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厂房隔声、基础减振</w:t>
                  </w:r>
                </w:p>
              </w:tc>
              <w:tc>
                <w:tcPr>
                  <w:tcW w:w="329" w:type="pct"/>
                  <w:vAlign w:val="center"/>
                </w:tcPr>
                <w:p w14:paraId="5F90E23F">
                  <w:pPr>
                    <w:pStyle w:val="31"/>
                    <w:bidi w:val="0"/>
                    <w:ind w:firstLine="0" w:firstLineChars="0"/>
                    <w:jc w:val="center"/>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62.47</w:t>
                  </w:r>
                </w:p>
              </w:tc>
              <w:tc>
                <w:tcPr>
                  <w:tcW w:w="324" w:type="pct"/>
                  <w:vAlign w:val="center"/>
                </w:tcPr>
                <w:p w14:paraId="78D64A08">
                  <w:pPr>
                    <w:pStyle w:val="31"/>
                    <w:bidi w:val="0"/>
                    <w:jc w:val="center"/>
                    <w:rPr>
                      <w:rFonts w:hint="eastAsia"/>
                      <w:color w:val="auto"/>
                      <w:lang w:val="en-US" w:eastAsia="zh-CN"/>
                    </w:rPr>
                  </w:pPr>
                  <w:r>
                    <w:rPr>
                      <w:rFonts w:hint="eastAsia"/>
                      <w:color w:val="auto"/>
                      <w:lang w:val="en-US" w:eastAsia="zh-CN"/>
                    </w:rPr>
                    <w:t>-1.53</w:t>
                  </w:r>
                </w:p>
              </w:tc>
              <w:tc>
                <w:tcPr>
                  <w:tcW w:w="244" w:type="pct"/>
                  <w:vAlign w:val="center"/>
                </w:tcPr>
                <w:p w14:paraId="1F9B901B">
                  <w:pPr>
                    <w:pStyle w:val="31"/>
                    <w:bidi w:val="0"/>
                    <w:jc w:val="center"/>
                    <w:rPr>
                      <w:rFonts w:hint="default"/>
                      <w:color w:val="auto"/>
                      <w:lang w:val="en-US" w:eastAsia="zh-CN"/>
                    </w:rPr>
                  </w:pPr>
                  <w:r>
                    <w:rPr>
                      <w:rFonts w:hint="eastAsia"/>
                      <w:color w:val="auto"/>
                      <w:lang w:val="en-US" w:eastAsia="zh-CN"/>
                    </w:rPr>
                    <w:t>1</w:t>
                  </w:r>
                </w:p>
              </w:tc>
              <w:tc>
                <w:tcPr>
                  <w:tcW w:w="362" w:type="pct"/>
                  <w:vAlign w:val="center"/>
                </w:tcPr>
                <w:p w14:paraId="2AE12C1E">
                  <w:pPr>
                    <w:pStyle w:val="31"/>
                    <w:bidi w:val="0"/>
                    <w:ind w:firstLine="0" w:firstLineChars="0"/>
                    <w:jc w:val="center"/>
                    <w:rPr>
                      <w:rFonts w:hint="default"/>
                      <w:color w:val="auto"/>
                      <w:lang w:val="en-US" w:eastAsia="zh-CN"/>
                    </w:rPr>
                  </w:pPr>
                  <w:r>
                    <w:rPr>
                      <w:rFonts w:hint="eastAsia"/>
                      <w:color w:val="auto"/>
                      <w:lang w:val="en-US" w:eastAsia="zh-CN"/>
                    </w:rPr>
                    <w:t>5</w:t>
                  </w:r>
                </w:p>
              </w:tc>
              <w:tc>
                <w:tcPr>
                  <w:tcW w:w="357" w:type="pct"/>
                  <w:vAlign w:val="center"/>
                </w:tcPr>
                <w:p w14:paraId="337FE7F9">
                  <w:pPr>
                    <w:pStyle w:val="31"/>
                    <w:bidi w:val="0"/>
                    <w:ind w:firstLine="0" w:firstLineChars="0"/>
                    <w:jc w:val="center"/>
                    <w:rPr>
                      <w:rFonts w:hint="default"/>
                      <w:color w:val="auto"/>
                      <w:lang w:val="en-US" w:eastAsia="zh-CN"/>
                    </w:rPr>
                  </w:pPr>
                  <w:r>
                    <w:rPr>
                      <w:rFonts w:hint="eastAsia"/>
                      <w:color w:val="auto"/>
                      <w:lang w:val="en-US" w:eastAsia="zh-CN"/>
                    </w:rPr>
                    <w:t>76.02</w:t>
                  </w:r>
                </w:p>
              </w:tc>
              <w:tc>
                <w:tcPr>
                  <w:tcW w:w="216" w:type="pct"/>
                  <w:vAlign w:val="center"/>
                </w:tcPr>
                <w:p w14:paraId="7AB90950">
                  <w:pPr>
                    <w:pStyle w:val="31"/>
                    <w:bidi w:val="0"/>
                    <w:ind w:firstLine="0" w:firstLineChars="0"/>
                    <w:jc w:val="center"/>
                    <w:rPr>
                      <w:rFonts w:hint="eastAsia"/>
                      <w:color w:val="auto"/>
                      <w:lang w:val="en-US" w:eastAsia="zh-CN"/>
                    </w:rPr>
                  </w:pPr>
                  <w:r>
                    <w:rPr>
                      <w:rFonts w:hint="eastAsia"/>
                      <w:color w:val="auto"/>
                      <w:lang w:val="en-US" w:eastAsia="zh-CN"/>
                    </w:rPr>
                    <w:t>昼间</w:t>
                  </w:r>
                </w:p>
              </w:tc>
              <w:tc>
                <w:tcPr>
                  <w:tcW w:w="380" w:type="pct"/>
                  <w:vAlign w:val="center"/>
                </w:tcPr>
                <w:p w14:paraId="469E9484">
                  <w:pPr>
                    <w:pStyle w:val="31"/>
                    <w:bidi w:val="0"/>
                    <w:ind w:firstLine="0" w:firstLineChars="0"/>
                    <w:jc w:val="center"/>
                    <w:rPr>
                      <w:rFonts w:hint="default"/>
                      <w:color w:val="auto"/>
                      <w:lang w:val="en-US" w:eastAsia="zh-CN"/>
                    </w:rPr>
                  </w:pPr>
                  <w:r>
                    <w:rPr>
                      <w:rFonts w:hint="eastAsia"/>
                      <w:color w:val="auto"/>
                      <w:lang w:val="en-US" w:eastAsia="zh-CN"/>
                    </w:rPr>
                    <w:t>20</w:t>
                  </w:r>
                </w:p>
              </w:tc>
              <w:tc>
                <w:tcPr>
                  <w:tcW w:w="352" w:type="pct"/>
                  <w:vAlign w:val="center"/>
                </w:tcPr>
                <w:p w14:paraId="705373DA">
                  <w:pPr>
                    <w:pStyle w:val="31"/>
                    <w:bidi w:val="0"/>
                    <w:ind w:firstLine="0" w:firstLineChars="0"/>
                    <w:jc w:val="center"/>
                    <w:rPr>
                      <w:rFonts w:hint="default"/>
                      <w:color w:val="auto"/>
                      <w:lang w:val="en-US" w:eastAsia="zh-CN"/>
                    </w:rPr>
                  </w:pPr>
                  <w:r>
                    <w:rPr>
                      <w:rFonts w:hint="eastAsia"/>
                      <w:color w:val="auto"/>
                      <w:lang w:val="en-US" w:eastAsia="zh-CN"/>
                    </w:rPr>
                    <w:t>50.02</w:t>
                  </w:r>
                </w:p>
              </w:tc>
              <w:tc>
                <w:tcPr>
                  <w:tcW w:w="433" w:type="pct"/>
                  <w:vAlign w:val="center"/>
                </w:tcPr>
                <w:p w14:paraId="06EB1161">
                  <w:pPr>
                    <w:pStyle w:val="31"/>
                    <w:bidi w:val="0"/>
                    <w:ind w:firstLine="0" w:firstLineChars="0"/>
                    <w:jc w:val="center"/>
                    <w:rPr>
                      <w:rFonts w:hint="default"/>
                      <w:color w:val="auto"/>
                      <w:lang w:val="en-US" w:eastAsia="zh-CN"/>
                    </w:rPr>
                  </w:pPr>
                  <w:r>
                    <w:rPr>
                      <w:rFonts w:hint="eastAsia"/>
                      <w:color w:val="auto"/>
                      <w:lang w:val="en-US" w:eastAsia="zh-CN"/>
                    </w:rPr>
                    <w:t>1</w:t>
                  </w:r>
                </w:p>
              </w:tc>
            </w:tr>
            <w:tr w14:paraId="40519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Align w:val="center"/>
                </w:tcPr>
                <w:p w14:paraId="327905FF">
                  <w:pPr>
                    <w:pStyle w:val="31"/>
                    <w:bidi w:val="0"/>
                    <w:jc w:val="center"/>
                    <w:rPr>
                      <w:rFonts w:hint="default"/>
                      <w:color w:val="auto"/>
                      <w:lang w:val="en-US" w:eastAsia="zh-CN"/>
                    </w:rPr>
                  </w:pPr>
                  <w:r>
                    <w:rPr>
                      <w:rFonts w:hint="eastAsia"/>
                      <w:color w:val="auto"/>
                      <w:lang w:val="en-US" w:eastAsia="zh-CN"/>
                    </w:rPr>
                    <w:t>3#焊管车间</w:t>
                  </w:r>
                </w:p>
              </w:tc>
              <w:tc>
                <w:tcPr>
                  <w:tcW w:w="430" w:type="pct"/>
                  <w:vAlign w:val="center"/>
                </w:tcPr>
                <w:p w14:paraId="7ABA2F71">
                  <w:pPr>
                    <w:pStyle w:val="31"/>
                    <w:bidi w:val="0"/>
                    <w:ind w:firstLine="0" w:firstLineChars="0"/>
                    <w:jc w:val="center"/>
                    <w:rPr>
                      <w:rFonts w:hint="default"/>
                      <w:color w:val="auto"/>
                      <w:lang w:val="en-US" w:eastAsia="zh-CN"/>
                    </w:rPr>
                  </w:pPr>
                  <w:r>
                    <w:rPr>
                      <w:rFonts w:hint="eastAsia"/>
                      <w:color w:val="auto"/>
                      <w:lang w:val="en-US" w:eastAsia="zh-CN"/>
                    </w:rPr>
                    <w:t>2#风机</w:t>
                  </w:r>
                </w:p>
              </w:tc>
              <w:tc>
                <w:tcPr>
                  <w:tcW w:w="223" w:type="pct"/>
                  <w:vAlign w:val="center"/>
                </w:tcPr>
                <w:p w14:paraId="70B3823C">
                  <w:pPr>
                    <w:pStyle w:val="31"/>
                    <w:bidi w:val="0"/>
                    <w:jc w:val="center"/>
                    <w:rPr>
                      <w:rFonts w:hint="eastAsia" w:cs="黑体"/>
                      <w:b w:val="0"/>
                      <w:color w:val="auto"/>
                      <w:kern w:val="2"/>
                      <w:sz w:val="21"/>
                      <w:szCs w:val="24"/>
                      <w:lang w:val="en-US" w:eastAsia="zh-CN" w:bidi="ar-SA"/>
                    </w:rPr>
                  </w:pPr>
                  <w:r>
                    <w:rPr>
                      <w:rFonts w:hint="eastAsia" w:cs="黑体"/>
                      <w:b w:val="0"/>
                      <w:color w:val="auto"/>
                      <w:kern w:val="2"/>
                      <w:sz w:val="21"/>
                      <w:szCs w:val="24"/>
                      <w:lang w:val="en-US" w:eastAsia="zh-CN" w:bidi="ar-SA"/>
                    </w:rPr>
                    <w:t>1台</w:t>
                  </w:r>
                </w:p>
              </w:tc>
              <w:tc>
                <w:tcPr>
                  <w:tcW w:w="322" w:type="pct"/>
                  <w:vAlign w:val="center"/>
                </w:tcPr>
                <w:p w14:paraId="1E427195">
                  <w:pPr>
                    <w:pStyle w:val="31"/>
                    <w:bidi w:val="0"/>
                    <w:ind w:firstLine="0" w:firstLineChars="0"/>
                    <w:jc w:val="center"/>
                    <w:rPr>
                      <w:rFonts w:hint="default"/>
                      <w:color w:val="auto"/>
                      <w:lang w:val="en-US" w:eastAsia="zh-CN"/>
                    </w:rPr>
                  </w:pPr>
                  <w:r>
                    <w:rPr>
                      <w:rFonts w:hint="eastAsia"/>
                      <w:color w:val="auto"/>
                      <w:lang w:val="en-US" w:eastAsia="zh-CN"/>
                    </w:rPr>
                    <w:t>90</w:t>
                  </w:r>
                </w:p>
              </w:tc>
              <w:tc>
                <w:tcPr>
                  <w:tcW w:w="778" w:type="pct"/>
                  <w:vAlign w:val="center"/>
                </w:tcPr>
                <w:p w14:paraId="207F870B">
                  <w:pPr>
                    <w:pStyle w:val="31"/>
                    <w:bidi w:val="0"/>
                    <w:ind w:firstLine="0" w:firstLineChars="0"/>
                    <w:jc w:val="center"/>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厂房隔声、基础减振</w:t>
                  </w:r>
                </w:p>
              </w:tc>
              <w:tc>
                <w:tcPr>
                  <w:tcW w:w="329" w:type="pct"/>
                  <w:vAlign w:val="center"/>
                </w:tcPr>
                <w:p w14:paraId="1875E29A">
                  <w:pPr>
                    <w:pStyle w:val="31"/>
                    <w:bidi w:val="0"/>
                    <w:ind w:firstLine="0" w:firstLineChars="0"/>
                    <w:jc w:val="center"/>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84.86</w:t>
                  </w:r>
                </w:p>
              </w:tc>
              <w:tc>
                <w:tcPr>
                  <w:tcW w:w="324" w:type="pct"/>
                  <w:vAlign w:val="center"/>
                </w:tcPr>
                <w:p w14:paraId="65CA8C53">
                  <w:pPr>
                    <w:pStyle w:val="31"/>
                    <w:bidi w:val="0"/>
                    <w:jc w:val="center"/>
                    <w:rPr>
                      <w:rFonts w:hint="eastAsia"/>
                      <w:color w:val="auto"/>
                      <w:lang w:val="en-US" w:eastAsia="zh-CN"/>
                    </w:rPr>
                  </w:pPr>
                  <w:r>
                    <w:rPr>
                      <w:rFonts w:hint="eastAsia"/>
                      <w:color w:val="auto"/>
                      <w:lang w:val="en-US" w:eastAsia="zh-CN"/>
                    </w:rPr>
                    <w:t>96.78</w:t>
                  </w:r>
                </w:p>
              </w:tc>
              <w:tc>
                <w:tcPr>
                  <w:tcW w:w="244" w:type="pct"/>
                  <w:vAlign w:val="center"/>
                </w:tcPr>
                <w:p w14:paraId="495EDCD1">
                  <w:pPr>
                    <w:pStyle w:val="31"/>
                    <w:bidi w:val="0"/>
                    <w:jc w:val="center"/>
                    <w:rPr>
                      <w:rFonts w:hint="default"/>
                      <w:color w:val="auto"/>
                      <w:lang w:val="en-US" w:eastAsia="zh-CN"/>
                    </w:rPr>
                  </w:pPr>
                  <w:r>
                    <w:rPr>
                      <w:rFonts w:hint="eastAsia"/>
                      <w:color w:val="auto"/>
                      <w:lang w:val="en-US" w:eastAsia="zh-CN"/>
                    </w:rPr>
                    <w:t>1</w:t>
                  </w:r>
                </w:p>
              </w:tc>
              <w:tc>
                <w:tcPr>
                  <w:tcW w:w="362" w:type="pct"/>
                  <w:vAlign w:val="center"/>
                </w:tcPr>
                <w:p w14:paraId="4BE80A9A">
                  <w:pPr>
                    <w:pStyle w:val="31"/>
                    <w:bidi w:val="0"/>
                    <w:ind w:firstLine="0" w:firstLineChars="0"/>
                    <w:jc w:val="center"/>
                    <w:rPr>
                      <w:rFonts w:hint="default"/>
                      <w:color w:val="auto"/>
                      <w:lang w:val="en-US" w:eastAsia="zh-CN"/>
                    </w:rPr>
                  </w:pPr>
                  <w:r>
                    <w:rPr>
                      <w:rFonts w:hint="eastAsia"/>
                      <w:color w:val="auto"/>
                      <w:lang w:val="en-US" w:eastAsia="zh-CN"/>
                    </w:rPr>
                    <w:t>8</w:t>
                  </w:r>
                </w:p>
              </w:tc>
              <w:tc>
                <w:tcPr>
                  <w:tcW w:w="357" w:type="pct"/>
                  <w:vAlign w:val="center"/>
                </w:tcPr>
                <w:p w14:paraId="7B6540BC">
                  <w:pPr>
                    <w:pStyle w:val="31"/>
                    <w:bidi w:val="0"/>
                    <w:ind w:firstLine="0" w:firstLineChars="0"/>
                    <w:jc w:val="center"/>
                    <w:rPr>
                      <w:rFonts w:hint="default"/>
                      <w:color w:val="auto"/>
                      <w:lang w:val="en-US" w:eastAsia="zh-CN"/>
                    </w:rPr>
                  </w:pPr>
                  <w:r>
                    <w:rPr>
                      <w:rFonts w:hint="eastAsia"/>
                      <w:color w:val="auto"/>
                      <w:lang w:val="en-US" w:eastAsia="zh-CN"/>
                    </w:rPr>
                    <w:t>71.94</w:t>
                  </w:r>
                </w:p>
              </w:tc>
              <w:tc>
                <w:tcPr>
                  <w:tcW w:w="216" w:type="pct"/>
                  <w:vAlign w:val="center"/>
                </w:tcPr>
                <w:p w14:paraId="73C640BF">
                  <w:pPr>
                    <w:pStyle w:val="31"/>
                    <w:bidi w:val="0"/>
                    <w:ind w:firstLine="0" w:firstLineChars="0"/>
                    <w:jc w:val="center"/>
                    <w:rPr>
                      <w:rFonts w:hint="eastAsia"/>
                      <w:color w:val="auto"/>
                      <w:lang w:val="en-US" w:eastAsia="zh-CN"/>
                    </w:rPr>
                  </w:pPr>
                  <w:r>
                    <w:rPr>
                      <w:rFonts w:hint="eastAsia"/>
                      <w:color w:val="auto"/>
                      <w:lang w:val="en-US" w:eastAsia="zh-CN"/>
                    </w:rPr>
                    <w:t>昼间</w:t>
                  </w:r>
                </w:p>
              </w:tc>
              <w:tc>
                <w:tcPr>
                  <w:tcW w:w="380" w:type="pct"/>
                  <w:vAlign w:val="center"/>
                </w:tcPr>
                <w:p w14:paraId="326E8A76">
                  <w:pPr>
                    <w:pStyle w:val="31"/>
                    <w:bidi w:val="0"/>
                    <w:ind w:firstLine="0" w:firstLineChars="0"/>
                    <w:jc w:val="center"/>
                    <w:rPr>
                      <w:rFonts w:hint="default"/>
                      <w:color w:val="auto"/>
                      <w:lang w:val="en-US" w:eastAsia="zh-CN"/>
                    </w:rPr>
                  </w:pPr>
                  <w:r>
                    <w:rPr>
                      <w:rFonts w:hint="eastAsia"/>
                      <w:color w:val="auto"/>
                      <w:lang w:val="en-US" w:eastAsia="zh-CN"/>
                    </w:rPr>
                    <w:t>20</w:t>
                  </w:r>
                </w:p>
              </w:tc>
              <w:tc>
                <w:tcPr>
                  <w:tcW w:w="352" w:type="pct"/>
                  <w:vAlign w:val="center"/>
                </w:tcPr>
                <w:p w14:paraId="236543EF">
                  <w:pPr>
                    <w:pStyle w:val="31"/>
                    <w:bidi w:val="0"/>
                    <w:ind w:firstLine="0" w:firstLineChars="0"/>
                    <w:jc w:val="center"/>
                    <w:rPr>
                      <w:rFonts w:hint="default"/>
                      <w:color w:val="auto"/>
                      <w:lang w:val="en-US" w:eastAsia="zh-CN"/>
                    </w:rPr>
                  </w:pPr>
                  <w:r>
                    <w:rPr>
                      <w:rFonts w:hint="eastAsia"/>
                      <w:color w:val="auto"/>
                      <w:lang w:val="en-US" w:eastAsia="zh-CN"/>
                    </w:rPr>
                    <w:t>45.94</w:t>
                  </w:r>
                </w:p>
              </w:tc>
              <w:tc>
                <w:tcPr>
                  <w:tcW w:w="433" w:type="pct"/>
                  <w:vAlign w:val="center"/>
                </w:tcPr>
                <w:p w14:paraId="201679C4">
                  <w:pPr>
                    <w:pStyle w:val="31"/>
                    <w:bidi w:val="0"/>
                    <w:ind w:firstLine="0" w:firstLineChars="0"/>
                    <w:jc w:val="center"/>
                    <w:rPr>
                      <w:rFonts w:hint="default"/>
                      <w:color w:val="auto"/>
                      <w:lang w:val="en-US" w:eastAsia="zh-CN"/>
                    </w:rPr>
                  </w:pPr>
                  <w:r>
                    <w:rPr>
                      <w:rFonts w:hint="eastAsia"/>
                      <w:color w:val="auto"/>
                      <w:lang w:val="en-US" w:eastAsia="zh-CN"/>
                    </w:rPr>
                    <w:t>1</w:t>
                  </w:r>
                </w:p>
              </w:tc>
            </w:tr>
          </w:tbl>
          <w:p w14:paraId="71D3D374">
            <w:pPr>
              <w:pStyle w:val="2"/>
              <w:ind w:left="0" w:leftChars="0" w:firstLine="0" w:firstLineChars="0"/>
              <w:rPr>
                <w:color w:val="auto"/>
              </w:rPr>
            </w:pPr>
          </w:p>
          <w:p w14:paraId="7767E226">
            <w:pPr>
              <w:pStyle w:val="13"/>
              <w:widowControl w:val="0"/>
              <w:numPr>
                <w:ilvl w:val="0"/>
                <w:numId w:val="0"/>
              </w:numPr>
              <w:spacing w:line="360" w:lineRule="auto"/>
              <w:jc w:val="both"/>
              <w:rPr>
                <w:color w:val="auto"/>
              </w:rPr>
            </w:pPr>
          </w:p>
          <w:p w14:paraId="0F1762AD">
            <w:pPr>
              <w:pStyle w:val="13"/>
              <w:widowControl w:val="0"/>
              <w:numPr>
                <w:ilvl w:val="0"/>
                <w:numId w:val="0"/>
              </w:numPr>
              <w:spacing w:line="360" w:lineRule="auto"/>
              <w:jc w:val="both"/>
              <w:rPr>
                <w:color w:val="auto"/>
              </w:rPr>
            </w:pPr>
          </w:p>
          <w:p w14:paraId="65306B16">
            <w:pPr>
              <w:pStyle w:val="13"/>
              <w:widowControl w:val="0"/>
              <w:numPr>
                <w:ilvl w:val="0"/>
                <w:numId w:val="0"/>
              </w:numPr>
              <w:spacing w:line="360" w:lineRule="auto"/>
              <w:jc w:val="both"/>
              <w:rPr>
                <w:color w:val="auto"/>
              </w:rPr>
            </w:pPr>
          </w:p>
          <w:p w14:paraId="04F87BCA">
            <w:pPr>
              <w:pStyle w:val="13"/>
              <w:widowControl w:val="0"/>
              <w:numPr>
                <w:ilvl w:val="0"/>
                <w:numId w:val="0"/>
              </w:numPr>
              <w:spacing w:line="360" w:lineRule="auto"/>
              <w:jc w:val="both"/>
              <w:rPr>
                <w:color w:val="auto"/>
              </w:rPr>
            </w:pPr>
          </w:p>
          <w:p w14:paraId="0C0D99AD">
            <w:pPr>
              <w:pStyle w:val="13"/>
              <w:widowControl w:val="0"/>
              <w:numPr>
                <w:ilvl w:val="0"/>
                <w:numId w:val="0"/>
              </w:numPr>
              <w:spacing w:line="360" w:lineRule="auto"/>
              <w:jc w:val="both"/>
              <w:rPr>
                <w:color w:val="auto"/>
              </w:rPr>
            </w:pPr>
          </w:p>
          <w:p w14:paraId="70FBD606">
            <w:pPr>
              <w:pStyle w:val="13"/>
              <w:widowControl w:val="0"/>
              <w:numPr>
                <w:ilvl w:val="0"/>
                <w:numId w:val="0"/>
              </w:numPr>
              <w:spacing w:line="360" w:lineRule="auto"/>
              <w:jc w:val="both"/>
              <w:rPr>
                <w:color w:val="auto"/>
              </w:rPr>
            </w:pPr>
          </w:p>
          <w:p w14:paraId="5B11F44B">
            <w:pPr>
              <w:pStyle w:val="13"/>
              <w:widowControl w:val="0"/>
              <w:numPr>
                <w:ilvl w:val="0"/>
                <w:numId w:val="0"/>
              </w:numPr>
              <w:spacing w:line="360" w:lineRule="auto"/>
              <w:jc w:val="both"/>
              <w:rPr>
                <w:color w:val="auto"/>
              </w:rPr>
            </w:pPr>
          </w:p>
        </w:tc>
      </w:tr>
    </w:tbl>
    <w:p w14:paraId="1EF41191">
      <w:pPr>
        <w:ind w:firstLine="0" w:firstLineChars="0"/>
        <w:rPr>
          <w:color w:val="auto"/>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0"/>
        <w:gridCol w:w="8022"/>
      </w:tblGrid>
      <w:tr w14:paraId="68978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 w:type="dxa"/>
            <w:vAlign w:val="center"/>
          </w:tcPr>
          <w:p w14:paraId="35C54E2B">
            <w:pPr>
              <w:pStyle w:val="2"/>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i w:val="0"/>
                <w:iCs/>
                <w:color w:val="auto"/>
              </w:rPr>
            </w:pPr>
            <w:r>
              <w:rPr>
                <w:rFonts w:hint="eastAsia" w:ascii="宋体" w:hAnsi="宋体" w:eastAsia="宋体" w:cs="宋体"/>
                <w:i w:val="0"/>
                <w:iCs/>
                <w:color w:val="auto"/>
              </w:rPr>
              <w:t>运营</w:t>
            </w:r>
          </w:p>
          <w:p w14:paraId="44936221">
            <w:pPr>
              <w:pStyle w:val="2"/>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i w:val="0"/>
                <w:iCs/>
                <w:color w:val="auto"/>
              </w:rPr>
            </w:pPr>
            <w:r>
              <w:rPr>
                <w:rFonts w:hint="eastAsia" w:ascii="宋体" w:hAnsi="宋体" w:eastAsia="宋体" w:cs="宋体"/>
                <w:i w:val="0"/>
                <w:iCs/>
                <w:color w:val="auto"/>
              </w:rPr>
              <w:t>期环</w:t>
            </w:r>
          </w:p>
          <w:p w14:paraId="7CC231F0">
            <w:pPr>
              <w:pStyle w:val="2"/>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i w:val="0"/>
                <w:iCs/>
                <w:color w:val="auto"/>
              </w:rPr>
            </w:pPr>
            <w:r>
              <w:rPr>
                <w:rFonts w:hint="eastAsia" w:ascii="宋体" w:hAnsi="宋体" w:eastAsia="宋体" w:cs="宋体"/>
                <w:i w:val="0"/>
                <w:iCs/>
                <w:color w:val="auto"/>
              </w:rPr>
              <w:t>境影</w:t>
            </w:r>
          </w:p>
          <w:p w14:paraId="1D73425E">
            <w:pPr>
              <w:pStyle w:val="2"/>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i w:val="0"/>
                <w:iCs/>
                <w:color w:val="auto"/>
              </w:rPr>
            </w:pPr>
            <w:r>
              <w:rPr>
                <w:rFonts w:hint="eastAsia" w:ascii="宋体" w:hAnsi="宋体" w:eastAsia="宋体" w:cs="宋体"/>
                <w:i w:val="0"/>
                <w:iCs/>
                <w:color w:val="auto"/>
              </w:rPr>
              <w:t>响和</w:t>
            </w:r>
          </w:p>
          <w:p w14:paraId="49B14886">
            <w:pPr>
              <w:pStyle w:val="2"/>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i w:val="0"/>
                <w:iCs/>
                <w:color w:val="auto"/>
              </w:rPr>
            </w:pPr>
            <w:r>
              <w:rPr>
                <w:rFonts w:hint="eastAsia" w:ascii="宋体" w:hAnsi="宋体" w:eastAsia="宋体" w:cs="宋体"/>
                <w:i w:val="0"/>
                <w:iCs/>
                <w:color w:val="auto"/>
              </w:rPr>
              <w:t>保护</w:t>
            </w:r>
          </w:p>
          <w:p w14:paraId="4CC09618">
            <w:pPr>
              <w:pStyle w:val="2"/>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i w:val="0"/>
                <w:iCs/>
                <w:color w:val="auto"/>
              </w:rPr>
            </w:pPr>
            <w:r>
              <w:rPr>
                <w:rFonts w:hint="eastAsia" w:ascii="宋体" w:hAnsi="宋体" w:eastAsia="宋体" w:cs="宋体"/>
                <w:i w:val="0"/>
                <w:iCs/>
                <w:color w:val="auto"/>
              </w:rPr>
              <w:t>措施</w:t>
            </w:r>
          </w:p>
        </w:tc>
        <w:tc>
          <w:tcPr>
            <w:tcW w:w="8022" w:type="dxa"/>
          </w:tcPr>
          <w:p w14:paraId="5274E218">
            <w:pPr>
              <w:bidi w:val="0"/>
              <w:rPr>
                <w:rFonts w:hint="eastAsia" w:eastAsia="宋体"/>
                <w:color w:val="auto"/>
                <w:lang w:eastAsia="zh-CN"/>
              </w:rPr>
            </w:pPr>
            <w:r>
              <w:rPr>
                <w:rFonts w:hint="eastAsia"/>
                <w:b/>
                <w:bCs/>
                <w:color w:val="auto"/>
                <w:lang w:val="en-US" w:eastAsia="zh-CN"/>
              </w:rPr>
              <w:t>2、</w:t>
            </w:r>
            <w:r>
              <w:rPr>
                <w:b/>
                <w:bCs/>
                <w:color w:val="auto"/>
              </w:rPr>
              <w:t>噪声</w:t>
            </w:r>
            <w:r>
              <w:rPr>
                <w:rFonts w:hint="eastAsia"/>
                <w:b/>
                <w:bCs/>
                <w:color w:val="auto"/>
                <w:lang w:eastAsia="zh-CN"/>
              </w:rPr>
              <w:t>影响预测模式</w:t>
            </w:r>
          </w:p>
          <w:p w14:paraId="0F7A5178">
            <w:pPr>
              <w:ind w:firstLine="480"/>
              <w:rPr>
                <w:rFonts w:hint="eastAsia"/>
                <w:color w:val="auto"/>
                <w:szCs w:val="24"/>
              </w:rPr>
            </w:pPr>
            <w:r>
              <w:rPr>
                <w:rFonts w:hint="eastAsia"/>
                <w:color w:val="auto"/>
                <w:szCs w:val="24"/>
              </w:rPr>
              <w:t>本次评价噪声预测软件采用环安噪声环境影响评价系统（NoiseSystem）。该软件以《环境影响评价技术导则—声环境》（HJ2.4-2021）的技术要求和推荐模型为编制依据，满足新导则要求。预测软件版本号V4.1。</w:t>
            </w:r>
          </w:p>
          <w:p w14:paraId="305C37E2">
            <w:pPr>
              <w:ind w:firstLine="480"/>
              <w:rPr>
                <w:rFonts w:hint="eastAsia"/>
                <w:color w:val="auto"/>
                <w:szCs w:val="24"/>
              </w:rPr>
            </w:pPr>
            <w:r>
              <w:rPr>
                <w:rFonts w:hint="eastAsia"/>
                <w:color w:val="auto"/>
                <w:szCs w:val="24"/>
              </w:rPr>
              <w:t>①单个室外点声源在预测点产生的声级计算基本公式</w:t>
            </w:r>
          </w:p>
          <w:p w14:paraId="10218ACA">
            <w:pPr>
              <w:ind w:firstLine="480"/>
              <w:rPr>
                <w:rFonts w:hint="eastAsia"/>
                <w:color w:val="auto"/>
                <w:szCs w:val="24"/>
              </w:rPr>
            </w:pPr>
            <w:r>
              <w:rPr>
                <w:rFonts w:hint="eastAsia"/>
                <w:color w:val="auto"/>
                <w:szCs w:val="24"/>
              </w:rPr>
              <w:t>如已知声源的倍频带声功率级，预测点位置的倍频带声压级Lp（r）可按公式计算：</w:t>
            </w:r>
          </w:p>
          <w:p w14:paraId="3607DBE9">
            <w:pPr>
              <w:ind w:firstLine="480"/>
              <w:jc w:val="center"/>
              <w:rPr>
                <w:rFonts w:hint="eastAsia"/>
                <w:color w:val="auto"/>
                <w:szCs w:val="24"/>
              </w:rPr>
            </w:pPr>
            <w:r>
              <w:rPr>
                <w:rFonts w:hint="eastAsia" w:eastAsia="宋体"/>
                <w:color w:val="auto"/>
                <w:position w:val="-30"/>
                <w:lang w:eastAsia="zh-CN"/>
              </w:rPr>
              <w:object>
                <v:shape id="_x0000_i1028" o:spt="75" type="#_x0000_t75" style="height:36pt;width:157.95pt;" o:ole="t" filled="f" o:preferrelative="t" stroked="f" coordsize="21600,21600">
                  <v:path/>
                  <v:fill on="f" focussize="0,0"/>
                  <v:stroke on="f"/>
                  <v:imagedata r:id="rId27" o:title=""/>
                  <o:lock v:ext="edit" aspectratio="t"/>
                  <w10:wrap type="none"/>
                  <w10:anchorlock/>
                </v:shape>
                <o:OLEObject Type="Embed" ProgID="Equation.KSEE3" ShapeID="_x0000_i1028" DrawAspect="Content" ObjectID="_1468075728" r:id="rId26">
                  <o:LockedField>false</o:LockedField>
                </o:OLEObject>
              </w:object>
            </w:r>
          </w:p>
          <w:p w14:paraId="4EF66070">
            <w:pPr>
              <w:widowControl/>
              <w:adjustRightInd w:val="0"/>
              <w:snapToGrid w:val="0"/>
              <w:spacing w:line="360" w:lineRule="auto"/>
              <w:ind w:firstLine="480" w:firstLineChars="200"/>
              <w:jc w:val="left"/>
              <w:rPr>
                <w:color w:val="auto"/>
              </w:rPr>
            </w:pPr>
            <w:r>
              <w:rPr>
                <w:color w:val="auto"/>
                <w:kern w:val="0"/>
                <w:sz w:val="24"/>
                <w:lang w:bidi="ar"/>
              </w:rPr>
              <w:t>式中：</w:t>
            </w:r>
          </w:p>
          <w:p w14:paraId="699FFCE7">
            <w:pPr>
              <w:adjustRightInd w:val="0"/>
              <w:snapToGrid w:val="0"/>
              <w:spacing w:line="360" w:lineRule="auto"/>
              <w:ind w:firstLine="480" w:firstLineChars="200"/>
              <w:jc w:val="left"/>
              <w:rPr>
                <w:color w:val="auto"/>
                <w:sz w:val="24"/>
              </w:rPr>
            </w:pPr>
            <w:r>
              <w:rPr>
                <w:color w:val="auto"/>
                <w:sz w:val="24"/>
              </w:rPr>
              <w:t>Lw—倍频带声功率级，dB；</w:t>
            </w:r>
          </w:p>
          <w:p w14:paraId="62800F8E">
            <w:pPr>
              <w:adjustRightInd w:val="0"/>
              <w:snapToGrid w:val="0"/>
              <w:spacing w:line="360" w:lineRule="auto"/>
              <w:ind w:firstLine="480" w:firstLineChars="200"/>
              <w:jc w:val="left"/>
              <w:rPr>
                <w:color w:val="auto"/>
                <w:sz w:val="24"/>
              </w:rPr>
            </w:pPr>
            <w:r>
              <w:rPr>
                <w:color w:val="auto"/>
                <w:sz w:val="24"/>
              </w:rPr>
              <w:t>Dc—指向性校正，dB，对辐射到自由空间的全向点声源，为0；倍频带衰减，dB；</w:t>
            </w:r>
          </w:p>
          <w:p w14:paraId="0B77A9D7">
            <w:pPr>
              <w:adjustRightInd w:val="0"/>
              <w:snapToGrid w:val="0"/>
              <w:spacing w:line="360" w:lineRule="auto"/>
              <w:ind w:firstLine="480" w:firstLineChars="200"/>
              <w:jc w:val="left"/>
              <w:rPr>
                <w:color w:val="auto"/>
                <w:sz w:val="24"/>
              </w:rPr>
            </w:pPr>
            <w:r>
              <w:rPr>
                <w:color w:val="auto"/>
                <w:sz w:val="24"/>
              </w:rPr>
              <w:t xml:space="preserve">Adiv—几何发散引起的倍频带衰减，dB； </w:t>
            </w:r>
          </w:p>
          <w:p w14:paraId="11CB06EE">
            <w:pPr>
              <w:adjustRightInd w:val="0"/>
              <w:snapToGrid w:val="0"/>
              <w:spacing w:line="360" w:lineRule="auto"/>
              <w:ind w:firstLine="480" w:firstLineChars="200"/>
              <w:jc w:val="left"/>
              <w:rPr>
                <w:color w:val="auto"/>
                <w:sz w:val="24"/>
              </w:rPr>
            </w:pPr>
            <w:r>
              <w:rPr>
                <w:color w:val="auto"/>
                <w:sz w:val="24"/>
              </w:rPr>
              <w:t xml:space="preserve">Aatm—大气吸收引起的倍频带衰减，dB； </w:t>
            </w:r>
          </w:p>
          <w:p w14:paraId="11112D9B">
            <w:pPr>
              <w:adjustRightInd w:val="0"/>
              <w:snapToGrid w:val="0"/>
              <w:spacing w:line="360" w:lineRule="auto"/>
              <w:ind w:firstLine="480" w:firstLineChars="200"/>
              <w:jc w:val="left"/>
              <w:rPr>
                <w:color w:val="auto"/>
                <w:sz w:val="24"/>
              </w:rPr>
            </w:pPr>
            <w:r>
              <w:rPr>
                <w:color w:val="auto"/>
                <w:sz w:val="24"/>
              </w:rPr>
              <w:t xml:space="preserve">Agr—地面效应吸收引起的倍频带衰减，dB； </w:t>
            </w:r>
          </w:p>
          <w:p w14:paraId="4EA049BA">
            <w:pPr>
              <w:adjustRightInd w:val="0"/>
              <w:snapToGrid w:val="0"/>
              <w:spacing w:line="360" w:lineRule="auto"/>
              <w:ind w:firstLine="480" w:firstLineChars="200"/>
              <w:jc w:val="left"/>
              <w:rPr>
                <w:color w:val="auto"/>
                <w:sz w:val="24"/>
              </w:rPr>
            </w:pPr>
            <w:r>
              <w:rPr>
                <w:color w:val="auto"/>
                <w:sz w:val="24"/>
              </w:rPr>
              <w:t xml:space="preserve">Abar—声屏障引起的倍频带衰减，dB； </w:t>
            </w:r>
          </w:p>
          <w:p w14:paraId="6493CE19">
            <w:pPr>
              <w:adjustRightInd w:val="0"/>
              <w:snapToGrid w:val="0"/>
              <w:spacing w:line="360" w:lineRule="auto"/>
              <w:ind w:firstLine="480" w:firstLineChars="200"/>
              <w:jc w:val="left"/>
              <w:rPr>
                <w:color w:val="auto"/>
                <w:sz w:val="24"/>
              </w:rPr>
            </w:pPr>
            <w:r>
              <w:rPr>
                <w:color w:val="auto"/>
                <w:sz w:val="24"/>
              </w:rPr>
              <w:t>Amisc—其他多方面效应引起的倍频带衰减，dB。</w:t>
            </w:r>
          </w:p>
          <w:p w14:paraId="76D7AAA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color w:val="auto"/>
                <w:sz w:val="24"/>
              </w:rPr>
            </w:pPr>
            <w:r>
              <w:rPr>
                <w:color w:val="auto"/>
                <w:sz w:val="24"/>
              </w:rPr>
              <w:t>如已知靠近声源处某点的倍频带声压级Lp</w:t>
            </w:r>
            <w:r>
              <w:rPr>
                <w:rFonts w:hint="eastAsia"/>
                <w:color w:val="auto"/>
                <w:sz w:val="24"/>
                <w:lang w:eastAsia="zh-CN"/>
              </w:rPr>
              <w:t>（</w:t>
            </w:r>
            <w:r>
              <w:rPr>
                <w:color w:val="auto"/>
                <w:sz w:val="24"/>
              </w:rPr>
              <w:t>r0</w:t>
            </w:r>
            <w:r>
              <w:rPr>
                <w:rFonts w:hint="eastAsia"/>
                <w:color w:val="auto"/>
                <w:sz w:val="24"/>
                <w:lang w:eastAsia="zh-CN"/>
              </w:rPr>
              <w:t>）</w:t>
            </w:r>
            <w:r>
              <w:rPr>
                <w:color w:val="auto"/>
                <w:sz w:val="24"/>
              </w:rPr>
              <w:t>时，相同方向预测点位置的倍频带声压级Lp</w:t>
            </w:r>
            <w:r>
              <w:rPr>
                <w:rFonts w:hint="eastAsia"/>
                <w:color w:val="auto"/>
                <w:sz w:val="24"/>
                <w:lang w:eastAsia="zh-CN"/>
              </w:rPr>
              <w:t>（</w:t>
            </w:r>
            <w:r>
              <w:rPr>
                <w:color w:val="auto"/>
                <w:sz w:val="24"/>
              </w:rPr>
              <w:t>r</w:t>
            </w:r>
            <w:r>
              <w:rPr>
                <w:rFonts w:hint="eastAsia"/>
                <w:color w:val="auto"/>
                <w:sz w:val="24"/>
                <w:lang w:eastAsia="zh-CN"/>
              </w:rPr>
              <w:t>）</w:t>
            </w:r>
            <w:r>
              <w:rPr>
                <w:color w:val="auto"/>
                <w:sz w:val="24"/>
              </w:rPr>
              <w:t>可按</w:t>
            </w:r>
            <w:r>
              <w:rPr>
                <w:rFonts w:hint="eastAsia"/>
                <w:color w:val="auto"/>
                <w:sz w:val="24"/>
              </w:rPr>
              <w:t>以下</w:t>
            </w:r>
            <w:r>
              <w:rPr>
                <w:color w:val="auto"/>
                <w:sz w:val="24"/>
              </w:rPr>
              <w:t>公式计算：</w:t>
            </w:r>
          </w:p>
          <w:p w14:paraId="2D988DC9">
            <w:pPr>
              <w:ind w:firstLine="480"/>
              <w:rPr>
                <w:rFonts w:hint="eastAsia"/>
                <w:color w:val="auto"/>
                <w:szCs w:val="24"/>
              </w:rPr>
            </w:pPr>
            <w:r>
              <w:rPr>
                <w:rFonts w:hint="eastAsia" w:eastAsia="宋体"/>
                <w:color w:val="auto"/>
                <w:position w:val="-14"/>
                <w:lang w:val="en-US" w:eastAsia="zh-CN"/>
              </w:rPr>
              <w:object>
                <v:shape id="_x0000_i1029" o:spt="75" type="#_x0000_t75" style="height:25.95pt;width:334.55pt;" o:ole="t" filled="f" o:preferrelative="t" stroked="f" coordsize="21600,21600">
                  <v:path/>
                  <v:fill on="f" focussize="0,0"/>
                  <v:stroke on="f"/>
                  <v:imagedata r:id="rId29" o:title=""/>
                  <o:lock v:ext="edit" aspectratio="t"/>
                  <w10:wrap type="none"/>
                  <w10:anchorlock/>
                </v:shape>
                <o:OLEObject Type="Embed" ProgID="Equation.KSEE3" ShapeID="_x0000_i1029" DrawAspect="Content" ObjectID="_1468075729" r:id="rId28">
                  <o:LockedField>false</o:LockedField>
                </o:OLEObject>
              </w:object>
            </w:r>
          </w:p>
          <w:p w14:paraId="28C94B8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lang w:val="en-US" w:eastAsia="zh-CN"/>
              </w:rPr>
            </w:pPr>
            <w:r>
              <w:rPr>
                <w:rFonts w:hint="eastAsia"/>
                <w:color w:val="auto"/>
                <w:sz w:val="24"/>
              </w:rPr>
              <w:t>在只考虑几何发散衰减时，可按以下公式做近似计算：</w:t>
            </w:r>
          </w:p>
          <w:p w14:paraId="14D5005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center"/>
              <w:textAlignment w:val="auto"/>
              <w:rPr>
                <w:rFonts w:hint="default" w:ascii="Times New Roman" w:hAnsi="Times New Roman" w:cs="Times New Roman"/>
                <w:color w:val="auto"/>
                <w:sz w:val="24"/>
                <w:lang w:val="en-US" w:eastAsia="zh-CN"/>
              </w:rPr>
            </w:pPr>
            <w:r>
              <w:rPr>
                <w:rFonts w:hint="eastAsia"/>
                <w:color w:val="auto"/>
                <w:position w:val="-12"/>
                <w:sz w:val="24"/>
              </w:rPr>
              <w:object>
                <v:shape id="_x0000_i1030" o:spt="75" type="#_x0000_t75" style="height:25.1pt;width:133.95pt;" o:ole="t" filled="f" o:preferrelative="t" stroked="f" coordsize="21600,21600">
                  <v:path/>
                  <v:fill on="f" focussize="0,0"/>
                  <v:stroke on="f"/>
                  <v:imagedata r:id="rId31" o:title=""/>
                  <o:lock v:ext="edit" aspectratio="t"/>
                  <w10:wrap type="none"/>
                  <w10:anchorlock/>
                </v:shape>
                <o:OLEObject Type="Embed" ProgID="Equation.KSEE3" ShapeID="_x0000_i1030" DrawAspect="Content" ObjectID="_1468075730" r:id="rId30">
                  <o:LockedField>false</o:LockedField>
                </o:OLEObject>
              </w:object>
            </w:r>
          </w:p>
          <w:p w14:paraId="65F26D25">
            <w:pPr>
              <w:adjustRightInd w:val="0"/>
              <w:snapToGrid w:val="0"/>
              <w:spacing w:line="360" w:lineRule="auto"/>
              <w:ind w:firstLine="480" w:firstLineChars="200"/>
              <w:rPr>
                <w:rFonts w:hint="eastAsia"/>
                <w:color w:val="auto"/>
                <w:sz w:val="24"/>
              </w:rPr>
            </w:pPr>
            <w:r>
              <w:rPr>
                <w:rFonts w:hint="eastAsia"/>
                <w:color w:val="auto"/>
                <w:sz w:val="24"/>
              </w:rPr>
              <w:t>式中：LA</w:t>
            </w:r>
            <w:r>
              <w:rPr>
                <w:rFonts w:hint="eastAsia"/>
                <w:color w:val="auto"/>
                <w:sz w:val="24"/>
                <w:lang w:eastAsia="zh-CN"/>
              </w:rPr>
              <w:t>（</w:t>
            </w:r>
            <w:r>
              <w:rPr>
                <w:rFonts w:hint="eastAsia"/>
                <w:color w:val="auto"/>
                <w:sz w:val="24"/>
              </w:rPr>
              <w:t>r</w:t>
            </w:r>
            <w:r>
              <w:rPr>
                <w:rFonts w:hint="eastAsia"/>
                <w:color w:val="auto"/>
                <w:sz w:val="24"/>
                <w:lang w:eastAsia="zh-CN"/>
              </w:rPr>
              <w:t>）</w:t>
            </w:r>
            <w:r>
              <w:rPr>
                <w:rFonts w:hint="eastAsia"/>
                <w:color w:val="auto"/>
                <w:sz w:val="24"/>
              </w:rPr>
              <w:t xml:space="preserve"> ——距声源 r 处的A声级，dB</w:t>
            </w:r>
            <w:r>
              <w:rPr>
                <w:rFonts w:hint="eastAsia"/>
                <w:color w:val="auto"/>
                <w:sz w:val="24"/>
                <w:lang w:eastAsia="zh-CN"/>
              </w:rPr>
              <w:t>（</w:t>
            </w:r>
            <w:r>
              <w:rPr>
                <w:rFonts w:hint="eastAsia"/>
                <w:color w:val="auto"/>
                <w:sz w:val="24"/>
              </w:rPr>
              <w:t>A</w:t>
            </w:r>
            <w:r>
              <w:rPr>
                <w:rFonts w:hint="eastAsia"/>
                <w:color w:val="auto"/>
                <w:sz w:val="24"/>
                <w:lang w:eastAsia="zh-CN"/>
              </w:rPr>
              <w:t>）</w:t>
            </w:r>
            <w:r>
              <w:rPr>
                <w:rFonts w:hint="eastAsia"/>
                <w:color w:val="auto"/>
                <w:sz w:val="24"/>
              </w:rPr>
              <w:t xml:space="preserve">； </w:t>
            </w:r>
          </w:p>
          <w:p w14:paraId="0A3D2C8D">
            <w:pPr>
              <w:adjustRightInd w:val="0"/>
              <w:snapToGrid w:val="0"/>
              <w:spacing w:line="360" w:lineRule="auto"/>
              <w:ind w:firstLine="480" w:firstLineChars="200"/>
              <w:rPr>
                <w:rFonts w:hint="eastAsia"/>
                <w:color w:val="auto"/>
                <w:sz w:val="24"/>
              </w:rPr>
            </w:pPr>
            <w:r>
              <w:rPr>
                <w:rFonts w:hint="eastAsia"/>
                <w:color w:val="auto"/>
                <w:sz w:val="24"/>
              </w:rPr>
              <w:t>LA</w:t>
            </w:r>
            <w:r>
              <w:rPr>
                <w:rFonts w:hint="eastAsia"/>
                <w:color w:val="auto"/>
                <w:sz w:val="24"/>
                <w:lang w:eastAsia="zh-CN"/>
              </w:rPr>
              <w:t>（</w:t>
            </w:r>
            <w:r>
              <w:rPr>
                <w:rFonts w:hint="eastAsia"/>
                <w:color w:val="auto"/>
                <w:sz w:val="24"/>
              </w:rPr>
              <w:t>r0</w:t>
            </w:r>
            <w:r>
              <w:rPr>
                <w:rFonts w:hint="eastAsia"/>
                <w:color w:val="auto"/>
                <w:sz w:val="24"/>
                <w:lang w:eastAsia="zh-CN"/>
              </w:rPr>
              <w:t>）</w:t>
            </w:r>
            <w:r>
              <w:rPr>
                <w:rFonts w:hint="eastAsia"/>
                <w:color w:val="auto"/>
                <w:sz w:val="24"/>
              </w:rPr>
              <w:t xml:space="preserve"> ——参考位置r0处的A声级，dB</w:t>
            </w:r>
            <w:r>
              <w:rPr>
                <w:rFonts w:hint="eastAsia"/>
                <w:color w:val="auto"/>
                <w:sz w:val="24"/>
                <w:lang w:eastAsia="zh-CN"/>
              </w:rPr>
              <w:t>（</w:t>
            </w:r>
            <w:r>
              <w:rPr>
                <w:rFonts w:hint="eastAsia"/>
                <w:color w:val="auto"/>
                <w:sz w:val="24"/>
              </w:rPr>
              <w:t>A</w:t>
            </w:r>
            <w:r>
              <w:rPr>
                <w:rFonts w:hint="eastAsia"/>
                <w:color w:val="auto"/>
                <w:sz w:val="24"/>
                <w:lang w:eastAsia="zh-CN"/>
              </w:rPr>
              <w:t>）</w:t>
            </w:r>
            <w:r>
              <w:rPr>
                <w:rFonts w:hint="eastAsia"/>
                <w:color w:val="auto"/>
                <w:sz w:val="24"/>
              </w:rPr>
              <w:t>；</w:t>
            </w:r>
          </w:p>
          <w:p w14:paraId="087EF89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lang w:val="en-US" w:eastAsia="zh-CN"/>
              </w:rPr>
            </w:pPr>
            <w:r>
              <w:rPr>
                <w:rFonts w:hint="eastAsia"/>
                <w:color w:val="auto"/>
                <w:sz w:val="24"/>
              </w:rPr>
              <w:t>A</w:t>
            </w:r>
            <w:r>
              <w:rPr>
                <w:rFonts w:hint="eastAsia"/>
                <w:color w:val="auto"/>
                <w:sz w:val="24"/>
                <w:vertAlign w:val="subscript"/>
              </w:rPr>
              <w:t>div</w:t>
            </w:r>
            <w:r>
              <w:rPr>
                <w:rFonts w:hint="eastAsia"/>
                <w:color w:val="auto"/>
                <w:sz w:val="24"/>
              </w:rPr>
              <w:t xml:space="preserve"> ——几何发散引起的衰减，dB。</w:t>
            </w:r>
          </w:p>
          <w:p w14:paraId="5D77A13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 xml:space="preserve">②室内声源等效室外声源声功率级计算方法 </w:t>
            </w:r>
          </w:p>
          <w:p w14:paraId="356C221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设靠近开口处（或窗户）室内，室外某倍频带的声压级分别为LP1 和LP2。若声源所在室内声场为近似扩散声场，则室外倍频声压级可按以下公式近似求出：</w:t>
            </w:r>
          </w:p>
          <w:p w14:paraId="3885E269">
            <w:pPr>
              <w:ind w:firstLine="480"/>
              <w:jc w:val="center"/>
              <w:rPr>
                <w:rFonts w:hint="eastAsia"/>
                <w:color w:val="auto"/>
                <w:szCs w:val="24"/>
              </w:rPr>
            </w:pPr>
            <w:r>
              <w:rPr>
                <w:rFonts w:hint="default" w:ascii="Times New Roman" w:hAnsi="Times New Roman" w:cs="Times New Roman"/>
                <w:color w:val="auto"/>
                <w:position w:val="-14"/>
                <w:sz w:val="24"/>
                <w:lang w:val="en-US" w:eastAsia="zh-CN"/>
              </w:rPr>
              <w:object>
                <v:shape id="_x0000_i1031" o:spt="75" type="#_x0000_t75" style="height:28.9pt;width:163.3pt;" o:ole="t" filled="f" o:preferrelative="t" stroked="f" coordsize="21600,21600">
                  <v:path/>
                  <v:fill on="f" focussize="0,0"/>
                  <v:stroke on="f"/>
                  <v:imagedata r:id="rId33" o:title=""/>
                  <o:lock v:ext="edit" aspectratio="t"/>
                  <w10:wrap type="none"/>
                  <w10:anchorlock/>
                </v:shape>
                <o:OLEObject Type="Embed" ProgID="Equation.KSEE3" ShapeID="_x0000_i1031" DrawAspect="Content" ObjectID="_1468075731" r:id="rId32">
                  <o:LockedField>false</o:LockedField>
                </o:OLEObject>
              </w:object>
            </w:r>
          </w:p>
          <w:p w14:paraId="6D908A5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式中：</w:t>
            </w:r>
          </w:p>
          <w:p w14:paraId="281E4D1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L</w:t>
            </w:r>
            <w:r>
              <w:rPr>
                <w:rFonts w:hint="eastAsia" w:ascii="Times New Roman" w:hAnsi="Times New Roman" w:cs="Times New Roman"/>
                <w:color w:val="auto"/>
                <w:sz w:val="24"/>
                <w:vertAlign w:val="subscript"/>
                <w:lang w:val="en-US" w:eastAsia="zh-CN"/>
              </w:rPr>
              <w:t>p1</w:t>
            </w:r>
            <w:r>
              <w:rPr>
                <w:rFonts w:hint="default" w:ascii="Times New Roman" w:hAnsi="Times New Roman" w:cs="Times New Roman"/>
                <w:color w:val="auto"/>
                <w:sz w:val="24"/>
                <w:lang w:val="en-US" w:eastAsia="zh-CN"/>
              </w:rPr>
              <w:t>—</w:t>
            </w:r>
            <w:r>
              <w:rPr>
                <w:rFonts w:hint="eastAsia" w:ascii="Times New Roman" w:hAnsi="Times New Roman" w:cs="Times New Roman"/>
                <w:color w:val="auto"/>
                <w:sz w:val="24"/>
                <w:lang w:val="en-US" w:eastAsia="zh-CN"/>
              </w:rPr>
              <w:t>靠近开口处（或窗户）室内某倍频带的声压级或A声级</w:t>
            </w:r>
            <w:r>
              <w:rPr>
                <w:rFonts w:hint="default" w:ascii="Times New Roman" w:hAnsi="Times New Roman" w:cs="Times New Roman"/>
                <w:color w:val="auto"/>
                <w:sz w:val="24"/>
                <w:lang w:val="en-US" w:eastAsia="zh-CN"/>
              </w:rPr>
              <w:t>，dB；</w:t>
            </w:r>
          </w:p>
          <w:p w14:paraId="2E17505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L</w:t>
            </w:r>
            <w:r>
              <w:rPr>
                <w:rFonts w:hint="eastAsia" w:ascii="Times New Roman" w:hAnsi="Times New Roman" w:cs="Times New Roman"/>
                <w:color w:val="auto"/>
                <w:sz w:val="24"/>
                <w:vertAlign w:val="subscript"/>
                <w:lang w:val="en-US" w:eastAsia="zh-CN"/>
              </w:rPr>
              <w:t>p2</w:t>
            </w:r>
            <w:r>
              <w:rPr>
                <w:rFonts w:hint="default" w:ascii="Times New Roman" w:hAnsi="Times New Roman" w:cs="Times New Roman"/>
                <w:color w:val="auto"/>
                <w:sz w:val="24"/>
                <w:lang w:val="en-US" w:eastAsia="zh-CN"/>
              </w:rPr>
              <w:t>—</w:t>
            </w:r>
            <w:r>
              <w:rPr>
                <w:rFonts w:hint="eastAsia" w:ascii="Times New Roman" w:hAnsi="Times New Roman" w:cs="Times New Roman"/>
                <w:color w:val="auto"/>
                <w:sz w:val="24"/>
                <w:lang w:val="en-US" w:eastAsia="zh-CN"/>
              </w:rPr>
              <w:t>靠近开口处（或窗户）室外某倍频带的声压级或A声级</w:t>
            </w:r>
            <w:r>
              <w:rPr>
                <w:rFonts w:hint="default" w:ascii="Times New Roman" w:hAnsi="Times New Roman" w:cs="Times New Roman"/>
                <w:color w:val="auto"/>
                <w:sz w:val="24"/>
                <w:lang w:val="en-US" w:eastAsia="zh-CN"/>
              </w:rPr>
              <w:t>，dB；</w:t>
            </w:r>
          </w:p>
          <w:p w14:paraId="2C81891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TL</w:t>
            </w:r>
            <w:r>
              <w:rPr>
                <w:rFonts w:hint="default" w:ascii="Times New Roman" w:hAnsi="Times New Roman" w:cs="Times New Roman"/>
                <w:color w:val="auto"/>
                <w:sz w:val="24"/>
                <w:lang w:val="en-US" w:eastAsia="zh-CN"/>
              </w:rPr>
              <w:t>—</w:t>
            </w:r>
            <w:r>
              <w:rPr>
                <w:rFonts w:hint="eastAsia" w:ascii="Times New Roman" w:hAnsi="Times New Roman" w:cs="Times New Roman"/>
                <w:color w:val="auto"/>
                <w:sz w:val="24"/>
                <w:lang w:val="en-US" w:eastAsia="zh-CN"/>
              </w:rPr>
              <w:t>隔墙（或窗户）倍频带或A声级的隔声量</w:t>
            </w:r>
            <w:r>
              <w:rPr>
                <w:rFonts w:hint="default" w:ascii="Times New Roman" w:hAnsi="Times New Roman" w:cs="Times New Roman"/>
                <w:color w:val="auto"/>
                <w:sz w:val="24"/>
                <w:lang w:val="en-US" w:eastAsia="zh-CN"/>
              </w:rPr>
              <w:t>，dB。</w:t>
            </w:r>
          </w:p>
          <w:p w14:paraId="51221997">
            <w:pPr>
              <w:pStyle w:val="30"/>
              <w:adjustRightInd w:val="0"/>
              <w:snapToGrid w:val="0"/>
              <w:spacing w:line="360" w:lineRule="auto"/>
              <w:ind w:firstLine="480"/>
              <w:rPr>
                <w:rFonts w:hint="eastAsia" w:ascii="Times New Roman" w:hAnsi="Times New Roman" w:eastAsia="宋体" w:cs="Times New Roman"/>
                <w:b w:val="0"/>
                <w:bCs/>
                <w:color w:val="auto"/>
                <w:kern w:val="0"/>
                <w:sz w:val="24"/>
                <w:highlight w:val="none"/>
                <w:lang w:eastAsia="zh-CN"/>
              </w:rPr>
            </w:pPr>
            <w:r>
              <w:rPr>
                <w:rFonts w:hint="eastAsia" w:ascii="Times New Roman" w:hAnsi="Times New Roman" w:eastAsia="宋体" w:cs="Times New Roman"/>
                <w:b w:val="0"/>
                <w:bCs/>
                <w:color w:val="auto"/>
                <w:kern w:val="0"/>
                <w:sz w:val="24"/>
                <w:highlight w:val="none"/>
                <w:lang w:eastAsia="zh-CN"/>
              </w:rPr>
              <w:t>③噪声贡献值计算</w:t>
            </w:r>
          </w:p>
          <w:p w14:paraId="23FCD078">
            <w:pPr>
              <w:pStyle w:val="30"/>
              <w:adjustRightInd w:val="0"/>
              <w:snapToGrid w:val="0"/>
              <w:spacing w:line="360" w:lineRule="auto"/>
              <w:ind w:firstLine="480"/>
              <w:rPr>
                <w:rFonts w:hint="eastAsia" w:ascii="Times New Roman" w:hAnsi="Times New Roman" w:eastAsia="宋体" w:cs="Times New Roman"/>
                <w:b w:val="0"/>
                <w:bCs/>
                <w:color w:val="auto"/>
                <w:kern w:val="0"/>
                <w:sz w:val="24"/>
                <w:highlight w:val="none"/>
                <w:lang w:eastAsia="zh-CN"/>
              </w:rPr>
            </w:pPr>
            <w:r>
              <w:rPr>
                <w:rFonts w:hint="eastAsia" w:ascii="Times New Roman" w:hAnsi="Times New Roman" w:eastAsia="宋体" w:cs="Times New Roman"/>
                <w:b w:val="0"/>
                <w:bCs/>
                <w:color w:val="auto"/>
                <w:kern w:val="0"/>
                <w:sz w:val="24"/>
                <w:highlight w:val="none"/>
                <w:lang w:eastAsia="zh-CN"/>
              </w:rPr>
              <w:t>设第i个室外声源在预测点产生的A声级为LAi，在T时间内该声源工作时间为ti；第j个等效室外声源在预测点产生的A声级为LAj，在T时间内该声源工作时间为tj；则拟建工程声源对预测点产生的贡献值为（Leqg）：</w:t>
            </w:r>
          </w:p>
          <w:p w14:paraId="4EEBBCE3">
            <w:pPr>
              <w:ind w:firstLine="480"/>
              <w:jc w:val="center"/>
              <w:rPr>
                <w:rFonts w:hint="eastAsia"/>
                <w:color w:val="auto"/>
                <w:szCs w:val="24"/>
              </w:rPr>
            </w:pPr>
            <w:r>
              <w:rPr>
                <w:color w:val="auto"/>
                <w:position w:val="-34"/>
                <w:sz w:val="24"/>
              </w:rPr>
              <w:object>
                <v:shape id="_x0000_i1032" o:spt="75" type="#_x0000_t75" style="height:43.5pt;width:220.5pt;" o:ole="t" filled="f" o:preferrelative="t" stroked="f" coordsize="21600,21600">
                  <v:path/>
                  <v:fill on="f" focussize="0,0"/>
                  <v:stroke on="f"/>
                  <v:imagedata r:id="rId35" o:title=""/>
                  <o:lock v:ext="edit" aspectratio="t"/>
                  <w10:wrap type="none"/>
                  <w10:anchorlock/>
                </v:shape>
                <o:OLEObject Type="Embed" ProgID="Equation.KSEE3" ShapeID="_x0000_i1032" DrawAspect="Content" ObjectID="_1468075732" r:id="rId34">
                  <o:LockedField>false</o:LockedField>
                </o:OLEObject>
              </w:object>
            </w:r>
          </w:p>
          <w:p w14:paraId="5BD7D8D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auto"/>
                <w:sz w:val="24"/>
              </w:rPr>
            </w:pPr>
            <w:r>
              <w:rPr>
                <w:rFonts w:hint="eastAsia"/>
                <w:color w:val="auto"/>
                <w:sz w:val="24"/>
              </w:rPr>
              <w:t>式中：L</w:t>
            </w:r>
            <w:r>
              <w:rPr>
                <w:rFonts w:hint="eastAsia"/>
                <w:color w:val="auto"/>
                <w:sz w:val="24"/>
                <w:vertAlign w:val="subscript"/>
              </w:rPr>
              <w:t>eqg</w:t>
            </w:r>
            <w:r>
              <w:rPr>
                <w:rFonts w:hint="eastAsia"/>
                <w:color w:val="auto"/>
                <w:sz w:val="24"/>
              </w:rPr>
              <w:t>——建设项目声源在预测点产生的噪声贡献值，dB；</w:t>
            </w:r>
          </w:p>
          <w:p w14:paraId="3DA22D5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auto"/>
                <w:sz w:val="24"/>
              </w:rPr>
            </w:pPr>
            <w:r>
              <w:rPr>
                <w:rFonts w:hint="eastAsia"/>
                <w:color w:val="auto"/>
                <w:sz w:val="24"/>
              </w:rPr>
              <w:t>T——用于计算等效声级的时间，s；</w:t>
            </w:r>
          </w:p>
          <w:p w14:paraId="3E987A4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auto"/>
                <w:sz w:val="24"/>
              </w:rPr>
            </w:pPr>
            <w:r>
              <w:rPr>
                <w:rFonts w:hint="eastAsia"/>
                <w:color w:val="auto"/>
                <w:sz w:val="24"/>
              </w:rPr>
              <w:t>N——室外声源个数；</w:t>
            </w:r>
          </w:p>
          <w:p w14:paraId="1569575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auto"/>
                <w:sz w:val="24"/>
              </w:rPr>
            </w:pPr>
            <w:r>
              <w:rPr>
                <w:rFonts w:hint="eastAsia"/>
                <w:color w:val="auto"/>
                <w:sz w:val="24"/>
              </w:rPr>
              <w:t>t</w:t>
            </w:r>
            <w:r>
              <w:rPr>
                <w:rFonts w:hint="eastAsia"/>
                <w:color w:val="auto"/>
                <w:sz w:val="24"/>
                <w:vertAlign w:val="subscript"/>
              </w:rPr>
              <w:t>i</w:t>
            </w:r>
            <w:r>
              <w:rPr>
                <w:rFonts w:hint="eastAsia"/>
                <w:color w:val="auto"/>
                <w:sz w:val="24"/>
              </w:rPr>
              <w:t>——在T时间内i声源工作时间，s；</w:t>
            </w:r>
          </w:p>
          <w:p w14:paraId="0CE0C6B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auto"/>
                <w:sz w:val="24"/>
              </w:rPr>
            </w:pPr>
            <w:r>
              <w:rPr>
                <w:rFonts w:hint="eastAsia"/>
                <w:color w:val="auto"/>
                <w:sz w:val="24"/>
              </w:rPr>
              <w:t>M——等效室外声源个数；</w:t>
            </w:r>
          </w:p>
          <w:p w14:paraId="2C83E472">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color w:val="auto"/>
                <w:szCs w:val="24"/>
              </w:rPr>
            </w:pPr>
            <w:r>
              <w:rPr>
                <w:rFonts w:hint="eastAsia"/>
                <w:color w:val="auto"/>
                <w:sz w:val="24"/>
              </w:rPr>
              <w:t>t</w:t>
            </w:r>
            <w:r>
              <w:rPr>
                <w:rFonts w:hint="eastAsia"/>
                <w:color w:val="auto"/>
                <w:sz w:val="24"/>
                <w:vertAlign w:val="subscript"/>
              </w:rPr>
              <w:t>j</w:t>
            </w:r>
            <w:r>
              <w:rPr>
                <w:rFonts w:hint="eastAsia"/>
                <w:color w:val="auto"/>
                <w:sz w:val="24"/>
              </w:rPr>
              <w:t>——在T时间内j声源工作时间，s。</w:t>
            </w:r>
          </w:p>
          <w:p w14:paraId="6032336C">
            <w:pPr>
              <w:pStyle w:val="30"/>
              <w:adjustRightInd w:val="0"/>
              <w:snapToGrid w:val="0"/>
              <w:spacing w:line="360" w:lineRule="auto"/>
              <w:ind w:firstLine="480"/>
              <w:rPr>
                <w:rFonts w:hint="eastAsia" w:ascii="Times New Roman" w:hAnsi="Times New Roman" w:eastAsia="宋体" w:cs="Times New Roman"/>
                <w:b w:val="0"/>
                <w:bCs w:val="0"/>
                <w:color w:val="auto"/>
                <w:kern w:val="0"/>
                <w:sz w:val="24"/>
                <w:highlight w:val="none"/>
                <w:lang w:eastAsia="zh-CN"/>
              </w:rPr>
            </w:pPr>
            <w:r>
              <w:rPr>
                <w:rFonts w:hint="eastAsia"/>
                <w:b w:val="0"/>
                <w:bCs w:val="0"/>
                <w:color w:val="auto"/>
                <w:sz w:val="24"/>
              </w:rPr>
              <w:t>④预测值计算</w:t>
            </w:r>
          </w:p>
          <w:p w14:paraId="495C9B96">
            <w:pPr>
              <w:pStyle w:val="30"/>
              <w:adjustRightInd w:val="0"/>
              <w:snapToGrid w:val="0"/>
              <w:spacing w:line="360" w:lineRule="auto"/>
              <w:ind w:firstLine="480"/>
              <w:rPr>
                <w:rFonts w:hint="eastAsia" w:ascii="Times New Roman" w:hAnsi="Times New Roman" w:eastAsia="宋体" w:cs="Times New Roman"/>
                <w:b/>
                <w:color w:val="auto"/>
                <w:kern w:val="0"/>
                <w:sz w:val="24"/>
                <w:highlight w:val="none"/>
                <w:lang w:eastAsia="zh-CN"/>
              </w:rPr>
            </w:pPr>
            <w:r>
              <w:rPr>
                <w:rFonts w:hint="eastAsia"/>
                <w:color w:val="auto"/>
                <w:sz w:val="24"/>
              </w:rPr>
              <w:t>预测点的贡献值和背景值按能量叠加方法计算得到的声级。噪声预测值（Leq）计算公式为：</w:t>
            </w:r>
          </w:p>
          <w:p w14:paraId="00448573">
            <w:pPr>
              <w:ind w:firstLine="480"/>
              <w:jc w:val="center"/>
              <w:rPr>
                <w:rFonts w:hint="eastAsia"/>
                <w:color w:val="auto"/>
                <w:szCs w:val="24"/>
              </w:rPr>
            </w:pPr>
            <w:r>
              <w:rPr>
                <w:color w:val="auto"/>
                <w:position w:val="-14"/>
                <w:sz w:val="24"/>
              </w:rPr>
              <w:object>
                <v:shape id="_x0000_i1033" o:spt="75" type="#_x0000_t75" style="height:27.25pt;width:174.6pt;" o:ole="t" filled="f" o:preferrelative="t" stroked="f" coordsize="21600,21600">
                  <v:path/>
                  <v:fill on="f" focussize="0,0"/>
                  <v:stroke on="f"/>
                  <v:imagedata r:id="rId37" o:title=""/>
                  <o:lock v:ext="edit" aspectratio="t"/>
                  <w10:wrap type="none"/>
                  <w10:anchorlock/>
                </v:shape>
                <o:OLEObject Type="Embed" ProgID="Equation.KSEE3" ShapeID="_x0000_i1033" DrawAspect="Content" ObjectID="_1468075733" r:id="rId36">
                  <o:LockedField>false</o:LockedField>
                </o:OLEObject>
              </w:object>
            </w:r>
          </w:p>
          <w:p w14:paraId="20889B8A">
            <w:pPr>
              <w:adjustRightInd w:val="0"/>
              <w:snapToGrid w:val="0"/>
              <w:spacing w:line="360" w:lineRule="auto"/>
              <w:ind w:firstLine="480" w:firstLineChars="200"/>
              <w:rPr>
                <w:rFonts w:hint="eastAsia"/>
                <w:color w:val="auto"/>
                <w:sz w:val="24"/>
              </w:rPr>
            </w:pPr>
            <w:r>
              <w:rPr>
                <w:rFonts w:hint="eastAsia"/>
                <w:color w:val="auto"/>
                <w:sz w:val="24"/>
              </w:rPr>
              <w:t>式中：L</w:t>
            </w:r>
            <w:r>
              <w:rPr>
                <w:rFonts w:hint="eastAsia"/>
                <w:color w:val="auto"/>
                <w:sz w:val="24"/>
                <w:vertAlign w:val="subscript"/>
              </w:rPr>
              <w:t>eq</w:t>
            </w:r>
            <w:r>
              <w:rPr>
                <w:rFonts w:hint="eastAsia"/>
                <w:color w:val="auto"/>
                <w:sz w:val="24"/>
              </w:rPr>
              <w:t>——预测点的噪声预测值，dB；</w:t>
            </w:r>
          </w:p>
          <w:p w14:paraId="228AB9DC">
            <w:pPr>
              <w:adjustRightInd w:val="0"/>
              <w:snapToGrid w:val="0"/>
              <w:spacing w:line="360" w:lineRule="auto"/>
              <w:ind w:firstLine="480" w:firstLineChars="200"/>
              <w:rPr>
                <w:rFonts w:hint="eastAsia"/>
                <w:color w:val="auto"/>
                <w:sz w:val="24"/>
              </w:rPr>
            </w:pPr>
            <w:r>
              <w:rPr>
                <w:rFonts w:hint="eastAsia"/>
                <w:color w:val="auto"/>
                <w:sz w:val="24"/>
              </w:rPr>
              <w:t>L</w:t>
            </w:r>
            <w:r>
              <w:rPr>
                <w:rFonts w:hint="eastAsia"/>
                <w:color w:val="auto"/>
                <w:sz w:val="24"/>
                <w:vertAlign w:val="subscript"/>
              </w:rPr>
              <w:t>eqg</w:t>
            </w:r>
            <w:r>
              <w:rPr>
                <w:rFonts w:hint="eastAsia"/>
                <w:color w:val="auto"/>
                <w:sz w:val="24"/>
              </w:rPr>
              <w:t>——建设项目声源在预测点产生的噪声贡献值，dB；</w:t>
            </w:r>
          </w:p>
          <w:p w14:paraId="58C3C456">
            <w:pPr>
              <w:ind w:firstLine="480"/>
              <w:rPr>
                <w:rFonts w:hint="eastAsia"/>
                <w:color w:val="auto"/>
                <w:szCs w:val="24"/>
              </w:rPr>
            </w:pPr>
            <w:r>
              <w:rPr>
                <w:rFonts w:hint="eastAsia"/>
                <w:color w:val="auto"/>
                <w:sz w:val="24"/>
              </w:rPr>
              <w:t>L</w:t>
            </w:r>
            <w:r>
              <w:rPr>
                <w:rFonts w:hint="eastAsia"/>
                <w:color w:val="auto"/>
                <w:sz w:val="24"/>
                <w:vertAlign w:val="subscript"/>
              </w:rPr>
              <w:t>eqb</w:t>
            </w:r>
            <w:r>
              <w:rPr>
                <w:rFonts w:hint="eastAsia"/>
                <w:color w:val="auto"/>
                <w:sz w:val="24"/>
              </w:rPr>
              <w:t>——预测点的背景噪声值，dB。机场航空器噪声评价时，不叠加其他噪声源产生的噪声影响。</w:t>
            </w:r>
          </w:p>
          <w:p w14:paraId="2FF7001D">
            <w:pPr>
              <w:ind w:firstLine="480"/>
              <w:rPr>
                <w:rFonts w:hint="default" w:eastAsia="宋体"/>
                <w:b/>
                <w:bCs/>
                <w:color w:val="auto"/>
                <w:szCs w:val="24"/>
                <w:lang w:val="en-US" w:eastAsia="zh-CN"/>
              </w:rPr>
            </w:pPr>
            <w:r>
              <w:rPr>
                <w:rFonts w:hint="eastAsia"/>
                <w:b/>
                <w:bCs/>
                <w:color w:val="auto"/>
                <w:szCs w:val="24"/>
                <w:lang w:val="en-US" w:eastAsia="zh-CN"/>
              </w:rPr>
              <w:t>3、厂界噪声</w:t>
            </w:r>
            <w:r>
              <w:rPr>
                <w:rFonts w:hint="eastAsia" w:ascii="Times New Roman" w:hAnsi="Times New Roman" w:eastAsia="宋体" w:cs="Times New Roman"/>
                <w:b/>
                <w:bCs/>
                <w:color w:val="auto"/>
                <w:kern w:val="0"/>
                <w:sz w:val="24"/>
                <w:highlight w:val="none"/>
              </w:rPr>
              <w:t>排放达标情况</w:t>
            </w:r>
          </w:p>
          <w:p w14:paraId="1693A3EA">
            <w:pPr>
              <w:ind w:firstLine="480"/>
              <w:rPr>
                <w:rFonts w:hint="eastAsia"/>
                <w:color w:val="auto"/>
                <w:szCs w:val="24"/>
              </w:rPr>
            </w:pPr>
            <w:r>
              <w:rPr>
                <w:rFonts w:hint="eastAsia"/>
                <w:color w:val="auto"/>
                <w:szCs w:val="24"/>
              </w:rPr>
              <w:t>预测结果见下图：</w:t>
            </w:r>
          </w:p>
          <w:p w14:paraId="3CF09EC9">
            <w:pPr>
              <w:pStyle w:val="32"/>
              <w:bidi w:val="0"/>
              <w:rPr>
                <w:rFonts w:hint="default"/>
                <w:color w:val="auto"/>
                <w:lang w:val="en-US"/>
              </w:rPr>
            </w:pPr>
            <w:r>
              <w:rPr>
                <w:rFonts w:hint="eastAsia"/>
                <w:color w:val="auto"/>
                <w:lang w:eastAsia="zh-CN"/>
              </w:rPr>
              <w:drawing>
                <wp:anchor distT="0" distB="0" distL="114300" distR="114300" simplePos="0" relativeHeight="251660288" behindDoc="0" locked="0" layoutInCell="1" allowOverlap="1">
                  <wp:simplePos x="0" y="0"/>
                  <wp:positionH relativeFrom="column">
                    <wp:posOffset>-30480</wp:posOffset>
                  </wp:positionH>
                  <wp:positionV relativeFrom="paragraph">
                    <wp:posOffset>39370</wp:posOffset>
                  </wp:positionV>
                  <wp:extent cx="5077460" cy="3204845"/>
                  <wp:effectExtent l="0" t="0" r="8890" b="14605"/>
                  <wp:wrapTopAndBottom/>
                  <wp:docPr id="1" name="图片 1" descr="1680850315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80850315439"/>
                          <pic:cNvPicPr>
                            <a:picLocks noChangeAspect="1"/>
                          </pic:cNvPicPr>
                        </pic:nvPicPr>
                        <pic:blipFill>
                          <a:blip r:embed="rId38"/>
                          <a:stretch>
                            <a:fillRect/>
                          </a:stretch>
                        </pic:blipFill>
                        <pic:spPr>
                          <a:xfrm>
                            <a:off x="0" y="0"/>
                            <a:ext cx="5077460" cy="3204845"/>
                          </a:xfrm>
                          <a:prstGeom prst="rect">
                            <a:avLst/>
                          </a:prstGeom>
                        </pic:spPr>
                      </pic:pic>
                    </a:graphicData>
                  </a:graphic>
                </wp:anchor>
              </w:drawing>
            </w:r>
            <w:r>
              <w:rPr>
                <w:rFonts w:hint="eastAsia"/>
                <w:color w:val="auto"/>
                <w:lang w:eastAsia="zh-CN"/>
              </w:rPr>
              <w:t>图</w:t>
            </w:r>
            <w:r>
              <w:rPr>
                <w:rFonts w:hint="eastAsia"/>
                <w:color w:val="auto"/>
                <w:lang w:val="en-US" w:eastAsia="zh-CN"/>
              </w:rPr>
              <w:t>4-3 项目昼间噪声源贡献值等值线图</w:t>
            </w:r>
          </w:p>
          <w:p w14:paraId="69E985AC">
            <w:pPr>
              <w:bidi w:val="0"/>
              <w:rPr>
                <w:rFonts w:hint="eastAsia"/>
                <w:color w:val="auto"/>
              </w:rPr>
            </w:pPr>
            <w:r>
              <w:rPr>
                <w:rFonts w:hint="eastAsia"/>
                <w:color w:val="auto"/>
              </w:rPr>
              <w:t>通过预测模型计算，项目厂界噪声的最大值预测结果与达标分析见下表：</w:t>
            </w:r>
          </w:p>
          <w:p w14:paraId="4A4155C5">
            <w:pPr>
              <w:adjustRightInd w:val="0"/>
              <w:snapToGrid w:val="0"/>
              <w:spacing w:line="360" w:lineRule="auto"/>
              <w:ind w:firstLine="0" w:firstLineChars="0"/>
              <w:jc w:val="center"/>
              <w:rPr>
                <w:rFonts w:hint="eastAsia"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表4-11 项目厂界噪声预测结果达标分析 单位：dB（A）</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0"/>
              <w:gridCol w:w="1207"/>
              <w:gridCol w:w="811"/>
              <w:gridCol w:w="1954"/>
              <w:gridCol w:w="2038"/>
              <w:gridCol w:w="1133"/>
            </w:tblGrid>
            <w:tr w14:paraId="5C76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17" w:type="pct"/>
                  <w:vMerge w:val="restart"/>
                  <w:vAlign w:val="center"/>
                </w:tcPr>
                <w:p w14:paraId="29CEFD71">
                  <w:pPr>
                    <w:pStyle w:val="31"/>
                    <w:bidi w:val="0"/>
                    <w:rPr>
                      <w:rFonts w:hint="default"/>
                      <w:color w:val="auto"/>
                      <w:lang w:val="en-US" w:eastAsia="zh-CN"/>
                    </w:rPr>
                  </w:pPr>
                  <w:r>
                    <w:rPr>
                      <w:rFonts w:hint="eastAsia"/>
                      <w:color w:val="auto"/>
                      <w:lang w:val="en-US" w:eastAsia="zh-CN"/>
                    </w:rPr>
                    <w:t>序号</w:t>
                  </w:r>
                </w:p>
              </w:tc>
              <w:tc>
                <w:tcPr>
                  <w:tcW w:w="774" w:type="pct"/>
                  <w:vMerge w:val="restart"/>
                  <w:vAlign w:val="center"/>
                </w:tcPr>
                <w:p w14:paraId="2EA416DE">
                  <w:pPr>
                    <w:pStyle w:val="31"/>
                    <w:bidi w:val="0"/>
                    <w:ind w:firstLine="0" w:firstLineChars="0"/>
                    <w:rPr>
                      <w:rFonts w:hint="eastAsia" w:ascii="Times New Roman" w:hAnsi="Times New Roman" w:eastAsia="宋体" w:cs="黑体"/>
                      <w:b w:val="0"/>
                      <w:color w:val="auto"/>
                      <w:kern w:val="2"/>
                      <w:sz w:val="21"/>
                      <w:szCs w:val="24"/>
                      <w:lang w:val="en-US" w:eastAsia="zh-CN" w:bidi="ar-SA"/>
                    </w:rPr>
                  </w:pPr>
                  <w:r>
                    <w:rPr>
                      <w:rFonts w:hint="eastAsia"/>
                      <w:color w:val="auto"/>
                      <w:lang w:val="en-US" w:eastAsia="zh-CN"/>
                    </w:rPr>
                    <w:t>预测点</w:t>
                  </w:r>
                </w:p>
              </w:tc>
              <w:tc>
                <w:tcPr>
                  <w:tcW w:w="520" w:type="pct"/>
                  <w:vMerge w:val="restart"/>
                  <w:vAlign w:val="center"/>
                </w:tcPr>
                <w:p w14:paraId="420A54A4">
                  <w:pPr>
                    <w:pStyle w:val="31"/>
                    <w:bidi w:val="0"/>
                    <w:rPr>
                      <w:rFonts w:hint="default"/>
                      <w:color w:val="auto"/>
                      <w:lang w:val="en-US" w:eastAsia="zh-CN"/>
                    </w:rPr>
                  </w:pPr>
                  <w:r>
                    <w:rPr>
                      <w:rFonts w:hint="eastAsia"/>
                      <w:color w:val="auto"/>
                      <w:lang w:val="en-US" w:eastAsia="zh-CN"/>
                    </w:rPr>
                    <w:t>时段</w:t>
                  </w:r>
                </w:p>
              </w:tc>
              <w:tc>
                <w:tcPr>
                  <w:tcW w:w="1253" w:type="pct"/>
                  <w:vMerge w:val="restart"/>
                  <w:vAlign w:val="center"/>
                </w:tcPr>
                <w:p w14:paraId="752FB492">
                  <w:pPr>
                    <w:pStyle w:val="31"/>
                    <w:bidi w:val="0"/>
                    <w:rPr>
                      <w:rFonts w:hint="default"/>
                      <w:color w:val="auto"/>
                      <w:lang w:val="en-US" w:eastAsia="zh-CN"/>
                    </w:rPr>
                  </w:pPr>
                  <w:r>
                    <w:rPr>
                      <w:rFonts w:hint="default"/>
                      <w:color w:val="auto"/>
                      <w:lang w:val="en-US" w:eastAsia="zh-CN"/>
                    </w:rPr>
                    <w:t>噪声</w:t>
                  </w:r>
                  <w:r>
                    <w:rPr>
                      <w:rFonts w:hint="eastAsia"/>
                      <w:color w:val="auto"/>
                      <w:lang w:val="en-US" w:eastAsia="zh-CN"/>
                    </w:rPr>
                    <w:t>贡献</w:t>
                  </w:r>
                  <w:r>
                    <w:rPr>
                      <w:rFonts w:hint="default"/>
                      <w:color w:val="auto"/>
                      <w:lang w:val="en-US" w:eastAsia="zh-CN"/>
                    </w:rPr>
                    <w:t>值dB（A）</w:t>
                  </w:r>
                </w:p>
              </w:tc>
              <w:tc>
                <w:tcPr>
                  <w:tcW w:w="1307" w:type="pct"/>
                  <w:vMerge w:val="restart"/>
                  <w:vAlign w:val="center"/>
                </w:tcPr>
                <w:p w14:paraId="5A89E0A2">
                  <w:pPr>
                    <w:pStyle w:val="31"/>
                    <w:bidi w:val="0"/>
                    <w:rPr>
                      <w:rFonts w:hint="default"/>
                      <w:color w:val="auto"/>
                      <w:lang w:val="en-US" w:eastAsia="zh-CN"/>
                    </w:rPr>
                  </w:pPr>
                  <w:r>
                    <w:rPr>
                      <w:rFonts w:hint="default"/>
                      <w:color w:val="auto"/>
                      <w:lang w:val="en-US" w:eastAsia="zh-CN"/>
                    </w:rPr>
                    <w:t>噪声标椎值dB（A）</w:t>
                  </w:r>
                </w:p>
              </w:tc>
              <w:tc>
                <w:tcPr>
                  <w:tcW w:w="726" w:type="pct"/>
                  <w:vMerge w:val="restart"/>
                  <w:vAlign w:val="center"/>
                </w:tcPr>
                <w:p w14:paraId="56947604">
                  <w:pPr>
                    <w:pStyle w:val="31"/>
                    <w:bidi w:val="0"/>
                    <w:rPr>
                      <w:rFonts w:hint="default"/>
                      <w:color w:val="auto"/>
                      <w:lang w:val="en-US" w:eastAsia="zh-CN"/>
                    </w:rPr>
                  </w:pPr>
                  <w:r>
                    <w:rPr>
                      <w:rFonts w:hint="eastAsia"/>
                      <w:color w:val="auto"/>
                      <w:lang w:val="en-US" w:eastAsia="zh-CN"/>
                    </w:rPr>
                    <w:t>达标情况</w:t>
                  </w:r>
                </w:p>
              </w:tc>
            </w:tr>
            <w:tr w14:paraId="0CE6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17" w:type="pct"/>
                  <w:vMerge w:val="continue"/>
                  <w:vAlign w:val="center"/>
                </w:tcPr>
                <w:p w14:paraId="72E3E7A4">
                  <w:pPr>
                    <w:pStyle w:val="31"/>
                    <w:bidi w:val="0"/>
                    <w:rPr>
                      <w:color w:val="auto"/>
                    </w:rPr>
                  </w:pPr>
                </w:p>
              </w:tc>
              <w:tc>
                <w:tcPr>
                  <w:tcW w:w="774" w:type="pct"/>
                  <w:vMerge w:val="continue"/>
                  <w:vAlign w:val="center"/>
                </w:tcPr>
                <w:p w14:paraId="25EC9595">
                  <w:pPr>
                    <w:pStyle w:val="31"/>
                    <w:bidi w:val="0"/>
                    <w:ind w:firstLine="0" w:firstLineChars="0"/>
                    <w:rPr>
                      <w:rFonts w:hint="default" w:ascii="Times New Roman" w:hAnsi="Times New Roman" w:eastAsia="宋体" w:cs="黑体"/>
                      <w:b w:val="0"/>
                      <w:color w:val="auto"/>
                      <w:kern w:val="2"/>
                      <w:sz w:val="21"/>
                      <w:szCs w:val="24"/>
                      <w:lang w:val="en-US" w:eastAsia="zh-CN" w:bidi="ar-SA"/>
                    </w:rPr>
                  </w:pPr>
                </w:p>
              </w:tc>
              <w:tc>
                <w:tcPr>
                  <w:tcW w:w="520" w:type="pct"/>
                  <w:vMerge w:val="continue"/>
                  <w:vAlign w:val="center"/>
                </w:tcPr>
                <w:p w14:paraId="69F3590B">
                  <w:pPr>
                    <w:pStyle w:val="31"/>
                    <w:bidi w:val="0"/>
                    <w:rPr>
                      <w:rFonts w:hint="default"/>
                      <w:color w:val="auto"/>
                      <w:lang w:val="en-US" w:eastAsia="zh-CN"/>
                    </w:rPr>
                  </w:pPr>
                </w:p>
              </w:tc>
              <w:tc>
                <w:tcPr>
                  <w:tcW w:w="1253" w:type="pct"/>
                  <w:vMerge w:val="continue"/>
                  <w:vAlign w:val="center"/>
                </w:tcPr>
                <w:p w14:paraId="7BA19132">
                  <w:pPr>
                    <w:pStyle w:val="31"/>
                    <w:bidi w:val="0"/>
                    <w:rPr>
                      <w:rFonts w:hint="default"/>
                      <w:color w:val="auto"/>
                      <w:lang w:val="en-US" w:eastAsia="zh-CN"/>
                    </w:rPr>
                  </w:pPr>
                </w:p>
              </w:tc>
              <w:tc>
                <w:tcPr>
                  <w:tcW w:w="1307" w:type="pct"/>
                  <w:vMerge w:val="continue"/>
                  <w:vAlign w:val="center"/>
                </w:tcPr>
                <w:p w14:paraId="1901DF75">
                  <w:pPr>
                    <w:pStyle w:val="31"/>
                    <w:bidi w:val="0"/>
                    <w:rPr>
                      <w:rFonts w:hint="default"/>
                      <w:color w:val="auto"/>
                      <w:lang w:val="en-US" w:eastAsia="zh-CN"/>
                    </w:rPr>
                  </w:pPr>
                </w:p>
              </w:tc>
              <w:tc>
                <w:tcPr>
                  <w:tcW w:w="726" w:type="pct"/>
                  <w:vMerge w:val="continue"/>
                  <w:vAlign w:val="center"/>
                </w:tcPr>
                <w:p w14:paraId="743D5F73">
                  <w:pPr>
                    <w:pStyle w:val="31"/>
                    <w:bidi w:val="0"/>
                    <w:rPr>
                      <w:rFonts w:hint="default"/>
                      <w:color w:val="auto"/>
                      <w:lang w:val="en-US" w:eastAsia="zh-CN"/>
                    </w:rPr>
                  </w:pPr>
                </w:p>
              </w:tc>
            </w:tr>
            <w:tr w14:paraId="600A8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7" w:type="pct"/>
                  <w:vAlign w:val="center"/>
                </w:tcPr>
                <w:p w14:paraId="19F9119E">
                  <w:pPr>
                    <w:pStyle w:val="31"/>
                    <w:bidi w:val="0"/>
                    <w:rPr>
                      <w:rFonts w:hint="default"/>
                      <w:color w:val="auto"/>
                      <w:lang w:val="en-US" w:eastAsia="zh-CN"/>
                    </w:rPr>
                  </w:pPr>
                  <w:r>
                    <w:rPr>
                      <w:rFonts w:hint="eastAsia"/>
                      <w:color w:val="auto"/>
                      <w:lang w:val="en-US" w:eastAsia="zh-CN"/>
                    </w:rPr>
                    <w:t>1</w:t>
                  </w:r>
                </w:p>
              </w:tc>
              <w:tc>
                <w:tcPr>
                  <w:tcW w:w="774" w:type="pct"/>
                  <w:vAlign w:val="center"/>
                </w:tcPr>
                <w:p w14:paraId="327CC0C2">
                  <w:pPr>
                    <w:pStyle w:val="31"/>
                    <w:bidi w:val="0"/>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东厂界</w:t>
                  </w:r>
                </w:p>
              </w:tc>
              <w:tc>
                <w:tcPr>
                  <w:tcW w:w="520" w:type="pct"/>
                  <w:vAlign w:val="center"/>
                </w:tcPr>
                <w:p w14:paraId="7DDD1C15">
                  <w:pPr>
                    <w:pStyle w:val="31"/>
                    <w:bidi w:val="0"/>
                    <w:rPr>
                      <w:rFonts w:hint="default"/>
                      <w:color w:val="auto"/>
                      <w:lang w:val="en-US" w:eastAsia="zh-CN"/>
                    </w:rPr>
                  </w:pPr>
                  <w:r>
                    <w:rPr>
                      <w:rFonts w:hint="eastAsia"/>
                      <w:color w:val="auto"/>
                      <w:lang w:val="en-US" w:eastAsia="zh-CN"/>
                    </w:rPr>
                    <w:t>昼间</w:t>
                  </w:r>
                </w:p>
              </w:tc>
              <w:tc>
                <w:tcPr>
                  <w:tcW w:w="1253" w:type="pct"/>
                  <w:vAlign w:val="center"/>
                </w:tcPr>
                <w:p w14:paraId="4FAC4C84">
                  <w:pPr>
                    <w:pStyle w:val="31"/>
                    <w:bidi w:val="0"/>
                    <w:rPr>
                      <w:rFonts w:hint="default"/>
                      <w:color w:val="auto"/>
                      <w:lang w:val="en-US" w:eastAsia="zh-CN"/>
                    </w:rPr>
                  </w:pPr>
                  <w:r>
                    <w:rPr>
                      <w:rFonts w:hint="eastAsia"/>
                      <w:color w:val="auto"/>
                      <w:lang w:val="en-US" w:eastAsia="zh-CN"/>
                    </w:rPr>
                    <w:t>50.12</w:t>
                  </w:r>
                </w:p>
              </w:tc>
              <w:tc>
                <w:tcPr>
                  <w:tcW w:w="1307" w:type="pct"/>
                  <w:vAlign w:val="center"/>
                </w:tcPr>
                <w:p w14:paraId="0D8B507A">
                  <w:pPr>
                    <w:pStyle w:val="31"/>
                    <w:bidi w:val="0"/>
                    <w:rPr>
                      <w:rFonts w:hint="default"/>
                      <w:color w:val="auto"/>
                      <w:lang w:val="en-US" w:eastAsia="zh-CN"/>
                    </w:rPr>
                  </w:pPr>
                  <w:r>
                    <w:rPr>
                      <w:rFonts w:hint="eastAsia"/>
                      <w:color w:val="auto"/>
                      <w:lang w:val="en-US" w:eastAsia="zh-CN"/>
                    </w:rPr>
                    <w:t>60</w:t>
                  </w:r>
                </w:p>
              </w:tc>
              <w:tc>
                <w:tcPr>
                  <w:tcW w:w="726" w:type="pct"/>
                  <w:vAlign w:val="center"/>
                </w:tcPr>
                <w:p w14:paraId="661FB17B">
                  <w:pPr>
                    <w:pStyle w:val="31"/>
                    <w:bidi w:val="0"/>
                    <w:rPr>
                      <w:rFonts w:hint="default"/>
                      <w:color w:val="auto"/>
                      <w:lang w:val="en-US" w:eastAsia="zh-CN"/>
                    </w:rPr>
                  </w:pPr>
                  <w:r>
                    <w:rPr>
                      <w:rFonts w:hint="eastAsia"/>
                      <w:color w:val="auto"/>
                      <w:lang w:val="en-US" w:eastAsia="zh-CN"/>
                    </w:rPr>
                    <w:t>达标</w:t>
                  </w:r>
                </w:p>
              </w:tc>
            </w:tr>
            <w:tr w14:paraId="5944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69C79C4A">
                  <w:pPr>
                    <w:pStyle w:val="31"/>
                    <w:bidi w:val="0"/>
                    <w:rPr>
                      <w:rFonts w:hint="default"/>
                      <w:color w:val="auto"/>
                      <w:lang w:val="en-US" w:eastAsia="zh-CN"/>
                    </w:rPr>
                  </w:pPr>
                  <w:r>
                    <w:rPr>
                      <w:rFonts w:hint="eastAsia"/>
                      <w:color w:val="auto"/>
                      <w:lang w:val="en-US" w:eastAsia="zh-CN"/>
                    </w:rPr>
                    <w:t>2</w:t>
                  </w:r>
                </w:p>
              </w:tc>
              <w:tc>
                <w:tcPr>
                  <w:tcW w:w="774" w:type="pct"/>
                  <w:vAlign w:val="center"/>
                </w:tcPr>
                <w:p w14:paraId="78F37830">
                  <w:pPr>
                    <w:pStyle w:val="31"/>
                    <w:bidi w:val="0"/>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南厂界</w:t>
                  </w:r>
                </w:p>
              </w:tc>
              <w:tc>
                <w:tcPr>
                  <w:tcW w:w="520" w:type="pct"/>
                  <w:vAlign w:val="center"/>
                </w:tcPr>
                <w:p w14:paraId="538FFA37">
                  <w:pPr>
                    <w:pStyle w:val="31"/>
                    <w:bidi w:val="0"/>
                    <w:rPr>
                      <w:rFonts w:hint="default"/>
                      <w:color w:val="auto"/>
                      <w:lang w:val="en-US" w:eastAsia="zh-CN"/>
                    </w:rPr>
                  </w:pPr>
                  <w:r>
                    <w:rPr>
                      <w:rFonts w:hint="eastAsia"/>
                      <w:color w:val="auto"/>
                      <w:lang w:val="en-US" w:eastAsia="zh-CN"/>
                    </w:rPr>
                    <w:t>昼间</w:t>
                  </w:r>
                </w:p>
              </w:tc>
              <w:tc>
                <w:tcPr>
                  <w:tcW w:w="1253" w:type="pct"/>
                  <w:vAlign w:val="center"/>
                </w:tcPr>
                <w:p w14:paraId="7C2C5CE8">
                  <w:pPr>
                    <w:pStyle w:val="31"/>
                    <w:bidi w:val="0"/>
                    <w:rPr>
                      <w:rFonts w:hint="default"/>
                      <w:color w:val="auto"/>
                      <w:lang w:val="en-US" w:eastAsia="zh-CN"/>
                    </w:rPr>
                  </w:pPr>
                  <w:r>
                    <w:rPr>
                      <w:rFonts w:hint="eastAsia"/>
                      <w:color w:val="auto"/>
                      <w:lang w:val="en-US" w:eastAsia="zh-CN"/>
                    </w:rPr>
                    <w:t>57.61</w:t>
                  </w:r>
                </w:p>
              </w:tc>
              <w:tc>
                <w:tcPr>
                  <w:tcW w:w="1307" w:type="pct"/>
                  <w:vAlign w:val="center"/>
                </w:tcPr>
                <w:p w14:paraId="2DEEED1E">
                  <w:pPr>
                    <w:pStyle w:val="31"/>
                    <w:bidi w:val="0"/>
                    <w:rPr>
                      <w:rFonts w:hint="default"/>
                      <w:color w:val="auto"/>
                      <w:lang w:val="en-US" w:eastAsia="zh-CN"/>
                    </w:rPr>
                  </w:pPr>
                  <w:r>
                    <w:rPr>
                      <w:rFonts w:hint="eastAsia"/>
                      <w:color w:val="auto"/>
                      <w:lang w:val="en-US" w:eastAsia="zh-CN"/>
                    </w:rPr>
                    <w:t>60</w:t>
                  </w:r>
                </w:p>
              </w:tc>
              <w:tc>
                <w:tcPr>
                  <w:tcW w:w="726" w:type="pct"/>
                  <w:vAlign w:val="center"/>
                </w:tcPr>
                <w:p w14:paraId="4DC2639C">
                  <w:pPr>
                    <w:pStyle w:val="31"/>
                    <w:bidi w:val="0"/>
                    <w:rPr>
                      <w:rFonts w:hint="default"/>
                      <w:color w:val="auto"/>
                      <w:lang w:val="en-US" w:eastAsia="zh-CN"/>
                    </w:rPr>
                  </w:pPr>
                  <w:r>
                    <w:rPr>
                      <w:rFonts w:hint="eastAsia"/>
                      <w:color w:val="auto"/>
                      <w:lang w:val="en-US" w:eastAsia="zh-CN"/>
                    </w:rPr>
                    <w:t>达标</w:t>
                  </w:r>
                </w:p>
              </w:tc>
            </w:tr>
            <w:tr w14:paraId="777A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1AF18892">
                  <w:pPr>
                    <w:pStyle w:val="31"/>
                    <w:bidi w:val="0"/>
                    <w:rPr>
                      <w:rFonts w:hint="default"/>
                      <w:color w:val="auto"/>
                      <w:lang w:val="en-US" w:eastAsia="zh-CN"/>
                    </w:rPr>
                  </w:pPr>
                  <w:r>
                    <w:rPr>
                      <w:rFonts w:hint="eastAsia"/>
                      <w:color w:val="auto"/>
                      <w:lang w:val="en-US" w:eastAsia="zh-CN"/>
                    </w:rPr>
                    <w:t>3</w:t>
                  </w:r>
                </w:p>
              </w:tc>
              <w:tc>
                <w:tcPr>
                  <w:tcW w:w="774" w:type="pct"/>
                  <w:vAlign w:val="center"/>
                </w:tcPr>
                <w:p w14:paraId="15BC6C3A">
                  <w:pPr>
                    <w:pStyle w:val="31"/>
                    <w:bidi w:val="0"/>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西厂界</w:t>
                  </w:r>
                </w:p>
              </w:tc>
              <w:tc>
                <w:tcPr>
                  <w:tcW w:w="520" w:type="pct"/>
                  <w:vAlign w:val="center"/>
                </w:tcPr>
                <w:p w14:paraId="1130EC7C">
                  <w:pPr>
                    <w:pStyle w:val="31"/>
                    <w:bidi w:val="0"/>
                    <w:rPr>
                      <w:rFonts w:hint="default"/>
                      <w:color w:val="auto"/>
                      <w:lang w:val="en-US" w:eastAsia="zh-CN"/>
                    </w:rPr>
                  </w:pPr>
                  <w:r>
                    <w:rPr>
                      <w:rFonts w:hint="eastAsia"/>
                      <w:color w:val="auto"/>
                      <w:lang w:val="en-US" w:eastAsia="zh-CN"/>
                    </w:rPr>
                    <w:t>昼间</w:t>
                  </w:r>
                </w:p>
              </w:tc>
              <w:tc>
                <w:tcPr>
                  <w:tcW w:w="1253" w:type="pct"/>
                  <w:vAlign w:val="center"/>
                </w:tcPr>
                <w:p w14:paraId="65DAA15F">
                  <w:pPr>
                    <w:pStyle w:val="31"/>
                    <w:bidi w:val="0"/>
                    <w:rPr>
                      <w:rFonts w:hint="default"/>
                      <w:color w:val="auto"/>
                      <w:lang w:val="en-US" w:eastAsia="zh-CN"/>
                    </w:rPr>
                  </w:pPr>
                  <w:r>
                    <w:rPr>
                      <w:rFonts w:hint="eastAsia"/>
                      <w:color w:val="auto"/>
                      <w:lang w:val="en-US" w:eastAsia="zh-CN"/>
                    </w:rPr>
                    <w:t>51.24</w:t>
                  </w:r>
                </w:p>
              </w:tc>
              <w:tc>
                <w:tcPr>
                  <w:tcW w:w="1307" w:type="pct"/>
                  <w:vAlign w:val="center"/>
                </w:tcPr>
                <w:p w14:paraId="349D5D56">
                  <w:pPr>
                    <w:pStyle w:val="31"/>
                    <w:bidi w:val="0"/>
                    <w:rPr>
                      <w:rFonts w:hint="default"/>
                      <w:color w:val="auto"/>
                      <w:lang w:val="en-US" w:eastAsia="zh-CN"/>
                    </w:rPr>
                  </w:pPr>
                  <w:r>
                    <w:rPr>
                      <w:rFonts w:hint="eastAsia"/>
                      <w:color w:val="auto"/>
                      <w:lang w:val="en-US" w:eastAsia="zh-CN"/>
                    </w:rPr>
                    <w:t>60</w:t>
                  </w:r>
                </w:p>
              </w:tc>
              <w:tc>
                <w:tcPr>
                  <w:tcW w:w="726" w:type="pct"/>
                  <w:vAlign w:val="center"/>
                </w:tcPr>
                <w:p w14:paraId="0185F493">
                  <w:pPr>
                    <w:pStyle w:val="31"/>
                    <w:bidi w:val="0"/>
                    <w:rPr>
                      <w:rFonts w:hint="default"/>
                      <w:color w:val="auto"/>
                      <w:lang w:val="en-US" w:eastAsia="zh-CN"/>
                    </w:rPr>
                  </w:pPr>
                  <w:r>
                    <w:rPr>
                      <w:rFonts w:hint="eastAsia"/>
                      <w:color w:val="auto"/>
                      <w:lang w:val="en-US" w:eastAsia="zh-CN"/>
                    </w:rPr>
                    <w:t>达标</w:t>
                  </w:r>
                </w:p>
              </w:tc>
            </w:tr>
            <w:tr w14:paraId="3B294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52A98A62">
                  <w:pPr>
                    <w:pStyle w:val="31"/>
                    <w:bidi w:val="0"/>
                    <w:rPr>
                      <w:rFonts w:hint="default"/>
                      <w:color w:val="auto"/>
                      <w:lang w:val="en-US" w:eastAsia="zh-CN"/>
                    </w:rPr>
                  </w:pPr>
                  <w:r>
                    <w:rPr>
                      <w:rFonts w:hint="eastAsia"/>
                      <w:color w:val="auto"/>
                      <w:lang w:val="en-US" w:eastAsia="zh-CN"/>
                    </w:rPr>
                    <w:t>4</w:t>
                  </w:r>
                </w:p>
              </w:tc>
              <w:tc>
                <w:tcPr>
                  <w:tcW w:w="774" w:type="pct"/>
                  <w:vAlign w:val="center"/>
                </w:tcPr>
                <w:p w14:paraId="4CA536D5">
                  <w:pPr>
                    <w:pStyle w:val="31"/>
                    <w:bidi w:val="0"/>
                    <w:ind w:firstLine="0" w:firstLineChars="0"/>
                    <w:rPr>
                      <w:rFonts w:hint="default" w:ascii="Times New Roman" w:hAnsi="Times New Roman" w:eastAsia="宋体" w:cs="黑体"/>
                      <w:b w:val="0"/>
                      <w:color w:val="auto"/>
                      <w:kern w:val="2"/>
                      <w:sz w:val="21"/>
                      <w:szCs w:val="24"/>
                      <w:lang w:val="en-US" w:eastAsia="zh-CN" w:bidi="ar-SA"/>
                    </w:rPr>
                  </w:pPr>
                  <w:r>
                    <w:rPr>
                      <w:rFonts w:hint="eastAsia"/>
                      <w:color w:val="auto"/>
                      <w:lang w:val="en-US" w:eastAsia="zh-CN"/>
                    </w:rPr>
                    <w:t>北厂界</w:t>
                  </w:r>
                </w:p>
              </w:tc>
              <w:tc>
                <w:tcPr>
                  <w:tcW w:w="520" w:type="pct"/>
                  <w:vAlign w:val="center"/>
                </w:tcPr>
                <w:p w14:paraId="06653048">
                  <w:pPr>
                    <w:pStyle w:val="31"/>
                    <w:bidi w:val="0"/>
                    <w:rPr>
                      <w:rFonts w:hint="default"/>
                      <w:color w:val="auto"/>
                      <w:lang w:val="en-US" w:eastAsia="zh-CN"/>
                    </w:rPr>
                  </w:pPr>
                  <w:r>
                    <w:rPr>
                      <w:rFonts w:hint="eastAsia"/>
                      <w:color w:val="auto"/>
                      <w:lang w:val="en-US" w:eastAsia="zh-CN"/>
                    </w:rPr>
                    <w:t>昼间</w:t>
                  </w:r>
                </w:p>
              </w:tc>
              <w:tc>
                <w:tcPr>
                  <w:tcW w:w="1253" w:type="pct"/>
                  <w:vAlign w:val="center"/>
                </w:tcPr>
                <w:p w14:paraId="015564B3">
                  <w:pPr>
                    <w:pStyle w:val="31"/>
                    <w:bidi w:val="0"/>
                    <w:rPr>
                      <w:rFonts w:hint="default"/>
                      <w:color w:val="auto"/>
                      <w:lang w:val="en-US" w:eastAsia="zh-CN"/>
                    </w:rPr>
                  </w:pPr>
                  <w:r>
                    <w:rPr>
                      <w:rFonts w:hint="eastAsia"/>
                      <w:color w:val="auto"/>
                      <w:lang w:val="en-US" w:eastAsia="zh-CN"/>
                    </w:rPr>
                    <w:t>40.25</w:t>
                  </w:r>
                </w:p>
              </w:tc>
              <w:tc>
                <w:tcPr>
                  <w:tcW w:w="1307" w:type="pct"/>
                  <w:vAlign w:val="center"/>
                </w:tcPr>
                <w:p w14:paraId="0571FE4B">
                  <w:pPr>
                    <w:pStyle w:val="31"/>
                    <w:bidi w:val="0"/>
                    <w:rPr>
                      <w:rFonts w:hint="default"/>
                      <w:color w:val="auto"/>
                      <w:lang w:val="en-US" w:eastAsia="zh-CN"/>
                    </w:rPr>
                  </w:pPr>
                  <w:r>
                    <w:rPr>
                      <w:rFonts w:hint="eastAsia"/>
                      <w:color w:val="auto"/>
                      <w:lang w:val="en-US" w:eastAsia="zh-CN"/>
                    </w:rPr>
                    <w:t>60</w:t>
                  </w:r>
                </w:p>
              </w:tc>
              <w:tc>
                <w:tcPr>
                  <w:tcW w:w="726" w:type="pct"/>
                  <w:vAlign w:val="center"/>
                </w:tcPr>
                <w:p w14:paraId="0559286E">
                  <w:pPr>
                    <w:pStyle w:val="31"/>
                    <w:bidi w:val="0"/>
                    <w:rPr>
                      <w:rFonts w:hint="default"/>
                      <w:color w:val="auto"/>
                      <w:lang w:val="en-US" w:eastAsia="zh-CN"/>
                    </w:rPr>
                  </w:pPr>
                  <w:r>
                    <w:rPr>
                      <w:rFonts w:hint="eastAsia"/>
                      <w:color w:val="auto"/>
                      <w:lang w:val="en-US" w:eastAsia="zh-CN"/>
                    </w:rPr>
                    <w:t>达标</w:t>
                  </w:r>
                </w:p>
              </w:tc>
            </w:tr>
          </w:tbl>
          <w:p w14:paraId="47B884C1">
            <w:pPr>
              <w:bidi w:val="0"/>
              <w:rPr>
                <w:rFonts w:hint="default"/>
                <w:color w:val="auto"/>
                <w:lang w:val="en-US" w:eastAsia="zh-CN"/>
              </w:rPr>
            </w:pPr>
            <w:r>
              <w:rPr>
                <w:rFonts w:hint="default"/>
                <w:color w:val="auto"/>
                <w:lang w:val="en-US" w:eastAsia="zh-CN"/>
              </w:rPr>
              <w:t>项目夜间不生产，根据上表可知，项目东、南、西、北厂界</w:t>
            </w:r>
            <w:r>
              <w:rPr>
                <w:rFonts w:hint="eastAsia"/>
                <w:color w:val="auto"/>
                <w:lang w:val="en-US" w:eastAsia="zh-CN"/>
              </w:rPr>
              <w:t>昼间</w:t>
            </w:r>
            <w:r>
              <w:rPr>
                <w:rFonts w:hint="default"/>
                <w:color w:val="auto"/>
                <w:lang w:val="en-US" w:eastAsia="zh-CN"/>
              </w:rPr>
              <w:t>预测噪声贡献值可达到《工业企业厂界环境噪声排放标准》（GB12348-2008）中2类标准的要求</w:t>
            </w:r>
            <w:r>
              <w:rPr>
                <w:rFonts w:hint="eastAsia"/>
                <w:color w:val="auto"/>
                <w:lang w:val="en-US" w:eastAsia="zh-CN"/>
              </w:rPr>
              <w:t>，</w:t>
            </w:r>
            <w:r>
              <w:rPr>
                <w:rFonts w:hint="default"/>
                <w:color w:val="auto"/>
                <w:lang w:val="en-US" w:eastAsia="zh-CN"/>
              </w:rPr>
              <w:t>且项目区50m范围内无保护目标，本项目噪声对周边环境影响较小。</w:t>
            </w:r>
          </w:p>
          <w:p w14:paraId="17F6BC54">
            <w:pPr>
              <w:bidi w:val="0"/>
              <w:rPr>
                <w:rFonts w:hint="default"/>
                <w:color w:val="auto"/>
                <w:lang w:val="en-US" w:eastAsia="zh-CN"/>
              </w:rPr>
            </w:pPr>
            <w:r>
              <w:rPr>
                <w:rFonts w:hint="default"/>
                <w:color w:val="auto"/>
                <w:lang w:val="en-US" w:eastAsia="zh-CN"/>
              </w:rPr>
              <w:t>为保证项目日常运行中厂界噪声稳定达标，要求建设单位采取如下措施：</w:t>
            </w:r>
          </w:p>
          <w:p w14:paraId="0E0474F7">
            <w:pPr>
              <w:bidi w:val="0"/>
              <w:rPr>
                <w:rFonts w:hint="default"/>
                <w:color w:val="auto"/>
                <w:lang w:val="en-US" w:eastAsia="zh-CN"/>
              </w:rPr>
            </w:pPr>
            <w:r>
              <w:rPr>
                <w:rFonts w:hint="default"/>
                <w:color w:val="auto"/>
                <w:lang w:val="en-US" w:eastAsia="zh-CN"/>
              </w:rPr>
              <w:t>1）合理安排设备安放位置，尽可能利用距离进行声级衰减；</w:t>
            </w:r>
          </w:p>
          <w:p w14:paraId="000ED216">
            <w:pPr>
              <w:bidi w:val="0"/>
              <w:rPr>
                <w:rFonts w:hint="default"/>
                <w:color w:val="auto"/>
                <w:lang w:val="en-US" w:eastAsia="zh-CN"/>
              </w:rPr>
            </w:pPr>
            <w:r>
              <w:rPr>
                <w:rFonts w:hint="default"/>
                <w:color w:val="auto"/>
                <w:lang w:val="en-US" w:eastAsia="zh-CN"/>
              </w:rPr>
              <w:t>2）选用低噪声设备，高噪声设备必须安装在加有减振垫的隔振基础上，同时设备之间保持间距，避免噪声叠加影响；</w:t>
            </w:r>
          </w:p>
          <w:p w14:paraId="3EE8EF5D">
            <w:pPr>
              <w:bidi w:val="0"/>
              <w:rPr>
                <w:rFonts w:hint="default"/>
                <w:color w:val="auto"/>
                <w:lang w:val="en-US" w:eastAsia="zh-CN"/>
              </w:rPr>
            </w:pPr>
            <w:r>
              <w:rPr>
                <w:rFonts w:hint="default"/>
                <w:color w:val="auto"/>
                <w:lang w:val="en-US" w:eastAsia="zh-CN"/>
              </w:rPr>
              <w:t>3）生产主要产噪设备均设置于厂房内，以保证厂界噪声能够达标；</w:t>
            </w:r>
          </w:p>
          <w:p w14:paraId="2A6F5C46">
            <w:pPr>
              <w:bidi w:val="0"/>
              <w:rPr>
                <w:rFonts w:hint="default"/>
                <w:color w:val="auto"/>
                <w:lang w:val="en-US" w:eastAsia="zh-CN"/>
              </w:rPr>
            </w:pPr>
            <w:r>
              <w:rPr>
                <w:rFonts w:hint="default"/>
                <w:color w:val="auto"/>
                <w:lang w:val="en-US" w:eastAsia="zh-CN"/>
              </w:rPr>
              <w:t>4）加强设备日常检修和维护，确保设备处于良好的运转状态，杜绝因设备不正常运转产生的高噪声现象。</w:t>
            </w:r>
          </w:p>
          <w:p w14:paraId="0B9DC1F4">
            <w:pPr>
              <w:bidi w:val="0"/>
              <w:rPr>
                <w:rFonts w:hint="default"/>
                <w:color w:val="auto"/>
                <w:lang w:val="en-US" w:eastAsia="zh-CN"/>
              </w:rPr>
            </w:pPr>
            <w:r>
              <w:rPr>
                <w:rFonts w:hint="default"/>
                <w:color w:val="auto"/>
                <w:lang w:val="en-US" w:eastAsia="zh-CN"/>
              </w:rPr>
              <w:t>经采取上述措施后进一步减小本项目噪声对周围环境的影响。</w:t>
            </w:r>
          </w:p>
          <w:p w14:paraId="3353410C">
            <w:pPr>
              <w:bidi w:val="0"/>
              <w:rPr>
                <w:rFonts w:hint="default"/>
                <w:b/>
                <w:bCs/>
                <w:color w:val="auto"/>
                <w:lang w:val="en-US" w:eastAsia="zh-CN"/>
              </w:rPr>
            </w:pPr>
            <w:r>
              <w:rPr>
                <w:rFonts w:hint="eastAsia"/>
                <w:b/>
                <w:bCs/>
                <w:color w:val="auto"/>
                <w:lang w:val="en-US" w:eastAsia="zh-CN"/>
              </w:rPr>
              <w:t>4、监测要求</w:t>
            </w:r>
          </w:p>
          <w:p w14:paraId="61E81AA0">
            <w:pPr>
              <w:bidi w:val="0"/>
              <w:rPr>
                <w:rFonts w:hint="default"/>
                <w:color w:val="auto"/>
                <w:lang w:val="en-US" w:eastAsia="zh-CN"/>
              </w:rPr>
            </w:pPr>
            <w:r>
              <w:rPr>
                <w:rFonts w:hint="default"/>
                <w:color w:val="auto"/>
                <w:lang w:val="en-US" w:eastAsia="zh-CN"/>
              </w:rPr>
              <w:t>根据《排污单位自行监测技术指南总则》（HJ819-2017）并参考《排污单位自行监测技术指南钢铁工业及炼焦化学工业》（HJ878-2017）中噪声监测要求，并结合项目实际，本项目自行监测计划如下。</w:t>
            </w:r>
          </w:p>
          <w:p w14:paraId="30FCE774">
            <w:pPr>
              <w:adjustRightInd w:val="0"/>
              <w:snapToGrid w:val="0"/>
              <w:spacing w:line="360" w:lineRule="auto"/>
              <w:ind w:firstLine="0" w:firstLineChars="0"/>
              <w:jc w:val="center"/>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表4-12  噪声监测计划表</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0"/>
              <w:gridCol w:w="1238"/>
              <w:gridCol w:w="1307"/>
              <w:gridCol w:w="1300"/>
              <w:gridCol w:w="2768"/>
            </w:tblGrid>
            <w:tr w14:paraId="55538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57" w:type="pct"/>
                  <w:tcBorders>
                    <w:tl2br w:val="nil"/>
                    <w:tr2bl w:val="nil"/>
                  </w:tcBorders>
                  <w:vAlign w:val="center"/>
                </w:tcPr>
                <w:p w14:paraId="0B007E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kern w:val="0"/>
                      <w:sz w:val="21"/>
                      <w:szCs w:val="21"/>
                      <w:lang w:bidi="ar"/>
                    </w:rPr>
                  </w:pPr>
                  <w:r>
                    <w:rPr>
                      <w:rFonts w:hint="default" w:ascii="Times New Roman" w:hAnsi="Times New Roman" w:cs="Times New Roman"/>
                      <w:b w:val="0"/>
                      <w:bCs w:val="0"/>
                      <w:color w:val="auto"/>
                      <w:kern w:val="0"/>
                      <w:sz w:val="21"/>
                      <w:szCs w:val="21"/>
                      <w:lang w:bidi="ar"/>
                    </w:rPr>
                    <w:t>监测内容</w:t>
                  </w:r>
                </w:p>
              </w:tc>
              <w:tc>
                <w:tcPr>
                  <w:tcW w:w="794" w:type="pct"/>
                  <w:tcBorders>
                    <w:tl2br w:val="nil"/>
                    <w:tr2bl w:val="nil"/>
                  </w:tcBorders>
                  <w:vAlign w:val="center"/>
                </w:tcPr>
                <w:p w14:paraId="6A0D31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kern w:val="0"/>
                      <w:sz w:val="21"/>
                      <w:szCs w:val="21"/>
                      <w:lang w:bidi="ar"/>
                    </w:rPr>
                  </w:pPr>
                  <w:r>
                    <w:rPr>
                      <w:rFonts w:hint="default" w:ascii="Times New Roman" w:hAnsi="Times New Roman" w:cs="Times New Roman"/>
                      <w:b w:val="0"/>
                      <w:bCs w:val="0"/>
                      <w:color w:val="auto"/>
                      <w:kern w:val="0"/>
                      <w:sz w:val="21"/>
                      <w:szCs w:val="21"/>
                      <w:lang w:bidi="ar"/>
                    </w:rPr>
                    <w:t>监测点位</w:t>
                  </w:r>
                </w:p>
              </w:tc>
              <w:tc>
                <w:tcPr>
                  <w:tcW w:w="838" w:type="pct"/>
                  <w:tcBorders>
                    <w:tl2br w:val="nil"/>
                    <w:tr2bl w:val="nil"/>
                  </w:tcBorders>
                  <w:vAlign w:val="center"/>
                </w:tcPr>
                <w:p w14:paraId="780D7E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kern w:val="0"/>
                      <w:sz w:val="21"/>
                      <w:szCs w:val="21"/>
                      <w:lang w:bidi="ar"/>
                    </w:rPr>
                  </w:pPr>
                  <w:r>
                    <w:rPr>
                      <w:rFonts w:hint="default" w:ascii="Times New Roman" w:hAnsi="Times New Roman" w:cs="Times New Roman"/>
                      <w:b w:val="0"/>
                      <w:bCs w:val="0"/>
                      <w:color w:val="auto"/>
                      <w:kern w:val="0"/>
                      <w:sz w:val="21"/>
                      <w:szCs w:val="21"/>
                      <w:lang w:bidi="ar"/>
                    </w:rPr>
                    <w:t>监测因子</w:t>
                  </w:r>
                </w:p>
              </w:tc>
              <w:tc>
                <w:tcPr>
                  <w:tcW w:w="834" w:type="pct"/>
                  <w:tcBorders>
                    <w:tl2br w:val="nil"/>
                    <w:tr2bl w:val="nil"/>
                  </w:tcBorders>
                  <w:vAlign w:val="center"/>
                </w:tcPr>
                <w:p w14:paraId="571790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kern w:val="0"/>
                      <w:sz w:val="21"/>
                      <w:szCs w:val="21"/>
                      <w:lang w:bidi="ar"/>
                    </w:rPr>
                  </w:pPr>
                  <w:r>
                    <w:rPr>
                      <w:rFonts w:hint="default" w:ascii="Times New Roman" w:hAnsi="Times New Roman" w:cs="Times New Roman"/>
                      <w:b w:val="0"/>
                      <w:bCs w:val="0"/>
                      <w:color w:val="auto"/>
                      <w:kern w:val="0"/>
                      <w:sz w:val="21"/>
                      <w:szCs w:val="21"/>
                      <w:lang w:bidi="ar"/>
                    </w:rPr>
                    <w:t>监测频次</w:t>
                  </w:r>
                </w:p>
              </w:tc>
              <w:tc>
                <w:tcPr>
                  <w:tcW w:w="1775" w:type="pct"/>
                  <w:tcBorders>
                    <w:tl2br w:val="nil"/>
                    <w:tr2bl w:val="nil"/>
                  </w:tcBorders>
                  <w:vAlign w:val="center"/>
                </w:tcPr>
                <w:p w14:paraId="1086BC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kern w:val="0"/>
                      <w:sz w:val="21"/>
                      <w:szCs w:val="21"/>
                      <w:lang w:bidi="ar"/>
                    </w:rPr>
                  </w:pPr>
                  <w:r>
                    <w:rPr>
                      <w:rFonts w:hint="default" w:ascii="Times New Roman" w:hAnsi="Times New Roman" w:cs="Times New Roman"/>
                      <w:b w:val="0"/>
                      <w:bCs w:val="0"/>
                      <w:color w:val="auto"/>
                      <w:kern w:val="0"/>
                      <w:sz w:val="21"/>
                      <w:szCs w:val="21"/>
                      <w:lang w:bidi="ar"/>
                    </w:rPr>
                    <w:t>执行标准</w:t>
                  </w:r>
                </w:p>
              </w:tc>
            </w:tr>
            <w:tr w14:paraId="2127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757" w:type="pct"/>
                  <w:tcBorders>
                    <w:tl2br w:val="nil"/>
                    <w:tr2bl w:val="nil"/>
                  </w:tcBorders>
                  <w:vAlign w:val="center"/>
                </w:tcPr>
                <w:p w14:paraId="40264B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噪声</w:t>
                  </w:r>
                </w:p>
              </w:tc>
              <w:tc>
                <w:tcPr>
                  <w:tcW w:w="794" w:type="pct"/>
                  <w:tcBorders>
                    <w:tl2br w:val="nil"/>
                    <w:tr2bl w:val="nil"/>
                  </w:tcBorders>
                  <w:vAlign w:val="center"/>
                </w:tcPr>
                <w:p w14:paraId="54D41B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厂界四周</w:t>
                  </w:r>
                </w:p>
              </w:tc>
              <w:tc>
                <w:tcPr>
                  <w:tcW w:w="838" w:type="pct"/>
                  <w:tcBorders>
                    <w:tl2br w:val="nil"/>
                    <w:tr2bl w:val="nil"/>
                  </w:tcBorders>
                  <w:vAlign w:val="center"/>
                </w:tcPr>
                <w:p w14:paraId="448C2C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等效连续A声级</w:t>
                  </w:r>
                </w:p>
              </w:tc>
              <w:tc>
                <w:tcPr>
                  <w:tcW w:w="834" w:type="pct"/>
                  <w:tcBorders>
                    <w:tl2br w:val="nil"/>
                    <w:tr2bl w:val="nil"/>
                  </w:tcBorders>
                  <w:vAlign w:val="center"/>
                </w:tcPr>
                <w:p w14:paraId="2E43F4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1次/季度</w:t>
                  </w:r>
                </w:p>
              </w:tc>
              <w:tc>
                <w:tcPr>
                  <w:tcW w:w="1775" w:type="pct"/>
                  <w:tcBorders>
                    <w:tl2br w:val="nil"/>
                    <w:tr2bl w:val="nil"/>
                  </w:tcBorders>
                  <w:vAlign w:val="center"/>
                </w:tcPr>
                <w:p w14:paraId="413C46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执行《工业企业厂界环境噪声排放标准》（GB12348-2008）</w:t>
                  </w:r>
                  <w:r>
                    <w:rPr>
                      <w:rFonts w:hint="default" w:ascii="Times New Roman" w:hAnsi="Times New Roman" w:cs="Times New Roman"/>
                      <w:color w:val="auto"/>
                      <w:kern w:val="0"/>
                      <w:sz w:val="21"/>
                      <w:szCs w:val="21"/>
                      <w:lang w:val="en-US" w:eastAsia="zh-CN" w:bidi="ar"/>
                    </w:rPr>
                    <w:t>2</w:t>
                  </w:r>
                  <w:r>
                    <w:rPr>
                      <w:rFonts w:hint="default" w:ascii="Times New Roman" w:hAnsi="Times New Roman" w:cs="Times New Roman"/>
                      <w:color w:val="auto"/>
                      <w:kern w:val="0"/>
                      <w:sz w:val="21"/>
                      <w:szCs w:val="21"/>
                      <w:lang w:bidi="ar"/>
                    </w:rPr>
                    <w:t>类标准限值</w:t>
                  </w:r>
                </w:p>
              </w:tc>
            </w:tr>
          </w:tbl>
          <w:p w14:paraId="65EDC4E8">
            <w:pPr>
              <w:bidi w:val="0"/>
              <w:rPr>
                <w:rFonts w:hint="default"/>
                <w:b/>
                <w:bCs/>
                <w:color w:val="auto"/>
                <w:lang w:val="en-US" w:eastAsia="zh-CN"/>
              </w:rPr>
            </w:pPr>
            <w:r>
              <w:rPr>
                <w:rFonts w:hint="eastAsia"/>
                <w:b/>
                <w:bCs/>
                <w:color w:val="auto"/>
                <w:lang w:val="en-US" w:eastAsia="zh-CN"/>
              </w:rPr>
              <w:t>5、小结</w:t>
            </w:r>
          </w:p>
          <w:p w14:paraId="19BD99B2">
            <w:pPr>
              <w:bidi w:val="0"/>
              <w:rPr>
                <w:rFonts w:hint="default"/>
                <w:color w:val="auto"/>
                <w:lang w:val="en-US" w:eastAsia="zh-CN"/>
              </w:rPr>
            </w:pPr>
            <w:r>
              <w:rPr>
                <w:rFonts w:hint="default"/>
                <w:color w:val="auto"/>
                <w:lang w:val="en-US" w:eastAsia="zh-CN"/>
              </w:rPr>
              <w:t>项目在运行期产生的噪声，只要采取环评报告提出的对策措施后，均可做到厂界达标排放。项目区生产噪声不会改变声环境功能，因此，对周围环境的影响不大。</w:t>
            </w:r>
          </w:p>
          <w:p w14:paraId="75023E23">
            <w:pPr>
              <w:ind w:left="0" w:leftChars="0" w:firstLine="0" w:firstLineChars="0"/>
              <w:rPr>
                <w:color w:val="auto"/>
              </w:rPr>
            </w:pPr>
          </w:p>
          <w:p w14:paraId="3B7E1951">
            <w:pPr>
              <w:ind w:left="0" w:leftChars="0" w:firstLine="0" w:firstLineChars="0"/>
              <w:rPr>
                <w:color w:val="auto"/>
              </w:rPr>
            </w:pPr>
          </w:p>
          <w:p w14:paraId="430D444A">
            <w:pPr>
              <w:ind w:left="0" w:leftChars="0" w:firstLine="0" w:firstLineChars="0"/>
              <w:rPr>
                <w:color w:val="auto"/>
              </w:rPr>
            </w:pPr>
          </w:p>
          <w:p w14:paraId="7E83111C">
            <w:pPr>
              <w:ind w:left="0" w:leftChars="0" w:firstLine="0" w:firstLineChars="0"/>
              <w:rPr>
                <w:color w:val="auto"/>
              </w:rPr>
            </w:pPr>
          </w:p>
          <w:p w14:paraId="50BC8E0E">
            <w:pPr>
              <w:ind w:left="0" w:leftChars="0" w:firstLine="0" w:firstLineChars="0"/>
              <w:rPr>
                <w:color w:val="auto"/>
              </w:rPr>
            </w:pPr>
          </w:p>
          <w:p w14:paraId="7A498FA2">
            <w:pPr>
              <w:ind w:left="0" w:leftChars="0" w:firstLine="0" w:firstLineChars="0"/>
              <w:rPr>
                <w:color w:val="auto"/>
              </w:rPr>
            </w:pPr>
          </w:p>
          <w:p w14:paraId="4FD75442">
            <w:pPr>
              <w:ind w:left="0" w:leftChars="0" w:firstLine="0" w:firstLineChars="0"/>
              <w:rPr>
                <w:color w:val="auto"/>
              </w:rPr>
            </w:pPr>
          </w:p>
          <w:p w14:paraId="70D4978E">
            <w:pPr>
              <w:ind w:left="0" w:leftChars="0" w:firstLine="0" w:firstLineChars="0"/>
              <w:rPr>
                <w:color w:val="auto"/>
              </w:rPr>
            </w:pPr>
          </w:p>
          <w:p w14:paraId="02EB4810">
            <w:pPr>
              <w:ind w:left="0" w:leftChars="0" w:firstLine="0" w:firstLineChars="0"/>
              <w:rPr>
                <w:color w:val="auto"/>
              </w:rPr>
            </w:pPr>
          </w:p>
          <w:p w14:paraId="1129372F">
            <w:pPr>
              <w:ind w:left="0" w:leftChars="0" w:firstLine="0" w:firstLineChars="0"/>
              <w:rPr>
                <w:color w:val="auto"/>
              </w:rPr>
            </w:pPr>
          </w:p>
          <w:p w14:paraId="0D0387B6">
            <w:pPr>
              <w:ind w:left="0" w:leftChars="0" w:firstLine="0" w:firstLineChars="0"/>
              <w:rPr>
                <w:color w:val="auto"/>
              </w:rPr>
            </w:pPr>
          </w:p>
          <w:p w14:paraId="0C3F9264">
            <w:pPr>
              <w:ind w:left="0" w:leftChars="0" w:firstLine="0" w:firstLineChars="0"/>
              <w:rPr>
                <w:color w:val="auto"/>
              </w:rPr>
            </w:pPr>
          </w:p>
          <w:p w14:paraId="1031D860">
            <w:pPr>
              <w:ind w:left="0" w:leftChars="0" w:firstLine="0" w:firstLineChars="0"/>
              <w:rPr>
                <w:color w:val="auto"/>
              </w:rPr>
            </w:pPr>
          </w:p>
          <w:p w14:paraId="68F8C85F">
            <w:pPr>
              <w:ind w:left="0" w:leftChars="0" w:firstLine="0" w:firstLineChars="0"/>
              <w:rPr>
                <w:color w:val="auto"/>
              </w:rPr>
            </w:pPr>
          </w:p>
          <w:p w14:paraId="2AB5D8A7">
            <w:pPr>
              <w:ind w:firstLine="0" w:firstLineChars="0"/>
              <w:rPr>
                <w:color w:val="auto"/>
              </w:rPr>
            </w:pPr>
          </w:p>
        </w:tc>
      </w:tr>
    </w:tbl>
    <w:p w14:paraId="6C7EAB32">
      <w:pPr>
        <w:ind w:firstLine="0" w:firstLineChars="0"/>
        <w:rPr>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13565"/>
      </w:tblGrid>
      <w:tr w14:paraId="710A2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Align w:val="center"/>
          </w:tcPr>
          <w:p w14:paraId="7172262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color w:val="auto"/>
                <w:vertAlign w:val="baseline"/>
              </w:rPr>
            </w:pPr>
            <w:r>
              <w:rPr>
                <w:rFonts w:hint="eastAsia"/>
                <w:color w:val="auto"/>
                <w:vertAlign w:val="baseline"/>
              </w:rPr>
              <w:t>运营</w:t>
            </w:r>
          </w:p>
          <w:p w14:paraId="3671B8D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color w:val="auto"/>
                <w:vertAlign w:val="baseline"/>
              </w:rPr>
            </w:pPr>
            <w:r>
              <w:rPr>
                <w:rFonts w:hint="eastAsia"/>
                <w:color w:val="auto"/>
                <w:vertAlign w:val="baseline"/>
              </w:rPr>
              <w:t>期环</w:t>
            </w:r>
          </w:p>
          <w:p w14:paraId="31A3401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color w:val="auto"/>
                <w:vertAlign w:val="baseline"/>
              </w:rPr>
            </w:pPr>
            <w:r>
              <w:rPr>
                <w:rFonts w:hint="eastAsia"/>
                <w:color w:val="auto"/>
                <w:vertAlign w:val="baseline"/>
              </w:rPr>
              <w:t>境影</w:t>
            </w:r>
          </w:p>
          <w:p w14:paraId="5F9ED90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color w:val="auto"/>
                <w:vertAlign w:val="baseline"/>
              </w:rPr>
            </w:pPr>
            <w:r>
              <w:rPr>
                <w:rFonts w:hint="eastAsia"/>
                <w:color w:val="auto"/>
                <w:vertAlign w:val="baseline"/>
              </w:rPr>
              <w:t>响和</w:t>
            </w:r>
          </w:p>
          <w:p w14:paraId="2A4B511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color w:val="auto"/>
                <w:vertAlign w:val="baseline"/>
              </w:rPr>
            </w:pPr>
            <w:r>
              <w:rPr>
                <w:rFonts w:hint="eastAsia"/>
                <w:color w:val="auto"/>
                <w:vertAlign w:val="baseline"/>
              </w:rPr>
              <w:t>保护</w:t>
            </w:r>
          </w:p>
          <w:p w14:paraId="7B432C2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vertAlign w:val="baseline"/>
              </w:rPr>
            </w:pPr>
            <w:r>
              <w:rPr>
                <w:rFonts w:hint="eastAsia"/>
                <w:color w:val="auto"/>
                <w:vertAlign w:val="baseline"/>
              </w:rPr>
              <w:t>措施</w:t>
            </w:r>
          </w:p>
        </w:tc>
        <w:tc>
          <w:tcPr>
            <w:tcW w:w="13565" w:type="dxa"/>
          </w:tcPr>
          <w:p w14:paraId="6702A499">
            <w:pPr>
              <w:bidi w:val="0"/>
              <w:rPr>
                <w:rFonts w:hint="eastAsia"/>
                <w:b/>
                <w:bCs/>
                <w:color w:val="auto"/>
                <w:lang w:val="en-US" w:eastAsia="zh-CN"/>
              </w:rPr>
            </w:pPr>
            <w:r>
              <w:rPr>
                <w:rFonts w:hint="eastAsia"/>
                <w:b/>
                <w:bCs/>
                <w:color w:val="auto"/>
                <w:lang w:val="en-US" w:eastAsia="zh-CN"/>
              </w:rPr>
              <w:t>四、固废</w:t>
            </w:r>
          </w:p>
          <w:p w14:paraId="3F319903">
            <w:pPr>
              <w:rPr>
                <w:rFonts w:hint="eastAsia" w:eastAsia="宋体"/>
                <w:b/>
                <w:bCs/>
                <w:color w:val="auto"/>
                <w:vertAlign w:val="baseline"/>
                <w:lang w:val="en-US" w:eastAsia="zh-CN"/>
              </w:rPr>
            </w:pPr>
            <w:r>
              <w:rPr>
                <w:rFonts w:hint="eastAsia"/>
                <w:b/>
                <w:bCs/>
                <w:color w:val="auto"/>
                <w:vertAlign w:val="baseline"/>
                <w:lang w:val="en-US" w:eastAsia="zh-CN"/>
              </w:rPr>
              <w:t>1、固体废物污染源源强核算结果及相关参数</w:t>
            </w:r>
          </w:p>
          <w:p w14:paraId="3AB53EF8">
            <w:pPr>
              <w:adjustRightInd w:val="0"/>
              <w:snapToGrid w:val="0"/>
              <w:spacing w:line="360" w:lineRule="auto"/>
              <w:ind w:firstLine="0" w:firstLineChars="0"/>
              <w:jc w:val="center"/>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表4-13  固体废物污染源源强核算结果及相关参数一览表</w:t>
            </w:r>
          </w:p>
          <w:tbl>
            <w:tblPr>
              <w:tblStyle w:val="22"/>
              <w:tblW w:w="49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2"/>
              <w:gridCol w:w="1120"/>
              <w:gridCol w:w="1338"/>
              <w:gridCol w:w="1059"/>
              <w:gridCol w:w="2184"/>
              <w:gridCol w:w="764"/>
              <w:gridCol w:w="729"/>
              <w:gridCol w:w="1109"/>
              <w:gridCol w:w="886"/>
              <w:gridCol w:w="1908"/>
              <w:gridCol w:w="1727"/>
            </w:tblGrid>
            <w:tr w14:paraId="245AD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 w:type="pct"/>
                  <w:tcBorders>
                    <w:tl2br w:val="nil"/>
                    <w:tr2bl w:val="nil"/>
                  </w:tcBorders>
                  <w:noWrap w:val="0"/>
                  <w:vAlign w:val="center"/>
                </w:tcPr>
                <w:p w14:paraId="5876A0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color w:val="auto"/>
                      <w:kern w:val="0"/>
                      <w:sz w:val="21"/>
                      <w:szCs w:val="21"/>
                    </w:rPr>
                  </w:pPr>
                  <w:r>
                    <w:rPr>
                      <w:rFonts w:hint="eastAsia"/>
                      <w:b/>
                      <w:color w:val="auto"/>
                      <w:kern w:val="0"/>
                      <w:sz w:val="21"/>
                      <w:szCs w:val="21"/>
                    </w:rPr>
                    <w:t>序号</w:t>
                  </w:r>
                </w:p>
              </w:tc>
              <w:tc>
                <w:tcPr>
                  <w:tcW w:w="421" w:type="pct"/>
                  <w:tcBorders>
                    <w:tl2br w:val="nil"/>
                    <w:tr2bl w:val="nil"/>
                  </w:tcBorders>
                  <w:noWrap w:val="0"/>
                  <w:vAlign w:val="center"/>
                </w:tcPr>
                <w:p w14:paraId="2D5FF7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color w:val="auto"/>
                      <w:kern w:val="0"/>
                      <w:sz w:val="21"/>
                      <w:szCs w:val="21"/>
                    </w:rPr>
                  </w:pPr>
                  <w:r>
                    <w:rPr>
                      <w:rFonts w:hint="eastAsia"/>
                      <w:b/>
                      <w:color w:val="auto"/>
                      <w:kern w:val="0"/>
                      <w:sz w:val="21"/>
                      <w:szCs w:val="21"/>
                    </w:rPr>
                    <w:t>产生环节</w:t>
                  </w:r>
                </w:p>
              </w:tc>
              <w:tc>
                <w:tcPr>
                  <w:tcW w:w="503" w:type="pct"/>
                  <w:tcBorders>
                    <w:tl2br w:val="nil"/>
                    <w:tr2bl w:val="nil"/>
                  </w:tcBorders>
                  <w:noWrap w:val="0"/>
                  <w:vAlign w:val="center"/>
                </w:tcPr>
                <w:p w14:paraId="0C12FD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color w:val="auto"/>
                      <w:kern w:val="0"/>
                      <w:sz w:val="21"/>
                      <w:szCs w:val="21"/>
                    </w:rPr>
                  </w:pPr>
                  <w:r>
                    <w:rPr>
                      <w:rFonts w:hint="eastAsia"/>
                      <w:b/>
                      <w:color w:val="auto"/>
                      <w:kern w:val="0"/>
                      <w:sz w:val="21"/>
                      <w:szCs w:val="21"/>
                    </w:rPr>
                    <w:t>固体废物名称</w:t>
                  </w:r>
                </w:p>
              </w:tc>
              <w:tc>
                <w:tcPr>
                  <w:tcW w:w="398" w:type="pct"/>
                  <w:tcBorders>
                    <w:tl2br w:val="nil"/>
                    <w:tr2bl w:val="nil"/>
                  </w:tcBorders>
                  <w:noWrap w:val="0"/>
                  <w:vAlign w:val="center"/>
                </w:tcPr>
                <w:p w14:paraId="32B8F2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color w:val="auto"/>
                      <w:kern w:val="0"/>
                      <w:sz w:val="21"/>
                      <w:szCs w:val="21"/>
                      <w:highlight w:val="none"/>
                    </w:rPr>
                  </w:pPr>
                  <w:r>
                    <w:rPr>
                      <w:rFonts w:hint="eastAsia"/>
                      <w:b/>
                      <w:color w:val="auto"/>
                      <w:kern w:val="0"/>
                      <w:sz w:val="21"/>
                      <w:szCs w:val="21"/>
                      <w:highlight w:val="none"/>
                    </w:rPr>
                    <w:t>固废属性</w:t>
                  </w:r>
                </w:p>
              </w:tc>
              <w:tc>
                <w:tcPr>
                  <w:tcW w:w="821" w:type="pct"/>
                  <w:tcBorders>
                    <w:tl2br w:val="nil"/>
                    <w:tr2bl w:val="nil"/>
                  </w:tcBorders>
                  <w:noWrap w:val="0"/>
                  <w:vAlign w:val="center"/>
                </w:tcPr>
                <w:p w14:paraId="293AC4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color w:val="auto"/>
                      <w:kern w:val="0"/>
                      <w:sz w:val="21"/>
                      <w:szCs w:val="21"/>
                      <w:highlight w:val="none"/>
                    </w:rPr>
                  </w:pPr>
                  <w:r>
                    <w:rPr>
                      <w:rFonts w:hint="eastAsia"/>
                      <w:b/>
                      <w:color w:val="auto"/>
                      <w:kern w:val="0"/>
                      <w:sz w:val="21"/>
                      <w:szCs w:val="21"/>
                      <w:highlight w:val="none"/>
                    </w:rPr>
                    <w:t>类别及代码</w:t>
                  </w:r>
                </w:p>
              </w:tc>
              <w:tc>
                <w:tcPr>
                  <w:tcW w:w="287" w:type="pct"/>
                  <w:tcBorders>
                    <w:tl2br w:val="nil"/>
                    <w:tr2bl w:val="nil"/>
                  </w:tcBorders>
                  <w:noWrap w:val="0"/>
                  <w:vAlign w:val="center"/>
                </w:tcPr>
                <w:p w14:paraId="431147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color w:val="auto"/>
                      <w:kern w:val="0"/>
                      <w:sz w:val="21"/>
                      <w:szCs w:val="21"/>
                    </w:rPr>
                  </w:pPr>
                  <w:r>
                    <w:rPr>
                      <w:rFonts w:hint="eastAsia"/>
                      <w:b/>
                      <w:color w:val="auto"/>
                      <w:kern w:val="0"/>
                      <w:sz w:val="21"/>
                      <w:szCs w:val="21"/>
                    </w:rPr>
                    <w:t>物理性状</w:t>
                  </w:r>
                </w:p>
              </w:tc>
              <w:tc>
                <w:tcPr>
                  <w:tcW w:w="274" w:type="pct"/>
                  <w:tcBorders>
                    <w:tl2br w:val="nil"/>
                    <w:tr2bl w:val="nil"/>
                  </w:tcBorders>
                  <w:noWrap w:val="0"/>
                  <w:vAlign w:val="center"/>
                </w:tcPr>
                <w:p w14:paraId="39AEFB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color w:val="auto"/>
                      <w:kern w:val="0"/>
                      <w:sz w:val="21"/>
                      <w:szCs w:val="21"/>
                      <w:lang w:eastAsia="zh-CN"/>
                    </w:rPr>
                  </w:pPr>
                  <w:r>
                    <w:rPr>
                      <w:rFonts w:hint="eastAsia"/>
                      <w:b/>
                      <w:color w:val="auto"/>
                      <w:kern w:val="0"/>
                      <w:sz w:val="21"/>
                      <w:szCs w:val="21"/>
                      <w:lang w:eastAsia="zh-CN"/>
                    </w:rPr>
                    <w:t>环境危险特性</w:t>
                  </w:r>
                </w:p>
              </w:tc>
              <w:tc>
                <w:tcPr>
                  <w:tcW w:w="417" w:type="pct"/>
                  <w:tcBorders>
                    <w:tl2br w:val="nil"/>
                    <w:tr2bl w:val="nil"/>
                  </w:tcBorders>
                  <w:noWrap w:val="0"/>
                  <w:vAlign w:val="center"/>
                </w:tcPr>
                <w:p w14:paraId="31FF06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color w:val="auto"/>
                      <w:kern w:val="0"/>
                      <w:sz w:val="21"/>
                      <w:szCs w:val="21"/>
                    </w:rPr>
                  </w:pPr>
                  <w:r>
                    <w:rPr>
                      <w:rFonts w:hint="eastAsia"/>
                      <w:b/>
                      <w:color w:val="auto"/>
                      <w:kern w:val="0"/>
                      <w:sz w:val="21"/>
                      <w:szCs w:val="21"/>
                    </w:rPr>
                    <w:t>产生量</w:t>
                  </w:r>
                </w:p>
              </w:tc>
              <w:tc>
                <w:tcPr>
                  <w:tcW w:w="333" w:type="pct"/>
                  <w:tcBorders>
                    <w:tl2br w:val="nil"/>
                    <w:tr2bl w:val="nil"/>
                  </w:tcBorders>
                  <w:noWrap w:val="0"/>
                  <w:vAlign w:val="center"/>
                </w:tcPr>
                <w:p w14:paraId="56BDF5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color w:val="auto"/>
                      <w:kern w:val="0"/>
                      <w:sz w:val="21"/>
                      <w:szCs w:val="21"/>
                    </w:rPr>
                  </w:pPr>
                  <w:r>
                    <w:rPr>
                      <w:rFonts w:hint="eastAsia"/>
                      <w:b/>
                      <w:color w:val="auto"/>
                      <w:kern w:val="0"/>
                      <w:sz w:val="21"/>
                      <w:szCs w:val="21"/>
                    </w:rPr>
                    <w:t>贮存方式</w:t>
                  </w:r>
                </w:p>
              </w:tc>
              <w:tc>
                <w:tcPr>
                  <w:tcW w:w="717" w:type="pct"/>
                  <w:tcBorders>
                    <w:tl2br w:val="nil"/>
                    <w:tr2bl w:val="nil"/>
                  </w:tcBorders>
                  <w:noWrap w:val="0"/>
                  <w:vAlign w:val="center"/>
                </w:tcPr>
                <w:p w14:paraId="12ED18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color w:val="auto"/>
                      <w:kern w:val="0"/>
                      <w:sz w:val="21"/>
                      <w:szCs w:val="21"/>
                    </w:rPr>
                  </w:pPr>
                  <w:r>
                    <w:rPr>
                      <w:rFonts w:hint="eastAsia"/>
                      <w:b/>
                      <w:color w:val="auto"/>
                      <w:kern w:val="0"/>
                      <w:sz w:val="21"/>
                      <w:szCs w:val="21"/>
                      <w:lang w:eastAsia="zh-CN"/>
                    </w:rPr>
                    <w:t>利用处置方式和</w:t>
                  </w:r>
                  <w:r>
                    <w:rPr>
                      <w:rFonts w:hint="eastAsia"/>
                      <w:b/>
                      <w:color w:val="auto"/>
                      <w:kern w:val="0"/>
                      <w:sz w:val="21"/>
                      <w:szCs w:val="21"/>
                    </w:rPr>
                    <w:t>去向</w:t>
                  </w:r>
                </w:p>
              </w:tc>
              <w:tc>
                <w:tcPr>
                  <w:tcW w:w="649" w:type="pct"/>
                  <w:tcBorders>
                    <w:tl2br w:val="nil"/>
                    <w:tr2bl w:val="nil"/>
                  </w:tcBorders>
                  <w:noWrap w:val="0"/>
                  <w:vAlign w:val="center"/>
                </w:tcPr>
                <w:p w14:paraId="603C15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color w:val="auto"/>
                      <w:kern w:val="0"/>
                      <w:sz w:val="21"/>
                      <w:szCs w:val="21"/>
                      <w:lang w:eastAsia="zh-CN"/>
                    </w:rPr>
                  </w:pPr>
                  <w:r>
                    <w:rPr>
                      <w:rFonts w:hint="eastAsia"/>
                      <w:b/>
                      <w:color w:val="auto"/>
                      <w:kern w:val="0"/>
                      <w:sz w:val="21"/>
                      <w:szCs w:val="21"/>
                      <w:lang w:eastAsia="zh-CN"/>
                    </w:rPr>
                    <w:t>环境管理要求</w:t>
                  </w:r>
                </w:p>
              </w:tc>
            </w:tr>
            <w:tr w14:paraId="7DD03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 w:type="pct"/>
                  <w:tcBorders>
                    <w:tl2br w:val="nil"/>
                    <w:tr2bl w:val="nil"/>
                  </w:tcBorders>
                  <w:noWrap w:val="0"/>
                  <w:vAlign w:val="center"/>
                </w:tcPr>
                <w:p w14:paraId="14DA4C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bCs/>
                      <w:color w:val="auto"/>
                      <w:kern w:val="0"/>
                      <w:sz w:val="21"/>
                      <w:szCs w:val="21"/>
                      <w:lang w:val="en-US" w:eastAsia="zh-CN" w:bidi="ar-SA"/>
                    </w:rPr>
                  </w:pPr>
                  <w:r>
                    <w:rPr>
                      <w:rFonts w:hint="eastAsia"/>
                      <w:bCs/>
                      <w:color w:val="auto"/>
                      <w:kern w:val="0"/>
                      <w:sz w:val="21"/>
                      <w:szCs w:val="21"/>
                    </w:rPr>
                    <w:t>1</w:t>
                  </w:r>
                </w:p>
              </w:tc>
              <w:tc>
                <w:tcPr>
                  <w:tcW w:w="421" w:type="pct"/>
                  <w:tcBorders>
                    <w:tl2br w:val="nil"/>
                    <w:tr2bl w:val="nil"/>
                  </w:tcBorders>
                  <w:noWrap w:val="0"/>
                  <w:vAlign w:val="center"/>
                </w:tcPr>
                <w:p w14:paraId="05BC7A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val="0"/>
                      <w:bCs/>
                      <w:color w:val="auto"/>
                      <w:kern w:val="0"/>
                      <w:sz w:val="21"/>
                      <w:szCs w:val="21"/>
                      <w:lang w:eastAsia="zh-CN"/>
                    </w:rPr>
                  </w:pPr>
                  <w:r>
                    <w:rPr>
                      <w:rFonts w:hint="eastAsia"/>
                      <w:b w:val="0"/>
                      <w:bCs/>
                      <w:color w:val="auto"/>
                      <w:kern w:val="0"/>
                      <w:sz w:val="21"/>
                      <w:szCs w:val="21"/>
                      <w:lang w:eastAsia="zh-CN"/>
                    </w:rPr>
                    <w:t>生活</w:t>
                  </w:r>
                </w:p>
              </w:tc>
              <w:tc>
                <w:tcPr>
                  <w:tcW w:w="503" w:type="pct"/>
                  <w:tcBorders>
                    <w:tl2br w:val="nil"/>
                    <w:tr2bl w:val="nil"/>
                  </w:tcBorders>
                  <w:noWrap w:val="0"/>
                  <w:vAlign w:val="center"/>
                </w:tcPr>
                <w:p w14:paraId="16D718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val="0"/>
                      <w:bCs/>
                      <w:color w:val="auto"/>
                      <w:kern w:val="0"/>
                      <w:sz w:val="21"/>
                      <w:szCs w:val="21"/>
                      <w:lang w:eastAsia="zh-CN"/>
                    </w:rPr>
                  </w:pPr>
                  <w:r>
                    <w:rPr>
                      <w:rFonts w:hint="eastAsia"/>
                      <w:b w:val="0"/>
                      <w:bCs/>
                      <w:color w:val="auto"/>
                      <w:kern w:val="0"/>
                      <w:sz w:val="21"/>
                      <w:szCs w:val="21"/>
                      <w:lang w:eastAsia="zh-CN"/>
                    </w:rPr>
                    <w:t>生活垃圾</w:t>
                  </w:r>
                </w:p>
              </w:tc>
              <w:tc>
                <w:tcPr>
                  <w:tcW w:w="398" w:type="pct"/>
                  <w:tcBorders>
                    <w:tl2br w:val="nil"/>
                    <w:tr2bl w:val="nil"/>
                  </w:tcBorders>
                  <w:noWrap w:val="0"/>
                  <w:vAlign w:val="center"/>
                </w:tcPr>
                <w:p w14:paraId="7085C1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color w:val="auto"/>
                      <w:kern w:val="0"/>
                      <w:sz w:val="21"/>
                      <w:szCs w:val="21"/>
                      <w:highlight w:val="none"/>
                    </w:rPr>
                  </w:pPr>
                  <w:r>
                    <w:rPr>
                      <w:bCs/>
                      <w:color w:val="auto"/>
                      <w:kern w:val="0"/>
                      <w:sz w:val="21"/>
                      <w:szCs w:val="21"/>
                    </w:rPr>
                    <w:t>一般固废</w:t>
                  </w:r>
                </w:p>
              </w:tc>
              <w:tc>
                <w:tcPr>
                  <w:tcW w:w="821" w:type="pct"/>
                  <w:tcBorders>
                    <w:tl2br w:val="nil"/>
                    <w:tr2bl w:val="nil"/>
                  </w:tcBorders>
                  <w:noWrap w:val="0"/>
                  <w:vAlign w:val="center"/>
                </w:tcPr>
                <w:p w14:paraId="1A3659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color w:val="auto"/>
                      <w:kern w:val="0"/>
                      <w:sz w:val="21"/>
                      <w:szCs w:val="21"/>
                      <w:highlight w:val="none"/>
                    </w:rPr>
                  </w:pPr>
                  <w:r>
                    <w:rPr>
                      <w:rFonts w:hint="eastAsia"/>
                      <w:b w:val="0"/>
                      <w:bCs/>
                      <w:color w:val="auto"/>
                      <w:kern w:val="0"/>
                      <w:sz w:val="21"/>
                      <w:szCs w:val="21"/>
                      <w:highlight w:val="none"/>
                    </w:rPr>
                    <w:t>900-099-S64</w:t>
                  </w:r>
                </w:p>
              </w:tc>
              <w:tc>
                <w:tcPr>
                  <w:tcW w:w="287" w:type="pct"/>
                  <w:tcBorders>
                    <w:tl2br w:val="nil"/>
                    <w:tr2bl w:val="nil"/>
                  </w:tcBorders>
                  <w:noWrap w:val="0"/>
                  <w:vAlign w:val="center"/>
                </w:tcPr>
                <w:p w14:paraId="12CE4E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color w:val="auto"/>
                      <w:kern w:val="0"/>
                      <w:sz w:val="21"/>
                      <w:szCs w:val="21"/>
                    </w:rPr>
                  </w:pPr>
                  <w:r>
                    <w:rPr>
                      <w:rFonts w:hint="eastAsia"/>
                      <w:bCs/>
                      <w:color w:val="auto"/>
                      <w:kern w:val="0"/>
                      <w:sz w:val="21"/>
                      <w:szCs w:val="21"/>
                      <w:highlight w:val="none"/>
                    </w:rPr>
                    <w:t>固态</w:t>
                  </w:r>
                </w:p>
              </w:tc>
              <w:tc>
                <w:tcPr>
                  <w:tcW w:w="274" w:type="pct"/>
                  <w:tcBorders>
                    <w:tl2br w:val="nil"/>
                    <w:tr2bl w:val="nil"/>
                  </w:tcBorders>
                  <w:noWrap w:val="0"/>
                  <w:vAlign w:val="center"/>
                </w:tcPr>
                <w:p w14:paraId="748EDB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color w:val="auto"/>
                      <w:kern w:val="0"/>
                      <w:sz w:val="21"/>
                      <w:szCs w:val="21"/>
                      <w:lang w:val="en-US" w:eastAsia="zh-CN"/>
                    </w:rPr>
                  </w:pPr>
                  <w:r>
                    <w:rPr>
                      <w:rFonts w:hint="eastAsia"/>
                      <w:b w:val="0"/>
                      <w:bCs/>
                      <w:color w:val="auto"/>
                      <w:kern w:val="0"/>
                      <w:sz w:val="21"/>
                      <w:szCs w:val="21"/>
                      <w:lang w:val="en-US" w:eastAsia="zh-CN"/>
                    </w:rPr>
                    <w:t>/</w:t>
                  </w:r>
                </w:p>
              </w:tc>
              <w:tc>
                <w:tcPr>
                  <w:tcW w:w="417" w:type="pct"/>
                  <w:tcBorders>
                    <w:tl2br w:val="nil"/>
                    <w:tr2bl w:val="nil"/>
                  </w:tcBorders>
                  <w:noWrap w:val="0"/>
                  <w:vAlign w:val="center"/>
                </w:tcPr>
                <w:p w14:paraId="38B96C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color w:val="auto"/>
                      <w:kern w:val="0"/>
                      <w:sz w:val="21"/>
                      <w:szCs w:val="21"/>
                      <w:lang w:val="en-US" w:eastAsia="zh-CN"/>
                    </w:rPr>
                  </w:pPr>
                  <w:r>
                    <w:rPr>
                      <w:rFonts w:hint="eastAsia"/>
                      <w:b w:val="0"/>
                      <w:bCs/>
                      <w:color w:val="auto"/>
                      <w:kern w:val="0"/>
                      <w:sz w:val="21"/>
                      <w:szCs w:val="21"/>
                      <w:lang w:val="en-US" w:eastAsia="zh-CN"/>
                    </w:rPr>
                    <w:t>11.4t/a</w:t>
                  </w:r>
                </w:p>
              </w:tc>
              <w:tc>
                <w:tcPr>
                  <w:tcW w:w="333" w:type="pct"/>
                  <w:tcBorders>
                    <w:tl2br w:val="nil"/>
                    <w:tr2bl w:val="nil"/>
                  </w:tcBorders>
                  <w:noWrap w:val="0"/>
                  <w:vAlign w:val="center"/>
                </w:tcPr>
                <w:p w14:paraId="20DB88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color w:val="auto"/>
                      <w:kern w:val="0"/>
                      <w:sz w:val="21"/>
                      <w:szCs w:val="21"/>
                      <w:lang w:val="en-US" w:eastAsia="zh-CN"/>
                    </w:rPr>
                  </w:pPr>
                  <w:r>
                    <w:rPr>
                      <w:rFonts w:hint="eastAsia"/>
                      <w:b w:val="0"/>
                      <w:bCs/>
                      <w:color w:val="auto"/>
                      <w:kern w:val="0"/>
                      <w:sz w:val="21"/>
                      <w:szCs w:val="21"/>
                      <w:lang w:val="en-US" w:eastAsia="zh-CN"/>
                    </w:rPr>
                    <w:t>厂区垃圾桶</w:t>
                  </w:r>
                </w:p>
              </w:tc>
              <w:tc>
                <w:tcPr>
                  <w:tcW w:w="717" w:type="pct"/>
                  <w:tcBorders>
                    <w:tl2br w:val="nil"/>
                    <w:tr2bl w:val="nil"/>
                  </w:tcBorders>
                  <w:noWrap w:val="0"/>
                  <w:vAlign w:val="center"/>
                </w:tcPr>
                <w:p w14:paraId="71D0D5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color w:val="auto"/>
                      <w:kern w:val="0"/>
                      <w:sz w:val="21"/>
                      <w:szCs w:val="21"/>
                      <w:lang w:eastAsia="zh-CN"/>
                    </w:rPr>
                  </w:pPr>
                  <w:r>
                    <w:rPr>
                      <w:rFonts w:hint="eastAsia"/>
                      <w:b w:val="0"/>
                      <w:bCs/>
                      <w:color w:val="auto"/>
                      <w:kern w:val="0"/>
                      <w:sz w:val="21"/>
                      <w:szCs w:val="21"/>
                      <w:lang w:eastAsia="zh-CN"/>
                    </w:rPr>
                    <w:t>集中分类收集后并入附近村庄处置</w:t>
                  </w:r>
                </w:p>
              </w:tc>
              <w:tc>
                <w:tcPr>
                  <w:tcW w:w="649" w:type="pct"/>
                  <w:tcBorders>
                    <w:tl2br w:val="nil"/>
                    <w:tr2bl w:val="nil"/>
                  </w:tcBorders>
                  <w:noWrap w:val="0"/>
                  <w:vAlign w:val="center"/>
                </w:tcPr>
                <w:p w14:paraId="545FC4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color w:val="auto"/>
                      <w:kern w:val="0"/>
                      <w:sz w:val="21"/>
                      <w:szCs w:val="21"/>
                      <w:lang w:eastAsia="zh-CN"/>
                    </w:rPr>
                  </w:pPr>
                  <w:r>
                    <w:rPr>
                      <w:rFonts w:hint="eastAsia"/>
                      <w:b w:val="0"/>
                      <w:bCs/>
                      <w:color w:val="auto"/>
                      <w:kern w:val="0"/>
                      <w:sz w:val="21"/>
                      <w:szCs w:val="21"/>
                      <w:lang w:eastAsia="zh-CN"/>
                    </w:rPr>
                    <w:t>收集后暂存于垃圾收集桶中，不得随意堆放，避免项目区内因生活垃圾的长期存放产生恶臭</w:t>
                  </w:r>
                </w:p>
              </w:tc>
            </w:tr>
            <w:tr w14:paraId="32F44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 w:type="pct"/>
                  <w:tcBorders>
                    <w:tl2br w:val="nil"/>
                    <w:tr2bl w:val="nil"/>
                  </w:tcBorders>
                  <w:noWrap w:val="0"/>
                  <w:vAlign w:val="center"/>
                </w:tcPr>
                <w:p w14:paraId="48DAB5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bCs/>
                      <w:color w:val="auto"/>
                      <w:kern w:val="0"/>
                      <w:sz w:val="21"/>
                      <w:szCs w:val="21"/>
                      <w:lang w:val="en-US" w:eastAsia="zh-CN" w:bidi="ar-SA"/>
                    </w:rPr>
                  </w:pPr>
                  <w:r>
                    <w:rPr>
                      <w:rFonts w:hint="eastAsia"/>
                      <w:bCs/>
                      <w:color w:val="auto"/>
                      <w:kern w:val="0"/>
                      <w:sz w:val="21"/>
                      <w:szCs w:val="21"/>
                      <w:lang w:val="en-US" w:eastAsia="zh-CN"/>
                    </w:rPr>
                    <w:t>2</w:t>
                  </w:r>
                </w:p>
              </w:tc>
              <w:tc>
                <w:tcPr>
                  <w:tcW w:w="421" w:type="pct"/>
                  <w:tcBorders>
                    <w:tl2br w:val="nil"/>
                    <w:tr2bl w:val="nil"/>
                  </w:tcBorders>
                  <w:noWrap w:val="0"/>
                  <w:vAlign w:val="center"/>
                </w:tcPr>
                <w:p w14:paraId="6CA02D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Cs/>
                      <w:color w:val="auto"/>
                      <w:kern w:val="0"/>
                      <w:sz w:val="21"/>
                      <w:szCs w:val="21"/>
                      <w:lang w:eastAsia="zh-CN"/>
                    </w:rPr>
                  </w:pPr>
                  <w:r>
                    <w:rPr>
                      <w:rFonts w:hint="eastAsia"/>
                      <w:bCs/>
                      <w:color w:val="auto"/>
                      <w:kern w:val="0"/>
                      <w:sz w:val="21"/>
                      <w:szCs w:val="21"/>
                      <w:lang w:eastAsia="zh-CN"/>
                    </w:rPr>
                    <w:t>生产</w:t>
                  </w:r>
                </w:p>
              </w:tc>
              <w:tc>
                <w:tcPr>
                  <w:tcW w:w="503" w:type="pct"/>
                  <w:tcBorders>
                    <w:tl2br w:val="nil"/>
                    <w:tr2bl w:val="nil"/>
                  </w:tcBorders>
                  <w:noWrap w:val="0"/>
                  <w:vAlign w:val="center"/>
                </w:tcPr>
                <w:p w14:paraId="224D82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Cs/>
                      <w:color w:val="auto"/>
                      <w:kern w:val="0"/>
                      <w:sz w:val="21"/>
                      <w:szCs w:val="21"/>
                      <w:lang w:eastAsia="zh-CN"/>
                    </w:rPr>
                  </w:pPr>
                  <w:r>
                    <w:rPr>
                      <w:rFonts w:hint="eastAsia" w:eastAsia="宋体"/>
                      <w:bCs/>
                      <w:color w:val="auto"/>
                      <w:kern w:val="0"/>
                      <w:sz w:val="21"/>
                      <w:szCs w:val="21"/>
                      <w:lang w:eastAsia="zh-CN"/>
                    </w:rPr>
                    <w:t>焊渣</w:t>
                  </w:r>
                </w:p>
              </w:tc>
              <w:tc>
                <w:tcPr>
                  <w:tcW w:w="398" w:type="pct"/>
                  <w:tcBorders>
                    <w:tl2br w:val="nil"/>
                    <w:tr2bl w:val="nil"/>
                  </w:tcBorders>
                  <w:noWrap w:val="0"/>
                  <w:vAlign w:val="center"/>
                </w:tcPr>
                <w:p w14:paraId="491907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color w:val="auto"/>
                      <w:kern w:val="0"/>
                      <w:sz w:val="21"/>
                      <w:szCs w:val="21"/>
                    </w:rPr>
                  </w:pPr>
                  <w:r>
                    <w:rPr>
                      <w:bCs/>
                      <w:color w:val="auto"/>
                      <w:kern w:val="0"/>
                      <w:sz w:val="21"/>
                      <w:szCs w:val="21"/>
                    </w:rPr>
                    <w:t>一般固废</w:t>
                  </w:r>
                </w:p>
              </w:tc>
              <w:tc>
                <w:tcPr>
                  <w:tcW w:w="821" w:type="pct"/>
                  <w:tcBorders>
                    <w:tl2br w:val="nil"/>
                    <w:tr2bl w:val="nil"/>
                  </w:tcBorders>
                  <w:noWrap w:val="0"/>
                  <w:vAlign w:val="center"/>
                </w:tcPr>
                <w:p w14:paraId="3E629E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Cs/>
                      <w:color w:val="auto"/>
                      <w:kern w:val="0"/>
                      <w:sz w:val="21"/>
                      <w:szCs w:val="21"/>
                      <w:highlight w:val="none"/>
                      <w:lang w:val="en-US" w:eastAsia="zh-CN"/>
                    </w:rPr>
                  </w:pPr>
                  <w:r>
                    <w:rPr>
                      <w:rFonts w:hint="default" w:eastAsia="宋体"/>
                      <w:bCs/>
                      <w:color w:val="auto"/>
                      <w:kern w:val="0"/>
                      <w:sz w:val="21"/>
                      <w:szCs w:val="21"/>
                      <w:highlight w:val="none"/>
                      <w:lang w:val="en-US" w:eastAsia="zh-CN"/>
                    </w:rPr>
                    <w:t>900-001-S17</w:t>
                  </w:r>
                </w:p>
              </w:tc>
              <w:tc>
                <w:tcPr>
                  <w:tcW w:w="287" w:type="pct"/>
                  <w:tcBorders>
                    <w:tl2br w:val="nil"/>
                    <w:tr2bl w:val="nil"/>
                  </w:tcBorders>
                  <w:noWrap w:val="0"/>
                  <w:vAlign w:val="center"/>
                </w:tcPr>
                <w:p w14:paraId="1A67F6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color w:val="auto"/>
                      <w:kern w:val="0"/>
                      <w:sz w:val="21"/>
                      <w:szCs w:val="21"/>
                      <w:highlight w:val="none"/>
                    </w:rPr>
                  </w:pPr>
                  <w:r>
                    <w:rPr>
                      <w:rFonts w:hint="eastAsia"/>
                      <w:bCs/>
                      <w:color w:val="auto"/>
                      <w:kern w:val="0"/>
                      <w:sz w:val="21"/>
                      <w:szCs w:val="21"/>
                      <w:highlight w:val="none"/>
                    </w:rPr>
                    <w:t>固态</w:t>
                  </w:r>
                </w:p>
              </w:tc>
              <w:tc>
                <w:tcPr>
                  <w:tcW w:w="274" w:type="pct"/>
                  <w:tcBorders>
                    <w:tl2br w:val="nil"/>
                    <w:tr2bl w:val="nil"/>
                  </w:tcBorders>
                  <w:noWrap w:val="0"/>
                  <w:vAlign w:val="center"/>
                </w:tcPr>
                <w:p w14:paraId="1BD37C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Cs/>
                      <w:color w:val="auto"/>
                      <w:kern w:val="0"/>
                      <w:sz w:val="21"/>
                      <w:szCs w:val="21"/>
                      <w:highlight w:val="none"/>
                      <w:lang w:val="en-US" w:eastAsia="zh-CN"/>
                    </w:rPr>
                  </w:pPr>
                  <w:r>
                    <w:rPr>
                      <w:rFonts w:hint="eastAsia"/>
                      <w:bCs/>
                      <w:color w:val="auto"/>
                      <w:kern w:val="0"/>
                      <w:sz w:val="21"/>
                      <w:szCs w:val="21"/>
                      <w:highlight w:val="none"/>
                      <w:lang w:val="en-US" w:eastAsia="zh-CN"/>
                    </w:rPr>
                    <w:t>/</w:t>
                  </w:r>
                </w:p>
              </w:tc>
              <w:tc>
                <w:tcPr>
                  <w:tcW w:w="417" w:type="pct"/>
                  <w:tcBorders>
                    <w:tl2br w:val="nil"/>
                    <w:tr2bl w:val="nil"/>
                  </w:tcBorders>
                  <w:noWrap w:val="0"/>
                  <w:vAlign w:val="center"/>
                </w:tcPr>
                <w:p w14:paraId="07938E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Cs/>
                      <w:color w:val="auto"/>
                      <w:kern w:val="0"/>
                      <w:sz w:val="21"/>
                      <w:szCs w:val="21"/>
                      <w:highlight w:val="none"/>
                      <w:lang w:val="en-US" w:eastAsia="zh-CN"/>
                    </w:rPr>
                  </w:pPr>
                  <w:r>
                    <w:rPr>
                      <w:rFonts w:hint="eastAsia"/>
                      <w:bCs/>
                      <w:color w:val="auto"/>
                      <w:kern w:val="0"/>
                      <w:sz w:val="21"/>
                      <w:szCs w:val="21"/>
                      <w:highlight w:val="none"/>
                      <w:lang w:val="en-US" w:eastAsia="zh-CN"/>
                    </w:rPr>
                    <w:t>50</w:t>
                  </w:r>
                  <w:r>
                    <w:rPr>
                      <w:rFonts w:hint="default"/>
                      <w:bCs/>
                      <w:color w:val="auto"/>
                      <w:kern w:val="0"/>
                      <w:sz w:val="21"/>
                      <w:szCs w:val="21"/>
                      <w:highlight w:val="none"/>
                      <w:lang w:val="en-US" w:eastAsia="zh-CN"/>
                    </w:rPr>
                    <w:t>t/a</w:t>
                  </w:r>
                </w:p>
              </w:tc>
              <w:tc>
                <w:tcPr>
                  <w:tcW w:w="333" w:type="pct"/>
                  <w:vMerge w:val="restart"/>
                  <w:tcBorders>
                    <w:tl2br w:val="nil"/>
                    <w:tr2bl w:val="nil"/>
                  </w:tcBorders>
                  <w:noWrap w:val="0"/>
                  <w:vAlign w:val="center"/>
                </w:tcPr>
                <w:p w14:paraId="6FE47F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Cs/>
                      <w:color w:val="auto"/>
                      <w:kern w:val="0"/>
                      <w:sz w:val="21"/>
                      <w:szCs w:val="21"/>
                      <w:lang w:val="en-US" w:eastAsia="zh-CN"/>
                    </w:rPr>
                  </w:pPr>
                  <w:r>
                    <w:rPr>
                      <w:rFonts w:hint="default" w:eastAsia="宋体"/>
                      <w:bCs/>
                      <w:color w:val="auto"/>
                      <w:kern w:val="0"/>
                      <w:sz w:val="21"/>
                      <w:szCs w:val="21"/>
                      <w:lang w:val="en-US" w:eastAsia="zh-CN"/>
                    </w:rPr>
                    <w:t>收集后暂存于</w:t>
                  </w:r>
                  <w:r>
                    <w:rPr>
                      <w:rFonts w:hint="eastAsia"/>
                      <w:bCs/>
                      <w:color w:val="auto"/>
                      <w:kern w:val="0"/>
                      <w:sz w:val="21"/>
                      <w:szCs w:val="21"/>
                      <w:lang w:val="en-US" w:eastAsia="zh-CN"/>
                    </w:rPr>
                    <w:t>废料打包库</w:t>
                  </w:r>
                </w:p>
              </w:tc>
              <w:tc>
                <w:tcPr>
                  <w:tcW w:w="717" w:type="pct"/>
                  <w:vMerge w:val="restart"/>
                  <w:tcBorders>
                    <w:tl2br w:val="nil"/>
                    <w:tr2bl w:val="nil"/>
                  </w:tcBorders>
                  <w:noWrap w:val="0"/>
                  <w:vAlign w:val="center"/>
                </w:tcPr>
                <w:p w14:paraId="694504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kern w:val="0"/>
                      <w:sz w:val="21"/>
                      <w:szCs w:val="21"/>
                    </w:rPr>
                  </w:pPr>
                  <w:r>
                    <w:rPr>
                      <w:rFonts w:hint="eastAsia"/>
                      <w:bCs/>
                      <w:color w:val="auto"/>
                      <w:kern w:val="0"/>
                      <w:sz w:val="21"/>
                      <w:szCs w:val="21"/>
                    </w:rPr>
                    <w:t>定期外售给废旧物资回收单位</w:t>
                  </w:r>
                </w:p>
              </w:tc>
              <w:tc>
                <w:tcPr>
                  <w:tcW w:w="649" w:type="pct"/>
                  <w:tcBorders>
                    <w:tl2br w:val="nil"/>
                    <w:tr2bl w:val="nil"/>
                  </w:tcBorders>
                  <w:noWrap w:val="0"/>
                  <w:vAlign w:val="center"/>
                </w:tcPr>
                <w:p w14:paraId="40CED2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Cs/>
                      <w:color w:val="auto"/>
                      <w:kern w:val="0"/>
                      <w:sz w:val="21"/>
                      <w:szCs w:val="21"/>
                      <w:lang w:val="en-US" w:eastAsia="zh-CN"/>
                    </w:rPr>
                  </w:pPr>
                  <w:r>
                    <w:rPr>
                      <w:rFonts w:hint="eastAsia"/>
                      <w:bCs/>
                      <w:color w:val="auto"/>
                      <w:kern w:val="0"/>
                      <w:sz w:val="21"/>
                      <w:szCs w:val="21"/>
                      <w:lang w:val="en-US" w:eastAsia="zh-CN"/>
                    </w:rPr>
                    <w:t>/</w:t>
                  </w:r>
                </w:p>
              </w:tc>
            </w:tr>
            <w:tr w14:paraId="505A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4" w:type="pct"/>
                  <w:tcBorders>
                    <w:tl2br w:val="nil"/>
                    <w:tr2bl w:val="nil"/>
                  </w:tcBorders>
                  <w:noWrap w:val="0"/>
                  <w:vAlign w:val="center"/>
                </w:tcPr>
                <w:p w14:paraId="05CCCC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bCs/>
                      <w:color w:val="auto"/>
                      <w:kern w:val="0"/>
                      <w:sz w:val="21"/>
                      <w:szCs w:val="21"/>
                      <w:lang w:val="en-US" w:eastAsia="zh-CN" w:bidi="ar-SA"/>
                    </w:rPr>
                  </w:pPr>
                  <w:r>
                    <w:rPr>
                      <w:rFonts w:hint="eastAsia"/>
                      <w:bCs/>
                      <w:color w:val="auto"/>
                      <w:kern w:val="0"/>
                      <w:sz w:val="21"/>
                      <w:szCs w:val="21"/>
                      <w:lang w:val="en-US" w:eastAsia="zh-CN"/>
                    </w:rPr>
                    <w:t>3</w:t>
                  </w:r>
                </w:p>
              </w:tc>
              <w:tc>
                <w:tcPr>
                  <w:tcW w:w="421" w:type="pct"/>
                  <w:tcBorders>
                    <w:tl2br w:val="nil"/>
                    <w:tr2bl w:val="nil"/>
                  </w:tcBorders>
                  <w:shd w:val="clear" w:color="auto" w:fill="auto"/>
                  <w:noWrap w:val="0"/>
                  <w:vAlign w:val="center"/>
                </w:tcPr>
                <w:p w14:paraId="44AE89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lang w:val="en-US" w:eastAsia="zh-CN" w:bidi="ar-SA"/>
                    </w:rPr>
                  </w:pPr>
                  <w:r>
                    <w:rPr>
                      <w:rFonts w:hint="eastAsia"/>
                      <w:bCs/>
                      <w:color w:val="auto"/>
                      <w:kern w:val="0"/>
                      <w:sz w:val="21"/>
                      <w:szCs w:val="21"/>
                      <w:lang w:eastAsia="zh-CN"/>
                    </w:rPr>
                    <w:t>生产</w:t>
                  </w:r>
                </w:p>
              </w:tc>
              <w:tc>
                <w:tcPr>
                  <w:tcW w:w="503" w:type="pct"/>
                  <w:tcBorders>
                    <w:tl2br w:val="nil"/>
                    <w:tr2bl w:val="nil"/>
                  </w:tcBorders>
                  <w:shd w:val="clear" w:color="auto" w:fill="auto"/>
                  <w:noWrap w:val="0"/>
                  <w:vAlign w:val="center"/>
                </w:tcPr>
                <w:p w14:paraId="751086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rPr>
                    <w:t>边角废料及切割碎屑</w:t>
                  </w:r>
                </w:p>
              </w:tc>
              <w:tc>
                <w:tcPr>
                  <w:tcW w:w="398" w:type="pct"/>
                  <w:tcBorders>
                    <w:tl2br w:val="nil"/>
                    <w:tr2bl w:val="nil"/>
                  </w:tcBorders>
                  <w:shd w:val="clear" w:color="auto" w:fill="auto"/>
                  <w:noWrap w:val="0"/>
                  <w:vAlign w:val="center"/>
                </w:tcPr>
                <w:p w14:paraId="797B5A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黑体"/>
                      <w:bCs/>
                      <w:color w:val="auto"/>
                      <w:kern w:val="0"/>
                      <w:sz w:val="21"/>
                      <w:szCs w:val="21"/>
                      <w:lang w:val="en-US" w:eastAsia="zh-CN" w:bidi="ar-SA"/>
                    </w:rPr>
                  </w:pPr>
                  <w:r>
                    <w:rPr>
                      <w:bCs/>
                      <w:color w:val="auto"/>
                      <w:kern w:val="0"/>
                      <w:sz w:val="21"/>
                      <w:szCs w:val="21"/>
                    </w:rPr>
                    <w:t>一般固废</w:t>
                  </w:r>
                </w:p>
              </w:tc>
              <w:tc>
                <w:tcPr>
                  <w:tcW w:w="821" w:type="pct"/>
                  <w:tcBorders>
                    <w:tl2br w:val="nil"/>
                    <w:tr2bl w:val="nil"/>
                  </w:tcBorders>
                  <w:shd w:val="clear" w:color="auto" w:fill="auto"/>
                  <w:noWrap w:val="0"/>
                  <w:vAlign w:val="center"/>
                </w:tcPr>
                <w:p w14:paraId="45BE12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黑体"/>
                      <w:bCs/>
                      <w:color w:val="auto"/>
                      <w:kern w:val="0"/>
                      <w:sz w:val="21"/>
                      <w:szCs w:val="21"/>
                      <w:highlight w:val="none"/>
                      <w:lang w:val="en-US" w:eastAsia="zh-CN" w:bidi="ar-SA"/>
                    </w:rPr>
                  </w:pPr>
                  <w:r>
                    <w:rPr>
                      <w:rFonts w:hint="default"/>
                      <w:bCs/>
                      <w:color w:val="auto"/>
                      <w:kern w:val="0"/>
                      <w:sz w:val="21"/>
                      <w:szCs w:val="21"/>
                      <w:highlight w:val="none"/>
                      <w:lang w:val="en-US"/>
                    </w:rPr>
                    <w:t>900-001-S17</w:t>
                  </w:r>
                </w:p>
              </w:tc>
              <w:tc>
                <w:tcPr>
                  <w:tcW w:w="287" w:type="pct"/>
                  <w:tcBorders>
                    <w:tl2br w:val="nil"/>
                    <w:tr2bl w:val="nil"/>
                  </w:tcBorders>
                  <w:shd w:val="clear" w:color="auto" w:fill="auto"/>
                  <w:noWrap w:val="0"/>
                  <w:vAlign w:val="center"/>
                </w:tcPr>
                <w:p w14:paraId="4E8FC6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黑体"/>
                      <w:bCs/>
                      <w:color w:val="auto"/>
                      <w:kern w:val="0"/>
                      <w:sz w:val="21"/>
                      <w:szCs w:val="21"/>
                      <w:highlight w:val="none"/>
                      <w:lang w:val="en-US" w:eastAsia="zh-CN" w:bidi="ar-SA"/>
                    </w:rPr>
                  </w:pPr>
                  <w:r>
                    <w:rPr>
                      <w:rFonts w:hint="eastAsia"/>
                      <w:bCs/>
                      <w:color w:val="auto"/>
                      <w:kern w:val="0"/>
                      <w:sz w:val="21"/>
                      <w:szCs w:val="21"/>
                      <w:highlight w:val="none"/>
                    </w:rPr>
                    <w:t>固态</w:t>
                  </w:r>
                </w:p>
              </w:tc>
              <w:tc>
                <w:tcPr>
                  <w:tcW w:w="274" w:type="pct"/>
                  <w:tcBorders>
                    <w:tl2br w:val="nil"/>
                    <w:tr2bl w:val="nil"/>
                  </w:tcBorders>
                  <w:shd w:val="clear" w:color="auto" w:fill="auto"/>
                  <w:noWrap w:val="0"/>
                  <w:vAlign w:val="center"/>
                </w:tcPr>
                <w:p w14:paraId="2688AC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黑体"/>
                      <w:bCs/>
                      <w:color w:val="auto"/>
                      <w:kern w:val="0"/>
                      <w:sz w:val="21"/>
                      <w:szCs w:val="21"/>
                      <w:highlight w:val="none"/>
                      <w:lang w:val="en-US" w:eastAsia="zh-CN" w:bidi="ar-SA"/>
                    </w:rPr>
                  </w:pPr>
                  <w:r>
                    <w:rPr>
                      <w:rFonts w:hint="eastAsia"/>
                      <w:bCs/>
                      <w:color w:val="auto"/>
                      <w:kern w:val="0"/>
                      <w:sz w:val="21"/>
                      <w:szCs w:val="21"/>
                      <w:highlight w:val="none"/>
                      <w:lang w:val="en-US" w:eastAsia="zh-CN"/>
                    </w:rPr>
                    <w:t>/</w:t>
                  </w:r>
                </w:p>
              </w:tc>
              <w:tc>
                <w:tcPr>
                  <w:tcW w:w="417" w:type="pct"/>
                  <w:tcBorders>
                    <w:tl2br w:val="nil"/>
                    <w:tr2bl w:val="nil"/>
                  </w:tcBorders>
                  <w:shd w:val="clear" w:color="auto" w:fill="auto"/>
                  <w:noWrap w:val="0"/>
                  <w:vAlign w:val="center"/>
                </w:tcPr>
                <w:p w14:paraId="54D4D6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黑体"/>
                      <w:bCs/>
                      <w:color w:val="auto"/>
                      <w:kern w:val="0"/>
                      <w:sz w:val="21"/>
                      <w:szCs w:val="21"/>
                      <w:highlight w:val="none"/>
                      <w:lang w:val="en-US" w:eastAsia="zh-CN" w:bidi="ar-SA"/>
                    </w:rPr>
                  </w:pPr>
                  <w:r>
                    <w:rPr>
                      <w:rFonts w:hint="default"/>
                      <w:bCs/>
                      <w:color w:val="auto"/>
                      <w:kern w:val="0"/>
                      <w:sz w:val="21"/>
                      <w:szCs w:val="21"/>
                      <w:highlight w:val="none"/>
                      <w:lang w:val="en-US" w:eastAsia="zh-CN"/>
                    </w:rPr>
                    <w:t>446.78</w:t>
                  </w:r>
                  <w:r>
                    <w:rPr>
                      <w:rFonts w:hint="eastAsia"/>
                      <w:bCs/>
                      <w:color w:val="auto"/>
                      <w:kern w:val="0"/>
                      <w:sz w:val="21"/>
                      <w:szCs w:val="21"/>
                      <w:highlight w:val="none"/>
                      <w:lang w:val="en-US" w:eastAsia="zh-CN"/>
                    </w:rPr>
                    <w:t>3</w:t>
                  </w:r>
                  <w:r>
                    <w:rPr>
                      <w:rFonts w:hint="default"/>
                      <w:bCs/>
                      <w:color w:val="auto"/>
                      <w:kern w:val="0"/>
                      <w:sz w:val="21"/>
                      <w:szCs w:val="21"/>
                      <w:highlight w:val="none"/>
                      <w:lang w:val="en-US" w:eastAsia="zh-CN"/>
                    </w:rPr>
                    <w:t>t/a</w:t>
                  </w:r>
                </w:p>
              </w:tc>
              <w:tc>
                <w:tcPr>
                  <w:tcW w:w="333" w:type="pct"/>
                  <w:vMerge w:val="continue"/>
                  <w:tcBorders>
                    <w:tl2br w:val="nil"/>
                    <w:tr2bl w:val="nil"/>
                  </w:tcBorders>
                  <w:noWrap w:val="0"/>
                  <w:vAlign w:val="center"/>
                </w:tcPr>
                <w:p w14:paraId="2EB97B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Cs/>
                      <w:color w:val="auto"/>
                      <w:kern w:val="0"/>
                      <w:sz w:val="21"/>
                      <w:szCs w:val="21"/>
                      <w:lang w:val="en-US" w:eastAsia="zh-CN"/>
                    </w:rPr>
                  </w:pPr>
                </w:p>
              </w:tc>
              <w:tc>
                <w:tcPr>
                  <w:tcW w:w="717" w:type="pct"/>
                  <w:vMerge w:val="continue"/>
                  <w:tcBorders>
                    <w:tl2br w:val="nil"/>
                    <w:tr2bl w:val="nil"/>
                  </w:tcBorders>
                  <w:noWrap w:val="0"/>
                  <w:vAlign w:val="center"/>
                </w:tcPr>
                <w:p w14:paraId="24AF42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kern w:val="0"/>
                      <w:sz w:val="21"/>
                      <w:szCs w:val="21"/>
                    </w:rPr>
                  </w:pPr>
                </w:p>
              </w:tc>
              <w:tc>
                <w:tcPr>
                  <w:tcW w:w="649" w:type="pct"/>
                  <w:tcBorders>
                    <w:tl2br w:val="nil"/>
                    <w:tr2bl w:val="nil"/>
                  </w:tcBorders>
                  <w:noWrap w:val="0"/>
                  <w:vAlign w:val="center"/>
                </w:tcPr>
                <w:p w14:paraId="1CFD7D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Cs/>
                      <w:color w:val="auto"/>
                      <w:kern w:val="0"/>
                      <w:sz w:val="21"/>
                      <w:szCs w:val="21"/>
                      <w:lang w:val="en-US" w:eastAsia="zh-CN"/>
                    </w:rPr>
                  </w:pPr>
                  <w:r>
                    <w:rPr>
                      <w:rFonts w:hint="eastAsia"/>
                      <w:bCs/>
                      <w:color w:val="auto"/>
                      <w:kern w:val="0"/>
                      <w:sz w:val="21"/>
                      <w:szCs w:val="21"/>
                      <w:lang w:val="en-US" w:eastAsia="zh-CN"/>
                    </w:rPr>
                    <w:t>/</w:t>
                  </w:r>
                </w:p>
              </w:tc>
            </w:tr>
            <w:tr w14:paraId="22A2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74" w:type="pct"/>
                  <w:tcBorders>
                    <w:tl2br w:val="nil"/>
                    <w:tr2bl w:val="nil"/>
                  </w:tcBorders>
                  <w:noWrap w:val="0"/>
                  <w:vAlign w:val="center"/>
                </w:tcPr>
                <w:p w14:paraId="1A1BAF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bCs/>
                      <w:color w:val="auto"/>
                      <w:kern w:val="0"/>
                      <w:sz w:val="21"/>
                      <w:szCs w:val="21"/>
                      <w:lang w:val="en-US" w:eastAsia="zh-CN" w:bidi="ar-SA"/>
                    </w:rPr>
                  </w:pPr>
                  <w:r>
                    <w:rPr>
                      <w:rFonts w:hint="eastAsia"/>
                      <w:bCs/>
                      <w:color w:val="auto"/>
                      <w:kern w:val="0"/>
                      <w:sz w:val="21"/>
                      <w:szCs w:val="21"/>
                      <w:lang w:val="en-US" w:eastAsia="zh-CN"/>
                    </w:rPr>
                    <w:t>4</w:t>
                  </w:r>
                </w:p>
              </w:tc>
              <w:tc>
                <w:tcPr>
                  <w:tcW w:w="421" w:type="pct"/>
                  <w:tcBorders>
                    <w:tl2br w:val="nil"/>
                    <w:tr2bl w:val="nil"/>
                  </w:tcBorders>
                  <w:shd w:val="clear" w:color="auto" w:fill="auto"/>
                  <w:noWrap w:val="0"/>
                  <w:vAlign w:val="center"/>
                </w:tcPr>
                <w:p w14:paraId="6AD6D4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黑体"/>
                      <w:bCs/>
                      <w:color w:val="auto"/>
                      <w:kern w:val="0"/>
                      <w:sz w:val="21"/>
                      <w:szCs w:val="21"/>
                      <w:lang w:val="en-US" w:eastAsia="zh-CN" w:bidi="ar-SA"/>
                    </w:rPr>
                  </w:pPr>
                  <w:r>
                    <w:rPr>
                      <w:rFonts w:hint="eastAsia"/>
                      <w:bCs/>
                      <w:color w:val="auto"/>
                      <w:kern w:val="0"/>
                      <w:sz w:val="21"/>
                      <w:szCs w:val="21"/>
                      <w:lang w:val="en-US" w:eastAsia="zh-CN"/>
                    </w:rPr>
                    <w:t>废气处理装置</w:t>
                  </w:r>
                </w:p>
              </w:tc>
              <w:tc>
                <w:tcPr>
                  <w:tcW w:w="503" w:type="pct"/>
                  <w:tcBorders>
                    <w:tl2br w:val="nil"/>
                    <w:tr2bl w:val="nil"/>
                  </w:tcBorders>
                  <w:shd w:val="clear" w:color="auto" w:fill="auto"/>
                  <w:noWrap w:val="0"/>
                  <w:vAlign w:val="center"/>
                </w:tcPr>
                <w:p w14:paraId="5C00B9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rPr>
                    <w:t>除尘灰</w:t>
                  </w:r>
                </w:p>
              </w:tc>
              <w:tc>
                <w:tcPr>
                  <w:tcW w:w="398" w:type="pct"/>
                  <w:tcBorders>
                    <w:tl2br w:val="nil"/>
                    <w:tr2bl w:val="nil"/>
                  </w:tcBorders>
                  <w:shd w:val="clear" w:color="auto" w:fill="auto"/>
                  <w:noWrap w:val="0"/>
                  <w:vAlign w:val="center"/>
                </w:tcPr>
                <w:p w14:paraId="553433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黑体"/>
                      <w:bCs/>
                      <w:color w:val="auto"/>
                      <w:kern w:val="0"/>
                      <w:sz w:val="21"/>
                      <w:szCs w:val="21"/>
                      <w:lang w:val="en-US" w:eastAsia="zh-CN" w:bidi="ar-SA"/>
                    </w:rPr>
                  </w:pPr>
                  <w:r>
                    <w:rPr>
                      <w:bCs/>
                      <w:color w:val="auto"/>
                      <w:kern w:val="0"/>
                      <w:sz w:val="21"/>
                      <w:szCs w:val="21"/>
                    </w:rPr>
                    <w:t>一般固废</w:t>
                  </w:r>
                </w:p>
              </w:tc>
              <w:tc>
                <w:tcPr>
                  <w:tcW w:w="821" w:type="pct"/>
                  <w:tcBorders>
                    <w:tl2br w:val="nil"/>
                    <w:tr2bl w:val="nil"/>
                  </w:tcBorders>
                  <w:shd w:val="clear" w:color="auto" w:fill="auto"/>
                  <w:noWrap w:val="0"/>
                  <w:vAlign w:val="center"/>
                </w:tcPr>
                <w:p w14:paraId="33B75B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黑体"/>
                      <w:bCs/>
                      <w:color w:val="auto"/>
                      <w:kern w:val="0"/>
                      <w:sz w:val="21"/>
                      <w:szCs w:val="21"/>
                      <w:highlight w:val="none"/>
                      <w:lang w:val="en-US" w:eastAsia="zh-CN" w:bidi="ar-SA"/>
                    </w:rPr>
                  </w:pPr>
                  <w:r>
                    <w:rPr>
                      <w:rFonts w:hint="default"/>
                      <w:bCs/>
                      <w:color w:val="auto"/>
                      <w:kern w:val="0"/>
                      <w:sz w:val="21"/>
                      <w:szCs w:val="21"/>
                      <w:highlight w:val="none"/>
                      <w:lang w:val="en-US"/>
                    </w:rPr>
                    <w:t>900-001-S17</w:t>
                  </w:r>
                </w:p>
              </w:tc>
              <w:tc>
                <w:tcPr>
                  <w:tcW w:w="287" w:type="pct"/>
                  <w:tcBorders>
                    <w:tl2br w:val="nil"/>
                    <w:tr2bl w:val="nil"/>
                  </w:tcBorders>
                  <w:shd w:val="clear" w:color="auto" w:fill="auto"/>
                  <w:noWrap w:val="0"/>
                  <w:vAlign w:val="center"/>
                </w:tcPr>
                <w:p w14:paraId="723B4E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黑体"/>
                      <w:bCs/>
                      <w:color w:val="auto"/>
                      <w:kern w:val="0"/>
                      <w:sz w:val="21"/>
                      <w:szCs w:val="21"/>
                      <w:highlight w:val="none"/>
                      <w:lang w:val="en-US" w:eastAsia="zh-CN" w:bidi="ar-SA"/>
                    </w:rPr>
                  </w:pPr>
                  <w:r>
                    <w:rPr>
                      <w:rFonts w:hint="eastAsia"/>
                      <w:bCs/>
                      <w:color w:val="auto"/>
                      <w:kern w:val="0"/>
                      <w:sz w:val="21"/>
                      <w:szCs w:val="21"/>
                      <w:highlight w:val="none"/>
                    </w:rPr>
                    <w:t>固态</w:t>
                  </w:r>
                </w:p>
              </w:tc>
              <w:tc>
                <w:tcPr>
                  <w:tcW w:w="274" w:type="pct"/>
                  <w:tcBorders>
                    <w:tl2br w:val="nil"/>
                    <w:tr2bl w:val="nil"/>
                  </w:tcBorders>
                  <w:shd w:val="clear" w:color="auto" w:fill="auto"/>
                  <w:noWrap w:val="0"/>
                  <w:vAlign w:val="center"/>
                </w:tcPr>
                <w:p w14:paraId="5FE284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黑体"/>
                      <w:bCs/>
                      <w:color w:val="auto"/>
                      <w:kern w:val="0"/>
                      <w:sz w:val="21"/>
                      <w:szCs w:val="21"/>
                      <w:highlight w:val="none"/>
                      <w:lang w:val="en-US" w:eastAsia="zh-CN" w:bidi="ar-SA"/>
                    </w:rPr>
                  </w:pPr>
                  <w:r>
                    <w:rPr>
                      <w:rFonts w:hint="eastAsia"/>
                      <w:bCs/>
                      <w:color w:val="auto"/>
                      <w:kern w:val="0"/>
                      <w:sz w:val="21"/>
                      <w:szCs w:val="21"/>
                      <w:highlight w:val="none"/>
                      <w:lang w:val="en-US" w:eastAsia="zh-CN"/>
                    </w:rPr>
                    <w:t>/</w:t>
                  </w:r>
                </w:p>
              </w:tc>
              <w:tc>
                <w:tcPr>
                  <w:tcW w:w="417" w:type="pct"/>
                  <w:tcBorders>
                    <w:tl2br w:val="nil"/>
                    <w:tr2bl w:val="nil"/>
                  </w:tcBorders>
                  <w:shd w:val="clear" w:color="auto" w:fill="auto"/>
                  <w:noWrap w:val="0"/>
                  <w:vAlign w:val="center"/>
                </w:tcPr>
                <w:p w14:paraId="0800FD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黑体"/>
                      <w:bCs/>
                      <w:color w:val="auto"/>
                      <w:kern w:val="0"/>
                      <w:sz w:val="21"/>
                      <w:szCs w:val="21"/>
                      <w:highlight w:val="none"/>
                      <w:lang w:val="en-US" w:eastAsia="zh-CN" w:bidi="ar-SA"/>
                    </w:rPr>
                  </w:pPr>
                  <w:r>
                    <w:rPr>
                      <w:rFonts w:hint="eastAsia"/>
                      <w:bCs/>
                      <w:color w:val="auto"/>
                      <w:kern w:val="0"/>
                      <w:sz w:val="21"/>
                      <w:szCs w:val="21"/>
                      <w:highlight w:val="none"/>
                      <w:lang w:val="en-US" w:eastAsia="zh-CN"/>
                    </w:rPr>
                    <w:t>0.841</w:t>
                  </w:r>
                  <w:r>
                    <w:rPr>
                      <w:rFonts w:hint="default"/>
                      <w:bCs/>
                      <w:color w:val="auto"/>
                      <w:kern w:val="0"/>
                      <w:sz w:val="21"/>
                      <w:szCs w:val="21"/>
                      <w:highlight w:val="none"/>
                      <w:lang w:val="en-US" w:eastAsia="zh-CN"/>
                    </w:rPr>
                    <w:t>t/a</w:t>
                  </w:r>
                </w:p>
              </w:tc>
              <w:tc>
                <w:tcPr>
                  <w:tcW w:w="333" w:type="pct"/>
                  <w:vMerge w:val="continue"/>
                  <w:tcBorders>
                    <w:tl2br w:val="nil"/>
                    <w:tr2bl w:val="nil"/>
                  </w:tcBorders>
                  <w:noWrap w:val="0"/>
                  <w:vAlign w:val="center"/>
                </w:tcPr>
                <w:p w14:paraId="039C38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kern w:val="0"/>
                      <w:sz w:val="21"/>
                      <w:szCs w:val="21"/>
                      <w:lang w:val="en-US" w:eastAsia="zh-CN"/>
                    </w:rPr>
                  </w:pPr>
                </w:p>
              </w:tc>
              <w:tc>
                <w:tcPr>
                  <w:tcW w:w="717" w:type="pct"/>
                  <w:vMerge w:val="continue"/>
                  <w:tcBorders>
                    <w:tl2br w:val="nil"/>
                    <w:tr2bl w:val="nil"/>
                  </w:tcBorders>
                  <w:noWrap w:val="0"/>
                  <w:vAlign w:val="center"/>
                </w:tcPr>
                <w:p w14:paraId="2B69A3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bCs/>
                      <w:color w:val="auto"/>
                      <w:kern w:val="0"/>
                      <w:sz w:val="21"/>
                      <w:szCs w:val="21"/>
                      <w:lang w:val="en-US" w:eastAsia="zh-CN" w:bidi="ar-SA"/>
                    </w:rPr>
                  </w:pPr>
                </w:p>
              </w:tc>
              <w:tc>
                <w:tcPr>
                  <w:tcW w:w="649" w:type="pct"/>
                  <w:tcBorders>
                    <w:tl2br w:val="nil"/>
                    <w:tr2bl w:val="nil"/>
                  </w:tcBorders>
                  <w:noWrap w:val="0"/>
                  <w:vAlign w:val="center"/>
                </w:tcPr>
                <w:p w14:paraId="48EC7A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bCs/>
                      <w:color w:val="auto"/>
                      <w:kern w:val="0"/>
                      <w:sz w:val="21"/>
                      <w:szCs w:val="21"/>
                      <w:lang w:val="en-US" w:eastAsia="zh-CN" w:bidi="ar-SA"/>
                    </w:rPr>
                  </w:pPr>
                  <w:r>
                    <w:rPr>
                      <w:rFonts w:hint="eastAsia" w:ascii="Times New Roman" w:hAnsi="Times New Roman"/>
                      <w:bCs/>
                      <w:color w:val="auto"/>
                      <w:kern w:val="0"/>
                      <w:sz w:val="21"/>
                      <w:szCs w:val="21"/>
                      <w:lang w:val="en-US" w:eastAsia="zh-CN" w:bidi="ar-SA"/>
                    </w:rPr>
                    <w:t>/</w:t>
                  </w:r>
                </w:p>
              </w:tc>
            </w:tr>
            <w:tr w14:paraId="5B459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74" w:type="pct"/>
                  <w:tcBorders>
                    <w:tl2br w:val="nil"/>
                    <w:tr2bl w:val="nil"/>
                  </w:tcBorders>
                  <w:shd w:val="clear" w:color="auto" w:fill="auto"/>
                  <w:noWrap w:val="0"/>
                  <w:vAlign w:val="center"/>
                </w:tcPr>
                <w:p w14:paraId="4D6472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bidi="ar-SA"/>
                    </w:rPr>
                    <w:t>5</w:t>
                  </w:r>
                </w:p>
              </w:tc>
              <w:tc>
                <w:tcPr>
                  <w:tcW w:w="421" w:type="pct"/>
                  <w:tcBorders>
                    <w:tl2br w:val="nil"/>
                    <w:tr2bl w:val="nil"/>
                  </w:tcBorders>
                  <w:noWrap w:val="0"/>
                  <w:vAlign w:val="center"/>
                </w:tcPr>
                <w:p w14:paraId="483A42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kern w:val="0"/>
                      <w:sz w:val="21"/>
                      <w:szCs w:val="21"/>
                      <w:lang w:val="en-US" w:eastAsia="zh-CN"/>
                    </w:rPr>
                  </w:pPr>
                  <w:r>
                    <w:rPr>
                      <w:rFonts w:hint="eastAsia"/>
                      <w:bCs/>
                      <w:color w:val="auto"/>
                      <w:kern w:val="0"/>
                      <w:sz w:val="21"/>
                      <w:szCs w:val="21"/>
                      <w:lang w:eastAsia="zh-CN"/>
                    </w:rPr>
                    <w:t>生产</w:t>
                  </w:r>
                </w:p>
              </w:tc>
              <w:tc>
                <w:tcPr>
                  <w:tcW w:w="503" w:type="pct"/>
                  <w:tcBorders>
                    <w:tl2br w:val="nil"/>
                    <w:tr2bl w:val="nil"/>
                  </w:tcBorders>
                  <w:noWrap w:val="0"/>
                  <w:vAlign w:val="center"/>
                </w:tcPr>
                <w:p w14:paraId="539C1D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auto"/>
                      <w:kern w:val="0"/>
                      <w:sz w:val="21"/>
                      <w:szCs w:val="21"/>
                      <w:lang w:val="en-US" w:eastAsia="zh-CN"/>
                    </w:rPr>
                  </w:pPr>
                  <w:r>
                    <w:rPr>
                      <w:rFonts w:hint="default" w:eastAsia="宋体"/>
                      <w:bCs/>
                      <w:color w:val="auto"/>
                      <w:kern w:val="0"/>
                      <w:sz w:val="21"/>
                      <w:szCs w:val="21"/>
                      <w:lang w:val="en-US" w:eastAsia="zh-CN"/>
                    </w:rPr>
                    <w:t>循环水池沉渣</w:t>
                  </w:r>
                </w:p>
              </w:tc>
              <w:tc>
                <w:tcPr>
                  <w:tcW w:w="398" w:type="pct"/>
                  <w:tcBorders>
                    <w:tl2br w:val="nil"/>
                    <w:tr2bl w:val="nil"/>
                  </w:tcBorders>
                  <w:noWrap w:val="0"/>
                  <w:vAlign w:val="center"/>
                </w:tcPr>
                <w:p w14:paraId="450E79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color w:val="auto"/>
                      <w:kern w:val="0"/>
                      <w:sz w:val="21"/>
                      <w:szCs w:val="21"/>
                    </w:rPr>
                  </w:pPr>
                  <w:r>
                    <w:rPr>
                      <w:rFonts w:hint="eastAsia"/>
                      <w:bCs/>
                      <w:color w:val="auto"/>
                      <w:kern w:val="0"/>
                      <w:sz w:val="21"/>
                      <w:szCs w:val="21"/>
                    </w:rPr>
                    <w:t>根据浸出毒性结果判定</w:t>
                  </w:r>
                  <w:r>
                    <w:rPr>
                      <w:rFonts w:hint="eastAsia"/>
                      <w:bCs/>
                      <w:color w:val="auto"/>
                      <w:kern w:val="0"/>
                      <w:sz w:val="21"/>
                      <w:szCs w:val="21"/>
                      <w:lang w:val="en-US" w:eastAsia="zh-CN"/>
                    </w:rPr>
                    <w:t>属性</w:t>
                  </w:r>
                </w:p>
              </w:tc>
              <w:tc>
                <w:tcPr>
                  <w:tcW w:w="821" w:type="pct"/>
                  <w:tcBorders>
                    <w:tl2br w:val="nil"/>
                    <w:tr2bl w:val="nil"/>
                  </w:tcBorders>
                  <w:noWrap w:val="0"/>
                  <w:vAlign w:val="center"/>
                </w:tcPr>
                <w:p w14:paraId="6966A9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kern w:val="0"/>
                      <w:sz w:val="21"/>
                      <w:szCs w:val="21"/>
                      <w:highlight w:val="none"/>
                      <w:lang w:val="en-US"/>
                    </w:rPr>
                  </w:pPr>
                  <w:r>
                    <w:rPr>
                      <w:rFonts w:hint="default" w:eastAsia="宋体"/>
                      <w:bCs/>
                      <w:color w:val="auto"/>
                      <w:kern w:val="0"/>
                      <w:sz w:val="21"/>
                      <w:szCs w:val="21"/>
                      <w:highlight w:val="none"/>
                      <w:lang w:val="en-US" w:eastAsia="zh-CN"/>
                    </w:rPr>
                    <w:t>900-001-S17</w:t>
                  </w:r>
                </w:p>
              </w:tc>
              <w:tc>
                <w:tcPr>
                  <w:tcW w:w="287" w:type="pct"/>
                  <w:tcBorders>
                    <w:tl2br w:val="nil"/>
                    <w:tr2bl w:val="nil"/>
                  </w:tcBorders>
                  <w:noWrap w:val="0"/>
                  <w:vAlign w:val="center"/>
                </w:tcPr>
                <w:p w14:paraId="02B511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kern w:val="0"/>
                      <w:sz w:val="21"/>
                      <w:szCs w:val="21"/>
                      <w:highlight w:val="none"/>
                    </w:rPr>
                  </w:pPr>
                  <w:r>
                    <w:rPr>
                      <w:rFonts w:hint="eastAsia"/>
                      <w:bCs/>
                      <w:color w:val="auto"/>
                      <w:kern w:val="0"/>
                      <w:sz w:val="21"/>
                      <w:szCs w:val="21"/>
                      <w:highlight w:val="none"/>
                    </w:rPr>
                    <w:t>固态</w:t>
                  </w:r>
                </w:p>
              </w:tc>
              <w:tc>
                <w:tcPr>
                  <w:tcW w:w="274" w:type="pct"/>
                  <w:tcBorders>
                    <w:tl2br w:val="nil"/>
                    <w:tr2bl w:val="nil"/>
                  </w:tcBorders>
                  <w:noWrap w:val="0"/>
                  <w:vAlign w:val="center"/>
                </w:tcPr>
                <w:p w14:paraId="72801F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kern w:val="0"/>
                      <w:sz w:val="21"/>
                      <w:szCs w:val="21"/>
                      <w:highlight w:val="none"/>
                      <w:lang w:val="en-US" w:eastAsia="zh-CN"/>
                    </w:rPr>
                  </w:pPr>
                  <w:r>
                    <w:rPr>
                      <w:rFonts w:hint="eastAsia"/>
                      <w:bCs/>
                      <w:color w:val="auto"/>
                      <w:kern w:val="0"/>
                      <w:sz w:val="21"/>
                      <w:szCs w:val="21"/>
                      <w:highlight w:val="none"/>
                      <w:lang w:val="en-US" w:eastAsia="zh-CN"/>
                    </w:rPr>
                    <w:t>/</w:t>
                  </w:r>
                </w:p>
              </w:tc>
              <w:tc>
                <w:tcPr>
                  <w:tcW w:w="417" w:type="pct"/>
                  <w:tcBorders>
                    <w:tl2br w:val="nil"/>
                    <w:tr2bl w:val="nil"/>
                  </w:tcBorders>
                  <w:noWrap w:val="0"/>
                  <w:vAlign w:val="center"/>
                </w:tcPr>
                <w:p w14:paraId="141259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kern w:val="0"/>
                      <w:sz w:val="21"/>
                      <w:szCs w:val="21"/>
                      <w:highlight w:val="none"/>
                      <w:lang w:val="en-US" w:eastAsia="zh-CN"/>
                    </w:rPr>
                  </w:pPr>
                  <w:r>
                    <w:rPr>
                      <w:rFonts w:hint="eastAsia"/>
                      <w:bCs/>
                      <w:color w:val="auto"/>
                      <w:kern w:val="0"/>
                      <w:sz w:val="21"/>
                      <w:szCs w:val="21"/>
                      <w:highlight w:val="none"/>
                      <w:lang w:val="en-US" w:eastAsia="zh-CN"/>
                    </w:rPr>
                    <w:t>10</w:t>
                  </w:r>
                  <w:r>
                    <w:rPr>
                      <w:rFonts w:hint="default"/>
                      <w:bCs/>
                      <w:color w:val="auto"/>
                      <w:kern w:val="0"/>
                      <w:sz w:val="21"/>
                      <w:szCs w:val="21"/>
                      <w:highlight w:val="none"/>
                      <w:lang w:val="en-US" w:eastAsia="zh-CN"/>
                    </w:rPr>
                    <w:t>t/a</w:t>
                  </w:r>
                </w:p>
              </w:tc>
              <w:tc>
                <w:tcPr>
                  <w:tcW w:w="333" w:type="pct"/>
                  <w:tcBorders>
                    <w:tl2br w:val="nil"/>
                    <w:tr2bl w:val="nil"/>
                  </w:tcBorders>
                  <w:noWrap w:val="0"/>
                  <w:vAlign w:val="center"/>
                </w:tcPr>
                <w:p w14:paraId="2D93E6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kern w:val="0"/>
                      <w:sz w:val="21"/>
                      <w:szCs w:val="21"/>
                      <w:lang w:val="en-US" w:eastAsia="zh-CN"/>
                    </w:rPr>
                  </w:pPr>
                  <w:r>
                    <w:rPr>
                      <w:rFonts w:hint="eastAsia"/>
                      <w:bCs/>
                      <w:color w:val="auto"/>
                      <w:kern w:val="0"/>
                      <w:sz w:val="21"/>
                      <w:szCs w:val="21"/>
                      <w:lang w:val="en-US" w:eastAsia="zh-CN"/>
                    </w:rPr>
                    <w:t>/</w:t>
                  </w:r>
                </w:p>
              </w:tc>
              <w:tc>
                <w:tcPr>
                  <w:tcW w:w="717" w:type="pct"/>
                  <w:tcBorders>
                    <w:tl2br w:val="nil"/>
                    <w:tr2bl w:val="nil"/>
                  </w:tcBorders>
                  <w:noWrap w:val="0"/>
                  <w:vAlign w:val="center"/>
                </w:tcPr>
                <w:p w14:paraId="2C6570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bCs/>
                      <w:color w:val="auto"/>
                      <w:kern w:val="0"/>
                      <w:sz w:val="21"/>
                      <w:szCs w:val="21"/>
                      <w:lang w:val="en-US" w:eastAsia="zh-CN" w:bidi="ar-SA"/>
                    </w:rPr>
                  </w:pPr>
                  <w:r>
                    <w:rPr>
                      <w:rFonts w:hint="default" w:ascii="Times New Roman" w:hAnsi="Times New Roman"/>
                      <w:bCs/>
                      <w:color w:val="auto"/>
                      <w:kern w:val="0"/>
                      <w:sz w:val="21"/>
                      <w:szCs w:val="21"/>
                      <w:lang w:val="en-US" w:eastAsia="zh-CN" w:bidi="ar-SA"/>
                    </w:rPr>
                    <w:t>每次清掏前先做浸出毒性，检测为一般固废则可以按一般固废处理，如果为危险固废，则要按照危险固废进行管理和储存，委托有资质单位处理</w:t>
                  </w:r>
                </w:p>
              </w:tc>
              <w:tc>
                <w:tcPr>
                  <w:tcW w:w="649" w:type="pct"/>
                  <w:tcBorders>
                    <w:tl2br w:val="nil"/>
                    <w:tr2bl w:val="nil"/>
                  </w:tcBorders>
                  <w:noWrap w:val="0"/>
                  <w:vAlign w:val="center"/>
                </w:tcPr>
                <w:p w14:paraId="78BD85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bCs/>
                      <w:color w:val="auto"/>
                      <w:kern w:val="0"/>
                      <w:sz w:val="21"/>
                      <w:szCs w:val="21"/>
                      <w:lang w:val="en-US" w:eastAsia="zh-CN" w:bidi="ar-SA"/>
                    </w:rPr>
                  </w:pPr>
                  <w:r>
                    <w:rPr>
                      <w:rFonts w:hint="eastAsia"/>
                      <w:bCs/>
                      <w:color w:val="auto"/>
                      <w:kern w:val="0"/>
                      <w:sz w:val="21"/>
                      <w:szCs w:val="21"/>
                      <w:lang w:val="en-US" w:eastAsia="zh-CN" w:bidi="ar-SA"/>
                    </w:rPr>
                    <w:t>/</w:t>
                  </w:r>
                </w:p>
              </w:tc>
            </w:tr>
            <w:tr w14:paraId="2A88E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74" w:type="pct"/>
                  <w:tcBorders>
                    <w:tl2br w:val="nil"/>
                    <w:tr2bl w:val="nil"/>
                  </w:tcBorders>
                  <w:shd w:val="clear" w:color="auto" w:fill="auto"/>
                  <w:noWrap w:val="0"/>
                  <w:vAlign w:val="center"/>
                </w:tcPr>
                <w:p w14:paraId="3B31C8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黑体"/>
                      <w:bCs/>
                      <w:color w:val="auto"/>
                      <w:kern w:val="0"/>
                      <w:sz w:val="21"/>
                      <w:szCs w:val="21"/>
                      <w:lang w:val="en-US" w:eastAsia="zh-CN" w:bidi="ar-SA"/>
                    </w:rPr>
                  </w:pPr>
                  <w:r>
                    <w:rPr>
                      <w:rFonts w:hint="eastAsia" w:ascii="Times New Roman" w:hAnsi="Times New Roman"/>
                      <w:bCs/>
                      <w:color w:val="auto"/>
                      <w:kern w:val="0"/>
                      <w:sz w:val="21"/>
                      <w:szCs w:val="21"/>
                      <w:lang w:val="en-US" w:eastAsia="zh-CN" w:bidi="ar-SA"/>
                    </w:rPr>
                    <w:t>6</w:t>
                  </w:r>
                </w:p>
              </w:tc>
              <w:tc>
                <w:tcPr>
                  <w:tcW w:w="421" w:type="pct"/>
                  <w:tcBorders>
                    <w:tl2br w:val="nil"/>
                    <w:tr2bl w:val="nil"/>
                  </w:tcBorders>
                  <w:noWrap w:val="0"/>
                  <w:vAlign w:val="center"/>
                </w:tcPr>
                <w:p w14:paraId="7D466E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kern w:val="0"/>
                      <w:sz w:val="21"/>
                      <w:szCs w:val="21"/>
                      <w:lang w:val="en-US" w:eastAsia="zh-CN"/>
                    </w:rPr>
                  </w:pPr>
                  <w:r>
                    <w:rPr>
                      <w:rFonts w:hint="eastAsia"/>
                      <w:bCs/>
                      <w:color w:val="auto"/>
                      <w:kern w:val="0"/>
                      <w:sz w:val="21"/>
                      <w:szCs w:val="21"/>
                      <w:lang w:val="en-US" w:eastAsia="zh-CN"/>
                    </w:rPr>
                    <w:t>生活</w:t>
                  </w:r>
                </w:p>
              </w:tc>
              <w:tc>
                <w:tcPr>
                  <w:tcW w:w="503" w:type="pct"/>
                  <w:tcBorders>
                    <w:tl2br w:val="nil"/>
                    <w:tr2bl w:val="nil"/>
                  </w:tcBorders>
                  <w:noWrap w:val="0"/>
                  <w:vAlign w:val="center"/>
                </w:tcPr>
                <w:p w14:paraId="0E0994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lang w:val="en-US" w:eastAsia="zh-CN"/>
                    </w:rPr>
                  </w:pPr>
                  <w:r>
                    <w:rPr>
                      <w:rFonts w:hint="eastAsia" w:cs="Times New Roman"/>
                      <w:bCs/>
                      <w:color w:val="auto"/>
                      <w:kern w:val="0"/>
                      <w:sz w:val="21"/>
                      <w:szCs w:val="21"/>
                      <w:lang w:val="en-US" w:eastAsia="zh-CN"/>
                    </w:rPr>
                    <w:t>化粪池污泥</w:t>
                  </w:r>
                </w:p>
              </w:tc>
              <w:tc>
                <w:tcPr>
                  <w:tcW w:w="398" w:type="pct"/>
                  <w:tcBorders>
                    <w:tl2br w:val="nil"/>
                    <w:tr2bl w:val="nil"/>
                  </w:tcBorders>
                  <w:noWrap w:val="0"/>
                  <w:vAlign w:val="center"/>
                </w:tcPr>
                <w:p w14:paraId="68B1B1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color w:val="auto"/>
                      <w:kern w:val="0"/>
                      <w:sz w:val="21"/>
                      <w:szCs w:val="21"/>
                    </w:rPr>
                  </w:pPr>
                  <w:r>
                    <w:rPr>
                      <w:bCs/>
                      <w:color w:val="auto"/>
                      <w:kern w:val="0"/>
                      <w:sz w:val="21"/>
                      <w:szCs w:val="21"/>
                    </w:rPr>
                    <w:t>一般固废</w:t>
                  </w:r>
                </w:p>
              </w:tc>
              <w:tc>
                <w:tcPr>
                  <w:tcW w:w="821" w:type="pct"/>
                  <w:tcBorders>
                    <w:tl2br w:val="nil"/>
                    <w:tr2bl w:val="nil"/>
                  </w:tcBorders>
                  <w:noWrap w:val="0"/>
                  <w:vAlign w:val="center"/>
                </w:tcPr>
                <w:p w14:paraId="584B78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kern w:val="0"/>
                      <w:sz w:val="21"/>
                      <w:szCs w:val="21"/>
                      <w:highlight w:val="none"/>
                      <w:lang w:val="en-US"/>
                    </w:rPr>
                  </w:pPr>
                  <w:r>
                    <w:rPr>
                      <w:rFonts w:hint="default"/>
                      <w:bCs/>
                      <w:color w:val="auto"/>
                      <w:kern w:val="0"/>
                      <w:sz w:val="21"/>
                      <w:szCs w:val="21"/>
                      <w:highlight w:val="none"/>
                      <w:lang w:val="en-US"/>
                    </w:rPr>
                    <w:t>900-099-S59</w:t>
                  </w:r>
                </w:p>
              </w:tc>
              <w:tc>
                <w:tcPr>
                  <w:tcW w:w="287" w:type="pct"/>
                  <w:tcBorders>
                    <w:tl2br w:val="nil"/>
                    <w:tr2bl w:val="nil"/>
                  </w:tcBorders>
                  <w:noWrap w:val="0"/>
                  <w:vAlign w:val="center"/>
                </w:tcPr>
                <w:p w14:paraId="65A512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kern w:val="0"/>
                      <w:sz w:val="21"/>
                      <w:szCs w:val="21"/>
                      <w:highlight w:val="none"/>
                    </w:rPr>
                  </w:pPr>
                  <w:r>
                    <w:rPr>
                      <w:rFonts w:hint="eastAsia"/>
                      <w:bCs/>
                      <w:color w:val="auto"/>
                      <w:kern w:val="0"/>
                      <w:sz w:val="21"/>
                      <w:szCs w:val="21"/>
                      <w:highlight w:val="none"/>
                    </w:rPr>
                    <w:t>固态</w:t>
                  </w:r>
                </w:p>
              </w:tc>
              <w:tc>
                <w:tcPr>
                  <w:tcW w:w="274" w:type="pct"/>
                  <w:tcBorders>
                    <w:tl2br w:val="nil"/>
                    <w:tr2bl w:val="nil"/>
                  </w:tcBorders>
                  <w:noWrap w:val="0"/>
                  <w:vAlign w:val="center"/>
                </w:tcPr>
                <w:p w14:paraId="1514A5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kern w:val="0"/>
                      <w:sz w:val="21"/>
                      <w:szCs w:val="21"/>
                      <w:highlight w:val="none"/>
                      <w:lang w:val="en-US" w:eastAsia="zh-CN"/>
                    </w:rPr>
                  </w:pPr>
                  <w:r>
                    <w:rPr>
                      <w:rFonts w:hint="eastAsia"/>
                      <w:bCs/>
                      <w:color w:val="auto"/>
                      <w:kern w:val="0"/>
                      <w:sz w:val="21"/>
                      <w:szCs w:val="21"/>
                      <w:highlight w:val="none"/>
                      <w:lang w:val="en-US" w:eastAsia="zh-CN"/>
                    </w:rPr>
                    <w:t>/</w:t>
                  </w:r>
                </w:p>
              </w:tc>
              <w:tc>
                <w:tcPr>
                  <w:tcW w:w="417" w:type="pct"/>
                  <w:tcBorders>
                    <w:tl2br w:val="nil"/>
                    <w:tr2bl w:val="nil"/>
                  </w:tcBorders>
                  <w:noWrap w:val="0"/>
                  <w:vAlign w:val="center"/>
                </w:tcPr>
                <w:p w14:paraId="658777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kern w:val="0"/>
                      <w:sz w:val="21"/>
                      <w:szCs w:val="21"/>
                      <w:highlight w:val="none"/>
                      <w:lang w:val="en-US" w:eastAsia="zh-CN"/>
                    </w:rPr>
                  </w:pPr>
                  <w:r>
                    <w:rPr>
                      <w:rFonts w:hint="eastAsia"/>
                      <w:bCs/>
                      <w:color w:val="auto"/>
                      <w:kern w:val="0"/>
                      <w:sz w:val="21"/>
                      <w:szCs w:val="21"/>
                      <w:highlight w:val="none"/>
                      <w:lang w:val="en-US" w:eastAsia="zh-CN"/>
                    </w:rPr>
                    <w:t>0.125</w:t>
                  </w:r>
                  <w:r>
                    <w:rPr>
                      <w:rFonts w:hint="default"/>
                      <w:bCs/>
                      <w:color w:val="auto"/>
                      <w:kern w:val="0"/>
                      <w:sz w:val="21"/>
                      <w:szCs w:val="21"/>
                      <w:highlight w:val="none"/>
                      <w:lang w:val="en-US" w:eastAsia="zh-CN"/>
                    </w:rPr>
                    <w:t>t/a</w:t>
                  </w:r>
                </w:p>
              </w:tc>
              <w:tc>
                <w:tcPr>
                  <w:tcW w:w="333" w:type="pct"/>
                  <w:tcBorders>
                    <w:tl2br w:val="nil"/>
                    <w:tr2bl w:val="nil"/>
                  </w:tcBorders>
                  <w:noWrap w:val="0"/>
                  <w:vAlign w:val="center"/>
                </w:tcPr>
                <w:p w14:paraId="2EA13C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kern w:val="0"/>
                      <w:sz w:val="21"/>
                      <w:szCs w:val="21"/>
                      <w:lang w:val="en-US" w:eastAsia="zh-CN"/>
                    </w:rPr>
                  </w:pPr>
                  <w:r>
                    <w:rPr>
                      <w:rFonts w:hint="eastAsia"/>
                      <w:bCs/>
                      <w:color w:val="auto"/>
                      <w:kern w:val="0"/>
                      <w:sz w:val="21"/>
                      <w:szCs w:val="21"/>
                      <w:lang w:val="en-US" w:eastAsia="zh-CN"/>
                    </w:rPr>
                    <w:t>/</w:t>
                  </w:r>
                </w:p>
              </w:tc>
              <w:tc>
                <w:tcPr>
                  <w:tcW w:w="717" w:type="pct"/>
                  <w:vMerge w:val="restart"/>
                  <w:tcBorders>
                    <w:tl2br w:val="nil"/>
                    <w:tr2bl w:val="nil"/>
                  </w:tcBorders>
                  <w:noWrap w:val="0"/>
                  <w:vAlign w:val="center"/>
                </w:tcPr>
                <w:p w14:paraId="791757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bCs/>
                      <w:color w:val="auto"/>
                      <w:kern w:val="0"/>
                      <w:sz w:val="21"/>
                      <w:szCs w:val="21"/>
                      <w:lang w:val="en-US" w:eastAsia="zh-CN" w:bidi="ar-SA"/>
                    </w:rPr>
                  </w:pPr>
                  <w:r>
                    <w:rPr>
                      <w:rFonts w:hint="default" w:ascii="Times New Roman" w:hAnsi="Times New Roman"/>
                      <w:bCs/>
                      <w:color w:val="auto"/>
                      <w:kern w:val="0"/>
                      <w:sz w:val="21"/>
                      <w:szCs w:val="21"/>
                      <w:lang w:val="en-US" w:eastAsia="zh-CN" w:bidi="ar-SA"/>
                    </w:rPr>
                    <w:t>定期委托环卫部门进行清掏处置</w:t>
                  </w:r>
                </w:p>
              </w:tc>
              <w:tc>
                <w:tcPr>
                  <w:tcW w:w="649" w:type="pct"/>
                  <w:tcBorders>
                    <w:tl2br w:val="nil"/>
                    <w:tr2bl w:val="nil"/>
                  </w:tcBorders>
                  <w:noWrap w:val="0"/>
                  <w:vAlign w:val="center"/>
                </w:tcPr>
                <w:p w14:paraId="7F83A8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bCs/>
                      <w:color w:val="auto"/>
                      <w:kern w:val="0"/>
                      <w:sz w:val="21"/>
                      <w:szCs w:val="21"/>
                      <w:lang w:val="en-US" w:eastAsia="zh-CN" w:bidi="ar-SA"/>
                    </w:rPr>
                  </w:pPr>
                  <w:r>
                    <w:rPr>
                      <w:rFonts w:hint="eastAsia"/>
                      <w:bCs/>
                      <w:color w:val="auto"/>
                      <w:kern w:val="0"/>
                      <w:sz w:val="21"/>
                      <w:szCs w:val="21"/>
                      <w:lang w:val="en-US" w:eastAsia="zh-CN" w:bidi="ar-SA"/>
                    </w:rPr>
                    <w:t>/</w:t>
                  </w:r>
                </w:p>
              </w:tc>
            </w:tr>
            <w:tr w14:paraId="1381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74" w:type="pct"/>
                  <w:tcBorders>
                    <w:tl2br w:val="nil"/>
                    <w:tr2bl w:val="nil"/>
                  </w:tcBorders>
                  <w:shd w:val="clear" w:color="auto" w:fill="auto"/>
                  <w:noWrap w:val="0"/>
                  <w:vAlign w:val="center"/>
                </w:tcPr>
                <w:p w14:paraId="65A0B6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黑体"/>
                      <w:bCs/>
                      <w:color w:val="auto"/>
                      <w:kern w:val="0"/>
                      <w:sz w:val="21"/>
                      <w:szCs w:val="21"/>
                      <w:lang w:val="en-US" w:eastAsia="zh-CN" w:bidi="ar-SA"/>
                    </w:rPr>
                  </w:pPr>
                  <w:r>
                    <w:rPr>
                      <w:rFonts w:hint="eastAsia"/>
                      <w:bCs/>
                      <w:color w:val="auto"/>
                      <w:kern w:val="0"/>
                      <w:sz w:val="21"/>
                      <w:szCs w:val="21"/>
                      <w:lang w:val="en-US" w:eastAsia="zh-CN" w:bidi="ar-SA"/>
                    </w:rPr>
                    <w:t>7</w:t>
                  </w:r>
                </w:p>
              </w:tc>
              <w:tc>
                <w:tcPr>
                  <w:tcW w:w="421" w:type="pct"/>
                  <w:tcBorders>
                    <w:tl2br w:val="nil"/>
                    <w:tr2bl w:val="nil"/>
                  </w:tcBorders>
                  <w:noWrap w:val="0"/>
                  <w:vAlign w:val="center"/>
                </w:tcPr>
                <w:p w14:paraId="1B153E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kern w:val="0"/>
                      <w:sz w:val="21"/>
                      <w:szCs w:val="21"/>
                      <w:lang w:val="en-US" w:eastAsia="zh-CN"/>
                    </w:rPr>
                  </w:pPr>
                  <w:r>
                    <w:rPr>
                      <w:rFonts w:hint="eastAsia"/>
                      <w:bCs/>
                      <w:color w:val="auto"/>
                      <w:kern w:val="0"/>
                      <w:sz w:val="21"/>
                      <w:szCs w:val="21"/>
                      <w:lang w:val="en-US" w:eastAsia="zh-CN"/>
                    </w:rPr>
                    <w:t>污水处理站</w:t>
                  </w:r>
                </w:p>
              </w:tc>
              <w:tc>
                <w:tcPr>
                  <w:tcW w:w="503" w:type="pct"/>
                  <w:tcBorders>
                    <w:tl2br w:val="nil"/>
                    <w:tr2bl w:val="nil"/>
                  </w:tcBorders>
                  <w:noWrap w:val="0"/>
                  <w:vAlign w:val="center"/>
                </w:tcPr>
                <w:p w14:paraId="1C0AC3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Cs/>
                      <w:color w:val="auto"/>
                      <w:kern w:val="0"/>
                      <w:sz w:val="21"/>
                      <w:szCs w:val="21"/>
                      <w:lang w:val="en-US" w:eastAsia="zh-CN"/>
                    </w:rPr>
                  </w:pPr>
                  <w:r>
                    <w:rPr>
                      <w:rFonts w:hint="eastAsia"/>
                      <w:bCs/>
                      <w:color w:val="auto"/>
                      <w:kern w:val="0"/>
                      <w:sz w:val="21"/>
                      <w:szCs w:val="21"/>
                      <w:lang w:val="en-US" w:eastAsia="zh-CN"/>
                    </w:rPr>
                    <w:t>污水处理站污泥</w:t>
                  </w:r>
                </w:p>
              </w:tc>
              <w:tc>
                <w:tcPr>
                  <w:tcW w:w="398" w:type="pct"/>
                  <w:tcBorders>
                    <w:tl2br w:val="nil"/>
                    <w:tr2bl w:val="nil"/>
                  </w:tcBorders>
                  <w:noWrap w:val="0"/>
                  <w:vAlign w:val="center"/>
                </w:tcPr>
                <w:p w14:paraId="78C56C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color w:val="auto"/>
                      <w:kern w:val="0"/>
                      <w:sz w:val="21"/>
                      <w:szCs w:val="21"/>
                    </w:rPr>
                  </w:pPr>
                  <w:r>
                    <w:rPr>
                      <w:bCs/>
                      <w:color w:val="auto"/>
                      <w:kern w:val="0"/>
                      <w:sz w:val="21"/>
                      <w:szCs w:val="21"/>
                    </w:rPr>
                    <w:t>一般固废</w:t>
                  </w:r>
                </w:p>
              </w:tc>
              <w:tc>
                <w:tcPr>
                  <w:tcW w:w="821" w:type="pct"/>
                  <w:tcBorders>
                    <w:tl2br w:val="nil"/>
                    <w:tr2bl w:val="nil"/>
                  </w:tcBorders>
                  <w:noWrap w:val="0"/>
                  <w:vAlign w:val="center"/>
                </w:tcPr>
                <w:p w14:paraId="579787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kern w:val="0"/>
                      <w:sz w:val="21"/>
                      <w:szCs w:val="21"/>
                      <w:highlight w:val="none"/>
                      <w:lang w:val="en-US"/>
                    </w:rPr>
                  </w:pPr>
                  <w:r>
                    <w:rPr>
                      <w:rFonts w:hint="default"/>
                      <w:bCs/>
                      <w:color w:val="auto"/>
                      <w:kern w:val="0"/>
                      <w:sz w:val="21"/>
                      <w:szCs w:val="21"/>
                      <w:highlight w:val="none"/>
                      <w:lang w:val="en-US"/>
                    </w:rPr>
                    <w:t>900-099-S59</w:t>
                  </w:r>
                </w:p>
              </w:tc>
              <w:tc>
                <w:tcPr>
                  <w:tcW w:w="287" w:type="pct"/>
                  <w:tcBorders>
                    <w:tl2br w:val="nil"/>
                    <w:tr2bl w:val="nil"/>
                  </w:tcBorders>
                  <w:noWrap w:val="0"/>
                  <w:vAlign w:val="center"/>
                </w:tcPr>
                <w:p w14:paraId="444535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kern w:val="0"/>
                      <w:sz w:val="21"/>
                      <w:szCs w:val="21"/>
                      <w:highlight w:val="none"/>
                    </w:rPr>
                  </w:pPr>
                  <w:r>
                    <w:rPr>
                      <w:rFonts w:hint="eastAsia"/>
                      <w:bCs/>
                      <w:color w:val="auto"/>
                      <w:kern w:val="0"/>
                      <w:sz w:val="21"/>
                      <w:szCs w:val="21"/>
                      <w:highlight w:val="none"/>
                    </w:rPr>
                    <w:t>固态</w:t>
                  </w:r>
                </w:p>
              </w:tc>
              <w:tc>
                <w:tcPr>
                  <w:tcW w:w="274" w:type="pct"/>
                  <w:tcBorders>
                    <w:tl2br w:val="nil"/>
                    <w:tr2bl w:val="nil"/>
                  </w:tcBorders>
                  <w:noWrap w:val="0"/>
                  <w:vAlign w:val="center"/>
                </w:tcPr>
                <w:p w14:paraId="5478BF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kern w:val="0"/>
                      <w:sz w:val="21"/>
                      <w:szCs w:val="21"/>
                      <w:highlight w:val="none"/>
                      <w:lang w:val="en-US" w:eastAsia="zh-CN"/>
                    </w:rPr>
                  </w:pPr>
                  <w:r>
                    <w:rPr>
                      <w:rFonts w:hint="eastAsia"/>
                      <w:bCs/>
                      <w:color w:val="auto"/>
                      <w:kern w:val="0"/>
                      <w:sz w:val="21"/>
                      <w:szCs w:val="21"/>
                      <w:highlight w:val="none"/>
                      <w:lang w:val="en-US" w:eastAsia="zh-CN"/>
                    </w:rPr>
                    <w:t>/</w:t>
                  </w:r>
                </w:p>
              </w:tc>
              <w:tc>
                <w:tcPr>
                  <w:tcW w:w="417" w:type="pct"/>
                  <w:tcBorders>
                    <w:tl2br w:val="nil"/>
                    <w:tr2bl w:val="nil"/>
                  </w:tcBorders>
                  <w:noWrap w:val="0"/>
                  <w:vAlign w:val="center"/>
                </w:tcPr>
                <w:p w14:paraId="5F5E98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kern w:val="0"/>
                      <w:sz w:val="21"/>
                      <w:szCs w:val="21"/>
                      <w:highlight w:val="none"/>
                      <w:lang w:val="en-US" w:eastAsia="zh-CN"/>
                    </w:rPr>
                  </w:pPr>
                  <w:r>
                    <w:rPr>
                      <w:rFonts w:hint="eastAsia"/>
                      <w:bCs/>
                      <w:color w:val="auto"/>
                      <w:kern w:val="0"/>
                      <w:sz w:val="21"/>
                      <w:szCs w:val="21"/>
                      <w:highlight w:val="none"/>
                      <w:lang w:val="en-US" w:eastAsia="zh-CN"/>
                    </w:rPr>
                    <w:t>0.192</w:t>
                  </w:r>
                  <w:r>
                    <w:rPr>
                      <w:rFonts w:hint="default"/>
                      <w:bCs/>
                      <w:color w:val="auto"/>
                      <w:kern w:val="0"/>
                      <w:sz w:val="21"/>
                      <w:szCs w:val="21"/>
                      <w:highlight w:val="none"/>
                      <w:lang w:val="en-US" w:eastAsia="zh-CN"/>
                    </w:rPr>
                    <w:t>t/a</w:t>
                  </w:r>
                </w:p>
              </w:tc>
              <w:tc>
                <w:tcPr>
                  <w:tcW w:w="333" w:type="pct"/>
                  <w:tcBorders>
                    <w:tl2br w:val="nil"/>
                    <w:tr2bl w:val="nil"/>
                  </w:tcBorders>
                  <w:noWrap w:val="0"/>
                  <w:vAlign w:val="center"/>
                </w:tcPr>
                <w:p w14:paraId="70741B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kern w:val="0"/>
                      <w:sz w:val="21"/>
                      <w:szCs w:val="21"/>
                      <w:lang w:val="en-US" w:eastAsia="zh-CN"/>
                    </w:rPr>
                  </w:pPr>
                  <w:r>
                    <w:rPr>
                      <w:rFonts w:hint="eastAsia"/>
                      <w:bCs/>
                      <w:color w:val="auto"/>
                      <w:kern w:val="0"/>
                      <w:sz w:val="21"/>
                      <w:szCs w:val="21"/>
                      <w:lang w:val="en-US" w:eastAsia="zh-CN"/>
                    </w:rPr>
                    <w:t>/</w:t>
                  </w:r>
                </w:p>
              </w:tc>
              <w:tc>
                <w:tcPr>
                  <w:tcW w:w="717" w:type="pct"/>
                  <w:vMerge w:val="continue"/>
                  <w:tcBorders>
                    <w:tl2br w:val="nil"/>
                    <w:tr2bl w:val="nil"/>
                  </w:tcBorders>
                  <w:noWrap w:val="0"/>
                  <w:vAlign w:val="center"/>
                </w:tcPr>
                <w:p w14:paraId="3536E6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bCs/>
                      <w:color w:val="auto"/>
                      <w:kern w:val="0"/>
                      <w:sz w:val="21"/>
                      <w:szCs w:val="21"/>
                      <w:lang w:val="en-US" w:eastAsia="zh-CN" w:bidi="ar-SA"/>
                    </w:rPr>
                  </w:pPr>
                </w:p>
              </w:tc>
              <w:tc>
                <w:tcPr>
                  <w:tcW w:w="649" w:type="pct"/>
                  <w:tcBorders>
                    <w:tl2br w:val="nil"/>
                    <w:tr2bl w:val="nil"/>
                  </w:tcBorders>
                  <w:noWrap w:val="0"/>
                  <w:vAlign w:val="center"/>
                </w:tcPr>
                <w:p w14:paraId="403B07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kern w:val="0"/>
                      <w:sz w:val="21"/>
                      <w:szCs w:val="21"/>
                      <w:lang w:val="en-US" w:eastAsia="zh-CN" w:bidi="ar-SA"/>
                    </w:rPr>
                  </w:pPr>
                  <w:r>
                    <w:rPr>
                      <w:rFonts w:hint="eastAsia"/>
                      <w:bCs/>
                      <w:color w:val="auto"/>
                      <w:kern w:val="0"/>
                      <w:sz w:val="21"/>
                      <w:szCs w:val="21"/>
                      <w:lang w:val="en-US" w:eastAsia="zh-CN" w:bidi="ar-SA"/>
                    </w:rPr>
                    <w:t>/</w:t>
                  </w:r>
                </w:p>
              </w:tc>
            </w:tr>
            <w:tr w14:paraId="747E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 w:type="pct"/>
                  <w:tcBorders>
                    <w:tl2br w:val="nil"/>
                    <w:tr2bl w:val="nil"/>
                  </w:tcBorders>
                  <w:shd w:val="clear" w:color="auto" w:fill="auto"/>
                  <w:noWrap w:val="0"/>
                  <w:vAlign w:val="center"/>
                </w:tcPr>
                <w:p w14:paraId="118178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黑体"/>
                      <w:bCs/>
                      <w:color w:val="auto"/>
                      <w:kern w:val="0"/>
                      <w:sz w:val="21"/>
                      <w:szCs w:val="21"/>
                      <w:lang w:val="en-US" w:eastAsia="zh-CN" w:bidi="ar-SA"/>
                    </w:rPr>
                  </w:pPr>
                  <w:r>
                    <w:rPr>
                      <w:rFonts w:hint="eastAsia" w:cs="黑体"/>
                      <w:bCs/>
                      <w:color w:val="auto"/>
                      <w:kern w:val="0"/>
                      <w:sz w:val="21"/>
                      <w:szCs w:val="21"/>
                      <w:lang w:val="en-US" w:eastAsia="zh-CN" w:bidi="ar-SA"/>
                    </w:rPr>
                    <w:t>8</w:t>
                  </w:r>
                </w:p>
              </w:tc>
              <w:tc>
                <w:tcPr>
                  <w:tcW w:w="421" w:type="pct"/>
                  <w:vMerge w:val="restart"/>
                  <w:tcBorders>
                    <w:tl2br w:val="nil"/>
                    <w:tr2bl w:val="nil"/>
                  </w:tcBorders>
                  <w:noWrap w:val="0"/>
                  <w:vAlign w:val="center"/>
                </w:tcPr>
                <w:p w14:paraId="607F2F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s="Times New Roman"/>
                      <w:bCs/>
                      <w:color w:val="auto"/>
                      <w:kern w:val="0"/>
                      <w:sz w:val="21"/>
                      <w:szCs w:val="21"/>
                      <w:lang w:val="en-US" w:eastAsia="zh-CN"/>
                    </w:rPr>
                  </w:pPr>
                  <w:r>
                    <w:rPr>
                      <w:rFonts w:hint="eastAsia" w:cs="Times New Roman"/>
                      <w:bCs/>
                      <w:color w:val="auto"/>
                      <w:kern w:val="0"/>
                      <w:sz w:val="21"/>
                      <w:szCs w:val="21"/>
                      <w:lang w:val="en-US" w:eastAsia="zh-CN"/>
                    </w:rPr>
                    <w:t>机修</w:t>
                  </w:r>
                </w:p>
              </w:tc>
              <w:tc>
                <w:tcPr>
                  <w:tcW w:w="503" w:type="pct"/>
                  <w:tcBorders>
                    <w:tl2br w:val="nil"/>
                    <w:tr2bl w:val="nil"/>
                  </w:tcBorders>
                  <w:noWrap w:val="0"/>
                  <w:vAlign w:val="center"/>
                </w:tcPr>
                <w:p w14:paraId="141BF5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bCs/>
                      <w:color w:val="auto"/>
                      <w:kern w:val="0"/>
                      <w:sz w:val="21"/>
                      <w:szCs w:val="21"/>
                      <w:lang w:val="en-US" w:eastAsia="zh-CN"/>
                    </w:rPr>
                    <w:t>废液压油</w:t>
                  </w:r>
                </w:p>
              </w:tc>
              <w:tc>
                <w:tcPr>
                  <w:tcW w:w="398" w:type="pct"/>
                  <w:vMerge w:val="restart"/>
                  <w:tcBorders>
                    <w:tl2br w:val="nil"/>
                    <w:tr2bl w:val="nil"/>
                  </w:tcBorders>
                  <w:noWrap w:val="0"/>
                  <w:vAlign w:val="center"/>
                </w:tcPr>
                <w:p w14:paraId="78BE2C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Cs/>
                      <w:color w:val="auto"/>
                      <w:kern w:val="0"/>
                      <w:sz w:val="21"/>
                      <w:szCs w:val="21"/>
                      <w:lang w:val="en-US" w:eastAsia="zh-CN"/>
                    </w:rPr>
                  </w:pPr>
                  <w:r>
                    <w:rPr>
                      <w:rFonts w:hint="eastAsia"/>
                      <w:bCs/>
                      <w:color w:val="auto"/>
                      <w:kern w:val="0"/>
                      <w:sz w:val="21"/>
                      <w:szCs w:val="21"/>
                      <w:lang w:val="en-US" w:eastAsia="zh-CN"/>
                    </w:rPr>
                    <w:t>危险废物</w:t>
                  </w:r>
                </w:p>
              </w:tc>
              <w:tc>
                <w:tcPr>
                  <w:tcW w:w="821" w:type="pct"/>
                  <w:tcBorders>
                    <w:tl2br w:val="nil"/>
                    <w:tr2bl w:val="nil"/>
                  </w:tcBorders>
                  <w:noWrap w:val="0"/>
                  <w:vAlign w:val="center"/>
                </w:tcPr>
                <w:p w14:paraId="46F92C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kern w:val="0"/>
                      <w:sz w:val="21"/>
                      <w:szCs w:val="21"/>
                      <w:lang w:val="en-US" w:eastAsia="zh-CN"/>
                    </w:rPr>
                  </w:pPr>
                  <w:r>
                    <w:rPr>
                      <w:rFonts w:hint="eastAsia"/>
                      <w:bCs/>
                      <w:color w:val="auto"/>
                      <w:kern w:val="0"/>
                      <w:sz w:val="21"/>
                      <w:szCs w:val="21"/>
                      <w:lang w:val="en-US" w:eastAsia="zh-CN"/>
                    </w:rPr>
                    <w:t>HW08“900-218-08”</w:t>
                  </w:r>
                </w:p>
              </w:tc>
              <w:tc>
                <w:tcPr>
                  <w:tcW w:w="287" w:type="pct"/>
                  <w:tcBorders>
                    <w:tl2br w:val="nil"/>
                    <w:tr2bl w:val="nil"/>
                  </w:tcBorders>
                  <w:noWrap w:val="0"/>
                  <w:vAlign w:val="center"/>
                </w:tcPr>
                <w:p w14:paraId="2335E6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Cs/>
                      <w:color w:val="auto"/>
                      <w:kern w:val="0"/>
                      <w:sz w:val="21"/>
                      <w:szCs w:val="21"/>
                      <w:highlight w:val="none"/>
                      <w:lang w:val="en-US" w:eastAsia="zh-CN"/>
                    </w:rPr>
                  </w:pPr>
                  <w:r>
                    <w:rPr>
                      <w:rFonts w:hint="eastAsia"/>
                      <w:bCs/>
                      <w:color w:val="auto"/>
                      <w:kern w:val="0"/>
                      <w:sz w:val="21"/>
                      <w:szCs w:val="21"/>
                      <w:highlight w:val="none"/>
                      <w:lang w:val="en-US" w:eastAsia="zh-CN"/>
                    </w:rPr>
                    <w:t>液态</w:t>
                  </w:r>
                </w:p>
              </w:tc>
              <w:tc>
                <w:tcPr>
                  <w:tcW w:w="274" w:type="pct"/>
                  <w:vMerge w:val="restart"/>
                  <w:tcBorders>
                    <w:tl2br w:val="nil"/>
                    <w:tr2bl w:val="nil"/>
                  </w:tcBorders>
                  <w:noWrap w:val="0"/>
                  <w:vAlign w:val="center"/>
                </w:tcPr>
                <w:p w14:paraId="154ABD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kern w:val="0"/>
                      <w:sz w:val="21"/>
                      <w:szCs w:val="21"/>
                      <w:highlight w:val="none"/>
                      <w:lang w:val="en-US" w:eastAsia="zh-CN"/>
                    </w:rPr>
                  </w:pPr>
                  <w:r>
                    <w:rPr>
                      <w:rFonts w:hint="eastAsia"/>
                      <w:bCs/>
                      <w:color w:val="auto"/>
                      <w:kern w:val="0"/>
                      <w:sz w:val="21"/>
                      <w:szCs w:val="21"/>
                      <w:highlight w:val="none"/>
                      <w:lang w:val="en-US" w:eastAsia="zh-CN"/>
                    </w:rPr>
                    <w:t>T、I</w:t>
                  </w:r>
                </w:p>
              </w:tc>
              <w:tc>
                <w:tcPr>
                  <w:tcW w:w="417" w:type="pct"/>
                  <w:tcBorders>
                    <w:tl2br w:val="nil"/>
                    <w:tr2bl w:val="nil"/>
                  </w:tcBorders>
                  <w:noWrap w:val="0"/>
                  <w:vAlign w:val="center"/>
                </w:tcPr>
                <w:p w14:paraId="0F8149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r>
                    <w:rPr>
                      <w:rFonts w:hint="eastAsia" w:cs="Times New Roman"/>
                      <w:bCs/>
                      <w:color w:val="auto"/>
                      <w:kern w:val="0"/>
                      <w:sz w:val="21"/>
                      <w:szCs w:val="21"/>
                      <w:highlight w:val="none"/>
                      <w:lang w:val="en-US" w:eastAsia="zh-CN"/>
                    </w:rPr>
                    <w:t>5</w:t>
                  </w:r>
                  <w:r>
                    <w:rPr>
                      <w:rFonts w:hint="eastAsia" w:ascii="Times New Roman" w:hAnsi="Times New Roman" w:eastAsia="宋体" w:cs="Times New Roman"/>
                      <w:bCs/>
                      <w:color w:val="auto"/>
                      <w:kern w:val="0"/>
                      <w:sz w:val="21"/>
                      <w:szCs w:val="21"/>
                      <w:highlight w:val="none"/>
                      <w:lang w:val="en-US" w:eastAsia="zh-CN"/>
                    </w:rPr>
                    <w:t>t/a</w:t>
                  </w:r>
                </w:p>
              </w:tc>
              <w:tc>
                <w:tcPr>
                  <w:tcW w:w="333" w:type="pct"/>
                  <w:vMerge w:val="restart"/>
                  <w:tcBorders>
                    <w:tl2br w:val="nil"/>
                    <w:tr2bl w:val="nil"/>
                  </w:tcBorders>
                  <w:noWrap w:val="0"/>
                  <w:vAlign w:val="center"/>
                </w:tcPr>
                <w:p w14:paraId="5F6105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kern w:val="0"/>
                      <w:sz w:val="21"/>
                      <w:szCs w:val="21"/>
                      <w:lang w:val="en-US" w:eastAsia="zh-CN"/>
                    </w:rPr>
                  </w:pPr>
                  <w:r>
                    <w:rPr>
                      <w:rFonts w:hint="eastAsia"/>
                      <w:bCs/>
                      <w:color w:val="auto"/>
                      <w:kern w:val="0"/>
                      <w:sz w:val="21"/>
                      <w:szCs w:val="21"/>
                      <w:lang w:val="en-US" w:eastAsia="zh-CN"/>
                    </w:rPr>
                    <w:t>收集后暂存于危废暂存间</w:t>
                  </w:r>
                </w:p>
              </w:tc>
              <w:tc>
                <w:tcPr>
                  <w:tcW w:w="717" w:type="pct"/>
                  <w:vMerge w:val="restart"/>
                  <w:tcBorders>
                    <w:tl2br w:val="nil"/>
                    <w:tr2bl w:val="nil"/>
                  </w:tcBorders>
                  <w:noWrap w:val="0"/>
                  <w:vAlign w:val="center"/>
                </w:tcPr>
                <w:p w14:paraId="7B7EDC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bCs/>
                      <w:color w:val="auto"/>
                      <w:kern w:val="0"/>
                      <w:sz w:val="21"/>
                      <w:szCs w:val="21"/>
                      <w:lang w:val="en-US" w:eastAsia="zh-CN" w:bidi="ar-SA"/>
                    </w:rPr>
                  </w:pPr>
                  <w:r>
                    <w:rPr>
                      <w:rFonts w:hint="default" w:ascii="Times New Roman" w:hAnsi="Times New Roman"/>
                      <w:bCs/>
                      <w:color w:val="auto"/>
                      <w:kern w:val="0"/>
                      <w:sz w:val="21"/>
                      <w:szCs w:val="21"/>
                      <w:lang w:val="en-US" w:eastAsia="zh-CN" w:bidi="ar-SA"/>
                    </w:rPr>
                    <w:t>定期委托有资质单位处置</w:t>
                  </w:r>
                </w:p>
              </w:tc>
              <w:tc>
                <w:tcPr>
                  <w:tcW w:w="649" w:type="pct"/>
                  <w:vMerge w:val="restart"/>
                  <w:tcBorders>
                    <w:tl2br w:val="nil"/>
                    <w:tr2bl w:val="nil"/>
                  </w:tcBorders>
                  <w:noWrap w:val="0"/>
                  <w:vAlign w:val="center"/>
                </w:tcPr>
                <w:p w14:paraId="60F7E4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kern w:val="0"/>
                      <w:sz w:val="21"/>
                      <w:szCs w:val="21"/>
                      <w:lang w:val="en-US" w:eastAsia="zh-CN"/>
                    </w:rPr>
                  </w:pPr>
                  <w:r>
                    <w:rPr>
                      <w:rFonts w:hint="default"/>
                      <w:bCs/>
                      <w:color w:val="auto"/>
                      <w:kern w:val="0"/>
                      <w:sz w:val="21"/>
                      <w:szCs w:val="21"/>
                      <w:lang w:val="en-US" w:eastAsia="zh-CN"/>
                    </w:rPr>
                    <w:t>收集后分区暂存于危险废物暂存间，定期委托有资质单位处置</w:t>
                  </w:r>
                </w:p>
              </w:tc>
            </w:tr>
            <w:tr w14:paraId="560C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 w:type="pct"/>
                  <w:tcBorders>
                    <w:tl2br w:val="nil"/>
                    <w:tr2bl w:val="nil"/>
                  </w:tcBorders>
                  <w:shd w:val="clear" w:color="auto" w:fill="auto"/>
                  <w:noWrap w:val="0"/>
                  <w:vAlign w:val="center"/>
                </w:tcPr>
                <w:p w14:paraId="795DB3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黑体"/>
                      <w:bCs/>
                      <w:color w:val="auto"/>
                      <w:kern w:val="0"/>
                      <w:sz w:val="21"/>
                      <w:szCs w:val="21"/>
                      <w:lang w:val="en-US" w:eastAsia="zh-CN" w:bidi="ar-SA"/>
                    </w:rPr>
                  </w:pPr>
                  <w:r>
                    <w:rPr>
                      <w:rFonts w:hint="eastAsia"/>
                      <w:bCs/>
                      <w:color w:val="auto"/>
                      <w:kern w:val="0"/>
                      <w:sz w:val="21"/>
                      <w:szCs w:val="21"/>
                      <w:lang w:val="en-US" w:eastAsia="zh-CN" w:bidi="ar-SA"/>
                    </w:rPr>
                    <w:t>8</w:t>
                  </w:r>
                </w:p>
              </w:tc>
              <w:tc>
                <w:tcPr>
                  <w:tcW w:w="421" w:type="pct"/>
                  <w:vMerge w:val="continue"/>
                  <w:tcBorders>
                    <w:tl2br w:val="nil"/>
                    <w:tr2bl w:val="nil"/>
                  </w:tcBorders>
                  <w:noWrap w:val="0"/>
                  <w:vAlign w:val="center"/>
                </w:tcPr>
                <w:p w14:paraId="15BB5C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s="Times New Roman"/>
                      <w:bCs/>
                      <w:color w:val="auto"/>
                      <w:kern w:val="0"/>
                      <w:sz w:val="21"/>
                      <w:szCs w:val="21"/>
                      <w:lang w:val="en-US" w:eastAsia="zh-CN"/>
                    </w:rPr>
                  </w:pPr>
                </w:p>
              </w:tc>
              <w:tc>
                <w:tcPr>
                  <w:tcW w:w="503" w:type="pct"/>
                  <w:tcBorders>
                    <w:tl2br w:val="nil"/>
                    <w:tr2bl w:val="nil"/>
                  </w:tcBorders>
                  <w:noWrap w:val="0"/>
                  <w:vAlign w:val="center"/>
                </w:tcPr>
                <w:p w14:paraId="496E93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bCs/>
                      <w:color w:val="auto"/>
                      <w:kern w:val="0"/>
                      <w:sz w:val="21"/>
                      <w:szCs w:val="21"/>
                      <w:lang w:val="en-US" w:eastAsia="zh-CN"/>
                    </w:rPr>
                    <w:t>废液压油桶</w:t>
                  </w:r>
                </w:p>
              </w:tc>
              <w:tc>
                <w:tcPr>
                  <w:tcW w:w="398" w:type="pct"/>
                  <w:vMerge w:val="continue"/>
                  <w:tcBorders>
                    <w:tl2br w:val="nil"/>
                    <w:tr2bl w:val="nil"/>
                  </w:tcBorders>
                  <w:noWrap w:val="0"/>
                  <w:vAlign w:val="center"/>
                </w:tcPr>
                <w:p w14:paraId="6040BB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color w:val="auto"/>
                      <w:kern w:val="0"/>
                      <w:sz w:val="21"/>
                      <w:szCs w:val="21"/>
                    </w:rPr>
                  </w:pPr>
                </w:p>
              </w:tc>
              <w:tc>
                <w:tcPr>
                  <w:tcW w:w="821" w:type="pct"/>
                  <w:tcBorders>
                    <w:tl2br w:val="nil"/>
                    <w:tr2bl w:val="nil"/>
                  </w:tcBorders>
                  <w:noWrap w:val="0"/>
                  <w:vAlign w:val="center"/>
                </w:tcPr>
                <w:p w14:paraId="551A96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kern w:val="0"/>
                      <w:sz w:val="21"/>
                      <w:szCs w:val="21"/>
                      <w:lang w:val="en-US" w:eastAsia="zh-CN"/>
                    </w:rPr>
                  </w:pPr>
                  <w:r>
                    <w:rPr>
                      <w:rFonts w:hint="eastAsia"/>
                      <w:bCs/>
                      <w:color w:val="auto"/>
                      <w:kern w:val="0"/>
                      <w:sz w:val="21"/>
                      <w:szCs w:val="21"/>
                      <w:lang w:val="en-US" w:eastAsia="zh-CN"/>
                    </w:rPr>
                    <w:t>HW08“900-249-08”</w:t>
                  </w:r>
                </w:p>
              </w:tc>
              <w:tc>
                <w:tcPr>
                  <w:tcW w:w="287" w:type="pct"/>
                  <w:tcBorders>
                    <w:tl2br w:val="nil"/>
                    <w:tr2bl w:val="nil"/>
                  </w:tcBorders>
                  <w:noWrap w:val="0"/>
                  <w:vAlign w:val="center"/>
                </w:tcPr>
                <w:p w14:paraId="3A7233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Cs/>
                      <w:color w:val="auto"/>
                      <w:kern w:val="0"/>
                      <w:sz w:val="21"/>
                      <w:szCs w:val="21"/>
                      <w:highlight w:val="none"/>
                      <w:lang w:val="en-US" w:eastAsia="zh-CN"/>
                    </w:rPr>
                  </w:pPr>
                  <w:r>
                    <w:rPr>
                      <w:rFonts w:hint="eastAsia"/>
                      <w:bCs/>
                      <w:color w:val="auto"/>
                      <w:kern w:val="0"/>
                      <w:sz w:val="21"/>
                      <w:szCs w:val="21"/>
                      <w:highlight w:val="none"/>
                      <w:lang w:val="en-US" w:eastAsia="zh-CN"/>
                    </w:rPr>
                    <w:t>固态</w:t>
                  </w:r>
                </w:p>
              </w:tc>
              <w:tc>
                <w:tcPr>
                  <w:tcW w:w="274" w:type="pct"/>
                  <w:vMerge w:val="continue"/>
                  <w:tcBorders>
                    <w:tl2br w:val="nil"/>
                    <w:tr2bl w:val="nil"/>
                  </w:tcBorders>
                  <w:noWrap w:val="0"/>
                  <w:vAlign w:val="center"/>
                </w:tcPr>
                <w:p w14:paraId="773E4E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kern w:val="0"/>
                      <w:sz w:val="21"/>
                      <w:szCs w:val="21"/>
                      <w:highlight w:val="none"/>
                      <w:lang w:val="en-US" w:eastAsia="zh-CN"/>
                    </w:rPr>
                  </w:pPr>
                </w:p>
              </w:tc>
              <w:tc>
                <w:tcPr>
                  <w:tcW w:w="417" w:type="pct"/>
                  <w:tcBorders>
                    <w:tl2br w:val="nil"/>
                    <w:tr2bl w:val="nil"/>
                  </w:tcBorders>
                  <w:noWrap w:val="0"/>
                  <w:vAlign w:val="center"/>
                </w:tcPr>
                <w:p w14:paraId="3808F9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r>
                    <w:rPr>
                      <w:rFonts w:hint="eastAsia" w:cs="Times New Roman"/>
                      <w:bCs/>
                      <w:color w:val="auto"/>
                      <w:kern w:val="0"/>
                      <w:sz w:val="21"/>
                      <w:szCs w:val="21"/>
                      <w:highlight w:val="none"/>
                      <w:lang w:val="en-US" w:eastAsia="zh-CN"/>
                    </w:rPr>
                    <w:t>2</w:t>
                  </w:r>
                  <w:r>
                    <w:rPr>
                      <w:rFonts w:hint="eastAsia" w:ascii="Times New Roman" w:hAnsi="Times New Roman" w:eastAsia="宋体" w:cs="Times New Roman"/>
                      <w:bCs/>
                      <w:color w:val="auto"/>
                      <w:kern w:val="0"/>
                      <w:sz w:val="21"/>
                      <w:szCs w:val="21"/>
                      <w:highlight w:val="none"/>
                      <w:lang w:val="en-US" w:eastAsia="zh-CN"/>
                    </w:rPr>
                    <w:t>t/a</w:t>
                  </w:r>
                </w:p>
              </w:tc>
              <w:tc>
                <w:tcPr>
                  <w:tcW w:w="333" w:type="pct"/>
                  <w:vMerge w:val="continue"/>
                  <w:tcBorders>
                    <w:tl2br w:val="nil"/>
                    <w:tr2bl w:val="nil"/>
                  </w:tcBorders>
                  <w:noWrap w:val="0"/>
                  <w:vAlign w:val="center"/>
                </w:tcPr>
                <w:p w14:paraId="5181FC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kern w:val="0"/>
                      <w:sz w:val="21"/>
                      <w:szCs w:val="21"/>
                      <w:lang w:val="en-US" w:eastAsia="zh-CN"/>
                    </w:rPr>
                  </w:pPr>
                </w:p>
              </w:tc>
              <w:tc>
                <w:tcPr>
                  <w:tcW w:w="717" w:type="pct"/>
                  <w:vMerge w:val="continue"/>
                  <w:tcBorders>
                    <w:tl2br w:val="nil"/>
                    <w:tr2bl w:val="nil"/>
                  </w:tcBorders>
                  <w:noWrap w:val="0"/>
                  <w:vAlign w:val="center"/>
                </w:tcPr>
                <w:p w14:paraId="1D6997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bCs/>
                      <w:color w:val="auto"/>
                      <w:kern w:val="0"/>
                      <w:sz w:val="21"/>
                      <w:szCs w:val="21"/>
                      <w:lang w:val="en-US" w:eastAsia="zh-CN" w:bidi="ar-SA"/>
                    </w:rPr>
                  </w:pPr>
                </w:p>
              </w:tc>
              <w:tc>
                <w:tcPr>
                  <w:tcW w:w="649" w:type="pct"/>
                  <w:vMerge w:val="continue"/>
                  <w:tcBorders>
                    <w:tl2br w:val="nil"/>
                    <w:tr2bl w:val="nil"/>
                  </w:tcBorders>
                  <w:noWrap w:val="0"/>
                  <w:vAlign w:val="center"/>
                </w:tcPr>
                <w:p w14:paraId="47E1F6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kern w:val="0"/>
                      <w:sz w:val="21"/>
                      <w:szCs w:val="21"/>
                      <w:lang w:val="en-US" w:eastAsia="zh-CN"/>
                    </w:rPr>
                  </w:pPr>
                </w:p>
              </w:tc>
            </w:tr>
            <w:tr w14:paraId="1103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 w:type="pct"/>
                  <w:tcBorders>
                    <w:tl2br w:val="nil"/>
                    <w:tr2bl w:val="nil"/>
                  </w:tcBorders>
                  <w:noWrap w:val="0"/>
                  <w:vAlign w:val="center"/>
                </w:tcPr>
                <w:p w14:paraId="11B20F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bCs/>
                      <w:color w:val="auto"/>
                      <w:kern w:val="0"/>
                      <w:sz w:val="21"/>
                      <w:szCs w:val="21"/>
                      <w:lang w:val="en-US" w:eastAsia="zh-CN" w:bidi="ar-SA"/>
                    </w:rPr>
                  </w:pPr>
                  <w:r>
                    <w:rPr>
                      <w:rFonts w:hint="eastAsia"/>
                      <w:bCs/>
                      <w:color w:val="auto"/>
                      <w:kern w:val="0"/>
                      <w:sz w:val="21"/>
                      <w:szCs w:val="21"/>
                      <w:lang w:val="en-US" w:eastAsia="zh-CN" w:bidi="ar-SA"/>
                    </w:rPr>
                    <w:t>9</w:t>
                  </w:r>
                </w:p>
              </w:tc>
              <w:tc>
                <w:tcPr>
                  <w:tcW w:w="421" w:type="pct"/>
                  <w:vMerge w:val="continue"/>
                  <w:tcBorders>
                    <w:tl2br w:val="nil"/>
                    <w:tr2bl w:val="nil"/>
                  </w:tcBorders>
                  <w:noWrap w:val="0"/>
                  <w:vAlign w:val="center"/>
                </w:tcPr>
                <w:p w14:paraId="22FE65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s="Times New Roman"/>
                      <w:bCs/>
                      <w:color w:val="auto"/>
                      <w:kern w:val="0"/>
                      <w:sz w:val="21"/>
                      <w:szCs w:val="21"/>
                      <w:lang w:val="en-US" w:eastAsia="zh-CN"/>
                    </w:rPr>
                  </w:pPr>
                </w:p>
              </w:tc>
              <w:tc>
                <w:tcPr>
                  <w:tcW w:w="503" w:type="pct"/>
                  <w:tcBorders>
                    <w:tl2br w:val="nil"/>
                    <w:tr2bl w:val="nil"/>
                  </w:tcBorders>
                  <w:noWrap w:val="0"/>
                  <w:vAlign w:val="center"/>
                </w:tcPr>
                <w:p w14:paraId="50E783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lang w:val="en-US" w:eastAsia="zh-CN"/>
                    </w:rPr>
                  </w:pPr>
                  <w:r>
                    <w:rPr>
                      <w:rFonts w:hint="eastAsia" w:cs="Times New Roman"/>
                      <w:bCs/>
                      <w:color w:val="auto"/>
                      <w:kern w:val="0"/>
                      <w:sz w:val="21"/>
                      <w:szCs w:val="21"/>
                      <w:lang w:val="en-US" w:eastAsia="zh-CN"/>
                    </w:rPr>
                    <w:t>废机油</w:t>
                  </w:r>
                </w:p>
              </w:tc>
              <w:tc>
                <w:tcPr>
                  <w:tcW w:w="398" w:type="pct"/>
                  <w:vMerge w:val="continue"/>
                  <w:tcBorders>
                    <w:tl2br w:val="nil"/>
                    <w:tr2bl w:val="nil"/>
                  </w:tcBorders>
                  <w:noWrap w:val="0"/>
                  <w:vAlign w:val="center"/>
                </w:tcPr>
                <w:p w14:paraId="4457FE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color w:val="auto"/>
                      <w:kern w:val="0"/>
                      <w:sz w:val="21"/>
                      <w:szCs w:val="21"/>
                    </w:rPr>
                  </w:pPr>
                </w:p>
              </w:tc>
              <w:tc>
                <w:tcPr>
                  <w:tcW w:w="821" w:type="pct"/>
                  <w:tcBorders>
                    <w:tl2br w:val="nil"/>
                    <w:tr2bl w:val="nil"/>
                  </w:tcBorders>
                  <w:noWrap w:val="0"/>
                  <w:vAlign w:val="center"/>
                </w:tcPr>
                <w:p w14:paraId="1619C8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kern w:val="0"/>
                      <w:sz w:val="21"/>
                      <w:szCs w:val="21"/>
                      <w:lang w:val="en-US" w:eastAsia="zh-CN"/>
                    </w:rPr>
                  </w:pPr>
                  <w:r>
                    <w:rPr>
                      <w:rFonts w:hint="eastAsia"/>
                      <w:bCs/>
                      <w:color w:val="auto"/>
                      <w:kern w:val="0"/>
                      <w:sz w:val="21"/>
                      <w:szCs w:val="21"/>
                      <w:lang w:val="en-US" w:eastAsia="zh-CN"/>
                    </w:rPr>
                    <w:t>HW08“900-249-08”</w:t>
                  </w:r>
                </w:p>
              </w:tc>
              <w:tc>
                <w:tcPr>
                  <w:tcW w:w="287" w:type="pct"/>
                  <w:tcBorders>
                    <w:tl2br w:val="nil"/>
                    <w:tr2bl w:val="nil"/>
                  </w:tcBorders>
                  <w:noWrap w:val="0"/>
                  <w:vAlign w:val="center"/>
                </w:tcPr>
                <w:p w14:paraId="0F356E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kern w:val="0"/>
                      <w:sz w:val="21"/>
                      <w:szCs w:val="21"/>
                      <w:highlight w:val="none"/>
                      <w:lang w:val="en-US" w:eastAsia="zh-CN"/>
                    </w:rPr>
                  </w:pPr>
                  <w:r>
                    <w:rPr>
                      <w:rFonts w:hint="eastAsia"/>
                      <w:bCs/>
                      <w:color w:val="auto"/>
                      <w:kern w:val="0"/>
                      <w:sz w:val="21"/>
                      <w:szCs w:val="21"/>
                      <w:highlight w:val="none"/>
                      <w:lang w:val="en-US" w:eastAsia="zh-CN"/>
                    </w:rPr>
                    <w:t>液态</w:t>
                  </w:r>
                </w:p>
              </w:tc>
              <w:tc>
                <w:tcPr>
                  <w:tcW w:w="274" w:type="pct"/>
                  <w:vMerge w:val="continue"/>
                  <w:tcBorders>
                    <w:tl2br w:val="nil"/>
                    <w:tr2bl w:val="nil"/>
                  </w:tcBorders>
                  <w:noWrap w:val="0"/>
                  <w:vAlign w:val="center"/>
                </w:tcPr>
                <w:p w14:paraId="4706A1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kern w:val="0"/>
                      <w:sz w:val="21"/>
                      <w:szCs w:val="21"/>
                      <w:highlight w:val="none"/>
                      <w:lang w:val="en-US" w:eastAsia="zh-CN"/>
                    </w:rPr>
                  </w:pPr>
                </w:p>
              </w:tc>
              <w:tc>
                <w:tcPr>
                  <w:tcW w:w="417" w:type="pct"/>
                  <w:tcBorders>
                    <w:tl2br w:val="nil"/>
                    <w:tr2bl w:val="nil"/>
                  </w:tcBorders>
                  <w:noWrap w:val="0"/>
                  <w:vAlign w:val="center"/>
                </w:tcPr>
                <w:p w14:paraId="513102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rPr>
                  </w:pPr>
                  <w:r>
                    <w:rPr>
                      <w:rFonts w:hint="eastAsia" w:cs="Times New Roman"/>
                      <w:bCs/>
                      <w:color w:val="auto"/>
                      <w:kern w:val="0"/>
                      <w:sz w:val="21"/>
                      <w:szCs w:val="21"/>
                      <w:highlight w:val="none"/>
                      <w:lang w:val="en-US" w:eastAsia="zh-CN"/>
                    </w:rPr>
                    <w:t>0.1</w:t>
                  </w:r>
                  <w:r>
                    <w:rPr>
                      <w:rFonts w:hint="eastAsia" w:ascii="Times New Roman" w:hAnsi="Times New Roman" w:eastAsia="宋体" w:cs="Times New Roman"/>
                      <w:bCs/>
                      <w:color w:val="auto"/>
                      <w:kern w:val="0"/>
                      <w:sz w:val="21"/>
                      <w:szCs w:val="21"/>
                      <w:highlight w:val="none"/>
                      <w:lang w:val="en-US" w:eastAsia="zh-CN"/>
                    </w:rPr>
                    <w:t>t/a</w:t>
                  </w:r>
                </w:p>
              </w:tc>
              <w:tc>
                <w:tcPr>
                  <w:tcW w:w="333" w:type="pct"/>
                  <w:vMerge w:val="continue"/>
                  <w:tcBorders>
                    <w:tl2br w:val="nil"/>
                    <w:tr2bl w:val="nil"/>
                  </w:tcBorders>
                  <w:noWrap w:val="0"/>
                  <w:vAlign w:val="center"/>
                </w:tcPr>
                <w:p w14:paraId="3A3270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kern w:val="0"/>
                      <w:sz w:val="21"/>
                      <w:szCs w:val="21"/>
                      <w:lang w:val="en-US" w:eastAsia="zh-CN"/>
                    </w:rPr>
                  </w:pPr>
                </w:p>
              </w:tc>
              <w:tc>
                <w:tcPr>
                  <w:tcW w:w="717" w:type="pct"/>
                  <w:vMerge w:val="continue"/>
                  <w:tcBorders>
                    <w:tl2br w:val="nil"/>
                    <w:tr2bl w:val="nil"/>
                  </w:tcBorders>
                  <w:noWrap w:val="0"/>
                  <w:vAlign w:val="center"/>
                </w:tcPr>
                <w:p w14:paraId="3E7A46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bCs/>
                      <w:color w:val="auto"/>
                      <w:kern w:val="0"/>
                      <w:sz w:val="21"/>
                      <w:szCs w:val="21"/>
                      <w:lang w:val="en-US" w:eastAsia="zh-CN" w:bidi="ar-SA"/>
                    </w:rPr>
                  </w:pPr>
                </w:p>
              </w:tc>
              <w:tc>
                <w:tcPr>
                  <w:tcW w:w="649" w:type="pct"/>
                  <w:vMerge w:val="continue"/>
                  <w:tcBorders>
                    <w:tl2br w:val="nil"/>
                    <w:tr2bl w:val="nil"/>
                  </w:tcBorders>
                  <w:noWrap w:val="0"/>
                  <w:vAlign w:val="center"/>
                </w:tcPr>
                <w:p w14:paraId="754083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kern w:val="0"/>
                      <w:sz w:val="21"/>
                      <w:szCs w:val="21"/>
                      <w:lang w:val="en-US" w:eastAsia="zh-CN"/>
                    </w:rPr>
                  </w:pPr>
                </w:p>
              </w:tc>
            </w:tr>
          </w:tbl>
          <w:p w14:paraId="1DC06D21">
            <w:pPr>
              <w:rPr>
                <w:color w:val="auto"/>
                <w:vertAlign w:val="baseline"/>
              </w:rPr>
            </w:pPr>
          </w:p>
          <w:p w14:paraId="43E4CD70">
            <w:pPr>
              <w:rPr>
                <w:color w:val="auto"/>
                <w:vertAlign w:val="baseline"/>
              </w:rPr>
            </w:pPr>
          </w:p>
          <w:p w14:paraId="41F69BA0">
            <w:pPr>
              <w:rPr>
                <w:color w:val="auto"/>
                <w:vertAlign w:val="baseline"/>
              </w:rPr>
            </w:pPr>
          </w:p>
          <w:p w14:paraId="2321284A">
            <w:pPr>
              <w:rPr>
                <w:color w:val="auto"/>
                <w:vertAlign w:val="baseline"/>
              </w:rPr>
            </w:pPr>
          </w:p>
          <w:p w14:paraId="01FD1BA4">
            <w:pPr>
              <w:rPr>
                <w:color w:val="auto"/>
                <w:vertAlign w:val="baseline"/>
              </w:rPr>
            </w:pPr>
          </w:p>
          <w:p w14:paraId="1A7AFEBF">
            <w:pPr>
              <w:rPr>
                <w:color w:val="auto"/>
                <w:vertAlign w:val="baseline"/>
              </w:rPr>
            </w:pPr>
          </w:p>
          <w:p w14:paraId="0A063CDE">
            <w:pPr>
              <w:rPr>
                <w:color w:val="auto"/>
                <w:vertAlign w:val="baseline"/>
              </w:rPr>
            </w:pPr>
          </w:p>
          <w:p w14:paraId="253A6532">
            <w:pPr>
              <w:rPr>
                <w:color w:val="auto"/>
                <w:vertAlign w:val="baseline"/>
              </w:rPr>
            </w:pPr>
          </w:p>
          <w:p w14:paraId="77F58AD5">
            <w:pPr>
              <w:rPr>
                <w:color w:val="auto"/>
                <w:vertAlign w:val="baseline"/>
              </w:rPr>
            </w:pPr>
          </w:p>
          <w:p w14:paraId="7FBF15D7">
            <w:pPr>
              <w:rPr>
                <w:color w:val="auto"/>
                <w:vertAlign w:val="baseline"/>
              </w:rPr>
            </w:pPr>
          </w:p>
          <w:p w14:paraId="094FA3AC">
            <w:pPr>
              <w:rPr>
                <w:color w:val="auto"/>
                <w:vertAlign w:val="baseline"/>
              </w:rPr>
            </w:pPr>
          </w:p>
          <w:p w14:paraId="0C831AA4">
            <w:pPr>
              <w:ind w:left="0" w:leftChars="0" w:firstLine="0" w:firstLineChars="0"/>
              <w:rPr>
                <w:color w:val="auto"/>
                <w:vertAlign w:val="baseline"/>
              </w:rPr>
            </w:pPr>
          </w:p>
        </w:tc>
      </w:tr>
    </w:tbl>
    <w:p w14:paraId="1AAE6FA6">
      <w:pPr>
        <w:ind w:firstLine="0" w:firstLineChars="0"/>
        <w:rPr>
          <w:color w:val="auto"/>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9"/>
        <w:gridCol w:w="7943"/>
      </w:tblGrid>
      <w:tr w14:paraId="2ACDE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vAlign w:val="center"/>
          </w:tcPr>
          <w:p w14:paraId="5CD8045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color w:val="auto"/>
                <w:vertAlign w:val="baseline"/>
              </w:rPr>
            </w:pPr>
            <w:r>
              <w:rPr>
                <w:rFonts w:hint="eastAsia"/>
                <w:color w:val="auto"/>
                <w:vertAlign w:val="baseline"/>
              </w:rPr>
              <w:t>运营</w:t>
            </w:r>
          </w:p>
          <w:p w14:paraId="28B1824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color w:val="auto"/>
                <w:vertAlign w:val="baseline"/>
              </w:rPr>
            </w:pPr>
            <w:r>
              <w:rPr>
                <w:rFonts w:hint="eastAsia"/>
                <w:color w:val="auto"/>
                <w:vertAlign w:val="baseline"/>
              </w:rPr>
              <w:t>期环</w:t>
            </w:r>
          </w:p>
          <w:p w14:paraId="3501155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color w:val="auto"/>
                <w:vertAlign w:val="baseline"/>
              </w:rPr>
            </w:pPr>
            <w:r>
              <w:rPr>
                <w:rFonts w:hint="eastAsia"/>
                <w:color w:val="auto"/>
                <w:vertAlign w:val="baseline"/>
              </w:rPr>
              <w:t>境影</w:t>
            </w:r>
          </w:p>
          <w:p w14:paraId="2336E82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color w:val="auto"/>
                <w:vertAlign w:val="baseline"/>
              </w:rPr>
            </w:pPr>
            <w:r>
              <w:rPr>
                <w:rFonts w:hint="eastAsia"/>
                <w:color w:val="auto"/>
                <w:vertAlign w:val="baseline"/>
              </w:rPr>
              <w:t>响和</w:t>
            </w:r>
          </w:p>
          <w:p w14:paraId="61F217E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color w:val="auto"/>
                <w:vertAlign w:val="baseline"/>
              </w:rPr>
            </w:pPr>
            <w:r>
              <w:rPr>
                <w:rFonts w:hint="eastAsia"/>
                <w:color w:val="auto"/>
                <w:vertAlign w:val="baseline"/>
              </w:rPr>
              <w:t>保护</w:t>
            </w:r>
          </w:p>
          <w:p w14:paraId="5AEC839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vertAlign w:val="baseline"/>
              </w:rPr>
            </w:pPr>
            <w:r>
              <w:rPr>
                <w:rFonts w:hint="eastAsia"/>
                <w:color w:val="auto"/>
                <w:vertAlign w:val="baseline"/>
              </w:rPr>
              <w:t>措施</w:t>
            </w:r>
          </w:p>
        </w:tc>
        <w:tc>
          <w:tcPr>
            <w:tcW w:w="7943" w:type="dxa"/>
          </w:tcPr>
          <w:p w14:paraId="1707D938">
            <w:pPr>
              <w:bidi w:val="0"/>
              <w:rPr>
                <w:rFonts w:hint="default"/>
                <w:b/>
                <w:bCs/>
                <w:color w:val="auto"/>
                <w:lang w:val="en-US" w:eastAsia="zh-CN"/>
              </w:rPr>
            </w:pPr>
            <w:r>
              <w:rPr>
                <w:rFonts w:hint="eastAsia"/>
                <w:b/>
                <w:bCs/>
                <w:color w:val="auto"/>
                <w:lang w:val="en-US" w:eastAsia="zh-CN"/>
              </w:rPr>
              <w:t>2、固体废物核算</w:t>
            </w:r>
          </w:p>
          <w:p w14:paraId="44463E54">
            <w:pPr>
              <w:bidi w:val="0"/>
              <w:rPr>
                <w:rFonts w:hint="eastAsia"/>
                <w:b w:val="0"/>
                <w:bCs w:val="0"/>
                <w:color w:val="auto"/>
                <w:lang w:val="en-US" w:eastAsia="zh-CN"/>
              </w:rPr>
            </w:pPr>
            <w:r>
              <w:rPr>
                <w:rFonts w:hint="eastAsia"/>
                <w:b w:val="0"/>
                <w:bCs w:val="0"/>
                <w:color w:val="auto"/>
                <w:lang w:val="en-US" w:eastAsia="zh-CN"/>
              </w:rPr>
              <w:t>项目运营期产生的固体废物主要为生产固废和生活垃圾，生产固废主要为焊渣、循环水池沉渣、边角废料及切割碎屑、除尘灰、化粪池污泥、污水处理站污泥、废液压油和废液压油桶。</w:t>
            </w:r>
          </w:p>
          <w:p w14:paraId="5A4EB057">
            <w:pPr>
              <w:bidi w:val="0"/>
              <w:rPr>
                <w:rFonts w:hint="eastAsia"/>
                <w:b/>
                <w:bCs/>
                <w:color w:val="auto"/>
                <w:lang w:val="en-US" w:eastAsia="zh-CN"/>
              </w:rPr>
            </w:pPr>
            <w:r>
              <w:rPr>
                <w:rFonts w:hint="eastAsia"/>
                <w:b/>
                <w:bCs/>
                <w:color w:val="auto"/>
                <w:lang w:val="en-US" w:eastAsia="zh-CN"/>
              </w:rPr>
              <w:t>（1）生活垃圾</w:t>
            </w:r>
          </w:p>
          <w:p w14:paraId="614FACFF">
            <w:pPr>
              <w:bidi w:val="0"/>
              <w:rPr>
                <w:rFonts w:hint="eastAsia"/>
                <w:b w:val="0"/>
                <w:bCs w:val="0"/>
                <w:color w:val="auto"/>
                <w:lang w:val="en-US" w:eastAsia="zh-CN"/>
              </w:rPr>
            </w:pPr>
            <w:r>
              <w:rPr>
                <w:rFonts w:hint="eastAsia"/>
                <w:bCs/>
                <w:color w:val="auto"/>
                <w:kern w:val="0"/>
                <w:sz w:val="24"/>
                <w:lang w:val="en-US" w:eastAsia="zh-CN"/>
              </w:rPr>
              <w:t>本项目</w:t>
            </w:r>
            <w:r>
              <w:rPr>
                <w:bCs/>
                <w:color w:val="auto"/>
                <w:kern w:val="0"/>
                <w:sz w:val="24"/>
              </w:rPr>
              <w:t>生活垃圾来源于职工日常生活，项目劳动定员为</w:t>
            </w:r>
            <w:r>
              <w:rPr>
                <w:rFonts w:hint="eastAsia"/>
                <w:bCs/>
                <w:color w:val="auto"/>
                <w:kern w:val="0"/>
                <w:sz w:val="24"/>
                <w:lang w:val="en-US" w:eastAsia="zh-CN"/>
              </w:rPr>
              <w:t>38</w:t>
            </w:r>
            <w:r>
              <w:rPr>
                <w:bCs/>
                <w:color w:val="auto"/>
                <w:kern w:val="0"/>
                <w:sz w:val="24"/>
              </w:rPr>
              <w:t>人</w:t>
            </w:r>
            <w:r>
              <w:rPr>
                <w:bCs/>
                <w:color w:val="auto"/>
                <w:kern w:val="0"/>
                <w:sz w:val="24"/>
                <w:highlight w:val="none"/>
              </w:rPr>
              <w:t>，</w:t>
            </w:r>
            <w:r>
              <w:rPr>
                <w:bCs/>
                <w:color w:val="auto"/>
                <w:kern w:val="0"/>
                <w:sz w:val="24"/>
              </w:rPr>
              <w:t>生活垃圾产生量按</w:t>
            </w:r>
            <w:r>
              <w:rPr>
                <w:rFonts w:hint="eastAsia"/>
                <w:bCs/>
                <w:color w:val="auto"/>
                <w:kern w:val="0"/>
                <w:sz w:val="24"/>
                <w:lang w:val="en-US" w:eastAsia="zh-CN"/>
              </w:rPr>
              <w:t>1.0</w:t>
            </w:r>
            <w:r>
              <w:rPr>
                <w:bCs/>
                <w:color w:val="auto"/>
                <w:kern w:val="0"/>
                <w:sz w:val="24"/>
              </w:rPr>
              <w:t>kg/d计，经计算，</w:t>
            </w:r>
            <w:r>
              <w:rPr>
                <w:rFonts w:hint="eastAsia"/>
                <w:bCs/>
                <w:color w:val="auto"/>
                <w:kern w:val="0"/>
                <w:sz w:val="24"/>
                <w:lang w:eastAsia="zh-CN"/>
              </w:rPr>
              <w:t>生活</w:t>
            </w:r>
            <w:r>
              <w:rPr>
                <w:bCs/>
                <w:color w:val="auto"/>
                <w:kern w:val="0"/>
                <w:sz w:val="24"/>
              </w:rPr>
              <w:t>产生量为</w:t>
            </w:r>
            <w:r>
              <w:rPr>
                <w:rFonts w:hint="eastAsia"/>
                <w:bCs/>
                <w:color w:val="auto"/>
                <w:kern w:val="0"/>
                <w:sz w:val="24"/>
                <w:lang w:val="en-US" w:eastAsia="zh-CN"/>
              </w:rPr>
              <w:t>0.038t</w:t>
            </w:r>
            <w:r>
              <w:rPr>
                <w:bCs/>
                <w:color w:val="auto"/>
                <w:kern w:val="0"/>
                <w:sz w:val="24"/>
              </w:rPr>
              <w:t>/d，</w:t>
            </w:r>
            <w:r>
              <w:rPr>
                <w:rFonts w:hint="eastAsia"/>
                <w:bCs/>
                <w:color w:val="auto"/>
                <w:kern w:val="0"/>
                <w:sz w:val="24"/>
                <w:lang w:val="en-US" w:eastAsia="zh-CN"/>
              </w:rPr>
              <w:t>11.4</w:t>
            </w:r>
            <w:r>
              <w:rPr>
                <w:bCs/>
                <w:color w:val="auto"/>
                <w:kern w:val="0"/>
                <w:sz w:val="24"/>
              </w:rPr>
              <w:t>t/a。</w:t>
            </w:r>
            <w:r>
              <w:rPr>
                <w:rFonts w:hint="eastAsia"/>
                <w:bCs/>
                <w:color w:val="auto"/>
                <w:kern w:val="0"/>
                <w:sz w:val="24"/>
              </w:rPr>
              <w:t>厂区设置若干个垃圾桶，用于收集生活垃圾，收集后运至附近垃圾收集点由环卫部门统一清运处置。</w:t>
            </w:r>
          </w:p>
          <w:p w14:paraId="63322B4D">
            <w:pPr>
              <w:bidi w:val="0"/>
              <w:rPr>
                <w:rFonts w:hint="default"/>
                <w:b/>
                <w:bCs/>
                <w:color w:val="auto"/>
                <w:lang w:val="en-US" w:eastAsia="zh-CN"/>
              </w:rPr>
            </w:pPr>
            <w:r>
              <w:rPr>
                <w:rFonts w:hint="eastAsia"/>
                <w:b/>
                <w:bCs/>
                <w:color w:val="auto"/>
                <w:lang w:val="en-US" w:eastAsia="zh-CN"/>
              </w:rPr>
              <w:t>（2）一般固废</w:t>
            </w:r>
          </w:p>
          <w:p w14:paraId="1D39D45C">
            <w:pPr>
              <w:bidi w:val="0"/>
              <w:rPr>
                <w:rFonts w:hint="eastAsia"/>
                <w:b/>
                <w:bCs/>
                <w:color w:val="auto"/>
                <w:lang w:val="en-US" w:eastAsia="zh-CN"/>
              </w:rPr>
            </w:pPr>
            <w:r>
              <w:rPr>
                <w:rFonts w:hint="eastAsia"/>
                <w:b/>
                <w:bCs/>
                <w:color w:val="auto"/>
                <w:lang w:val="en-US" w:eastAsia="zh-CN"/>
              </w:rPr>
              <w:t>①焊渣</w:t>
            </w:r>
          </w:p>
          <w:p w14:paraId="2EFCAF1F">
            <w:pPr>
              <w:bidi w:val="0"/>
              <w:rPr>
                <w:rFonts w:hint="eastAsia"/>
                <w:b w:val="0"/>
                <w:bCs w:val="0"/>
                <w:color w:val="auto"/>
                <w:lang w:val="en-US" w:eastAsia="zh-CN"/>
              </w:rPr>
            </w:pPr>
            <w:r>
              <w:rPr>
                <w:rFonts w:hint="eastAsia"/>
                <w:b w:val="0"/>
                <w:bCs w:val="0"/>
                <w:color w:val="auto"/>
                <w:lang w:val="en-US" w:eastAsia="zh-CN"/>
              </w:rPr>
              <w:t>项目高频焊接的过程中会产生一定的焊渣以及刮出的焊疤，其产生量根据项目单位的统计资料，产生系数为0.5kg/t产品，项目年产10万吨焊管，故焊渣产生量为50t/a，根据《固体废物分类与代码目录》（生态环境部公告2024年第4号），属于SW17其可再生类废物，代码为900-001-S17。统一收集后暂存于废料打包库，定期外售给废旧物资回收单位。</w:t>
            </w:r>
          </w:p>
          <w:p w14:paraId="7CCDAFC0">
            <w:pPr>
              <w:bidi w:val="0"/>
              <w:rPr>
                <w:rFonts w:hint="eastAsia"/>
                <w:b/>
                <w:bCs/>
                <w:color w:val="auto"/>
                <w:lang w:val="en-US" w:eastAsia="zh-CN"/>
              </w:rPr>
            </w:pPr>
            <w:r>
              <w:rPr>
                <w:rFonts w:hint="eastAsia"/>
                <w:b/>
                <w:bCs/>
                <w:color w:val="auto"/>
                <w:lang w:val="en-US" w:eastAsia="zh-CN"/>
              </w:rPr>
              <w:t>②循环水池沉渣</w:t>
            </w:r>
          </w:p>
          <w:p w14:paraId="5ED6C5D5">
            <w:pPr>
              <w:bidi w:val="0"/>
              <w:rPr>
                <w:rFonts w:hint="eastAsia"/>
                <w:b w:val="0"/>
                <w:bCs w:val="0"/>
                <w:color w:val="auto"/>
                <w:lang w:val="en-US" w:eastAsia="zh-CN"/>
              </w:rPr>
            </w:pPr>
            <w:r>
              <w:rPr>
                <w:rFonts w:hint="eastAsia"/>
                <w:b w:val="0"/>
                <w:bCs w:val="0"/>
                <w:color w:val="auto"/>
                <w:lang w:val="en-US" w:eastAsia="zh-CN"/>
              </w:rPr>
              <w:t>项目高频焊接过程中需用水冷却焊接的焊管，冷却水与物料直接接触，为直接冷却水，通过生产线下方排水沟引入循环冷却池，焊管直接冷却水经沉淀、冷却后循环使用。循环冷却池有少量的金属渣产生，根据项目单位的统计资料产生量约10t/a，根据《固体废物分类与代码目录》（生态环境部公告2024年第4号），属于SW17其可再生类废物，代码为900-001-S17。统一收集后暂存于废料打包库，定期外售给废旧物资回收单位。</w:t>
            </w:r>
          </w:p>
          <w:p w14:paraId="0EA2439B">
            <w:pPr>
              <w:bidi w:val="0"/>
              <w:rPr>
                <w:rFonts w:hint="eastAsia"/>
                <w:b w:val="0"/>
                <w:bCs w:val="0"/>
                <w:color w:val="auto"/>
                <w:lang w:val="en-US" w:eastAsia="zh-CN"/>
              </w:rPr>
            </w:pPr>
            <w:r>
              <w:rPr>
                <w:rFonts w:hint="eastAsia"/>
                <w:b w:val="0"/>
                <w:bCs w:val="0"/>
                <w:color w:val="auto"/>
                <w:lang w:val="en-US" w:eastAsia="zh-CN"/>
              </w:rPr>
              <w:t>循环水池金属沉渣定期清掏，每次清掏时需进行浸出毒性检测，按照《固体废物 浸出毒性浸出方法 水平振荡法》（HJ 557-2010）中规定方法获得的浸出液检测结果需满足《一般工业固体废物贮存和填埋污染控制标准》（GB 18599-2020）中第I类一般工业固体废物或第II类一般工业固体废物的要求，方可作为一般固体废物外售处置。若浸出毒性检测结果超过第I类一般工业固体废物或第II类一般工业固体废物的要求，则需要进行危险废物鉴别，根据鉴别结果为危险废物时需委托有资质单位处置。</w:t>
            </w:r>
          </w:p>
          <w:p w14:paraId="6B676E0B">
            <w:pPr>
              <w:bidi w:val="0"/>
              <w:rPr>
                <w:rFonts w:hint="eastAsia"/>
                <w:b/>
                <w:bCs/>
                <w:color w:val="auto"/>
                <w:lang w:val="en-US" w:eastAsia="zh-CN"/>
              </w:rPr>
            </w:pPr>
            <w:r>
              <w:rPr>
                <w:rFonts w:hint="eastAsia"/>
                <w:b/>
                <w:bCs/>
                <w:color w:val="auto"/>
                <w:lang w:val="en-US" w:eastAsia="zh-CN"/>
              </w:rPr>
              <w:t>③边角废料及切割碎屑</w:t>
            </w:r>
          </w:p>
          <w:p w14:paraId="44395FD8">
            <w:pPr>
              <w:bidi w:val="0"/>
              <w:rPr>
                <w:rFonts w:hint="eastAsia"/>
                <w:b w:val="0"/>
                <w:bCs w:val="0"/>
                <w:color w:val="auto"/>
                <w:lang w:val="en-US" w:eastAsia="zh-CN"/>
              </w:rPr>
            </w:pPr>
            <w:r>
              <w:rPr>
                <w:rFonts w:hint="eastAsia"/>
                <w:b w:val="0"/>
                <w:bCs w:val="0"/>
                <w:color w:val="auto"/>
                <w:lang w:val="en-US" w:eastAsia="zh-CN"/>
              </w:rPr>
              <w:t>项目生产过程中会切除一定的边角，以及在切割过程中产生的切割金属碎屑，其产生量为446.782t/a，根据《固体废物分类与代码目录》（生态环境部公告2024年第4号），属于SW17其可再生类废物，代码为900-001-S17。统一收集后暂存于一般固废暂存间，定期外售给废旧物资回收单位。</w:t>
            </w:r>
          </w:p>
          <w:p w14:paraId="47D39748">
            <w:pPr>
              <w:bidi w:val="0"/>
              <w:rPr>
                <w:rFonts w:hint="eastAsia"/>
                <w:b/>
                <w:bCs/>
                <w:color w:val="auto"/>
                <w:lang w:val="en-US" w:eastAsia="zh-CN"/>
              </w:rPr>
            </w:pPr>
            <w:r>
              <w:rPr>
                <w:rFonts w:hint="eastAsia"/>
                <w:b/>
                <w:bCs/>
                <w:color w:val="auto"/>
                <w:lang w:val="en-US" w:eastAsia="zh-CN"/>
              </w:rPr>
              <w:t>④除尘灰</w:t>
            </w:r>
          </w:p>
          <w:p w14:paraId="35BC0E54">
            <w:pPr>
              <w:bidi w:val="0"/>
              <w:rPr>
                <w:rFonts w:hint="eastAsia" w:ascii="Times New Roman" w:hAnsi="Times New Roman" w:eastAsia="宋体" w:cs="Times New Roman"/>
                <w:color w:val="auto"/>
                <w:lang w:val="en-US" w:eastAsia="zh-CN"/>
              </w:rPr>
            </w:pPr>
            <w:r>
              <w:rPr>
                <w:rFonts w:hint="eastAsia" w:ascii="Times New Roman" w:hAnsi="Times New Roman" w:eastAsia="宋体" w:cs="宋体"/>
                <w:color w:val="auto"/>
                <w:sz w:val="24"/>
                <w:lang w:val="en-US" w:eastAsia="zh-CN"/>
              </w:rPr>
              <w:t>项目焊接工序产生的焊接烟尘经集气罩收集后进入布袋除尘器处理，布袋除尘器收集的除尘灰主要成分为铁粉，通过核算产生量为0.8</w:t>
            </w:r>
            <w:r>
              <w:rPr>
                <w:rFonts w:hint="eastAsia" w:cs="宋体"/>
                <w:color w:val="auto"/>
                <w:sz w:val="24"/>
                <w:lang w:val="en-US" w:eastAsia="zh-CN"/>
              </w:rPr>
              <w:t>41</w:t>
            </w:r>
            <w:r>
              <w:rPr>
                <w:rFonts w:hint="eastAsia" w:ascii="Times New Roman" w:hAnsi="Times New Roman" w:eastAsia="宋体" w:cs="宋体"/>
                <w:color w:val="auto"/>
                <w:sz w:val="24"/>
                <w:lang w:val="en-US" w:eastAsia="zh-CN"/>
              </w:rPr>
              <w:t>t/a，</w:t>
            </w:r>
            <w:r>
              <w:rPr>
                <w:rFonts w:hint="default" w:ascii="Times New Roman" w:hAnsi="Times New Roman" w:eastAsia="宋体" w:cs="宋体"/>
                <w:color w:val="auto"/>
                <w:sz w:val="24"/>
              </w:rPr>
              <w:t>根据《固体废物分类与代码目录》（生态环境部公告2024年第4号），属于SW</w:t>
            </w:r>
            <w:r>
              <w:rPr>
                <w:rFonts w:hint="eastAsia" w:ascii="Times New Roman" w:hAnsi="Times New Roman" w:eastAsia="宋体" w:cs="宋体"/>
                <w:color w:val="auto"/>
                <w:sz w:val="24"/>
                <w:lang w:val="en-US" w:eastAsia="zh-CN"/>
              </w:rPr>
              <w:t>17</w:t>
            </w:r>
            <w:r>
              <w:rPr>
                <w:rFonts w:hint="default" w:ascii="Times New Roman" w:hAnsi="Times New Roman" w:eastAsia="宋体" w:cs="宋体"/>
                <w:color w:val="auto"/>
                <w:sz w:val="24"/>
              </w:rPr>
              <w:t>其</w:t>
            </w:r>
            <w:r>
              <w:rPr>
                <w:rFonts w:hint="eastAsia" w:ascii="Times New Roman" w:hAnsi="Times New Roman" w:eastAsia="宋体" w:cs="宋体"/>
                <w:color w:val="auto"/>
                <w:sz w:val="24"/>
                <w:lang w:val="en-US" w:eastAsia="zh-CN"/>
              </w:rPr>
              <w:t>可再生类废物</w:t>
            </w:r>
            <w:r>
              <w:rPr>
                <w:rFonts w:hint="default" w:ascii="Times New Roman" w:hAnsi="Times New Roman" w:eastAsia="宋体" w:cs="宋体"/>
                <w:color w:val="auto"/>
                <w:sz w:val="24"/>
              </w:rPr>
              <w:t>，代码为900-00</w:t>
            </w:r>
            <w:r>
              <w:rPr>
                <w:rFonts w:hint="eastAsia" w:ascii="Times New Roman" w:hAnsi="Times New Roman" w:eastAsia="宋体" w:cs="宋体"/>
                <w:color w:val="auto"/>
                <w:sz w:val="24"/>
                <w:lang w:val="en-US" w:eastAsia="zh-CN"/>
              </w:rPr>
              <w:t>1</w:t>
            </w:r>
            <w:r>
              <w:rPr>
                <w:rFonts w:hint="default" w:ascii="Times New Roman" w:hAnsi="Times New Roman" w:eastAsia="宋体" w:cs="宋体"/>
                <w:color w:val="auto"/>
                <w:sz w:val="24"/>
              </w:rPr>
              <w:t>-S17。</w:t>
            </w:r>
            <w:r>
              <w:rPr>
                <w:rFonts w:hint="eastAsia" w:ascii="Times New Roman" w:hAnsi="Times New Roman" w:eastAsia="宋体"/>
                <w:color w:val="auto"/>
                <w:sz w:val="24"/>
                <w:lang w:val="en-US" w:eastAsia="zh-CN"/>
              </w:rPr>
              <w:t>统一收集后暂存于废料打包库，</w:t>
            </w:r>
            <w:r>
              <w:rPr>
                <w:rFonts w:hint="eastAsia" w:ascii="Times New Roman" w:hAnsi="Times New Roman" w:eastAsia="宋体" w:cs="Times New Roman"/>
                <w:color w:val="auto"/>
                <w:lang w:val="en-US" w:eastAsia="zh-CN"/>
              </w:rPr>
              <w:t>定期外售给废旧物资回收单位。</w:t>
            </w:r>
          </w:p>
          <w:p w14:paraId="2E28DE05">
            <w:pPr>
              <w:bidi w:val="0"/>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⑤</w:t>
            </w:r>
            <w:r>
              <w:rPr>
                <w:rFonts w:hint="eastAsia" w:cs="Times New Roman"/>
                <w:b/>
                <w:bCs/>
                <w:color w:val="auto"/>
                <w:lang w:val="en-US" w:eastAsia="zh-CN"/>
              </w:rPr>
              <w:t>化粪池污泥</w:t>
            </w:r>
          </w:p>
          <w:p w14:paraId="7DCF15FF">
            <w:pPr>
              <w:bidi w:val="0"/>
              <w:rPr>
                <w:rFonts w:hint="eastAsia"/>
                <w:bCs/>
                <w:color w:val="auto"/>
                <w:kern w:val="0"/>
                <w:sz w:val="24"/>
                <w:lang w:val="en-US" w:eastAsia="zh-CN"/>
              </w:rPr>
            </w:pPr>
            <w:r>
              <w:rPr>
                <w:rFonts w:hint="eastAsia"/>
                <w:bCs/>
                <w:color w:val="auto"/>
                <w:kern w:val="0"/>
                <w:sz w:val="24"/>
                <w:lang w:val="en-US" w:eastAsia="zh-CN"/>
              </w:rPr>
              <w:t>本项目化粪池产生的污泥量参照《集中式污染治理设施产排污系数手册（2010修订）》，化粪池污泥产生量按照4.57t/万t废水处理量计算，项目化粪池处理废水量为273.6m</w:t>
            </w:r>
            <w:r>
              <w:rPr>
                <w:rFonts w:hint="eastAsia"/>
                <w:bCs/>
                <w:color w:val="auto"/>
                <w:kern w:val="0"/>
                <w:sz w:val="24"/>
                <w:vertAlign w:val="superscript"/>
                <w:lang w:val="en-US" w:eastAsia="zh-CN"/>
              </w:rPr>
              <w:t>3</w:t>
            </w:r>
            <w:r>
              <w:rPr>
                <w:rFonts w:hint="eastAsia"/>
                <w:bCs/>
                <w:color w:val="auto"/>
                <w:kern w:val="0"/>
                <w:sz w:val="24"/>
                <w:lang w:val="en-US" w:eastAsia="zh-CN"/>
              </w:rPr>
              <w:t>/a，则化粪池污泥产生量约为0.125t/a，定期委托环卫部门进行清掏处置。</w:t>
            </w:r>
          </w:p>
          <w:p w14:paraId="4AE5DE50">
            <w:pPr>
              <w:bidi w:val="0"/>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⑥</w:t>
            </w:r>
            <w:r>
              <w:rPr>
                <w:rFonts w:hint="eastAsia" w:cs="Times New Roman"/>
                <w:b/>
                <w:bCs/>
                <w:color w:val="auto"/>
                <w:lang w:val="en-US" w:eastAsia="zh-CN"/>
              </w:rPr>
              <w:t>污水处理站污泥</w:t>
            </w:r>
          </w:p>
          <w:p w14:paraId="414C5777">
            <w:pPr>
              <w:rPr>
                <w:rFonts w:hint="eastAsia"/>
                <w:bCs/>
                <w:color w:val="auto"/>
                <w:kern w:val="0"/>
                <w:sz w:val="24"/>
                <w:lang w:val="en-US" w:eastAsia="zh-CN"/>
              </w:rPr>
            </w:pPr>
            <w:r>
              <w:rPr>
                <w:rFonts w:hint="eastAsia"/>
                <w:bCs/>
                <w:color w:val="auto"/>
                <w:kern w:val="0"/>
                <w:sz w:val="24"/>
                <w:lang w:val="en-US" w:eastAsia="zh-CN"/>
              </w:rPr>
              <w:t>项目污水处理站污泥量参照《城镇污水处理厂污泥处理技术规程》（CJJ131-2009）及类比数据，每1万m</w:t>
            </w:r>
            <w:r>
              <w:rPr>
                <w:rFonts w:hint="eastAsia"/>
                <w:bCs/>
                <w:color w:val="auto"/>
                <w:kern w:val="0"/>
                <w:sz w:val="24"/>
                <w:vertAlign w:val="superscript"/>
                <w:lang w:val="en-US" w:eastAsia="zh-CN"/>
              </w:rPr>
              <w:t>3</w:t>
            </w:r>
            <w:r>
              <w:rPr>
                <w:rFonts w:hint="eastAsia"/>
                <w:bCs/>
                <w:color w:val="auto"/>
                <w:kern w:val="0"/>
                <w:sz w:val="24"/>
                <w:lang w:val="en-US" w:eastAsia="zh-CN"/>
              </w:rPr>
              <w:t>污水经处理后污泥产生量一般约为5~10t，具体产量取决于排水体制、进水水质、污水及污泥处理工艺等因素。本项目污泥量按7t/10000m</w:t>
            </w:r>
            <w:r>
              <w:rPr>
                <w:rFonts w:hint="eastAsia"/>
                <w:bCs/>
                <w:color w:val="auto"/>
                <w:kern w:val="0"/>
                <w:sz w:val="24"/>
                <w:vertAlign w:val="superscript"/>
                <w:lang w:val="en-US" w:eastAsia="zh-CN"/>
              </w:rPr>
              <w:t>3</w:t>
            </w:r>
            <w:r>
              <w:rPr>
                <w:rFonts w:hint="eastAsia"/>
                <w:bCs/>
                <w:color w:val="auto"/>
                <w:kern w:val="0"/>
                <w:sz w:val="24"/>
                <w:lang w:val="en-US" w:eastAsia="zh-CN"/>
              </w:rPr>
              <w:t>污水量计，则污水处理站污泥产生量约为0.192t/a，定期委托环卫部门进行清掏处置。</w:t>
            </w:r>
          </w:p>
          <w:p w14:paraId="5FC4A101">
            <w:pPr>
              <w:bidi w:val="0"/>
              <w:rPr>
                <w:rFonts w:hint="default"/>
                <w:b/>
                <w:bCs/>
                <w:color w:val="auto"/>
                <w:lang w:val="en-US" w:eastAsia="zh-CN"/>
              </w:rPr>
            </w:pPr>
            <w:r>
              <w:rPr>
                <w:rFonts w:hint="eastAsia"/>
                <w:b/>
                <w:bCs/>
                <w:color w:val="auto"/>
                <w:lang w:val="en-US" w:eastAsia="zh-CN"/>
              </w:rPr>
              <w:t>（3）危险废物</w:t>
            </w:r>
          </w:p>
          <w:p w14:paraId="62537A86">
            <w:pPr>
              <w:bidi w:val="0"/>
              <w:rPr>
                <w:rFonts w:hint="eastAsia"/>
                <w:b/>
                <w:bCs/>
                <w:color w:val="auto"/>
                <w:lang w:val="en-US" w:eastAsia="zh-CN"/>
              </w:rPr>
            </w:pPr>
            <w:r>
              <w:rPr>
                <w:rFonts w:hint="eastAsia"/>
                <w:b/>
                <w:bCs/>
                <w:color w:val="auto"/>
                <w:lang w:val="en-US" w:eastAsia="zh-CN"/>
              </w:rPr>
              <w:t>①废液压油</w:t>
            </w:r>
          </w:p>
          <w:p w14:paraId="7527453F">
            <w:pPr>
              <w:bidi w:val="0"/>
              <w:rPr>
                <w:rFonts w:hint="eastAsia"/>
                <w:b w:val="0"/>
                <w:bCs w:val="0"/>
                <w:color w:val="auto"/>
                <w:lang w:val="en-US" w:eastAsia="zh-CN"/>
              </w:rPr>
            </w:pPr>
            <w:r>
              <w:rPr>
                <w:rFonts w:hint="eastAsia"/>
                <w:b w:val="0"/>
                <w:bCs w:val="0"/>
                <w:color w:val="auto"/>
                <w:lang w:val="en-US" w:eastAsia="zh-CN"/>
              </w:rPr>
              <w:t>本项目运行过程中机械设备运行中会产生少量废液压油，产生量为0.5t/a，根据《国家危险废物名录（2025 年版）》，废液压油属于危险废物，危险废物类别为“HW08 废润滑油与含矿物油废物”，废物代码为900-218-08，废液压油装入专用容器内，暂存于危废暂存间，定期交由有资质单位进行处置。</w:t>
            </w:r>
          </w:p>
          <w:p w14:paraId="47A41A2C">
            <w:pPr>
              <w:bidi w:val="0"/>
              <w:rPr>
                <w:rFonts w:hint="eastAsia"/>
                <w:b/>
                <w:bCs/>
                <w:color w:val="auto"/>
                <w:lang w:val="en-US" w:eastAsia="zh-CN"/>
              </w:rPr>
            </w:pPr>
            <w:r>
              <w:rPr>
                <w:rFonts w:hint="eastAsia"/>
                <w:b/>
                <w:bCs/>
                <w:color w:val="auto"/>
                <w:lang w:val="en-US" w:eastAsia="zh-CN"/>
              </w:rPr>
              <w:t>②废液压油桶</w:t>
            </w:r>
          </w:p>
          <w:p w14:paraId="677E466D">
            <w:pPr>
              <w:bidi w:val="0"/>
              <w:rPr>
                <w:rFonts w:hint="eastAsia"/>
                <w:b w:val="0"/>
                <w:bCs w:val="0"/>
                <w:color w:val="auto"/>
                <w:lang w:val="en-US" w:eastAsia="zh-CN"/>
              </w:rPr>
            </w:pPr>
            <w:r>
              <w:rPr>
                <w:rFonts w:hint="eastAsia"/>
                <w:b w:val="0"/>
                <w:bCs w:val="0"/>
                <w:color w:val="auto"/>
                <w:lang w:val="en-US" w:eastAsia="zh-CN"/>
              </w:rPr>
              <w:t>由于项目生产过程中涉及液压油的使用，会产生废液压油桶，产生量为0.2t/a，根据《国家危险废物名录》（2025年版），废液压油桶属于危险废物，废物类别为“HW08废矿物油与含矿物油废物”，废物代码为900-249-08，废液压油桶收集后分区暂存于危险废物暂存间，委托有资质单位处置。</w:t>
            </w:r>
          </w:p>
          <w:p w14:paraId="52E9E03D">
            <w:pPr>
              <w:bidi w:val="0"/>
              <w:rPr>
                <w:rFonts w:hint="default"/>
                <w:b/>
                <w:bCs/>
                <w:color w:val="auto"/>
                <w:lang w:val="en-US" w:eastAsia="zh-CN"/>
              </w:rPr>
            </w:pPr>
            <w:r>
              <w:rPr>
                <w:rFonts w:hint="eastAsia"/>
                <w:b/>
                <w:bCs/>
                <w:color w:val="auto"/>
                <w:lang w:val="en-US" w:eastAsia="zh-CN"/>
              </w:rPr>
              <w:t>③废机油</w:t>
            </w:r>
          </w:p>
          <w:p w14:paraId="5EA0E19A">
            <w:pPr>
              <w:bidi w:val="0"/>
              <w:rPr>
                <w:rFonts w:hint="eastAsia"/>
                <w:b w:val="0"/>
                <w:bCs w:val="0"/>
                <w:color w:val="auto"/>
                <w:lang w:val="en-US" w:eastAsia="zh-CN"/>
              </w:rPr>
            </w:pPr>
            <w:r>
              <w:rPr>
                <w:rFonts w:hint="eastAsia"/>
                <w:b w:val="0"/>
                <w:bCs w:val="0"/>
                <w:color w:val="auto"/>
                <w:lang w:val="en-US" w:eastAsia="zh-CN"/>
              </w:rPr>
              <w:t>项目设备生产过程中会产生废机油，产生量约为0.1t/a，根据《国家危险废物名录》（2025年版），废机油属于危险废物，废物类别为“HW08废矿物油与含矿物油废物”，危废代码为900-217-08，产生量约为0.1t/a，收集后暂存于危废暂存间，定期委托有资质单位清运处置。</w:t>
            </w:r>
          </w:p>
          <w:p w14:paraId="6C030FE6">
            <w:pPr>
              <w:bidi w:val="0"/>
              <w:rPr>
                <w:rFonts w:hint="eastAsia"/>
                <w:b/>
                <w:bCs/>
                <w:color w:val="auto"/>
                <w:lang w:val="en-US" w:eastAsia="zh-CN"/>
              </w:rPr>
            </w:pPr>
            <w:r>
              <w:rPr>
                <w:rFonts w:hint="eastAsia"/>
                <w:b/>
                <w:bCs/>
                <w:color w:val="auto"/>
                <w:lang w:val="en-US" w:eastAsia="zh-CN"/>
              </w:rPr>
              <w:t>3、危险废物管理要求</w:t>
            </w:r>
          </w:p>
          <w:p w14:paraId="6B6B6783">
            <w:pPr>
              <w:bidi w:val="0"/>
              <w:rPr>
                <w:rFonts w:hint="eastAsia"/>
                <w:b w:val="0"/>
                <w:bCs w:val="0"/>
                <w:color w:val="auto"/>
                <w:lang w:val="en-US" w:eastAsia="zh-CN"/>
              </w:rPr>
            </w:pPr>
            <w:r>
              <w:rPr>
                <w:rFonts w:hint="eastAsia"/>
                <w:b w:val="0"/>
                <w:bCs w:val="0"/>
                <w:color w:val="auto"/>
                <w:lang w:val="en-US" w:eastAsia="zh-CN"/>
              </w:rPr>
              <w:t>根据《危险废物贮存污染控制标准》（GB18597-2023）中有关规定，并结合本项目危险废物的特点，对危废间要求如下：</w:t>
            </w:r>
          </w:p>
          <w:p w14:paraId="0CFF92C1">
            <w:pPr>
              <w:pStyle w:val="30"/>
              <w:adjustRightInd w:val="0"/>
              <w:snapToGrid w:val="0"/>
              <w:spacing w:line="360" w:lineRule="auto"/>
              <w:ind w:firstLine="480"/>
              <w:rPr>
                <w:rFonts w:hint="eastAsia"/>
                <w:b/>
                <w:bCs w:val="0"/>
                <w:color w:val="auto"/>
                <w:sz w:val="24"/>
                <w:highlight w:val="none"/>
                <w:lang w:val="en-US" w:eastAsia="zh-CN"/>
              </w:rPr>
            </w:pPr>
            <w:r>
              <w:rPr>
                <w:rFonts w:hint="eastAsia"/>
                <w:b/>
                <w:bCs w:val="0"/>
                <w:color w:val="auto"/>
                <w:sz w:val="24"/>
                <w:highlight w:val="none"/>
                <w:lang w:val="en-US" w:eastAsia="zh-CN"/>
              </w:rPr>
              <w:t>1）建设要求：</w:t>
            </w:r>
          </w:p>
          <w:p w14:paraId="357764D6">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①危废暂存间应根据危险废物的形态、物理化学性质、包装形式和污染物迁移途径，采取必要的防风、防晒、防雨、防漏、防渗、防腐以及其他环境污染防治措施，不应露天堆放危险废物。</w:t>
            </w:r>
          </w:p>
          <w:p w14:paraId="4D7A11E0">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②危废暂存间应根据危险废物的类别、数量、形态、物理化学性质和污染防治等要求设置必要的贮存分区，避免不相容的危险废物接触、混合。</w:t>
            </w:r>
          </w:p>
          <w:p w14:paraId="324D1BBB">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③危废暂存间或贮存分区内地面、墙面裙脚、堵截泄漏的围堰、接触危险废物的隔板和墙体等应采用坚固的材料建造，表面无裂缝。</w:t>
            </w:r>
          </w:p>
          <w:p w14:paraId="33B2274C">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④危废暂存间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rFonts w:hint="eastAsia"/>
                <w:bCs/>
                <w:color w:val="auto"/>
                <w:sz w:val="24"/>
                <w:highlight w:val="none"/>
                <w:vertAlign w:val="superscript"/>
                <w:lang w:val="en-US" w:eastAsia="zh-CN"/>
              </w:rPr>
              <w:t>-7</w:t>
            </w:r>
            <w:r>
              <w:rPr>
                <w:rFonts w:hint="eastAsia"/>
                <w:bCs/>
                <w:color w:val="auto"/>
                <w:sz w:val="24"/>
                <w:highlight w:val="none"/>
                <w:lang w:val="en-US" w:eastAsia="zh-CN"/>
              </w:rPr>
              <w:t>cm/s），或至少2mm厚高密度聚乙烯膜等人工防渗材料（渗透系数不大于10</w:t>
            </w:r>
            <w:r>
              <w:rPr>
                <w:rFonts w:hint="eastAsia"/>
                <w:bCs/>
                <w:color w:val="auto"/>
                <w:sz w:val="24"/>
                <w:highlight w:val="none"/>
                <w:vertAlign w:val="superscript"/>
                <w:lang w:val="en-US" w:eastAsia="zh-CN"/>
              </w:rPr>
              <w:t>-10</w:t>
            </w:r>
            <w:r>
              <w:rPr>
                <w:rFonts w:hint="eastAsia"/>
                <w:bCs/>
                <w:color w:val="auto"/>
                <w:sz w:val="24"/>
                <w:highlight w:val="none"/>
                <w:lang w:val="en-US" w:eastAsia="zh-CN"/>
              </w:rPr>
              <w:t>cm/s），或其他防渗性能等效的材料。</w:t>
            </w:r>
          </w:p>
          <w:p w14:paraId="1DCEB195">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⑤同一危废暂存间宜采用相同的防渗、防腐工艺（包括防渗、防腐结构或材料），防渗、防腐材料应覆盖所有可能与废物及其渗滤液、渗漏液等接触的构筑物表面；采用不同防渗、防腐工艺应分别建设贮存分区。</w:t>
            </w:r>
          </w:p>
          <w:p w14:paraId="500D5742">
            <w:pPr>
              <w:pStyle w:val="30"/>
              <w:adjustRightInd w:val="0"/>
              <w:snapToGrid w:val="0"/>
              <w:spacing w:line="360" w:lineRule="auto"/>
              <w:ind w:firstLine="480"/>
              <w:rPr>
                <w:rFonts w:hint="eastAsia"/>
                <w:b/>
                <w:bCs w:val="0"/>
                <w:color w:val="auto"/>
                <w:sz w:val="24"/>
                <w:highlight w:val="none"/>
                <w:lang w:val="en-US" w:eastAsia="zh-CN"/>
              </w:rPr>
            </w:pPr>
            <w:r>
              <w:rPr>
                <w:rFonts w:hint="eastAsia"/>
                <w:b/>
                <w:bCs w:val="0"/>
                <w:color w:val="auto"/>
                <w:sz w:val="24"/>
                <w:highlight w:val="none"/>
                <w:lang w:val="en-US" w:eastAsia="zh-CN"/>
              </w:rPr>
              <w:t>2）贮存设施运行环境管理要求：</w:t>
            </w:r>
          </w:p>
          <w:p w14:paraId="3977765B">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①危险废物存入危废暂存间前应对危险废物类别和特性与危险废物标签等危险废物识别标志的一致性进行核验，不一致的或类别、特性不明的不应存入。</w:t>
            </w:r>
          </w:p>
          <w:p w14:paraId="55FF7D28">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②应定期检查危险废物的贮存状况，及时清理贮存设施地面，更换破损泄漏的危险废物贮存容器和包装物，保证堆存危险废物的防雨、防风、防扬尘等设施功能完好。</w:t>
            </w:r>
          </w:p>
          <w:p w14:paraId="70A9BE4D">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③作业设备及车辆等结束作业离开贮存设施时，应对其残留的危险废物进行清理，清理的废物或清洗废水应收集处理。</w:t>
            </w:r>
          </w:p>
          <w:p w14:paraId="4FFB6BA8">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④</w:t>
            </w:r>
            <w:r>
              <w:rPr>
                <w:rFonts w:hint="eastAsia"/>
                <w:color w:val="auto"/>
                <w:sz w:val="24"/>
              </w:rPr>
              <w:t>危废暂存间</w:t>
            </w:r>
            <w:r>
              <w:rPr>
                <w:rFonts w:hint="eastAsia"/>
                <w:bCs/>
                <w:color w:val="auto"/>
                <w:sz w:val="24"/>
                <w:highlight w:val="none"/>
                <w:lang w:val="en-US" w:eastAsia="zh-CN"/>
              </w:rPr>
              <w:t>运行期间，应按国家有关标准和规定建立危险废物管理台账并保存。</w:t>
            </w:r>
          </w:p>
          <w:p w14:paraId="7BF35C74">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⑤</w:t>
            </w:r>
            <w:r>
              <w:rPr>
                <w:rFonts w:hint="eastAsia"/>
                <w:color w:val="auto"/>
                <w:sz w:val="24"/>
              </w:rPr>
              <w:t>危废暂存间</w:t>
            </w:r>
            <w:r>
              <w:rPr>
                <w:rFonts w:hint="eastAsia"/>
                <w:bCs/>
                <w:color w:val="auto"/>
                <w:sz w:val="24"/>
                <w:highlight w:val="none"/>
                <w:lang w:val="en-US" w:eastAsia="zh-CN"/>
              </w:rPr>
              <w:t>所有者或运营者应建立贮存设施环境管理制度、管理人员岗位职责制度、设施运行操作制度、人员岗位培训制度等。</w:t>
            </w:r>
          </w:p>
          <w:p w14:paraId="223C9382">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⑥</w:t>
            </w:r>
            <w:r>
              <w:rPr>
                <w:rFonts w:hint="eastAsia"/>
                <w:color w:val="auto"/>
                <w:sz w:val="24"/>
              </w:rPr>
              <w:t>危废暂存间</w:t>
            </w:r>
            <w:r>
              <w:rPr>
                <w:rFonts w:hint="eastAsia"/>
                <w:bCs/>
                <w:color w:val="auto"/>
                <w:sz w:val="24"/>
                <w:highlight w:val="none"/>
                <w:lang w:val="en-US" w:eastAsia="zh-CN"/>
              </w:rPr>
              <w:t>所有者或运营者应依据国家土壤和地下水污染防治的有关规定，结合</w:t>
            </w:r>
            <w:r>
              <w:rPr>
                <w:rFonts w:hint="eastAsia"/>
                <w:color w:val="auto"/>
                <w:sz w:val="24"/>
              </w:rPr>
              <w:t>危废暂存间</w:t>
            </w:r>
            <w:r>
              <w:rPr>
                <w:rFonts w:hint="eastAsia"/>
                <w:bCs/>
                <w:color w:val="auto"/>
                <w:sz w:val="24"/>
                <w:highlight w:val="none"/>
                <w:lang w:val="en-US" w:eastAsia="zh-CN"/>
              </w:rPr>
              <w:t>特点建立土壤和地下水污染隐患排查制度，并定期开展隐患排查；发现隐患应及时采取措施消除隐患，并建立档案。</w:t>
            </w:r>
          </w:p>
          <w:p w14:paraId="305CE479">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⑦</w:t>
            </w:r>
            <w:r>
              <w:rPr>
                <w:rFonts w:hint="eastAsia"/>
                <w:color w:val="auto"/>
                <w:sz w:val="24"/>
              </w:rPr>
              <w:t>危废暂存间</w:t>
            </w:r>
            <w:r>
              <w:rPr>
                <w:rFonts w:hint="eastAsia"/>
                <w:bCs/>
                <w:color w:val="auto"/>
                <w:sz w:val="24"/>
                <w:highlight w:val="none"/>
                <w:lang w:val="en-US" w:eastAsia="zh-CN"/>
              </w:rPr>
              <w:t>所有者或运营者应建立</w:t>
            </w:r>
            <w:r>
              <w:rPr>
                <w:rFonts w:hint="eastAsia"/>
                <w:color w:val="auto"/>
                <w:sz w:val="24"/>
              </w:rPr>
              <w:t>危废暂存间</w:t>
            </w:r>
            <w:r>
              <w:rPr>
                <w:rFonts w:hint="eastAsia"/>
                <w:bCs/>
                <w:color w:val="auto"/>
                <w:sz w:val="24"/>
                <w:highlight w:val="none"/>
                <w:lang w:val="en-US" w:eastAsia="zh-CN"/>
              </w:rPr>
              <w:t>全部档案，包括设计、施工、验收、运行、监测和环境应急等，应按国家有关档案管理的法律法规进行整理和归档。</w:t>
            </w:r>
          </w:p>
          <w:p w14:paraId="7AEF7CC3">
            <w:pPr>
              <w:pStyle w:val="30"/>
              <w:adjustRightInd w:val="0"/>
              <w:snapToGrid w:val="0"/>
              <w:spacing w:line="360" w:lineRule="auto"/>
              <w:ind w:firstLine="480"/>
              <w:rPr>
                <w:rFonts w:hint="eastAsia"/>
                <w:b/>
                <w:bCs w:val="0"/>
                <w:color w:val="auto"/>
                <w:sz w:val="24"/>
                <w:highlight w:val="none"/>
                <w:lang w:val="en-US" w:eastAsia="zh-CN"/>
              </w:rPr>
            </w:pPr>
            <w:r>
              <w:rPr>
                <w:rFonts w:hint="eastAsia"/>
                <w:b/>
                <w:bCs w:val="0"/>
                <w:color w:val="auto"/>
                <w:sz w:val="24"/>
                <w:highlight w:val="none"/>
                <w:lang w:val="en-US" w:eastAsia="zh-CN"/>
              </w:rPr>
              <w:t>3）贮存点环境管理要求：</w:t>
            </w:r>
          </w:p>
          <w:p w14:paraId="091002D3">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①</w:t>
            </w:r>
            <w:r>
              <w:rPr>
                <w:rFonts w:hint="eastAsia"/>
                <w:color w:val="auto"/>
                <w:sz w:val="24"/>
              </w:rPr>
              <w:t>危废暂存间</w:t>
            </w:r>
            <w:r>
              <w:rPr>
                <w:rFonts w:hint="eastAsia"/>
                <w:bCs/>
                <w:color w:val="auto"/>
                <w:sz w:val="24"/>
                <w:highlight w:val="none"/>
                <w:lang w:val="en-US" w:eastAsia="zh-CN"/>
              </w:rPr>
              <w:t>应具有固定的区域边界，并应采取与其他区域进行隔离的措施。</w:t>
            </w:r>
          </w:p>
          <w:p w14:paraId="120F9F46">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②</w:t>
            </w:r>
            <w:r>
              <w:rPr>
                <w:rFonts w:hint="eastAsia"/>
                <w:color w:val="auto"/>
                <w:sz w:val="24"/>
              </w:rPr>
              <w:t>危废暂存间</w:t>
            </w:r>
            <w:r>
              <w:rPr>
                <w:rFonts w:hint="eastAsia"/>
                <w:bCs/>
                <w:color w:val="auto"/>
                <w:sz w:val="24"/>
                <w:highlight w:val="none"/>
                <w:lang w:val="en-US" w:eastAsia="zh-CN"/>
              </w:rPr>
              <w:t>应采取防风、防雨、防晒和防止危险废物流失、扬散等措施。</w:t>
            </w:r>
          </w:p>
          <w:p w14:paraId="10D63CE2">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③</w:t>
            </w:r>
            <w:r>
              <w:rPr>
                <w:rFonts w:hint="eastAsia"/>
                <w:color w:val="auto"/>
                <w:sz w:val="24"/>
              </w:rPr>
              <w:t>危废暂存间</w:t>
            </w:r>
            <w:r>
              <w:rPr>
                <w:rFonts w:hint="eastAsia"/>
                <w:bCs/>
                <w:color w:val="auto"/>
                <w:sz w:val="24"/>
                <w:highlight w:val="none"/>
                <w:lang w:val="en-US" w:eastAsia="zh-CN"/>
              </w:rPr>
              <w:t>贮存的危险废物应置于容器或包装物中，不应直接散堆。</w:t>
            </w:r>
          </w:p>
          <w:p w14:paraId="053A665A">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④</w:t>
            </w:r>
            <w:r>
              <w:rPr>
                <w:rFonts w:hint="eastAsia"/>
                <w:color w:val="auto"/>
                <w:sz w:val="24"/>
              </w:rPr>
              <w:t>危废暂存间</w:t>
            </w:r>
            <w:r>
              <w:rPr>
                <w:rFonts w:hint="eastAsia"/>
                <w:bCs/>
                <w:color w:val="auto"/>
                <w:sz w:val="24"/>
                <w:highlight w:val="none"/>
                <w:lang w:val="en-US" w:eastAsia="zh-CN"/>
              </w:rPr>
              <w:t>应根据危险废物的形态、物理化学性质、包装形式等，采取防渗、防漏等污染防治措施或采用具有相应功能的装置。</w:t>
            </w:r>
          </w:p>
          <w:p w14:paraId="693D4596">
            <w:pPr>
              <w:bidi w:val="0"/>
              <w:rPr>
                <w:rFonts w:hint="eastAsia"/>
                <w:b w:val="0"/>
                <w:bCs w:val="0"/>
                <w:color w:val="auto"/>
                <w:lang w:val="en-US" w:eastAsia="zh-CN"/>
              </w:rPr>
            </w:pPr>
            <w:r>
              <w:rPr>
                <w:rFonts w:hint="eastAsia"/>
                <w:bCs/>
                <w:color w:val="auto"/>
                <w:sz w:val="24"/>
                <w:highlight w:val="none"/>
                <w:lang w:val="en-US" w:eastAsia="zh-CN"/>
              </w:rPr>
              <w:t>⑤</w:t>
            </w:r>
            <w:r>
              <w:rPr>
                <w:rFonts w:hint="eastAsia"/>
                <w:color w:val="auto"/>
                <w:sz w:val="24"/>
              </w:rPr>
              <w:t>危废暂存间</w:t>
            </w:r>
            <w:r>
              <w:rPr>
                <w:rFonts w:hint="eastAsia"/>
                <w:bCs/>
                <w:color w:val="auto"/>
                <w:sz w:val="24"/>
                <w:highlight w:val="none"/>
                <w:lang w:val="en-US" w:eastAsia="zh-CN"/>
              </w:rPr>
              <w:t>应及时清运贮存的危险废物，实时贮存量不应超过3吨。</w:t>
            </w:r>
          </w:p>
          <w:p w14:paraId="302C0D3D">
            <w:pPr>
              <w:bidi w:val="0"/>
              <w:rPr>
                <w:rFonts w:hint="default"/>
                <w:b/>
                <w:bCs/>
                <w:color w:val="auto"/>
                <w:lang w:val="en-US" w:eastAsia="zh-CN"/>
              </w:rPr>
            </w:pPr>
            <w:r>
              <w:rPr>
                <w:rFonts w:hint="eastAsia"/>
                <w:b/>
                <w:bCs/>
                <w:color w:val="auto"/>
                <w:lang w:val="en-US" w:eastAsia="zh-CN"/>
              </w:rPr>
              <w:t>4、环境管理要求</w:t>
            </w:r>
          </w:p>
          <w:p w14:paraId="410E4094">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1）一般固体废物环境管理要求</w:t>
            </w:r>
          </w:p>
          <w:p w14:paraId="50EAF249">
            <w:pPr>
              <w:pStyle w:val="30"/>
              <w:adjustRightInd w:val="0"/>
              <w:snapToGrid w:val="0"/>
              <w:spacing w:line="360" w:lineRule="auto"/>
              <w:ind w:firstLine="480"/>
              <w:rPr>
                <w:rFonts w:hint="default"/>
                <w:bCs/>
                <w:color w:val="auto"/>
                <w:sz w:val="24"/>
                <w:highlight w:val="none"/>
                <w:lang w:val="en-US" w:eastAsia="zh-CN"/>
              </w:rPr>
            </w:pPr>
            <w:r>
              <w:rPr>
                <w:rFonts w:hint="eastAsia"/>
                <w:bCs/>
                <w:color w:val="auto"/>
                <w:sz w:val="24"/>
                <w:highlight w:val="none"/>
                <w:lang w:val="en-US" w:eastAsia="zh-CN"/>
              </w:rPr>
              <w:t>项目一般固废：焊渣、循环水池沉渣、边角废料及切割碎屑、除尘灰经收集后暂存于废料打包库，外售处置。</w:t>
            </w:r>
          </w:p>
          <w:p w14:paraId="727DC9FD">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废料打包库运行等须满足《一般工业固体废物贮存和填埋污染控制标准》（GB18599-2020）及《一般固体废物分类与代码》（GBT39198-2020）中相关要求，即：</w:t>
            </w:r>
          </w:p>
          <w:p w14:paraId="0AF97506">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①要按照《一般工业固体废物贮存和填埋污染控制标准》（GB18599-2020）及《一般固体废物分类与代码》（GBT39198-2020）的要求设置废料打包库。</w:t>
            </w:r>
          </w:p>
          <w:p w14:paraId="181372B1">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②不得露天堆放，防止雨水进入产生二次污染。</w:t>
            </w:r>
          </w:p>
          <w:p w14:paraId="666067C3">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③运输车辆必须科学装载，严禁超载，运输车辆装载高度最高点不得超过车辆槽帮上沿40厘米，两侧边缘应当低于槽帮上缘10厘米，车斗应采用苫布覆盖，苫布边缘至少要遮住槽帮上沿以下15厘米。</w:t>
            </w:r>
          </w:p>
          <w:p w14:paraId="2CDB2D65">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④一般固体废物处置需设置台账记录，明确转运时间、转运量和处置去向等。</w:t>
            </w:r>
          </w:p>
          <w:p w14:paraId="42B7890A">
            <w:pPr>
              <w:pStyle w:val="30"/>
              <w:adjustRightInd w:val="0"/>
              <w:snapToGrid w:val="0"/>
              <w:spacing w:line="360" w:lineRule="auto"/>
              <w:ind w:firstLine="480"/>
              <w:rPr>
                <w:rFonts w:hint="eastAsia"/>
                <w:bCs/>
                <w:color w:val="auto"/>
                <w:sz w:val="24"/>
                <w:highlight w:val="none"/>
                <w:lang w:val="en-US" w:eastAsia="zh-CN"/>
              </w:rPr>
            </w:pPr>
            <w:r>
              <w:rPr>
                <w:rFonts w:hint="eastAsia"/>
                <w:bCs/>
                <w:color w:val="auto"/>
                <w:sz w:val="24"/>
                <w:highlight w:val="none"/>
                <w:lang w:val="en-US" w:eastAsia="zh-CN"/>
              </w:rPr>
              <w:t>⑤循环水池金属沉渣定期清掏，每次清掏时需进行浸出毒性检测，按照《固体废物 浸出毒性浸出方法 水平振荡法》（HJ 557-2010）中规定方法获得的浸出液检测结果需满足《一般工业固体废物贮存和填埋污染控制标准》（GB 18599-2020）中第I类一般工业固体废物或第II类一般工业固体废物的要求，方可作为一般固体废物外售处置。若浸出毒性检测结果超过第I类一般工业固体废物或第II类一般工业固体废物的要求，则需要进行危险废物鉴别，根据鉴别结果为危险废物时需委托有资质单位处置。</w:t>
            </w:r>
          </w:p>
          <w:p w14:paraId="1506FF54">
            <w:pPr>
              <w:bidi w:val="0"/>
              <w:rPr>
                <w:rFonts w:hint="default"/>
                <w:b/>
                <w:bCs/>
                <w:color w:val="auto"/>
                <w:lang w:val="en-US" w:eastAsia="zh-CN"/>
              </w:rPr>
            </w:pPr>
            <w:r>
              <w:rPr>
                <w:rFonts w:hint="eastAsia"/>
                <w:b/>
                <w:bCs/>
                <w:color w:val="auto"/>
                <w:lang w:val="en-US" w:eastAsia="zh-CN"/>
              </w:rPr>
              <w:t>5、固体废物环境影响分析</w:t>
            </w:r>
          </w:p>
          <w:p w14:paraId="7B063084">
            <w:pPr>
              <w:bidi w:val="0"/>
              <w:rPr>
                <w:rFonts w:hint="eastAsia"/>
                <w:b w:val="0"/>
                <w:bCs w:val="0"/>
                <w:color w:val="auto"/>
                <w:lang w:val="en-US" w:eastAsia="zh-CN"/>
              </w:rPr>
            </w:pPr>
            <w:r>
              <w:rPr>
                <w:rFonts w:hint="eastAsia"/>
                <w:b w:val="0"/>
                <w:bCs w:val="0"/>
                <w:color w:val="auto"/>
                <w:lang w:val="en-US" w:eastAsia="zh-CN"/>
              </w:rPr>
              <w:t>固体废物的处理处置应遵循分类收集、优先综合利用等原则，本项目固体废物处置率100%，对周围环境无直接影响。</w:t>
            </w:r>
          </w:p>
          <w:p w14:paraId="3DE4E869">
            <w:pPr>
              <w:bidi w:val="0"/>
              <w:rPr>
                <w:rFonts w:hint="eastAsia"/>
                <w:b w:val="0"/>
                <w:bCs w:val="0"/>
                <w:color w:val="auto"/>
                <w:lang w:val="en-US" w:eastAsia="zh-CN"/>
              </w:rPr>
            </w:pPr>
            <w:r>
              <w:rPr>
                <w:rFonts w:hint="eastAsia"/>
                <w:b w:val="0"/>
                <w:bCs w:val="0"/>
                <w:color w:val="auto"/>
                <w:lang w:val="en-US" w:eastAsia="zh-CN"/>
              </w:rPr>
              <w:t>综上所述，本项目产生的固废经妥善处理、处置后，可以实现零排放，对周围环境不会造成影响，所采取的治理措施是可行的。</w:t>
            </w:r>
          </w:p>
          <w:p w14:paraId="211E9DB3">
            <w:pPr>
              <w:bidi w:val="0"/>
              <w:rPr>
                <w:b/>
                <w:bCs/>
                <w:color w:val="auto"/>
              </w:rPr>
            </w:pPr>
            <w:r>
              <w:rPr>
                <w:rFonts w:hint="eastAsia"/>
                <w:b/>
                <w:bCs/>
                <w:color w:val="auto"/>
                <w:lang w:val="en-US" w:eastAsia="zh-CN"/>
              </w:rPr>
              <w:t>五、地下水、土壤</w:t>
            </w:r>
          </w:p>
          <w:p w14:paraId="61058195">
            <w:pPr>
              <w:ind w:firstLine="482"/>
              <w:rPr>
                <w:rFonts w:hint="eastAsia" w:cs="Times New Roman"/>
                <w:b/>
                <w:bCs/>
                <w:color w:val="auto"/>
                <w:lang w:val="en-US" w:eastAsia="zh-CN"/>
              </w:rPr>
            </w:pPr>
            <w:r>
              <w:rPr>
                <w:rFonts w:hint="eastAsia" w:cs="Times New Roman"/>
                <w:b/>
                <w:bCs/>
                <w:color w:val="auto"/>
                <w:lang w:val="en-US" w:eastAsia="zh-CN"/>
              </w:rPr>
              <w:t>1、地下水、土壤环境影响分析</w:t>
            </w:r>
          </w:p>
          <w:p w14:paraId="1207C5A7">
            <w:pPr>
              <w:ind w:firstLine="482"/>
              <w:rPr>
                <w:rFonts w:hint="default" w:cs="Times New Roman"/>
                <w:b/>
                <w:bCs/>
                <w:color w:val="auto"/>
                <w:lang w:val="en-US" w:eastAsia="zh-CN"/>
              </w:rPr>
            </w:pPr>
            <w:r>
              <w:rPr>
                <w:rFonts w:hint="eastAsia" w:cs="Times New Roman"/>
                <w:b/>
                <w:bCs/>
                <w:color w:val="auto"/>
                <w:lang w:val="en-US" w:eastAsia="zh-CN"/>
              </w:rPr>
              <w:t>（1）地下水、土壤污染途径</w:t>
            </w:r>
          </w:p>
          <w:p w14:paraId="21BBBE2D">
            <w:pPr>
              <w:ind w:firstLine="480"/>
              <w:rPr>
                <w:rFonts w:hint="eastAsia" w:cs="Times New Roman"/>
                <w:color w:val="auto"/>
              </w:rPr>
            </w:pPr>
            <w:r>
              <w:rPr>
                <w:rFonts w:hint="eastAsia" w:cs="Times New Roman"/>
                <w:color w:val="auto"/>
              </w:rPr>
              <w:t>本项目正常情况下，无地下水、土壤污染途径。但若发生防渗层破损等非正常状况下，危废暂存间液体废物泄漏、循环</w:t>
            </w:r>
            <w:r>
              <w:rPr>
                <w:rFonts w:hint="eastAsia" w:cs="Times New Roman"/>
                <w:color w:val="auto"/>
                <w:lang w:val="en-US" w:eastAsia="zh-CN"/>
              </w:rPr>
              <w:t>冷却池</w:t>
            </w:r>
            <w:r>
              <w:rPr>
                <w:rFonts w:hint="eastAsia" w:cs="Times New Roman"/>
                <w:color w:val="auto"/>
              </w:rPr>
              <w:t>冷却水、生活污水垂直入渗，可能对区域地下水</w:t>
            </w:r>
            <w:r>
              <w:rPr>
                <w:rFonts w:hint="eastAsia" w:cs="Times New Roman"/>
                <w:color w:val="auto"/>
                <w:lang w:val="en-US" w:eastAsia="zh-CN"/>
              </w:rPr>
              <w:t>和土壤</w:t>
            </w:r>
            <w:r>
              <w:rPr>
                <w:rFonts w:hint="eastAsia" w:cs="Times New Roman"/>
                <w:color w:val="auto"/>
              </w:rPr>
              <w:t>造成影响。</w:t>
            </w:r>
          </w:p>
          <w:p w14:paraId="144014DA">
            <w:pPr>
              <w:ind w:firstLine="480"/>
              <w:rPr>
                <w:rFonts w:hint="eastAsia" w:cs="Times New Roman"/>
                <w:color w:val="auto"/>
              </w:rPr>
            </w:pPr>
            <w:r>
              <w:rPr>
                <w:rFonts w:hint="eastAsia" w:cs="Times New Roman"/>
                <w:color w:val="auto"/>
              </w:rPr>
              <w:t>本项目地下水污染分析见下表。</w:t>
            </w:r>
          </w:p>
          <w:p w14:paraId="43FBABA9">
            <w:pPr>
              <w:adjustRightInd w:val="0"/>
              <w:snapToGrid w:val="0"/>
              <w:spacing w:line="360" w:lineRule="auto"/>
              <w:ind w:firstLine="0" w:firstLineChars="0"/>
              <w:jc w:val="center"/>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表4-14  地下水、土壤污染分析一览表</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57" w:type="dxa"/>
                <w:left w:w="108" w:type="dxa"/>
                <w:bottom w:w="57" w:type="dxa"/>
                <w:right w:w="108" w:type="dxa"/>
              </w:tblCellMar>
            </w:tblPr>
            <w:tblGrid>
              <w:gridCol w:w="1885"/>
              <w:gridCol w:w="1363"/>
              <w:gridCol w:w="3299"/>
              <w:gridCol w:w="1170"/>
            </w:tblGrid>
            <w:tr w14:paraId="13D72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737" w:hRule="atLeast"/>
              </w:trPr>
              <w:tc>
                <w:tcPr>
                  <w:tcW w:w="2171" w:type="dxa"/>
                  <w:shd w:val="clear" w:color="auto" w:fill="auto"/>
                  <w:vAlign w:val="center"/>
                </w:tcPr>
                <w:p w14:paraId="7382B5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24"/>
                      <w:sz w:val="21"/>
                      <w:szCs w:val="21"/>
                    </w:rPr>
                  </w:pPr>
                  <w:r>
                    <w:rPr>
                      <w:rFonts w:hint="default" w:ascii="Times New Roman" w:hAnsi="Times New Roman" w:cs="Times New Roman"/>
                      <w:color w:val="auto"/>
                      <w:kern w:val="24"/>
                      <w:sz w:val="21"/>
                      <w:szCs w:val="21"/>
                    </w:rPr>
                    <w:t>地下水、土壤污染源</w:t>
                  </w:r>
                </w:p>
              </w:tc>
              <w:tc>
                <w:tcPr>
                  <w:tcW w:w="1559" w:type="dxa"/>
                  <w:shd w:val="clear" w:color="auto" w:fill="auto"/>
                  <w:vAlign w:val="center"/>
                </w:tcPr>
                <w:p w14:paraId="788612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24"/>
                      <w:sz w:val="21"/>
                      <w:szCs w:val="21"/>
                    </w:rPr>
                  </w:pPr>
                  <w:r>
                    <w:rPr>
                      <w:rFonts w:hint="default" w:ascii="Times New Roman" w:hAnsi="Times New Roman" w:cs="Times New Roman"/>
                      <w:color w:val="auto"/>
                      <w:kern w:val="24"/>
                      <w:sz w:val="21"/>
                      <w:szCs w:val="21"/>
                    </w:rPr>
                    <w:t>污染物类型</w:t>
                  </w:r>
                </w:p>
              </w:tc>
              <w:tc>
                <w:tcPr>
                  <w:tcW w:w="3828" w:type="dxa"/>
                  <w:shd w:val="clear" w:color="auto" w:fill="auto"/>
                  <w:vAlign w:val="center"/>
                </w:tcPr>
                <w:p w14:paraId="4A81AB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24"/>
                      <w:sz w:val="21"/>
                      <w:szCs w:val="21"/>
                    </w:rPr>
                  </w:pPr>
                  <w:r>
                    <w:rPr>
                      <w:rFonts w:hint="default" w:ascii="Times New Roman" w:hAnsi="Times New Roman" w:cs="Times New Roman"/>
                      <w:color w:val="auto"/>
                      <w:kern w:val="24"/>
                      <w:sz w:val="21"/>
                      <w:szCs w:val="21"/>
                    </w:rPr>
                    <w:t>污染途径</w:t>
                  </w:r>
                </w:p>
              </w:tc>
              <w:tc>
                <w:tcPr>
                  <w:tcW w:w="1332" w:type="dxa"/>
                  <w:shd w:val="clear" w:color="auto" w:fill="auto"/>
                  <w:vAlign w:val="center"/>
                </w:tcPr>
                <w:p w14:paraId="6BA77F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24"/>
                      <w:sz w:val="21"/>
                      <w:szCs w:val="21"/>
                    </w:rPr>
                  </w:pPr>
                  <w:r>
                    <w:rPr>
                      <w:rFonts w:hint="default" w:ascii="Times New Roman" w:hAnsi="Times New Roman" w:cs="Times New Roman"/>
                      <w:color w:val="auto"/>
                      <w:kern w:val="24"/>
                      <w:sz w:val="21"/>
                      <w:szCs w:val="21"/>
                    </w:rPr>
                    <w:t>分区防控</w:t>
                  </w:r>
                </w:p>
              </w:tc>
            </w:tr>
            <w:tr w14:paraId="5F8EE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737" w:hRule="atLeast"/>
              </w:trPr>
              <w:tc>
                <w:tcPr>
                  <w:tcW w:w="2171" w:type="dxa"/>
                  <w:shd w:val="clear" w:color="auto" w:fill="auto"/>
                  <w:vAlign w:val="center"/>
                </w:tcPr>
                <w:p w14:paraId="2BBE8B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24"/>
                      <w:sz w:val="21"/>
                      <w:szCs w:val="21"/>
                    </w:rPr>
                  </w:pPr>
                  <w:r>
                    <w:rPr>
                      <w:rFonts w:hint="default" w:ascii="Times New Roman" w:hAnsi="Times New Roman" w:cs="Times New Roman"/>
                      <w:color w:val="auto"/>
                      <w:kern w:val="24"/>
                      <w:sz w:val="21"/>
                      <w:szCs w:val="21"/>
                    </w:rPr>
                    <w:t>项目危废暂存间</w:t>
                  </w:r>
                </w:p>
              </w:tc>
              <w:tc>
                <w:tcPr>
                  <w:tcW w:w="1559" w:type="dxa"/>
                  <w:shd w:val="clear" w:color="auto" w:fill="auto"/>
                  <w:vAlign w:val="center"/>
                </w:tcPr>
                <w:p w14:paraId="47EC9E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24"/>
                      <w:sz w:val="21"/>
                      <w:szCs w:val="21"/>
                    </w:rPr>
                  </w:pPr>
                  <w:r>
                    <w:rPr>
                      <w:rFonts w:hint="default" w:ascii="Times New Roman" w:hAnsi="Times New Roman" w:cs="Times New Roman"/>
                      <w:color w:val="auto"/>
                      <w:kern w:val="24"/>
                      <w:sz w:val="21"/>
                      <w:szCs w:val="21"/>
                    </w:rPr>
                    <w:t>废</w:t>
                  </w:r>
                  <w:r>
                    <w:rPr>
                      <w:rFonts w:hint="eastAsia" w:ascii="Times New Roman" w:hAnsi="Times New Roman" w:cs="Times New Roman"/>
                      <w:color w:val="auto"/>
                      <w:kern w:val="24"/>
                      <w:sz w:val="21"/>
                      <w:szCs w:val="21"/>
                      <w:lang w:val="en-US" w:eastAsia="zh-CN"/>
                    </w:rPr>
                    <w:t>液压油</w:t>
                  </w:r>
                  <w:r>
                    <w:rPr>
                      <w:rFonts w:hint="default" w:ascii="Times New Roman" w:hAnsi="Times New Roman" w:cs="Times New Roman"/>
                      <w:color w:val="auto"/>
                      <w:kern w:val="24"/>
                      <w:sz w:val="21"/>
                      <w:szCs w:val="21"/>
                    </w:rPr>
                    <w:t>、</w:t>
                  </w:r>
                  <w:r>
                    <w:rPr>
                      <w:rFonts w:hint="eastAsia" w:cs="Times New Roman"/>
                      <w:color w:val="auto"/>
                      <w:kern w:val="24"/>
                      <w:sz w:val="21"/>
                      <w:szCs w:val="21"/>
                      <w:lang w:val="en-US" w:eastAsia="zh-CN"/>
                    </w:rPr>
                    <w:t>废机油、</w:t>
                  </w:r>
                  <w:r>
                    <w:rPr>
                      <w:rFonts w:hint="default" w:ascii="Times New Roman" w:hAnsi="Times New Roman" w:cs="Times New Roman"/>
                      <w:color w:val="auto"/>
                      <w:kern w:val="24"/>
                      <w:sz w:val="21"/>
                      <w:szCs w:val="21"/>
                    </w:rPr>
                    <w:t>废</w:t>
                  </w:r>
                  <w:r>
                    <w:rPr>
                      <w:rFonts w:hint="eastAsia" w:ascii="Times New Roman" w:hAnsi="Times New Roman" w:cs="Times New Roman"/>
                      <w:color w:val="auto"/>
                      <w:kern w:val="24"/>
                      <w:sz w:val="21"/>
                      <w:szCs w:val="21"/>
                      <w:lang w:val="en-US" w:eastAsia="zh-CN"/>
                    </w:rPr>
                    <w:t>液压油</w:t>
                  </w:r>
                  <w:r>
                    <w:rPr>
                      <w:rFonts w:hint="default" w:ascii="Times New Roman" w:hAnsi="Times New Roman" w:cs="Times New Roman"/>
                      <w:color w:val="auto"/>
                      <w:kern w:val="24"/>
                      <w:sz w:val="21"/>
                      <w:szCs w:val="21"/>
                    </w:rPr>
                    <w:t>桶</w:t>
                  </w:r>
                </w:p>
              </w:tc>
              <w:tc>
                <w:tcPr>
                  <w:tcW w:w="3828" w:type="dxa"/>
                  <w:shd w:val="clear" w:color="auto" w:fill="auto"/>
                  <w:vAlign w:val="center"/>
                </w:tcPr>
                <w:p w14:paraId="5B9007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24"/>
                      <w:sz w:val="21"/>
                      <w:szCs w:val="21"/>
                    </w:rPr>
                  </w:pPr>
                  <w:r>
                    <w:rPr>
                      <w:rFonts w:hint="default" w:ascii="Times New Roman" w:hAnsi="Times New Roman" w:cs="Times New Roman"/>
                      <w:color w:val="auto"/>
                      <w:kern w:val="24"/>
                      <w:sz w:val="21"/>
                      <w:szCs w:val="21"/>
                    </w:rPr>
                    <w:t>防渗层破裂、围堰破损、危险废物容器破损导致液体废物</w:t>
                  </w:r>
                  <w:r>
                    <w:rPr>
                      <w:rFonts w:hint="default" w:ascii="Times New Roman" w:hAnsi="Times New Roman" w:cs="Times New Roman"/>
                      <w:color w:val="auto"/>
                      <w:kern w:val="24"/>
                      <w:sz w:val="21"/>
                      <w:szCs w:val="21"/>
                      <w:lang w:eastAsia="zh-CN"/>
                    </w:rPr>
                    <w:t>泄漏</w:t>
                  </w:r>
                  <w:r>
                    <w:rPr>
                      <w:rFonts w:hint="default" w:ascii="Times New Roman" w:hAnsi="Times New Roman" w:cs="Times New Roman"/>
                      <w:color w:val="auto"/>
                      <w:kern w:val="24"/>
                      <w:sz w:val="21"/>
                      <w:szCs w:val="21"/>
                    </w:rPr>
                    <w:t>（垂直入渗）</w:t>
                  </w:r>
                </w:p>
              </w:tc>
              <w:tc>
                <w:tcPr>
                  <w:tcW w:w="1332" w:type="dxa"/>
                  <w:shd w:val="clear" w:color="auto" w:fill="auto"/>
                  <w:vAlign w:val="center"/>
                </w:tcPr>
                <w:p w14:paraId="3F8EAC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24"/>
                      <w:sz w:val="21"/>
                      <w:szCs w:val="21"/>
                    </w:rPr>
                  </w:pPr>
                  <w:r>
                    <w:rPr>
                      <w:rFonts w:hint="default" w:ascii="Times New Roman" w:hAnsi="Times New Roman" w:cs="Times New Roman"/>
                      <w:color w:val="auto"/>
                      <w:kern w:val="24"/>
                      <w:sz w:val="21"/>
                      <w:szCs w:val="21"/>
                    </w:rPr>
                    <w:t>重点防渗区</w:t>
                  </w:r>
                </w:p>
              </w:tc>
            </w:tr>
            <w:tr w14:paraId="368D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737" w:hRule="atLeast"/>
              </w:trPr>
              <w:tc>
                <w:tcPr>
                  <w:tcW w:w="2171" w:type="dxa"/>
                  <w:shd w:val="clear" w:color="auto" w:fill="auto"/>
                  <w:vAlign w:val="center"/>
                </w:tcPr>
                <w:p w14:paraId="07E617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4"/>
                      <w:sz w:val="21"/>
                      <w:szCs w:val="21"/>
                      <w:lang w:val="en-US" w:eastAsia="zh-CN"/>
                    </w:rPr>
                  </w:pPr>
                  <w:r>
                    <w:rPr>
                      <w:rFonts w:hint="default" w:ascii="Times New Roman" w:hAnsi="Times New Roman" w:cs="Times New Roman"/>
                      <w:color w:val="auto"/>
                      <w:sz w:val="21"/>
                      <w:szCs w:val="21"/>
                    </w:rPr>
                    <w:t>化粪池</w:t>
                  </w: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一体化污水处理设施</w:t>
                  </w:r>
                </w:p>
              </w:tc>
              <w:tc>
                <w:tcPr>
                  <w:tcW w:w="1559" w:type="dxa"/>
                  <w:shd w:val="clear" w:color="auto" w:fill="auto"/>
                  <w:vAlign w:val="center"/>
                </w:tcPr>
                <w:p w14:paraId="21275F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4"/>
                      <w:sz w:val="21"/>
                      <w:szCs w:val="21"/>
                      <w:lang w:eastAsia="zh-CN"/>
                    </w:rPr>
                  </w:pPr>
                  <w:r>
                    <w:rPr>
                      <w:rFonts w:hint="default" w:ascii="Times New Roman" w:hAnsi="Times New Roman" w:cs="Times New Roman"/>
                      <w:color w:val="auto"/>
                      <w:kern w:val="24"/>
                      <w:sz w:val="21"/>
                      <w:szCs w:val="21"/>
                    </w:rPr>
                    <w:t>CODcr、</w:t>
                  </w:r>
                  <w:r>
                    <w:rPr>
                      <w:rFonts w:hint="eastAsia" w:ascii="Times New Roman" w:hAnsi="Times New Roman" w:cs="Times New Roman"/>
                      <w:color w:val="auto"/>
                      <w:kern w:val="24"/>
                      <w:sz w:val="21"/>
                      <w:szCs w:val="21"/>
                      <w:lang w:val="en-US" w:eastAsia="zh-CN"/>
                    </w:rPr>
                    <w:t>BOD</w:t>
                  </w:r>
                  <w:r>
                    <w:rPr>
                      <w:rFonts w:hint="eastAsia" w:ascii="Times New Roman" w:hAnsi="Times New Roman" w:cs="Times New Roman"/>
                      <w:color w:val="auto"/>
                      <w:kern w:val="24"/>
                      <w:sz w:val="21"/>
                      <w:szCs w:val="21"/>
                      <w:vertAlign w:val="subscript"/>
                      <w:lang w:val="en-US" w:eastAsia="zh-CN"/>
                    </w:rPr>
                    <w:t>5</w:t>
                  </w:r>
                  <w:r>
                    <w:rPr>
                      <w:rFonts w:hint="eastAsia" w:ascii="Times New Roman" w:hAnsi="Times New Roman" w:cs="Times New Roman"/>
                      <w:color w:val="auto"/>
                      <w:kern w:val="24"/>
                      <w:sz w:val="21"/>
                      <w:szCs w:val="21"/>
                      <w:lang w:val="en-US" w:eastAsia="zh-CN"/>
                    </w:rPr>
                    <w:t>、</w:t>
                  </w:r>
                  <w:r>
                    <w:rPr>
                      <w:rFonts w:hint="default" w:ascii="Times New Roman" w:hAnsi="Times New Roman" w:cs="Times New Roman"/>
                      <w:color w:val="auto"/>
                      <w:kern w:val="24"/>
                      <w:sz w:val="21"/>
                      <w:szCs w:val="21"/>
                    </w:rPr>
                    <w:t>NH</w:t>
                  </w:r>
                  <w:r>
                    <w:rPr>
                      <w:rFonts w:hint="default" w:ascii="Times New Roman" w:hAnsi="Times New Roman" w:cs="Times New Roman"/>
                      <w:color w:val="auto"/>
                      <w:kern w:val="24"/>
                      <w:sz w:val="21"/>
                      <w:szCs w:val="21"/>
                      <w:vertAlign w:val="subscript"/>
                    </w:rPr>
                    <w:t>3</w:t>
                  </w:r>
                  <w:r>
                    <w:rPr>
                      <w:rFonts w:hint="default" w:ascii="Times New Roman" w:hAnsi="Times New Roman" w:cs="Times New Roman"/>
                      <w:color w:val="auto"/>
                      <w:kern w:val="24"/>
                      <w:sz w:val="21"/>
                      <w:szCs w:val="21"/>
                    </w:rPr>
                    <w:t>-N、</w:t>
                  </w:r>
                </w:p>
              </w:tc>
              <w:tc>
                <w:tcPr>
                  <w:tcW w:w="3828" w:type="dxa"/>
                  <w:shd w:val="clear" w:color="auto" w:fill="auto"/>
                  <w:vAlign w:val="center"/>
                </w:tcPr>
                <w:p w14:paraId="7E8A83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24"/>
                      <w:sz w:val="21"/>
                      <w:szCs w:val="21"/>
                    </w:rPr>
                  </w:pPr>
                  <w:r>
                    <w:rPr>
                      <w:rFonts w:hint="default" w:ascii="Times New Roman" w:hAnsi="Times New Roman" w:cs="Times New Roman"/>
                      <w:color w:val="auto"/>
                      <w:kern w:val="24"/>
                      <w:sz w:val="21"/>
                      <w:szCs w:val="21"/>
                    </w:rPr>
                    <w:t>化粪池池体、池壁破裂</w:t>
                  </w:r>
                  <w:r>
                    <w:rPr>
                      <w:rFonts w:hint="eastAsia" w:ascii="Times New Roman" w:hAnsi="Times New Roman" w:cs="Times New Roman"/>
                      <w:color w:val="auto"/>
                      <w:kern w:val="24"/>
                      <w:sz w:val="21"/>
                      <w:szCs w:val="21"/>
                      <w:lang w:eastAsia="zh-CN"/>
                    </w:rPr>
                    <w:t>、</w:t>
                  </w:r>
                  <w:r>
                    <w:rPr>
                      <w:rFonts w:hint="eastAsia" w:ascii="Times New Roman" w:hAnsi="Times New Roman" w:cs="Times New Roman"/>
                      <w:color w:val="auto"/>
                      <w:kern w:val="24"/>
                      <w:sz w:val="21"/>
                      <w:szCs w:val="21"/>
                      <w:lang w:val="en-US" w:eastAsia="zh-CN"/>
                    </w:rPr>
                    <w:t>一体化污水处理设施破损</w:t>
                  </w:r>
                  <w:r>
                    <w:rPr>
                      <w:rFonts w:hint="default" w:ascii="Times New Roman" w:hAnsi="Times New Roman" w:cs="Times New Roman"/>
                      <w:color w:val="auto"/>
                      <w:kern w:val="24"/>
                      <w:sz w:val="21"/>
                      <w:szCs w:val="21"/>
                    </w:rPr>
                    <w:t>导致生活污水渗漏；池体防渗层破裂导致生活污水</w:t>
                  </w:r>
                  <w:r>
                    <w:rPr>
                      <w:rFonts w:hint="default" w:ascii="Times New Roman" w:hAnsi="Times New Roman" w:cs="Times New Roman"/>
                      <w:color w:val="auto"/>
                      <w:kern w:val="24"/>
                      <w:sz w:val="21"/>
                      <w:szCs w:val="21"/>
                      <w:lang w:eastAsia="zh-CN"/>
                    </w:rPr>
                    <w:t>泄漏</w:t>
                  </w:r>
                  <w:r>
                    <w:rPr>
                      <w:rFonts w:hint="default" w:ascii="Times New Roman" w:hAnsi="Times New Roman" w:cs="Times New Roman"/>
                      <w:color w:val="auto"/>
                      <w:kern w:val="24"/>
                      <w:sz w:val="21"/>
                      <w:szCs w:val="21"/>
                    </w:rPr>
                    <w:t>（垂直入渗）</w:t>
                  </w:r>
                </w:p>
              </w:tc>
              <w:tc>
                <w:tcPr>
                  <w:tcW w:w="1332" w:type="dxa"/>
                  <w:shd w:val="clear" w:color="auto" w:fill="auto"/>
                  <w:vAlign w:val="center"/>
                </w:tcPr>
                <w:p w14:paraId="22EE99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24"/>
                      <w:sz w:val="21"/>
                      <w:szCs w:val="21"/>
                    </w:rPr>
                  </w:pPr>
                  <w:r>
                    <w:rPr>
                      <w:rFonts w:hint="default" w:ascii="Times New Roman" w:hAnsi="Times New Roman" w:cs="Times New Roman"/>
                      <w:color w:val="auto"/>
                      <w:kern w:val="24"/>
                      <w:sz w:val="21"/>
                      <w:szCs w:val="21"/>
                    </w:rPr>
                    <w:t>一般防渗区</w:t>
                  </w:r>
                </w:p>
              </w:tc>
            </w:tr>
            <w:tr w14:paraId="1B53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737" w:hRule="atLeast"/>
              </w:trPr>
              <w:tc>
                <w:tcPr>
                  <w:tcW w:w="2171" w:type="dxa"/>
                  <w:shd w:val="clear" w:color="auto" w:fill="auto"/>
                  <w:vAlign w:val="center"/>
                </w:tcPr>
                <w:p w14:paraId="109D22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0"/>
                      <w:sz w:val="21"/>
                      <w:szCs w:val="21"/>
                      <w:lang w:bidi="ar"/>
                    </w:rPr>
                    <w:t>循环</w:t>
                  </w:r>
                  <w:r>
                    <w:rPr>
                      <w:rFonts w:hint="eastAsia" w:ascii="Times New Roman" w:hAnsi="Times New Roman" w:cs="Times New Roman"/>
                      <w:color w:val="auto"/>
                      <w:kern w:val="0"/>
                      <w:sz w:val="21"/>
                      <w:szCs w:val="21"/>
                      <w:lang w:val="en-US" w:eastAsia="zh-CN" w:bidi="ar"/>
                    </w:rPr>
                    <w:t>冷却池</w:t>
                  </w:r>
                </w:p>
              </w:tc>
              <w:tc>
                <w:tcPr>
                  <w:tcW w:w="1559" w:type="dxa"/>
                  <w:shd w:val="clear" w:color="auto" w:fill="auto"/>
                  <w:vAlign w:val="center"/>
                </w:tcPr>
                <w:p w14:paraId="773987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4"/>
                      <w:sz w:val="21"/>
                      <w:szCs w:val="21"/>
                      <w:lang w:val="en-US" w:eastAsia="zh-CN"/>
                    </w:rPr>
                  </w:pPr>
                  <w:r>
                    <w:rPr>
                      <w:rFonts w:hint="default" w:ascii="Times New Roman" w:hAnsi="Times New Roman" w:cs="Times New Roman"/>
                      <w:color w:val="auto"/>
                      <w:kern w:val="24"/>
                      <w:sz w:val="21"/>
                      <w:szCs w:val="21"/>
                    </w:rPr>
                    <w:t>CODcr、SS</w:t>
                  </w:r>
                  <w:r>
                    <w:rPr>
                      <w:rFonts w:hint="default" w:ascii="Times New Roman" w:hAnsi="Times New Roman" w:cs="Times New Roman"/>
                      <w:color w:val="auto"/>
                      <w:kern w:val="24"/>
                      <w:sz w:val="21"/>
                      <w:szCs w:val="21"/>
                      <w:lang w:eastAsia="zh-CN"/>
                    </w:rPr>
                    <w:t>、</w:t>
                  </w:r>
                  <w:r>
                    <w:rPr>
                      <w:rFonts w:hint="default" w:ascii="Times New Roman" w:hAnsi="Times New Roman" w:cs="Times New Roman"/>
                      <w:color w:val="auto"/>
                      <w:kern w:val="24"/>
                      <w:sz w:val="21"/>
                      <w:szCs w:val="21"/>
                      <w:lang w:val="en-US" w:eastAsia="zh-CN"/>
                    </w:rPr>
                    <w:t>石油类</w:t>
                  </w:r>
                </w:p>
              </w:tc>
              <w:tc>
                <w:tcPr>
                  <w:tcW w:w="3828" w:type="dxa"/>
                  <w:shd w:val="clear" w:color="auto" w:fill="auto"/>
                  <w:vAlign w:val="center"/>
                </w:tcPr>
                <w:p w14:paraId="7509E4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24"/>
                      <w:sz w:val="21"/>
                      <w:szCs w:val="21"/>
                    </w:rPr>
                  </w:pPr>
                  <w:r>
                    <w:rPr>
                      <w:rFonts w:hint="default" w:ascii="Times New Roman" w:hAnsi="Times New Roman" w:cs="Times New Roman"/>
                      <w:color w:val="auto"/>
                      <w:kern w:val="0"/>
                      <w:sz w:val="21"/>
                      <w:szCs w:val="21"/>
                      <w:lang w:bidi="ar"/>
                    </w:rPr>
                    <w:t>循环水池池底、池壁防渗层破裂或管道老化腐蚀等</w:t>
                  </w:r>
                  <w:r>
                    <w:rPr>
                      <w:rFonts w:hint="default" w:ascii="Times New Roman" w:hAnsi="Times New Roman" w:cs="Times New Roman"/>
                      <w:color w:val="auto"/>
                      <w:kern w:val="24"/>
                      <w:sz w:val="21"/>
                      <w:szCs w:val="21"/>
                    </w:rPr>
                    <w:t>导致冷却水</w:t>
                  </w:r>
                  <w:r>
                    <w:rPr>
                      <w:rFonts w:hint="default" w:ascii="Times New Roman" w:hAnsi="Times New Roman" w:cs="Times New Roman"/>
                      <w:color w:val="auto"/>
                      <w:kern w:val="24"/>
                      <w:sz w:val="21"/>
                      <w:szCs w:val="21"/>
                      <w:lang w:eastAsia="zh-CN"/>
                    </w:rPr>
                    <w:t>泄漏</w:t>
                  </w:r>
                  <w:r>
                    <w:rPr>
                      <w:rFonts w:hint="default" w:ascii="Times New Roman" w:hAnsi="Times New Roman" w:cs="Times New Roman"/>
                      <w:color w:val="auto"/>
                      <w:kern w:val="24"/>
                      <w:sz w:val="21"/>
                      <w:szCs w:val="21"/>
                    </w:rPr>
                    <w:t>（垂直入渗）</w:t>
                  </w:r>
                </w:p>
              </w:tc>
              <w:tc>
                <w:tcPr>
                  <w:tcW w:w="1332" w:type="dxa"/>
                  <w:shd w:val="clear" w:color="auto" w:fill="auto"/>
                  <w:vAlign w:val="center"/>
                </w:tcPr>
                <w:p w14:paraId="17866E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24"/>
                      <w:sz w:val="21"/>
                      <w:szCs w:val="21"/>
                    </w:rPr>
                  </w:pPr>
                  <w:r>
                    <w:rPr>
                      <w:rFonts w:hint="default" w:ascii="Times New Roman" w:hAnsi="Times New Roman" w:cs="Times New Roman"/>
                      <w:color w:val="auto"/>
                      <w:kern w:val="24"/>
                      <w:sz w:val="21"/>
                      <w:szCs w:val="21"/>
                    </w:rPr>
                    <w:t>一般防渗区</w:t>
                  </w:r>
                </w:p>
              </w:tc>
            </w:tr>
          </w:tbl>
          <w:p w14:paraId="654828EC">
            <w:pPr>
              <w:ind w:firstLine="480"/>
              <w:rPr>
                <w:rFonts w:hint="eastAsia" w:eastAsia="宋体" w:cs="Times New Roman"/>
                <w:b/>
                <w:bCs/>
                <w:color w:val="auto"/>
                <w:lang w:eastAsia="zh-CN"/>
              </w:rPr>
            </w:pPr>
            <w:r>
              <w:rPr>
                <w:rFonts w:hint="eastAsia" w:cs="Times New Roman"/>
                <w:b/>
                <w:bCs/>
                <w:color w:val="auto"/>
                <w:lang w:eastAsia="zh-CN"/>
              </w:rPr>
              <w:t>（</w:t>
            </w:r>
            <w:r>
              <w:rPr>
                <w:rFonts w:hint="eastAsia" w:cs="Times New Roman"/>
                <w:b/>
                <w:bCs/>
                <w:color w:val="auto"/>
                <w:lang w:val="en-US" w:eastAsia="zh-CN"/>
              </w:rPr>
              <w:t>2</w:t>
            </w:r>
            <w:r>
              <w:rPr>
                <w:rFonts w:hint="eastAsia" w:cs="Times New Roman"/>
                <w:b/>
                <w:bCs/>
                <w:color w:val="auto"/>
                <w:lang w:eastAsia="zh-CN"/>
              </w:rPr>
              <w:t>）地下水、土壤污染防控措施</w:t>
            </w:r>
          </w:p>
          <w:p w14:paraId="17996D3C">
            <w:pPr>
              <w:ind w:firstLine="480"/>
              <w:rPr>
                <w:rFonts w:hint="eastAsia" w:cs="Times New Roman"/>
                <w:color w:val="auto"/>
              </w:rPr>
            </w:pPr>
            <w:r>
              <w:rPr>
                <w:rFonts w:hint="eastAsia" w:cs="Times New Roman"/>
                <w:color w:val="auto"/>
              </w:rPr>
              <w:t>本项目地下水、土壤污染防治措施按照“源头控制、分区防治、应急响应”相结合的原则，从污染物的产生、入渗、扩散、应急响应进行控制。</w:t>
            </w:r>
          </w:p>
          <w:p w14:paraId="13E49B7A">
            <w:pPr>
              <w:ind w:firstLine="480"/>
              <w:rPr>
                <w:rFonts w:hint="eastAsia" w:cs="Times New Roman"/>
                <w:color w:val="auto"/>
              </w:rPr>
            </w:pPr>
            <w:r>
              <w:rPr>
                <w:rFonts w:hint="eastAsia" w:cs="Times New Roman"/>
                <w:color w:val="auto"/>
              </w:rPr>
              <w:t>①源头控制措施</w:t>
            </w:r>
          </w:p>
          <w:p w14:paraId="4BCC7E84">
            <w:pPr>
              <w:ind w:firstLine="480"/>
              <w:rPr>
                <w:rFonts w:hint="eastAsia" w:cs="Times New Roman"/>
                <w:color w:val="auto"/>
              </w:rPr>
            </w:pPr>
            <w:r>
              <w:rPr>
                <w:rFonts w:hint="eastAsia" w:cs="Times New Roman"/>
                <w:color w:val="auto"/>
              </w:rPr>
              <w:t>污水管严格按照国家相关规范要求，使用合格的管材尽可能从源头上减少污染物的产生；防止和降低可能污染物的跑、冒、滴、漏，将废水泄漏的环境风险事故降低到最低程度。</w:t>
            </w:r>
          </w:p>
          <w:p w14:paraId="77A9EA7E">
            <w:pPr>
              <w:ind w:firstLine="480"/>
              <w:rPr>
                <w:rFonts w:hint="eastAsia" w:cs="Times New Roman"/>
                <w:color w:val="auto"/>
              </w:rPr>
            </w:pPr>
            <w:r>
              <w:rPr>
                <w:rFonts w:hint="eastAsia" w:cs="Times New Roman"/>
                <w:color w:val="auto"/>
              </w:rPr>
              <w:t>②分区防控措施</w:t>
            </w:r>
          </w:p>
          <w:p w14:paraId="25D7BA6B">
            <w:pPr>
              <w:ind w:firstLine="480"/>
              <w:rPr>
                <w:rFonts w:hint="eastAsia" w:cs="Times New Roman"/>
                <w:color w:val="auto"/>
              </w:rPr>
            </w:pPr>
            <w:r>
              <w:rPr>
                <w:rFonts w:hint="eastAsia" w:cs="Times New Roman"/>
                <w:color w:val="auto"/>
              </w:rPr>
              <w:t>根据项目地下水、土壤污染分析，本项目按照分区防控的要求，将厂区分为重点防渗区、一般防渗区和简单防渗区，不同的分区采取相应的防渗措施。</w:t>
            </w:r>
          </w:p>
          <w:p w14:paraId="4EB5B9E1">
            <w:pPr>
              <w:ind w:firstLine="480"/>
              <w:rPr>
                <w:rFonts w:hint="eastAsia" w:cs="Times New Roman"/>
                <w:color w:val="auto"/>
              </w:rPr>
            </w:pPr>
            <w:r>
              <w:rPr>
                <w:rFonts w:hint="eastAsia" w:cs="Times New Roman"/>
                <w:color w:val="auto"/>
              </w:rPr>
              <w:t>本项目运行期地下水防控措施见下表。</w:t>
            </w:r>
          </w:p>
          <w:p w14:paraId="27DF8028">
            <w:pPr>
              <w:adjustRightInd w:val="0"/>
              <w:snapToGrid w:val="0"/>
              <w:spacing w:line="360" w:lineRule="auto"/>
              <w:ind w:firstLine="0" w:firstLineChars="0"/>
              <w:jc w:val="center"/>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表4-15  项目分区防渗一览表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67"/>
              <w:gridCol w:w="1719"/>
              <w:gridCol w:w="4628"/>
            </w:tblGrid>
            <w:tr w14:paraId="152DE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6" w:type="pct"/>
                  <w:shd w:val="clear" w:color="auto" w:fill="auto"/>
                  <w:vAlign w:val="center"/>
                </w:tcPr>
                <w:p w14:paraId="57FB5DDB">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污染防渗区类别</w:t>
                  </w:r>
                </w:p>
              </w:tc>
              <w:tc>
                <w:tcPr>
                  <w:tcW w:w="1114" w:type="pct"/>
                  <w:shd w:val="clear" w:color="auto" w:fill="auto"/>
                  <w:vAlign w:val="center"/>
                </w:tcPr>
                <w:p w14:paraId="55310CA3">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防渗区名称</w:t>
                  </w:r>
                </w:p>
              </w:tc>
              <w:tc>
                <w:tcPr>
                  <w:tcW w:w="2998" w:type="pct"/>
                  <w:shd w:val="clear" w:color="auto" w:fill="auto"/>
                  <w:vAlign w:val="center"/>
                </w:tcPr>
                <w:p w14:paraId="6917761C">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防渗技术要求</w:t>
                  </w:r>
                </w:p>
              </w:tc>
            </w:tr>
            <w:tr w14:paraId="6A31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6" w:type="pct"/>
                  <w:shd w:val="clear" w:color="auto" w:fill="auto"/>
                  <w:vAlign w:val="center"/>
                </w:tcPr>
                <w:p w14:paraId="706DB6CE">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重点防渗区</w:t>
                  </w:r>
                </w:p>
              </w:tc>
              <w:tc>
                <w:tcPr>
                  <w:tcW w:w="1114" w:type="pct"/>
                  <w:shd w:val="clear" w:color="auto" w:fill="auto"/>
                  <w:vAlign w:val="center"/>
                </w:tcPr>
                <w:p w14:paraId="6B37102A">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危废暂存间</w:t>
                  </w:r>
                </w:p>
              </w:tc>
              <w:tc>
                <w:tcPr>
                  <w:tcW w:w="2998" w:type="pct"/>
                  <w:shd w:val="clear" w:color="auto" w:fill="auto"/>
                  <w:vAlign w:val="center"/>
                </w:tcPr>
                <w:p w14:paraId="34CFD711">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防渗层为至少1m厚黏土层（渗透系数不大于10</w:t>
                  </w:r>
                  <w:r>
                    <w:rPr>
                      <w:rFonts w:hint="default" w:ascii="Times New Roman" w:hAnsi="Times New Roman" w:eastAsia="宋体" w:cs="Times New Roman"/>
                      <w:b w:val="0"/>
                      <w:bCs w:val="0"/>
                      <w:color w:val="auto"/>
                      <w:sz w:val="21"/>
                      <w:szCs w:val="21"/>
                      <w:vertAlign w:val="superscript"/>
                      <w:lang w:val="en-US" w:eastAsia="zh-CN"/>
                    </w:rPr>
                    <w:t>-7</w:t>
                  </w:r>
                  <w:r>
                    <w:rPr>
                      <w:rFonts w:hint="default" w:ascii="Times New Roman" w:hAnsi="Times New Roman" w:eastAsia="宋体" w:cs="Times New Roman"/>
                      <w:b w:val="0"/>
                      <w:bCs w:val="0"/>
                      <w:color w:val="auto"/>
                      <w:sz w:val="21"/>
                      <w:szCs w:val="21"/>
                      <w:lang w:val="en-US" w:eastAsia="zh-CN"/>
                    </w:rPr>
                    <w:t>cm/s），或至少2mm厚高密度聚乙烯膜等人工防渗材料（渗透系数不大于10</w:t>
                  </w:r>
                  <w:r>
                    <w:rPr>
                      <w:rFonts w:hint="default" w:ascii="Times New Roman" w:hAnsi="Times New Roman" w:eastAsia="宋体" w:cs="Times New Roman"/>
                      <w:b w:val="0"/>
                      <w:bCs w:val="0"/>
                      <w:color w:val="auto"/>
                      <w:sz w:val="21"/>
                      <w:szCs w:val="21"/>
                      <w:vertAlign w:val="superscript"/>
                      <w:lang w:val="en-US" w:eastAsia="zh-CN"/>
                    </w:rPr>
                    <w:t>-10</w:t>
                  </w:r>
                  <w:r>
                    <w:rPr>
                      <w:rFonts w:hint="default" w:ascii="Times New Roman" w:hAnsi="Times New Roman" w:eastAsia="宋体" w:cs="Times New Roman"/>
                      <w:b w:val="0"/>
                      <w:bCs w:val="0"/>
                      <w:color w:val="auto"/>
                      <w:sz w:val="21"/>
                      <w:szCs w:val="21"/>
                      <w:lang w:val="en-US" w:eastAsia="zh-CN"/>
                    </w:rPr>
                    <w:t>cm/s），参照执行《危险废物贮存污染控制标准》（GB18597-2023）相关要求</w:t>
                  </w:r>
                </w:p>
              </w:tc>
            </w:tr>
            <w:tr w14:paraId="5B4E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6" w:type="pct"/>
                  <w:shd w:val="clear" w:color="auto" w:fill="auto"/>
                  <w:vAlign w:val="center"/>
                </w:tcPr>
                <w:p w14:paraId="376CA624">
                  <w:pPr>
                    <w:keepNext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color w:val="auto"/>
                      <w:sz w:val="21"/>
                      <w:szCs w:val="21"/>
                    </w:rPr>
                    <w:t>一般防渗区</w:t>
                  </w:r>
                </w:p>
              </w:tc>
              <w:tc>
                <w:tcPr>
                  <w:tcW w:w="1114" w:type="pct"/>
                  <w:shd w:val="clear" w:color="auto" w:fill="auto"/>
                  <w:vAlign w:val="center"/>
                </w:tcPr>
                <w:p w14:paraId="522F4AC5">
                  <w:pPr>
                    <w:keepNext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color w:val="auto"/>
                      <w:sz w:val="21"/>
                      <w:szCs w:val="21"/>
                      <w:lang w:val="en-US" w:eastAsia="zh-CN"/>
                    </w:rPr>
                    <w:t>化粪池</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冷却水池</w:t>
                  </w:r>
                  <w:r>
                    <w:rPr>
                      <w:rFonts w:hint="eastAsia" w:ascii="Times New Roman" w:hAnsi="Times New Roman" w:eastAsia="宋体" w:cs="Times New Roman"/>
                      <w:color w:val="auto"/>
                      <w:sz w:val="21"/>
                      <w:szCs w:val="21"/>
                      <w:lang w:val="en-US" w:eastAsia="zh-CN"/>
                    </w:rPr>
                    <w:t>、一体化污水处理设施</w:t>
                  </w:r>
                  <w:r>
                    <w:rPr>
                      <w:rFonts w:hint="eastAsia" w:cs="Times New Roman"/>
                      <w:color w:val="auto"/>
                      <w:sz w:val="21"/>
                      <w:szCs w:val="21"/>
                      <w:lang w:val="en-US" w:eastAsia="zh-CN"/>
                    </w:rPr>
                    <w:t>、初期雨水收集池、事故池</w:t>
                  </w:r>
                </w:p>
              </w:tc>
              <w:tc>
                <w:tcPr>
                  <w:tcW w:w="2998" w:type="pct"/>
                  <w:shd w:val="clear" w:color="auto" w:fill="auto"/>
                  <w:vAlign w:val="center"/>
                </w:tcPr>
                <w:p w14:paraId="43B9273B">
                  <w:pPr>
                    <w:keepNext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color w:val="auto"/>
                      <w:sz w:val="21"/>
                      <w:szCs w:val="21"/>
                    </w:rPr>
                    <w:t>等效黏土防渗层厚度Mb≥1.5m，渗透系数K≤1.0×10</w:t>
                  </w:r>
                  <w:r>
                    <w:rPr>
                      <w:rFonts w:hint="default" w:ascii="Times New Roman" w:hAnsi="Times New Roman" w:eastAsia="宋体" w:cs="Times New Roman"/>
                      <w:color w:val="auto"/>
                      <w:sz w:val="21"/>
                      <w:szCs w:val="21"/>
                      <w:vertAlign w:val="superscript"/>
                      <w:lang w:val="en-US" w:eastAsia="zh-CN"/>
                    </w:rPr>
                    <w:t>-</w:t>
                  </w:r>
                  <w:r>
                    <w:rPr>
                      <w:rFonts w:hint="default" w:ascii="Times New Roman" w:hAnsi="Times New Roman" w:eastAsia="宋体" w:cs="Times New Roman"/>
                      <w:color w:val="auto"/>
                      <w:sz w:val="21"/>
                      <w:szCs w:val="21"/>
                      <w:vertAlign w:val="superscript"/>
                    </w:rPr>
                    <w:t>7</w:t>
                  </w:r>
                  <w:r>
                    <w:rPr>
                      <w:rFonts w:hint="default" w:ascii="Times New Roman" w:hAnsi="Times New Roman" w:eastAsia="宋体" w:cs="Times New Roman"/>
                      <w:color w:val="auto"/>
                      <w:sz w:val="21"/>
                      <w:szCs w:val="21"/>
                    </w:rPr>
                    <w:t>cm/s</w:t>
                  </w:r>
                </w:p>
              </w:tc>
            </w:tr>
            <w:tr w14:paraId="3509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pct"/>
                  <w:shd w:val="clear" w:color="auto" w:fill="auto"/>
                  <w:vAlign w:val="center"/>
                </w:tcPr>
                <w:p w14:paraId="19020A7D">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简单防渗区</w:t>
                  </w:r>
                </w:p>
              </w:tc>
              <w:tc>
                <w:tcPr>
                  <w:tcW w:w="1114" w:type="pct"/>
                  <w:shd w:val="clear" w:color="auto" w:fill="auto"/>
                  <w:vAlign w:val="center"/>
                </w:tcPr>
                <w:p w14:paraId="5234E319">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其他区域</w:t>
                  </w:r>
                </w:p>
              </w:tc>
              <w:tc>
                <w:tcPr>
                  <w:tcW w:w="2998" w:type="pct"/>
                  <w:shd w:val="clear" w:color="auto" w:fill="auto"/>
                  <w:vAlign w:val="center"/>
                </w:tcPr>
                <w:p w14:paraId="037C4EB1">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水泥地面硬化</w:t>
                  </w:r>
                </w:p>
              </w:tc>
            </w:tr>
          </w:tbl>
          <w:p w14:paraId="77CE7BDE">
            <w:pPr>
              <w:ind w:firstLine="480"/>
              <w:rPr>
                <w:rFonts w:hint="eastAsia" w:eastAsia="宋体" w:cs="Times New Roman"/>
                <w:b/>
                <w:bCs/>
                <w:color w:val="auto"/>
                <w:lang w:val="en-US" w:eastAsia="zh-CN"/>
              </w:rPr>
            </w:pPr>
            <w:r>
              <w:rPr>
                <w:rFonts w:hint="eastAsia" w:cs="Times New Roman"/>
                <w:b/>
                <w:bCs/>
                <w:color w:val="auto"/>
                <w:lang w:val="en-US" w:eastAsia="zh-CN"/>
              </w:rPr>
              <w:t>2、土壤、地下水保护措施</w:t>
            </w:r>
          </w:p>
          <w:p w14:paraId="74D5D735">
            <w:pPr>
              <w:ind w:firstLine="480"/>
              <w:rPr>
                <w:rFonts w:hint="eastAsia" w:cs="Times New Roman"/>
                <w:color w:val="auto"/>
              </w:rPr>
            </w:pPr>
            <w:r>
              <w:rPr>
                <w:rFonts w:hint="eastAsia" w:cs="Times New Roman"/>
                <w:color w:val="auto"/>
              </w:rPr>
              <w:t>本项目运营期会产生废液压油</w:t>
            </w:r>
            <w:r>
              <w:rPr>
                <w:rFonts w:hint="eastAsia" w:cs="Times New Roman"/>
                <w:color w:val="auto"/>
                <w:lang w:val="en-US" w:eastAsia="zh-CN"/>
              </w:rPr>
              <w:t>和废机油</w:t>
            </w:r>
            <w:r>
              <w:rPr>
                <w:rFonts w:hint="eastAsia" w:cs="Times New Roman"/>
                <w:color w:val="auto"/>
              </w:rPr>
              <w:t>，若发生泄漏会对土壤、地下水造成一定的影响。</w:t>
            </w:r>
          </w:p>
          <w:p w14:paraId="38E1F0E4">
            <w:pPr>
              <w:ind w:firstLine="480"/>
              <w:rPr>
                <w:rFonts w:hint="eastAsia" w:cs="Times New Roman"/>
                <w:color w:val="auto"/>
              </w:rPr>
            </w:pPr>
            <w:r>
              <w:rPr>
                <w:rFonts w:hint="eastAsia" w:cs="Times New Roman"/>
                <w:color w:val="auto"/>
              </w:rPr>
              <w:t>项目建设过程中采取防渗措施可有效防止风险物质下渗进入地下水，通过加强定期检查消除污染隐患；发现有污染物泄漏或渗漏，及时修补。</w:t>
            </w:r>
          </w:p>
          <w:p w14:paraId="16726216">
            <w:pPr>
              <w:ind w:firstLine="480"/>
              <w:rPr>
                <w:rFonts w:hint="eastAsia" w:cs="Times New Roman"/>
                <w:color w:val="auto"/>
              </w:rPr>
            </w:pPr>
            <w:r>
              <w:rPr>
                <w:rFonts w:hint="eastAsia" w:cs="Times New Roman"/>
                <w:color w:val="auto"/>
              </w:rPr>
              <w:t>本项目产生的危险废物经收集后暂存于危废暂存间，危废暂存间地面防渗，设置围堰并铺设防水漆；本项目危险废物分类分区收集于收集桶中，且产生量不大，若发生泄漏事故，经危废暂存间围堰收集后，可将风险控制在危废暂存间内，对周边环境影响较小。</w:t>
            </w:r>
          </w:p>
          <w:p w14:paraId="000F0DB7">
            <w:pPr>
              <w:ind w:firstLine="480"/>
              <w:rPr>
                <w:rFonts w:hint="eastAsia" w:eastAsia="宋体" w:cs="Times New Roman"/>
                <w:b/>
                <w:bCs/>
                <w:color w:val="auto"/>
                <w:lang w:val="en-US" w:eastAsia="zh-CN"/>
              </w:rPr>
            </w:pPr>
            <w:r>
              <w:rPr>
                <w:rFonts w:hint="eastAsia" w:cs="Times New Roman"/>
                <w:b/>
                <w:bCs/>
                <w:color w:val="auto"/>
                <w:lang w:val="en-US" w:eastAsia="zh-CN"/>
              </w:rPr>
              <w:t>六、环境风险分析</w:t>
            </w:r>
          </w:p>
          <w:p w14:paraId="091D5420">
            <w:pPr>
              <w:ind w:firstLine="480"/>
              <w:rPr>
                <w:rFonts w:hint="eastAsia" w:cs="Times New Roman"/>
                <w:color w:val="auto"/>
              </w:rPr>
            </w:pPr>
            <w:r>
              <w:rPr>
                <w:rFonts w:hint="eastAsia" w:cs="Times New Roman"/>
                <w:color w:val="auto"/>
              </w:rPr>
              <w:t>按照《建设项目环境风险评价技术导则》（HJ169-2018）的要求，环境风险评价应以突发性事故导致的危险物质环境急性损害防控为目标，对建设项目的环境风险进行分析、预测和评估，提出环境风险预防、控制、减缓措施，明确环境风险监控及应急要求，为建设项目环境风险防控提供科学依据。待本项目建设完成后，本环评建议建设单位及时进行突发环境事件应急预案编制工作。</w:t>
            </w:r>
          </w:p>
          <w:p w14:paraId="3D358A3B">
            <w:pPr>
              <w:ind w:firstLine="480"/>
              <w:rPr>
                <w:rFonts w:hint="eastAsia" w:eastAsia="宋体" w:cs="Times New Roman"/>
                <w:b/>
                <w:bCs/>
                <w:color w:val="auto"/>
                <w:lang w:val="en-US" w:eastAsia="zh-CN"/>
              </w:rPr>
            </w:pPr>
            <w:r>
              <w:rPr>
                <w:rFonts w:hint="eastAsia" w:cs="Times New Roman"/>
                <w:b/>
                <w:bCs/>
                <w:color w:val="auto"/>
                <w:lang w:val="en-US" w:eastAsia="zh-CN"/>
              </w:rPr>
              <w:t>1、环境风险识别</w:t>
            </w:r>
          </w:p>
          <w:p w14:paraId="56888072">
            <w:pPr>
              <w:ind w:firstLine="480"/>
              <w:rPr>
                <w:rFonts w:hint="eastAsia" w:cs="Times New Roman"/>
                <w:color w:val="auto"/>
              </w:rPr>
            </w:pPr>
            <w:r>
              <w:rPr>
                <w:rFonts w:hint="eastAsia" w:cs="Times New Roman"/>
                <w:color w:val="auto"/>
              </w:rPr>
              <w:t>项目生产中使用的原辅料、生产中产污及产品对照《建设项目环境风险评价技术导则》（HJ169-2018）附录B核查。项目不涉及危险化学品的使用，项目风险物质有废液压油</w:t>
            </w:r>
            <w:r>
              <w:rPr>
                <w:rFonts w:hint="eastAsia" w:cs="Times New Roman"/>
                <w:color w:val="auto"/>
                <w:lang w:eastAsia="zh-CN"/>
              </w:rPr>
              <w:t>、</w:t>
            </w:r>
            <w:r>
              <w:rPr>
                <w:rFonts w:hint="eastAsia" w:cs="Times New Roman"/>
                <w:color w:val="auto"/>
                <w:lang w:val="en-US" w:eastAsia="zh-CN"/>
              </w:rPr>
              <w:t>废机油、乙炔</w:t>
            </w:r>
            <w:r>
              <w:rPr>
                <w:rFonts w:hint="eastAsia" w:cs="Times New Roman"/>
                <w:color w:val="auto"/>
              </w:rPr>
              <w:t>。废液压油产生量为0.</w:t>
            </w:r>
            <w:r>
              <w:rPr>
                <w:rFonts w:hint="eastAsia" w:cs="Times New Roman"/>
                <w:color w:val="auto"/>
                <w:lang w:val="en-US" w:eastAsia="zh-CN"/>
              </w:rPr>
              <w:t>5</w:t>
            </w:r>
            <w:r>
              <w:rPr>
                <w:rFonts w:hint="eastAsia" w:cs="Times New Roman"/>
                <w:color w:val="auto"/>
              </w:rPr>
              <w:t>t/a</w:t>
            </w:r>
            <w:r>
              <w:rPr>
                <w:rFonts w:hint="eastAsia" w:cs="Times New Roman"/>
                <w:color w:val="auto"/>
                <w:lang w:eastAsia="zh-CN"/>
              </w:rPr>
              <w:t>，</w:t>
            </w:r>
            <w:r>
              <w:rPr>
                <w:rFonts w:hint="eastAsia" w:cs="Times New Roman"/>
                <w:color w:val="auto"/>
                <w:lang w:val="en-US" w:eastAsia="zh-CN"/>
              </w:rPr>
              <w:t>废机油产生量为0.1t/a、乙炔最大储存量为0.5t</w:t>
            </w:r>
            <w:r>
              <w:rPr>
                <w:rFonts w:hint="eastAsia" w:cs="Times New Roman"/>
                <w:color w:val="auto"/>
              </w:rPr>
              <w:t>。</w:t>
            </w:r>
          </w:p>
          <w:p w14:paraId="3E92D131">
            <w:pPr>
              <w:ind w:firstLine="480"/>
              <w:rPr>
                <w:rFonts w:hint="eastAsia" w:cs="Times New Roman"/>
                <w:color w:val="auto"/>
              </w:rPr>
            </w:pPr>
            <w:r>
              <w:rPr>
                <w:rFonts w:hint="eastAsia" w:cs="Times New Roman"/>
                <w:color w:val="auto"/>
              </w:rPr>
              <w:t>对照《危险化学品重大危险源辨识》（GB18218-2018）规定，上述物质未列入表中，不属于构成重大危险源的基本物质。</w:t>
            </w:r>
          </w:p>
          <w:p w14:paraId="78D309D6">
            <w:pPr>
              <w:ind w:firstLine="480"/>
              <w:rPr>
                <w:rFonts w:hint="eastAsia" w:cs="Times New Roman"/>
                <w:color w:val="auto"/>
              </w:rPr>
            </w:pPr>
            <w:r>
              <w:rPr>
                <w:rFonts w:hint="eastAsia" w:cs="Times New Roman"/>
                <w:color w:val="auto"/>
              </w:rPr>
              <w:t>根据此原则，对项目区内各环节涉及的主要物质进行识别，识别过程及结果见下表。</w:t>
            </w:r>
          </w:p>
          <w:p w14:paraId="3FAAE34A">
            <w:pPr>
              <w:adjustRightInd w:val="0"/>
              <w:snapToGrid w:val="0"/>
              <w:spacing w:line="360" w:lineRule="auto"/>
              <w:ind w:firstLine="0" w:firstLineChars="0"/>
              <w:jc w:val="center"/>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表4-16  环境风险物质识别表</w:t>
            </w:r>
          </w:p>
          <w:tbl>
            <w:tblPr>
              <w:tblStyle w:val="23"/>
              <w:tblW w:w="4997" w:type="pct"/>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1116"/>
              <w:gridCol w:w="1059"/>
              <w:gridCol w:w="2267"/>
              <w:gridCol w:w="1747"/>
            </w:tblGrid>
            <w:tr w14:paraId="6A9F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7" w:type="pct"/>
                  <w:tcBorders>
                    <w:tl2br w:val="nil"/>
                    <w:tr2bl w:val="nil"/>
                  </w:tcBorders>
                  <w:noWrap w:val="0"/>
                  <w:vAlign w:val="center"/>
                </w:tcPr>
                <w:p w14:paraId="174A51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Cs/>
                      <w:color w:val="auto"/>
                      <w:sz w:val="21"/>
                      <w:szCs w:val="21"/>
                      <w:vertAlign w:val="baseline"/>
                      <w:lang w:val="en-US" w:eastAsia="zh-CN"/>
                    </w:rPr>
                  </w:pPr>
                  <w:r>
                    <w:rPr>
                      <w:rFonts w:hint="eastAsia"/>
                      <w:bCs/>
                      <w:color w:val="auto"/>
                      <w:sz w:val="21"/>
                      <w:szCs w:val="21"/>
                      <w:vertAlign w:val="baseline"/>
                      <w:lang w:val="en-US" w:eastAsia="zh-CN"/>
                    </w:rPr>
                    <w:t>风险源</w:t>
                  </w:r>
                </w:p>
              </w:tc>
              <w:tc>
                <w:tcPr>
                  <w:tcW w:w="723" w:type="pct"/>
                  <w:tcBorders>
                    <w:tl2br w:val="nil"/>
                    <w:tr2bl w:val="nil"/>
                  </w:tcBorders>
                  <w:noWrap w:val="0"/>
                  <w:vAlign w:val="center"/>
                </w:tcPr>
                <w:p w14:paraId="2514A9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Cs/>
                      <w:color w:val="auto"/>
                      <w:sz w:val="21"/>
                      <w:szCs w:val="21"/>
                      <w:vertAlign w:val="baseline"/>
                      <w:lang w:val="en-US" w:eastAsia="zh-CN"/>
                    </w:rPr>
                  </w:pPr>
                  <w:r>
                    <w:rPr>
                      <w:rFonts w:hint="eastAsia"/>
                      <w:bCs/>
                      <w:color w:val="auto"/>
                      <w:sz w:val="21"/>
                      <w:szCs w:val="21"/>
                      <w:vertAlign w:val="baseline"/>
                      <w:lang w:val="en-US" w:eastAsia="zh-CN"/>
                    </w:rPr>
                    <w:t>储存物料</w:t>
                  </w:r>
                </w:p>
              </w:tc>
              <w:tc>
                <w:tcPr>
                  <w:tcW w:w="686" w:type="pct"/>
                  <w:tcBorders>
                    <w:tl2br w:val="nil"/>
                    <w:tr2bl w:val="nil"/>
                  </w:tcBorders>
                  <w:noWrap w:val="0"/>
                  <w:vAlign w:val="center"/>
                </w:tcPr>
                <w:p w14:paraId="3CC7DC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sz w:val="21"/>
                      <w:szCs w:val="21"/>
                      <w:vertAlign w:val="baseline"/>
                    </w:rPr>
                  </w:pPr>
                  <w:r>
                    <w:rPr>
                      <w:rFonts w:hint="eastAsia"/>
                      <w:bCs/>
                      <w:color w:val="auto"/>
                      <w:sz w:val="21"/>
                      <w:szCs w:val="21"/>
                      <w:vertAlign w:val="baseline"/>
                    </w:rPr>
                    <w:t>储存量/t</w:t>
                  </w:r>
                </w:p>
              </w:tc>
              <w:tc>
                <w:tcPr>
                  <w:tcW w:w="1469" w:type="pct"/>
                  <w:tcBorders>
                    <w:tl2br w:val="nil"/>
                    <w:tr2bl w:val="nil"/>
                  </w:tcBorders>
                  <w:noWrap w:val="0"/>
                  <w:vAlign w:val="center"/>
                </w:tcPr>
                <w:p w14:paraId="27A394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sz w:val="21"/>
                      <w:szCs w:val="21"/>
                      <w:vertAlign w:val="baseline"/>
                    </w:rPr>
                  </w:pPr>
                  <w:r>
                    <w:rPr>
                      <w:rFonts w:hint="eastAsia"/>
                      <w:bCs/>
                      <w:color w:val="auto"/>
                      <w:sz w:val="21"/>
                      <w:szCs w:val="21"/>
                      <w:vertAlign w:val="baseline"/>
                    </w:rPr>
                    <w:t>《导则》附录B中危险物质</w:t>
                  </w:r>
                </w:p>
              </w:tc>
              <w:tc>
                <w:tcPr>
                  <w:tcW w:w="1132" w:type="pct"/>
                  <w:tcBorders>
                    <w:tl2br w:val="nil"/>
                    <w:tr2bl w:val="nil"/>
                  </w:tcBorders>
                  <w:noWrap w:val="0"/>
                  <w:vAlign w:val="center"/>
                </w:tcPr>
                <w:p w14:paraId="70C958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sz w:val="21"/>
                      <w:szCs w:val="21"/>
                      <w:vertAlign w:val="baseline"/>
                    </w:rPr>
                  </w:pPr>
                  <w:r>
                    <w:rPr>
                      <w:rFonts w:hint="eastAsia"/>
                      <w:bCs/>
                      <w:color w:val="auto"/>
                      <w:sz w:val="21"/>
                      <w:szCs w:val="21"/>
                      <w:vertAlign w:val="baseline"/>
                    </w:rPr>
                    <w:t>临界量/t</w:t>
                  </w:r>
                </w:p>
              </w:tc>
            </w:tr>
            <w:tr w14:paraId="54C5A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7" w:type="pct"/>
                  <w:vMerge w:val="restart"/>
                  <w:tcBorders>
                    <w:tl2br w:val="nil"/>
                    <w:tr2bl w:val="nil"/>
                  </w:tcBorders>
                  <w:noWrap w:val="0"/>
                  <w:vAlign w:val="center"/>
                </w:tcPr>
                <w:p w14:paraId="387DAC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sz w:val="21"/>
                      <w:szCs w:val="21"/>
                      <w:vertAlign w:val="baseline"/>
                      <w:lang w:val="en-US" w:eastAsia="zh-CN"/>
                    </w:rPr>
                  </w:pPr>
                  <w:r>
                    <w:rPr>
                      <w:rFonts w:hint="eastAsia"/>
                      <w:bCs/>
                      <w:color w:val="auto"/>
                      <w:sz w:val="21"/>
                      <w:szCs w:val="21"/>
                      <w:vertAlign w:val="baseline"/>
                      <w:lang w:val="en-US" w:eastAsia="zh-CN"/>
                    </w:rPr>
                    <w:t>危废暂存间</w:t>
                  </w:r>
                </w:p>
              </w:tc>
              <w:tc>
                <w:tcPr>
                  <w:tcW w:w="723" w:type="pct"/>
                  <w:tcBorders>
                    <w:tl2br w:val="nil"/>
                    <w:tr2bl w:val="nil"/>
                  </w:tcBorders>
                  <w:noWrap w:val="0"/>
                  <w:vAlign w:val="center"/>
                </w:tcPr>
                <w:p w14:paraId="01D5BF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sz w:val="21"/>
                      <w:szCs w:val="21"/>
                      <w:vertAlign w:val="baseline"/>
                      <w:lang w:val="en-US" w:eastAsia="zh-CN"/>
                    </w:rPr>
                  </w:pPr>
                  <w:r>
                    <w:rPr>
                      <w:rFonts w:hint="eastAsia"/>
                      <w:bCs/>
                      <w:color w:val="auto"/>
                      <w:sz w:val="21"/>
                      <w:szCs w:val="21"/>
                      <w:vertAlign w:val="baseline"/>
                      <w:lang w:val="en-US" w:eastAsia="zh-CN"/>
                    </w:rPr>
                    <w:t>废液压油</w:t>
                  </w:r>
                </w:p>
              </w:tc>
              <w:tc>
                <w:tcPr>
                  <w:tcW w:w="686" w:type="pct"/>
                  <w:tcBorders>
                    <w:tl2br w:val="nil"/>
                    <w:tr2bl w:val="nil"/>
                  </w:tcBorders>
                  <w:noWrap w:val="0"/>
                  <w:vAlign w:val="center"/>
                </w:tcPr>
                <w:p w14:paraId="105325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sz w:val="21"/>
                      <w:szCs w:val="21"/>
                      <w:vertAlign w:val="baseline"/>
                      <w:lang w:val="en-US" w:eastAsia="zh-CN"/>
                    </w:rPr>
                  </w:pPr>
                  <w:r>
                    <w:rPr>
                      <w:rFonts w:hint="eastAsia"/>
                      <w:bCs/>
                      <w:color w:val="auto"/>
                      <w:sz w:val="21"/>
                      <w:szCs w:val="21"/>
                      <w:vertAlign w:val="baseline"/>
                      <w:lang w:val="en-US" w:eastAsia="zh-CN"/>
                    </w:rPr>
                    <w:t>0.5</w:t>
                  </w:r>
                </w:p>
              </w:tc>
              <w:tc>
                <w:tcPr>
                  <w:tcW w:w="1469" w:type="pct"/>
                  <w:vMerge w:val="restart"/>
                  <w:tcBorders>
                    <w:tl2br w:val="nil"/>
                    <w:tr2bl w:val="nil"/>
                  </w:tcBorders>
                  <w:noWrap w:val="0"/>
                  <w:vAlign w:val="center"/>
                </w:tcPr>
                <w:p w14:paraId="12A6B5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sz w:val="21"/>
                      <w:szCs w:val="21"/>
                      <w:vertAlign w:val="baseline"/>
                    </w:rPr>
                  </w:pPr>
                  <w:r>
                    <w:rPr>
                      <w:rFonts w:hint="eastAsia"/>
                      <w:bCs/>
                      <w:color w:val="auto"/>
                      <w:sz w:val="21"/>
                      <w:szCs w:val="21"/>
                      <w:vertAlign w:val="baseline"/>
                    </w:rPr>
                    <w:t>油类物质（矿物油类，如石油、汽油、柴油等；生物柴油等）</w:t>
                  </w:r>
                </w:p>
              </w:tc>
              <w:tc>
                <w:tcPr>
                  <w:tcW w:w="1132" w:type="pct"/>
                  <w:vMerge w:val="restart"/>
                  <w:tcBorders>
                    <w:tl2br w:val="nil"/>
                    <w:tr2bl w:val="nil"/>
                  </w:tcBorders>
                  <w:noWrap w:val="0"/>
                  <w:vAlign w:val="center"/>
                </w:tcPr>
                <w:p w14:paraId="1DD945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sz w:val="21"/>
                      <w:szCs w:val="21"/>
                      <w:vertAlign w:val="baseline"/>
                      <w:lang w:val="en-US" w:eastAsia="zh-CN"/>
                    </w:rPr>
                  </w:pPr>
                  <w:r>
                    <w:rPr>
                      <w:rFonts w:hint="eastAsia"/>
                      <w:bCs/>
                      <w:color w:val="auto"/>
                      <w:sz w:val="21"/>
                      <w:szCs w:val="21"/>
                      <w:vertAlign w:val="baseline"/>
                      <w:lang w:val="en-US" w:eastAsia="zh-CN"/>
                    </w:rPr>
                    <w:t>2500</w:t>
                  </w:r>
                </w:p>
              </w:tc>
            </w:tr>
            <w:tr w14:paraId="5FB2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7" w:type="pct"/>
                  <w:vMerge w:val="continue"/>
                  <w:tcBorders>
                    <w:tl2br w:val="nil"/>
                    <w:tr2bl w:val="nil"/>
                  </w:tcBorders>
                  <w:noWrap w:val="0"/>
                  <w:vAlign w:val="center"/>
                </w:tcPr>
                <w:p w14:paraId="4DF148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sz w:val="21"/>
                      <w:szCs w:val="21"/>
                      <w:vertAlign w:val="baseline"/>
                      <w:lang w:val="en-US" w:eastAsia="zh-CN"/>
                    </w:rPr>
                  </w:pPr>
                </w:p>
              </w:tc>
              <w:tc>
                <w:tcPr>
                  <w:tcW w:w="723" w:type="pct"/>
                  <w:tcBorders>
                    <w:tl2br w:val="nil"/>
                    <w:tr2bl w:val="nil"/>
                  </w:tcBorders>
                  <w:noWrap w:val="0"/>
                  <w:vAlign w:val="center"/>
                </w:tcPr>
                <w:p w14:paraId="701D83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sz w:val="21"/>
                      <w:szCs w:val="21"/>
                      <w:vertAlign w:val="baseline"/>
                      <w:lang w:val="en-US" w:eastAsia="zh-CN"/>
                    </w:rPr>
                  </w:pPr>
                  <w:r>
                    <w:rPr>
                      <w:rFonts w:hint="eastAsia"/>
                      <w:bCs/>
                      <w:color w:val="auto"/>
                      <w:sz w:val="21"/>
                      <w:szCs w:val="21"/>
                      <w:vertAlign w:val="baseline"/>
                      <w:lang w:val="en-US" w:eastAsia="zh-CN"/>
                    </w:rPr>
                    <w:t>废机油</w:t>
                  </w:r>
                </w:p>
              </w:tc>
              <w:tc>
                <w:tcPr>
                  <w:tcW w:w="686" w:type="pct"/>
                  <w:tcBorders>
                    <w:tl2br w:val="nil"/>
                    <w:tr2bl w:val="nil"/>
                  </w:tcBorders>
                  <w:noWrap w:val="0"/>
                  <w:vAlign w:val="center"/>
                </w:tcPr>
                <w:p w14:paraId="7D33A7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sz w:val="21"/>
                      <w:szCs w:val="21"/>
                      <w:vertAlign w:val="baseline"/>
                      <w:lang w:val="en-US" w:eastAsia="zh-CN"/>
                    </w:rPr>
                  </w:pPr>
                  <w:r>
                    <w:rPr>
                      <w:rFonts w:hint="eastAsia"/>
                      <w:bCs/>
                      <w:color w:val="auto"/>
                      <w:sz w:val="21"/>
                      <w:szCs w:val="21"/>
                      <w:vertAlign w:val="baseline"/>
                      <w:lang w:val="en-US" w:eastAsia="zh-CN"/>
                    </w:rPr>
                    <w:t>0.1</w:t>
                  </w:r>
                </w:p>
              </w:tc>
              <w:tc>
                <w:tcPr>
                  <w:tcW w:w="1469" w:type="pct"/>
                  <w:vMerge w:val="continue"/>
                  <w:tcBorders>
                    <w:tl2br w:val="nil"/>
                    <w:tr2bl w:val="nil"/>
                  </w:tcBorders>
                  <w:noWrap w:val="0"/>
                  <w:vAlign w:val="center"/>
                </w:tcPr>
                <w:p w14:paraId="7050A7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sz w:val="21"/>
                      <w:szCs w:val="21"/>
                      <w:vertAlign w:val="baseline"/>
                    </w:rPr>
                  </w:pPr>
                </w:p>
              </w:tc>
              <w:tc>
                <w:tcPr>
                  <w:tcW w:w="1132" w:type="pct"/>
                  <w:vMerge w:val="continue"/>
                  <w:tcBorders>
                    <w:tl2br w:val="nil"/>
                    <w:tr2bl w:val="nil"/>
                  </w:tcBorders>
                  <w:noWrap w:val="0"/>
                  <w:vAlign w:val="center"/>
                </w:tcPr>
                <w:p w14:paraId="36F821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sz w:val="21"/>
                      <w:szCs w:val="21"/>
                      <w:vertAlign w:val="baseline"/>
                      <w:lang w:val="en-US" w:eastAsia="zh-CN"/>
                    </w:rPr>
                  </w:pPr>
                </w:p>
              </w:tc>
            </w:tr>
            <w:tr w14:paraId="1D93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7" w:type="pct"/>
                  <w:tcBorders>
                    <w:tl2br w:val="nil"/>
                    <w:tr2bl w:val="nil"/>
                  </w:tcBorders>
                  <w:noWrap w:val="0"/>
                  <w:vAlign w:val="center"/>
                </w:tcPr>
                <w:p w14:paraId="2AF2B5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sz w:val="21"/>
                      <w:szCs w:val="21"/>
                      <w:vertAlign w:val="baseline"/>
                      <w:lang w:val="en-US" w:eastAsia="zh-CN"/>
                    </w:rPr>
                  </w:pPr>
                  <w:r>
                    <w:rPr>
                      <w:rFonts w:hint="eastAsia"/>
                      <w:bCs/>
                      <w:color w:val="auto"/>
                      <w:sz w:val="21"/>
                      <w:szCs w:val="21"/>
                      <w:vertAlign w:val="baseline"/>
                      <w:lang w:val="en-US" w:eastAsia="zh-CN"/>
                    </w:rPr>
                    <w:t>原料库</w:t>
                  </w:r>
                </w:p>
              </w:tc>
              <w:tc>
                <w:tcPr>
                  <w:tcW w:w="723" w:type="pct"/>
                  <w:tcBorders>
                    <w:tl2br w:val="nil"/>
                    <w:tr2bl w:val="nil"/>
                  </w:tcBorders>
                  <w:noWrap w:val="0"/>
                  <w:vAlign w:val="center"/>
                </w:tcPr>
                <w:p w14:paraId="45A8C8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sz w:val="21"/>
                      <w:szCs w:val="21"/>
                      <w:vertAlign w:val="baseline"/>
                      <w:lang w:val="en-US" w:eastAsia="zh-CN"/>
                    </w:rPr>
                  </w:pPr>
                  <w:r>
                    <w:rPr>
                      <w:rFonts w:hint="eastAsia"/>
                      <w:bCs/>
                      <w:color w:val="auto"/>
                      <w:sz w:val="21"/>
                      <w:szCs w:val="21"/>
                      <w:vertAlign w:val="baseline"/>
                      <w:lang w:val="en-US" w:eastAsia="zh-CN"/>
                    </w:rPr>
                    <w:t>乙炔</w:t>
                  </w:r>
                </w:p>
              </w:tc>
              <w:tc>
                <w:tcPr>
                  <w:tcW w:w="686" w:type="pct"/>
                  <w:tcBorders>
                    <w:tl2br w:val="nil"/>
                    <w:tr2bl w:val="nil"/>
                  </w:tcBorders>
                  <w:noWrap w:val="0"/>
                  <w:vAlign w:val="center"/>
                </w:tcPr>
                <w:p w14:paraId="33EC11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sz w:val="21"/>
                      <w:szCs w:val="21"/>
                      <w:vertAlign w:val="baseline"/>
                      <w:lang w:val="en-US" w:eastAsia="zh-CN"/>
                    </w:rPr>
                  </w:pPr>
                  <w:r>
                    <w:rPr>
                      <w:rFonts w:hint="eastAsia"/>
                      <w:bCs/>
                      <w:color w:val="auto"/>
                      <w:sz w:val="21"/>
                      <w:szCs w:val="21"/>
                      <w:vertAlign w:val="baseline"/>
                      <w:lang w:val="en-US" w:eastAsia="zh-CN"/>
                    </w:rPr>
                    <w:t>0.5</w:t>
                  </w:r>
                </w:p>
              </w:tc>
              <w:tc>
                <w:tcPr>
                  <w:tcW w:w="1469" w:type="pct"/>
                  <w:tcBorders>
                    <w:tl2br w:val="nil"/>
                    <w:tr2bl w:val="nil"/>
                  </w:tcBorders>
                  <w:noWrap w:val="0"/>
                  <w:vAlign w:val="center"/>
                </w:tcPr>
                <w:p w14:paraId="2D678B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Cs/>
                      <w:color w:val="auto"/>
                      <w:sz w:val="21"/>
                      <w:szCs w:val="21"/>
                      <w:vertAlign w:val="baseline"/>
                    </w:rPr>
                  </w:pPr>
                  <w:r>
                    <w:rPr>
                      <w:rFonts w:hint="eastAsia"/>
                      <w:bCs/>
                      <w:color w:val="auto"/>
                      <w:sz w:val="21"/>
                      <w:szCs w:val="21"/>
                      <w:vertAlign w:val="baseline"/>
                      <w:lang w:val="en-US" w:eastAsia="zh-CN"/>
                    </w:rPr>
                    <w:t>乙炔</w:t>
                  </w:r>
                </w:p>
              </w:tc>
              <w:tc>
                <w:tcPr>
                  <w:tcW w:w="1132" w:type="pct"/>
                  <w:tcBorders>
                    <w:tl2br w:val="nil"/>
                    <w:tr2bl w:val="nil"/>
                  </w:tcBorders>
                  <w:noWrap w:val="0"/>
                  <w:vAlign w:val="center"/>
                </w:tcPr>
                <w:p w14:paraId="19FF7D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Cs/>
                      <w:color w:val="auto"/>
                      <w:sz w:val="21"/>
                      <w:szCs w:val="21"/>
                      <w:vertAlign w:val="baseline"/>
                      <w:lang w:val="en-US" w:eastAsia="zh-CN"/>
                    </w:rPr>
                  </w:pPr>
                  <w:r>
                    <w:rPr>
                      <w:rFonts w:hint="eastAsia"/>
                      <w:bCs/>
                      <w:color w:val="auto"/>
                      <w:sz w:val="21"/>
                      <w:szCs w:val="21"/>
                      <w:vertAlign w:val="baseline"/>
                      <w:lang w:val="en-US" w:eastAsia="zh-CN"/>
                    </w:rPr>
                    <w:t>10</w:t>
                  </w:r>
                </w:p>
              </w:tc>
            </w:tr>
          </w:tbl>
          <w:p w14:paraId="066C8D9E">
            <w:pPr>
              <w:adjustRightInd w:val="0"/>
              <w:snapToGrid w:val="0"/>
              <w:spacing w:line="360" w:lineRule="auto"/>
              <w:ind w:firstLine="0" w:firstLineChars="0"/>
              <w:jc w:val="center"/>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表4-17  液压油理化性质、危险特性一览表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315"/>
              <w:gridCol w:w="2156"/>
              <w:gridCol w:w="1556"/>
              <w:gridCol w:w="1699"/>
            </w:tblGrid>
            <w:tr w14:paraId="51089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1" w:type="pct"/>
                  <w:vMerge w:val="restart"/>
                  <w:vAlign w:val="center"/>
                </w:tcPr>
                <w:p w14:paraId="7D45D67D">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标识</w:t>
                  </w:r>
                </w:p>
              </w:tc>
              <w:tc>
                <w:tcPr>
                  <w:tcW w:w="852" w:type="pct"/>
                  <w:vAlign w:val="center"/>
                </w:tcPr>
                <w:p w14:paraId="7438F389">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中文名称</w:t>
                  </w:r>
                </w:p>
              </w:tc>
              <w:tc>
                <w:tcPr>
                  <w:tcW w:w="1397" w:type="pct"/>
                  <w:vAlign w:val="center"/>
                </w:tcPr>
                <w:p w14:paraId="242A8DD4">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auto"/>
                      <w:sz w:val="21"/>
                      <w:szCs w:val="21"/>
                      <w:lang w:eastAsia="zh-CN"/>
                    </w:rPr>
                  </w:pPr>
                  <w:r>
                    <w:rPr>
                      <w:rFonts w:hint="eastAsia" w:ascii="Times New Roman" w:hAnsi="Times New Roman" w:eastAsia="宋体" w:cs="Times New Roman"/>
                      <w:bCs/>
                      <w:color w:val="auto"/>
                      <w:sz w:val="21"/>
                      <w:szCs w:val="21"/>
                      <w:lang w:eastAsia="zh-CN"/>
                    </w:rPr>
                    <w:t>液压油</w:t>
                  </w:r>
                </w:p>
              </w:tc>
              <w:tc>
                <w:tcPr>
                  <w:tcW w:w="1008" w:type="pct"/>
                  <w:vAlign w:val="center"/>
                </w:tcPr>
                <w:p w14:paraId="7D6F3D32">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英文名称</w:t>
                  </w:r>
                </w:p>
              </w:tc>
              <w:tc>
                <w:tcPr>
                  <w:tcW w:w="1099" w:type="pct"/>
                  <w:vAlign w:val="center"/>
                </w:tcPr>
                <w:p w14:paraId="03FFD6AF">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Hydraulicoil</w:t>
                  </w:r>
                </w:p>
              </w:tc>
            </w:tr>
            <w:tr w14:paraId="60A51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1" w:type="pct"/>
                  <w:vMerge w:val="continue"/>
                  <w:vAlign w:val="center"/>
                </w:tcPr>
                <w:p w14:paraId="233AB5F6">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852" w:type="pct"/>
                  <w:vAlign w:val="center"/>
                </w:tcPr>
                <w:p w14:paraId="28C8B9D9">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CAS号</w:t>
                  </w:r>
                </w:p>
              </w:tc>
              <w:tc>
                <w:tcPr>
                  <w:tcW w:w="1397" w:type="pct"/>
                  <w:vAlign w:val="center"/>
                </w:tcPr>
                <w:p w14:paraId="754DDBF3">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auto"/>
                      <w:sz w:val="21"/>
                      <w:szCs w:val="21"/>
                      <w:lang w:eastAsia="zh-CN"/>
                    </w:rPr>
                  </w:pPr>
                  <w:r>
                    <w:rPr>
                      <w:rFonts w:hint="eastAsia" w:ascii="Times New Roman" w:hAnsi="Times New Roman" w:eastAsia="宋体" w:cs="Times New Roman"/>
                      <w:bCs/>
                      <w:color w:val="auto"/>
                      <w:sz w:val="21"/>
                      <w:szCs w:val="21"/>
                      <w:lang w:val="en-US" w:eastAsia="zh-CN"/>
                    </w:rPr>
                    <w:t>/</w:t>
                  </w:r>
                </w:p>
              </w:tc>
              <w:tc>
                <w:tcPr>
                  <w:tcW w:w="1008" w:type="pct"/>
                  <w:vAlign w:val="center"/>
                </w:tcPr>
                <w:p w14:paraId="613F7215">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UN编号</w:t>
                  </w:r>
                </w:p>
              </w:tc>
              <w:tc>
                <w:tcPr>
                  <w:tcW w:w="1099" w:type="pct"/>
                  <w:vAlign w:val="center"/>
                </w:tcPr>
                <w:p w14:paraId="07367192">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auto"/>
                      <w:sz w:val="21"/>
                      <w:szCs w:val="21"/>
                      <w:lang w:eastAsia="zh-CN"/>
                    </w:rPr>
                  </w:pPr>
                  <w:r>
                    <w:rPr>
                      <w:rFonts w:hint="eastAsia" w:ascii="Times New Roman" w:hAnsi="Times New Roman" w:eastAsia="宋体" w:cs="Times New Roman"/>
                      <w:bCs/>
                      <w:color w:val="auto"/>
                      <w:sz w:val="21"/>
                      <w:szCs w:val="21"/>
                      <w:lang w:val="en-US" w:eastAsia="zh-CN"/>
                    </w:rPr>
                    <w:t>/</w:t>
                  </w:r>
                </w:p>
              </w:tc>
            </w:tr>
            <w:tr w14:paraId="36D0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1" w:type="pct"/>
                  <w:vMerge w:val="continue"/>
                  <w:vAlign w:val="center"/>
                </w:tcPr>
                <w:p w14:paraId="6FA25A67">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852" w:type="pct"/>
                  <w:vAlign w:val="center"/>
                </w:tcPr>
                <w:p w14:paraId="501E723F">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分子量</w:t>
                  </w:r>
                </w:p>
              </w:tc>
              <w:tc>
                <w:tcPr>
                  <w:tcW w:w="1397" w:type="pct"/>
                  <w:vAlign w:val="center"/>
                </w:tcPr>
                <w:p w14:paraId="16D0FC3E">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auto"/>
                      <w:sz w:val="21"/>
                      <w:szCs w:val="21"/>
                      <w:lang w:eastAsia="zh-CN"/>
                    </w:rPr>
                  </w:pPr>
                  <w:r>
                    <w:rPr>
                      <w:rFonts w:hint="eastAsia" w:ascii="Times New Roman" w:hAnsi="Times New Roman" w:eastAsia="宋体" w:cs="Times New Roman"/>
                      <w:bCs/>
                      <w:color w:val="auto"/>
                      <w:sz w:val="21"/>
                      <w:szCs w:val="21"/>
                      <w:lang w:val="en-US" w:eastAsia="zh-CN"/>
                    </w:rPr>
                    <w:t>/</w:t>
                  </w:r>
                </w:p>
              </w:tc>
              <w:tc>
                <w:tcPr>
                  <w:tcW w:w="1008" w:type="pct"/>
                  <w:vAlign w:val="center"/>
                </w:tcPr>
                <w:p w14:paraId="49D25A36">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危险货物编号</w:t>
                  </w:r>
                </w:p>
              </w:tc>
              <w:tc>
                <w:tcPr>
                  <w:tcW w:w="1099" w:type="pct"/>
                  <w:vAlign w:val="center"/>
                </w:tcPr>
                <w:p w14:paraId="099B0C5E">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p>
              </w:tc>
            </w:tr>
            <w:tr w14:paraId="2EED4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1" w:type="pct"/>
                  <w:vMerge w:val="restart"/>
                  <w:vAlign w:val="center"/>
                </w:tcPr>
                <w:p w14:paraId="28E9FC9F">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理化性质</w:t>
                  </w:r>
                </w:p>
              </w:tc>
              <w:tc>
                <w:tcPr>
                  <w:tcW w:w="852" w:type="pct"/>
                  <w:vAlign w:val="center"/>
                </w:tcPr>
                <w:p w14:paraId="7BF03BAE">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外观与性状</w:t>
                  </w:r>
                </w:p>
              </w:tc>
              <w:tc>
                <w:tcPr>
                  <w:tcW w:w="1397" w:type="pct"/>
                  <w:vAlign w:val="center"/>
                </w:tcPr>
                <w:p w14:paraId="50F455E5">
                  <w:pPr>
                    <w:keepNext w:val="0"/>
                    <w:keepLines/>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rPr>
                  </w:pPr>
                  <w:r>
                    <w:rPr>
                      <w:rFonts w:hint="eastAsia" w:ascii="Times New Roman" w:hAnsi="Times New Roman" w:eastAsia="宋体" w:cs="宋体"/>
                      <w:color w:val="auto"/>
                      <w:kern w:val="0"/>
                      <w:sz w:val="20"/>
                      <w:szCs w:val="20"/>
                      <w:lang w:val="en-US" w:eastAsia="zh-CN" w:bidi="ar"/>
                    </w:rPr>
                    <w:t>琥珀色温室下液体</w:t>
                  </w:r>
                </w:p>
              </w:tc>
              <w:tc>
                <w:tcPr>
                  <w:tcW w:w="1008" w:type="pct"/>
                  <w:vAlign w:val="center"/>
                </w:tcPr>
                <w:p w14:paraId="53E80F48">
                  <w:pPr>
                    <w:keepNext w:val="0"/>
                    <w:keepLines/>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kern w:val="0"/>
                      <w:sz w:val="21"/>
                      <w:szCs w:val="21"/>
                      <w:lang w:bidi="ar"/>
                    </w:rPr>
                    <w:t>熔点（℃）</w:t>
                  </w:r>
                </w:p>
              </w:tc>
              <w:tc>
                <w:tcPr>
                  <w:tcW w:w="1099" w:type="pct"/>
                  <w:vAlign w:val="center"/>
                </w:tcPr>
                <w:p w14:paraId="6CFE0A78">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w:t>
                  </w:r>
                </w:p>
              </w:tc>
            </w:tr>
            <w:tr w14:paraId="2C3EB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1" w:type="pct"/>
                  <w:vMerge w:val="continue"/>
                  <w:vAlign w:val="center"/>
                </w:tcPr>
                <w:p w14:paraId="49C6EEB0">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852" w:type="pct"/>
                  <w:vAlign w:val="center"/>
                </w:tcPr>
                <w:p w14:paraId="44D019EB">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化学类别</w:t>
                  </w:r>
                </w:p>
              </w:tc>
              <w:tc>
                <w:tcPr>
                  <w:tcW w:w="1397" w:type="pct"/>
                  <w:vAlign w:val="center"/>
                </w:tcPr>
                <w:p w14:paraId="2CCCAC8B">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烷烃</w:t>
                  </w:r>
                </w:p>
              </w:tc>
              <w:tc>
                <w:tcPr>
                  <w:tcW w:w="1008" w:type="pct"/>
                  <w:vAlign w:val="center"/>
                </w:tcPr>
                <w:p w14:paraId="74F66484">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沸点（℃）</w:t>
                  </w:r>
                </w:p>
              </w:tc>
              <w:tc>
                <w:tcPr>
                  <w:tcW w:w="1099" w:type="pct"/>
                  <w:vAlign w:val="center"/>
                </w:tcPr>
                <w:p w14:paraId="71D76457">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w:t>
                  </w:r>
                </w:p>
              </w:tc>
            </w:tr>
            <w:tr w14:paraId="7293C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1" w:type="pct"/>
                  <w:vMerge w:val="continue"/>
                  <w:vAlign w:val="center"/>
                </w:tcPr>
                <w:p w14:paraId="25851586">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852" w:type="pct"/>
                  <w:vAlign w:val="center"/>
                </w:tcPr>
                <w:p w14:paraId="46525EE6">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闪点（℃）</w:t>
                  </w:r>
                </w:p>
              </w:tc>
              <w:tc>
                <w:tcPr>
                  <w:tcW w:w="1397" w:type="pct"/>
                  <w:vAlign w:val="center"/>
                </w:tcPr>
                <w:p w14:paraId="70A4BDFE">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w:t>
                  </w:r>
                </w:p>
              </w:tc>
              <w:tc>
                <w:tcPr>
                  <w:tcW w:w="1008" w:type="pct"/>
                  <w:vAlign w:val="center"/>
                </w:tcPr>
                <w:p w14:paraId="1578CB81">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引燃温度（℃）</w:t>
                  </w:r>
                </w:p>
              </w:tc>
              <w:tc>
                <w:tcPr>
                  <w:tcW w:w="1099" w:type="pct"/>
                  <w:vAlign w:val="center"/>
                </w:tcPr>
                <w:p w14:paraId="4DC9C332">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auto"/>
                      <w:sz w:val="21"/>
                      <w:szCs w:val="21"/>
                      <w:lang w:eastAsia="zh-CN"/>
                    </w:rPr>
                  </w:pPr>
                  <w:r>
                    <w:rPr>
                      <w:rFonts w:hint="eastAsia" w:ascii="Times New Roman" w:hAnsi="Times New Roman" w:eastAsia="宋体" w:cs="Times New Roman"/>
                      <w:bCs/>
                      <w:color w:val="auto"/>
                      <w:sz w:val="21"/>
                      <w:szCs w:val="21"/>
                      <w:lang w:val="en-US" w:eastAsia="zh-CN"/>
                    </w:rPr>
                    <w:t>/</w:t>
                  </w:r>
                </w:p>
              </w:tc>
            </w:tr>
            <w:tr w14:paraId="28FB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1" w:type="pct"/>
                  <w:vMerge w:val="continue"/>
                  <w:vAlign w:val="center"/>
                </w:tcPr>
                <w:p w14:paraId="0AA5502D">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852" w:type="pct"/>
                  <w:vAlign w:val="center"/>
                </w:tcPr>
                <w:p w14:paraId="4C8BD9F2">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相对密度</w:t>
                  </w:r>
                </w:p>
              </w:tc>
              <w:tc>
                <w:tcPr>
                  <w:tcW w:w="1397" w:type="pct"/>
                  <w:vAlign w:val="center"/>
                </w:tcPr>
                <w:p w14:paraId="1499603C">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相对密度（水＝</w:t>
                  </w:r>
                  <w:r>
                    <w:rPr>
                      <w:rFonts w:hint="default" w:ascii="Times New Roman" w:hAnsi="Times New Roman" w:eastAsia="宋体" w:cs="Times New Roman"/>
                      <w:bCs/>
                      <w:color w:val="auto"/>
                      <w:sz w:val="21"/>
                      <w:szCs w:val="21"/>
                      <w:lang w:val="en-US" w:eastAsia="zh-CN"/>
                    </w:rPr>
                    <w:t>1</w:t>
                  </w:r>
                  <w:r>
                    <w:rPr>
                      <w:rFonts w:hint="eastAsia" w:ascii="Times New Roman" w:hAnsi="Times New Roman" w:eastAsia="宋体" w:cs="Times New Roman"/>
                      <w:bCs/>
                      <w:color w:val="auto"/>
                      <w:sz w:val="21"/>
                      <w:szCs w:val="21"/>
                      <w:lang w:val="en-US" w:eastAsia="zh-CN"/>
                    </w:rPr>
                    <w:t>）；</w:t>
                  </w:r>
                  <w:r>
                    <w:rPr>
                      <w:rFonts w:hint="default" w:ascii="Times New Roman" w:hAnsi="Times New Roman" w:eastAsia="宋体" w:cs="Times New Roman"/>
                      <w:bCs/>
                      <w:color w:val="auto"/>
                      <w:sz w:val="21"/>
                      <w:szCs w:val="21"/>
                      <w:lang w:val="en-US" w:eastAsia="zh-CN"/>
                    </w:rPr>
                    <w:t>0.896kg/m3(15</w:t>
                  </w:r>
                  <w:r>
                    <w:rPr>
                      <w:rFonts w:hint="eastAsia" w:ascii="Times New Roman" w:hAnsi="Times New Roman" w:eastAsia="宋体" w:cs="Times New Roman"/>
                      <w:bCs/>
                      <w:color w:val="auto"/>
                      <w:sz w:val="21"/>
                      <w:szCs w:val="21"/>
                      <w:lang w:val="en-US" w:eastAsia="zh-CN"/>
                    </w:rPr>
                    <w:t>℃</w:t>
                  </w:r>
                  <w:r>
                    <w:rPr>
                      <w:rFonts w:hint="default" w:ascii="Times New Roman" w:hAnsi="Times New Roman" w:eastAsia="宋体" w:cs="Times New Roman"/>
                      <w:bCs/>
                      <w:color w:val="auto"/>
                      <w:sz w:val="21"/>
                      <w:szCs w:val="21"/>
                      <w:lang w:val="en-US" w:eastAsia="zh-CN"/>
                    </w:rPr>
                    <w:t>)</w:t>
                  </w:r>
                </w:p>
              </w:tc>
              <w:tc>
                <w:tcPr>
                  <w:tcW w:w="1008" w:type="pct"/>
                  <w:vAlign w:val="center"/>
                </w:tcPr>
                <w:p w14:paraId="59479D90">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溶解性</w:t>
                  </w:r>
                </w:p>
              </w:tc>
              <w:tc>
                <w:tcPr>
                  <w:tcW w:w="1099" w:type="pct"/>
                  <w:vAlign w:val="center"/>
                </w:tcPr>
                <w:p w14:paraId="0F2FB5FE">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不溶于水</w:t>
                  </w:r>
                </w:p>
              </w:tc>
            </w:tr>
            <w:tr w14:paraId="608C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1" w:type="pct"/>
                  <w:vMerge w:val="restart"/>
                  <w:vAlign w:val="center"/>
                </w:tcPr>
                <w:p w14:paraId="015CEDF1">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毒性及健康危害</w:t>
                  </w:r>
                </w:p>
              </w:tc>
              <w:tc>
                <w:tcPr>
                  <w:tcW w:w="852" w:type="pct"/>
                  <w:vAlign w:val="center"/>
                </w:tcPr>
                <w:p w14:paraId="3CE8A808">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侵入途径</w:t>
                  </w:r>
                </w:p>
              </w:tc>
              <w:tc>
                <w:tcPr>
                  <w:tcW w:w="3505" w:type="pct"/>
                  <w:gridSpan w:val="3"/>
                  <w:vAlign w:val="center"/>
                </w:tcPr>
                <w:p w14:paraId="290BBD24">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吸入、食入</w:t>
                  </w:r>
                </w:p>
              </w:tc>
            </w:tr>
            <w:tr w14:paraId="526A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1" w:type="pct"/>
                  <w:vMerge w:val="continue"/>
                  <w:vAlign w:val="center"/>
                </w:tcPr>
                <w:p w14:paraId="19D55649">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852" w:type="pct"/>
                  <w:vAlign w:val="center"/>
                </w:tcPr>
                <w:p w14:paraId="22390C86">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健康危害</w:t>
                  </w:r>
                </w:p>
              </w:tc>
              <w:tc>
                <w:tcPr>
                  <w:tcW w:w="3505" w:type="pct"/>
                  <w:gridSpan w:val="3"/>
                  <w:vAlign w:val="center"/>
                </w:tcPr>
                <w:p w14:paraId="7FE59DF3">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在正常条件下使用不应会成为健康危险源。长时间接触可造成</w:t>
                  </w:r>
                  <w:r>
                    <w:rPr>
                      <w:rFonts w:hint="eastAsia" w:ascii="Times New Roman" w:hAnsi="Times New Roman" w:cs="Times New Roman"/>
                      <w:bCs/>
                      <w:color w:val="auto"/>
                      <w:sz w:val="21"/>
                      <w:szCs w:val="21"/>
                      <w:lang w:val="en-US" w:eastAsia="zh-CN"/>
                    </w:rPr>
                    <w:t>眩晕</w:t>
                  </w:r>
                  <w:r>
                    <w:rPr>
                      <w:rFonts w:hint="eastAsia" w:ascii="Times New Roman" w:hAnsi="Times New Roman" w:eastAsia="宋体" w:cs="Times New Roman"/>
                      <w:bCs/>
                      <w:color w:val="auto"/>
                      <w:sz w:val="21"/>
                      <w:szCs w:val="21"/>
                      <w:lang w:val="en-US" w:eastAsia="zh-CN"/>
                    </w:rPr>
                    <w:t>或反胃，如果发生了，将患者移到有新鲜空气的地方，若症状持续则要求助医生</w:t>
                  </w:r>
                </w:p>
              </w:tc>
            </w:tr>
            <w:tr w14:paraId="6FC58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1" w:type="pct"/>
                  <w:vMerge w:val="restart"/>
                  <w:vAlign w:val="center"/>
                </w:tcPr>
                <w:p w14:paraId="5A8AA9E3">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燃烧爆炸危险性</w:t>
                  </w:r>
                </w:p>
              </w:tc>
              <w:tc>
                <w:tcPr>
                  <w:tcW w:w="852" w:type="pct"/>
                  <w:vAlign w:val="center"/>
                </w:tcPr>
                <w:p w14:paraId="16073DDA">
                  <w:pPr>
                    <w:keepNext w:val="0"/>
                    <w:keepLines/>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危险特性</w:t>
                  </w:r>
                </w:p>
              </w:tc>
              <w:tc>
                <w:tcPr>
                  <w:tcW w:w="3505" w:type="pct"/>
                  <w:gridSpan w:val="3"/>
                  <w:vAlign w:val="center"/>
                </w:tcPr>
                <w:p w14:paraId="69D708B1">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遇明火、高热可燃。</w:t>
                  </w:r>
                </w:p>
              </w:tc>
            </w:tr>
            <w:tr w14:paraId="5E1E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1" w:type="pct"/>
                  <w:vMerge w:val="continue"/>
                  <w:vAlign w:val="center"/>
                </w:tcPr>
                <w:p w14:paraId="397AFE88">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p>
              </w:tc>
              <w:tc>
                <w:tcPr>
                  <w:tcW w:w="852" w:type="pct"/>
                  <w:vAlign w:val="center"/>
                </w:tcPr>
                <w:p w14:paraId="02A8D475">
                  <w:pPr>
                    <w:keepNext w:val="0"/>
                    <w:keepLines/>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燃烧（分解）产物</w:t>
                  </w:r>
                </w:p>
              </w:tc>
              <w:tc>
                <w:tcPr>
                  <w:tcW w:w="3505" w:type="pct"/>
                  <w:gridSpan w:val="3"/>
                  <w:vAlign w:val="center"/>
                </w:tcPr>
                <w:p w14:paraId="1A27347F">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一氧化碳、二氧化碳</w:t>
                  </w:r>
                </w:p>
              </w:tc>
            </w:tr>
            <w:tr w14:paraId="4A66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1" w:type="pct"/>
                  <w:vMerge w:val="continue"/>
                  <w:vAlign w:val="center"/>
                </w:tcPr>
                <w:p w14:paraId="0807EAC7">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p>
              </w:tc>
              <w:tc>
                <w:tcPr>
                  <w:tcW w:w="852" w:type="pct"/>
                  <w:vAlign w:val="center"/>
                </w:tcPr>
                <w:p w14:paraId="11897851">
                  <w:pPr>
                    <w:keepNext w:val="0"/>
                    <w:keepLines/>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灭火剂</w:t>
                  </w:r>
                </w:p>
              </w:tc>
              <w:tc>
                <w:tcPr>
                  <w:tcW w:w="3505" w:type="pct"/>
                  <w:gridSpan w:val="3"/>
                  <w:vAlign w:val="center"/>
                </w:tcPr>
                <w:p w14:paraId="1711448A">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雾状水、泡沫、干粉、二氧化碳、砂土</w:t>
                  </w:r>
                </w:p>
              </w:tc>
            </w:tr>
            <w:tr w14:paraId="565F1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1" w:type="pct"/>
                  <w:vMerge w:val="continue"/>
                  <w:vAlign w:val="center"/>
                </w:tcPr>
                <w:p w14:paraId="51F18066">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p>
              </w:tc>
              <w:tc>
                <w:tcPr>
                  <w:tcW w:w="852" w:type="pct"/>
                  <w:vAlign w:val="center"/>
                </w:tcPr>
                <w:p w14:paraId="3023F22E">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灭火方法</w:t>
                  </w:r>
                </w:p>
              </w:tc>
              <w:tc>
                <w:tcPr>
                  <w:tcW w:w="3505" w:type="pct"/>
                  <w:gridSpan w:val="3"/>
                  <w:vAlign w:val="center"/>
                </w:tcPr>
                <w:p w14:paraId="04458740">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消防人员须佩戴空气呼吸器、穿全身消防服，在上风向灭火。尽可能将容器从火场移至空旷处。喷水保持火场容器冷却，直</w:t>
                  </w:r>
                </w:p>
                <w:p w14:paraId="44082C1F">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至灭火结束。灭火剂：泡沫、干粉、二氧化碳。</w:t>
                  </w:r>
                </w:p>
              </w:tc>
            </w:tr>
            <w:tr w14:paraId="0AF1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641" w:type="pct"/>
                  <w:vAlign w:val="center"/>
                </w:tcPr>
                <w:p w14:paraId="0ADBEE4B">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存储注意事项</w:t>
                  </w:r>
                </w:p>
              </w:tc>
              <w:tc>
                <w:tcPr>
                  <w:tcW w:w="4358" w:type="pct"/>
                  <w:gridSpan w:val="4"/>
                  <w:vAlign w:val="center"/>
                </w:tcPr>
                <w:p w14:paraId="1CD7B3C0">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密闭容器，放在凉处、通风良好的地方使用适当加注标签及可封闭的容器。</w:t>
                  </w:r>
                </w:p>
                <w:p w14:paraId="67A23B04">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储存温度：长期储存（</w:t>
                  </w:r>
                  <w:r>
                    <w:rPr>
                      <w:rFonts w:hint="default" w:ascii="Times New Roman" w:hAnsi="Times New Roman" w:eastAsia="宋体" w:cs="Times New Roman"/>
                      <w:bCs/>
                      <w:color w:val="auto"/>
                      <w:sz w:val="21"/>
                      <w:szCs w:val="21"/>
                      <w:lang w:val="en-US" w:eastAsia="zh-CN"/>
                    </w:rPr>
                    <w:t>3</w:t>
                  </w:r>
                  <w:r>
                    <w:rPr>
                      <w:rFonts w:hint="eastAsia" w:ascii="Times New Roman" w:hAnsi="Times New Roman" w:eastAsia="宋体" w:cs="Times New Roman"/>
                      <w:bCs/>
                      <w:color w:val="auto"/>
                      <w:sz w:val="21"/>
                      <w:szCs w:val="21"/>
                      <w:lang w:val="en-US" w:eastAsia="zh-CN"/>
                    </w:rPr>
                    <w:t>个月以上）</w:t>
                  </w:r>
                  <w:r>
                    <w:rPr>
                      <w:rFonts w:hint="default" w:ascii="Times New Roman" w:hAnsi="Times New Roman" w:eastAsia="宋体" w:cs="Times New Roman"/>
                      <w:bCs/>
                      <w:color w:val="auto"/>
                      <w:sz w:val="21"/>
                      <w:szCs w:val="21"/>
                      <w:lang w:val="en-US" w:eastAsia="zh-CN"/>
                    </w:rPr>
                    <w:t>-15~50</w:t>
                  </w:r>
                  <w:r>
                    <w:rPr>
                      <w:rFonts w:hint="eastAsia" w:ascii="Times New Roman" w:hAnsi="Times New Roman" w:eastAsia="宋体" w:cs="Times New Roman"/>
                      <w:bCs/>
                      <w:color w:val="auto"/>
                      <w:sz w:val="21"/>
                      <w:szCs w:val="21"/>
                      <w:lang w:val="en-US" w:eastAsia="zh-CN"/>
                    </w:rPr>
                    <w:t>℃；短期储存：</w:t>
                  </w:r>
                  <w:r>
                    <w:rPr>
                      <w:rFonts w:hint="default" w:ascii="Times New Roman" w:hAnsi="Times New Roman" w:eastAsia="宋体" w:cs="Times New Roman"/>
                      <w:bCs/>
                      <w:color w:val="auto"/>
                      <w:sz w:val="21"/>
                      <w:szCs w:val="21"/>
                      <w:lang w:val="en-US" w:eastAsia="zh-CN"/>
                    </w:rPr>
                    <w:t>-20</w:t>
                  </w:r>
                  <w:r>
                    <w:rPr>
                      <w:rFonts w:hint="eastAsia" w:ascii="Times New Roman" w:hAnsi="Times New Roman" w:eastAsia="宋体" w:cs="Times New Roman"/>
                      <w:bCs/>
                      <w:color w:val="auto"/>
                      <w:sz w:val="21"/>
                      <w:szCs w:val="21"/>
                      <w:lang w:val="en-US" w:eastAsia="zh-CN"/>
                    </w:rPr>
                    <w:t>～</w:t>
                  </w:r>
                  <w:r>
                    <w:rPr>
                      <w:rFonts w:hint="default" w:ascii="Times New Roman" w:hAnsi="Times New Roman" w:eastAsia="宋体" w:cs="Times New Roman"/>
                      <w:bCs/>
                      <w:color w:val="auto"/>
                      <w:sz w:val="21"/>
                      <w:szCs w:val="21"/>
                      <w:lang w:val="en-US" w:eastAsia="zh-CN"/>
                    </w:rPr>
                    <w:t>60</w:t>
                  </w:r>
                  <w:r>
                    <w:rPr>
                      <w:rFonts w:hint="eastAsia" w:ascii="Times New Roman" w:hAnsi="Times New Roman" w:eastAsia="宋体" w:cs="Times New Roman"/>
                      <w:bCs/>
                      <w:color w:val="auto"/>
                      <w:sz w:val="21"/>
                      <w:szCs w:val="21"/>
                      <w:lang w:val="en-US" w:eastAsia="zh-CN"/>
                    </w:rPr>
                    <w:t>℃。</w:t>
                  </w:r>
                </w:p>
              </w:tc>
            </w:tr>
          </w:tbl>
          <w:p w14:paraId="6007BDDB">
            <w:pPr>
              <w:ind w:firstLine="480"/>
              <w:rPr>
                <w:rFonts w:hint="eastAsia" w:cs="Times New Roman"/>
                <w:b/>
                <w:bCs/>
                <w:color w:val="auto"/>
                <w:lang w:val="en-US" w:eastAsia="zh-CN"/>
              </w:rPr>
            </w:pPr>
          </w:p>
          <w:p w14:paraId="194FB5C3">
            <w:pPr>
              <w:pStyle w:val="2"/>
              <w:rPr>
                <w:rFonts w:hint="eastAsia"/>
                <w:color w:val="auto"/>
                <w:lang w:val="en-US" w:eastAsia="zh-CN"/>
              </w:rPr>
            </w:pPr>
          </w:p>
          <w:p w14:paraId="0987EEF2">
            <w:pPr>
              <w:adjustRightInd w:val="0"/>
              <w:snapToGrid w:val="0"/>
              <w:spacing w:line="360" w:lineRule="auto"/>
              <w:ind w:firstLine="0" w:firstLineChars="0"/>
              <w:jc w:val="center"/>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表4-18  机油理化性质、危险特性一览表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316"/>
              <w:gridCol w:w="2156"/>
              <w:gridCol w:w="1556"/>
              <w:gridCol w:w="1694"/>
            </w:tblGrid>
            <w:tr w14:paraId="71A84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pct"/>
                  <w:vMerge w:val="restart"/>
                  <w:vAlign w:val="center"/>
                </w:tcPr>
                <w:p w14:paraId="0129117C">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标识</w:t>
                  </w:r>
                </w:p>
              </w:tc>
              <w:tc>
                <w:tcPr>
                  <w:tcW w:w="853" w:type="pct"/>
                  <w:vAlign w:val="center"/>
                </w:tcPr>
                <w:p w14:paraId="2CA39BE2">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中文名称</w:t>
                  </w:r>
                </w:p>
              </w:tc>
              <w:tc>
                <w:tcPr>
                  <w:tcW w:w="1397" w:type="pct"/>
                  <w:vAlign w:val="center"/>
                </w:tcPr>
                <w:p w14:paraId="32ACBD6C">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机油；润滑油</w:t>
                  </w:r>
                </w:p>
              </w:tc>
              <w:tc>
                <w:tcPr>
                  <w:tcW w:w="1008" w:type="pct"/>
                  <w:vAlign w:val="center"/>
                </w:tcPr>
                <w:p w14:paraId="35190CEB">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英文名称</w:t>
                  </w:r>
                </w:p>
              </w:tc>
              <w:tc>
                <w:tcPr>
                  <w:tcW w:w="1097" w:type="pct"/>
                  <w:vAlign w:val="center"/>
                </w:tcPr>
                <w:p w14:paraId="3D7A989D">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lubricatingoilLubeoil</w:t>
                  </w:r>
                </w:p>
              </w:tc>
            </w:tr>
            <w:tr w14:paraId="1A874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pct"/>
                  <w:vMerge w:val="continue"/>
                  <w:vAlign w:val="center"/>
                </w:tcPr>
                <w:p w14:paraId="25A70087">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853" w:type="pct"/>
                  <w:vAlign w:val="center"/>
                </w:tcPr>
                <w:p w14:paraId="79096EA8">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CAS号</w:t>
                  </w:r>
                </w:p>
              </w:tc>
              <w:tc>
                <w:tcPr>
                  <w:tcW w:w="1397" w:type="pct"/>
                  <w:vAlign w:val="center"/>
                </w:tcPr>
                <w:p w14:paraId="1B2975AD">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无资料</w:t>
                  </w:r>
                </w:p>
              </w:tc>
              <w:tc>
                <w:tcPr>
                  <w:tcW w:w="1008" w:type="pct"/>
                  <w:vAlign w:val="center"/>
                </w:tcPr>
                <w:p w14:paraId="7D2D0B00">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UN编号</w:t>
                  </w:r>
                </w:p>
              </w:tc>
              <w:tc>
                <w:tcPr>
                  <w:tcW w:w="1097" w:type="pct"/>
                  <w:vAlign w:val="center"/>
                </w:tcPr>
                <w:p w14:paraId="3F601CA0">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无资料</w:t>
                  </w:r>
                </w:p>
              </w:tc>
            </w:tr>
            <w:tr w14:paraId="2B7E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pct"/>
                  <w:vMerge w:val="continue"/>
                  <w:vAlign w:val="center"/>
                </w:tcPr>
                <w:p w14:paraId="5A8170E1">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853" w:type="pct"/>
                  <w:vAlign w:val="center"/>
                </w:tcPr>
                <w:p w14:paraId="1E3EE773">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分子量</w:t>
                  </w:r>
                </w:p>
              </w:tc>
              <w:tc>
                <w:tcPr>
                  <w:tcW w:w="1397" w:type="pct"/>
                  <w:vAlign w:val="center"/>
                </w:tcPr>
                <w:p w14:paraId="57C231F1">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230-500</w:t>
                  </w:r>
                </w:p>
              </w:tc>
              <w:tc>
                <w:tcPr>
                  <w:tcW w:w="1008" w:type="pct"/>
                  <w:vAlign w:val="center"/>
                </w:tcPr>
                <w:p w14:paraId="1D8C3FE1">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危险货物编号</w:t>
                  </w:r>
                </w:p>
              </w:tc>
              <w:tc>
                <w:tcPr>
                  <w:tcW w:w="1097" w:type="pct"/>
                  <w:vAlign w:val="center"/>
                </w:tcPr>
                <w:p w14:paraId="0AC8F695">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r>
            <w:tr w14:paraId="45E6D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pct"/>
                  <w:vMerge w:val="restart"/>
                  <w:vAlign w:val="center"/>
                </w:tcPr>
                <w:p w14:paraId="05F3F0C1">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理化性质</w:t>
                  </w:r>
                </w:p>
              </w:tc>
              <w:tc>
                <w:tcPr>
                  <w:tcW w:w="853" w:type="pct"/>
                  <w:vAlign w:val="center"/>
                </w:tcPr>
                <w:p w14:paraId="0948B90C">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外观与性状</w:t>
                  </w:r>
                </w:p>
              </w:tc>
              <w:tc>
                <w:tcPr>
                  <w:tcW w:w="1397" w:type="pct"/>
                  <w:vAlign w:val="center"/>
                </w:tcPr>
                <w:p w14:paraId="1AB5F244">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油状液体，淡黄色至褐色，无气味或略带异味</w:t>
                  </w:r>
                </w:p>
              </w:tc>
              <w:tc>
                <w:tcPr>
                  <w:tcW w:w="1008" w:type="pct"/>
                  <w:vAlign w:val="center"/>
                </w:tcPr>
                <w:p w14:paraId="57DB70E3">
                  <w:pPr>
                    <w:keepNext w:val="0"/>
                    <w:keepLines/>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kern w:val="0"/>
                      <w:sz w:val="21"/>
                      <w:szCs w:val="21"/>
                      <w:lang w:bidi="ar"/>
                    </w:rPr>
                    <w:t>熔点（℃）</w:t>
                  </w:r>
                </w:p>
              </w:tc>
              <w:tc>
                <w:tcPr>
                  <w:tcW w:w="1097" w:type="pct"/>
                  <w:vAlign w:val="center"/>
                </w:tcPr>
                <w:p w14:paraId="46EC63FC">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w:t>
                  </w:r>
                </w:p>
              </w:tc>
            </w:tr>
            <w:tr w14:paraId="0278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pct"/>
                  <w:vMerge w:val="continue"/>
                  <w:vAlign w:val="center"/>
                </w:tcPr>
                <w:p w14:paraId="4E00F04F">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853" w:type="pct"/>
                  <w:vAlign w:val="center"/>
                </w:tcPr>
                <w:p w14:paraId="1966DCD0">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化学类别</w:t>
                  </w:r>
                </w:p>
              </w:tc>
              <w:tc>
                <w:tcPr>
                  <w:tcW w:w="1397" w:type="pct"/>
                  <w:vAlign w:val="center"/>
                </w:tcPr>
                <w:p w14:paraId="6FC2C617">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烷烃</w:t>
                  </w:r>
                </w:p>
              </w:tc>
              <w:tc>
                <w:tcPr>
                  <w:tcW w:w="1008" w:type="pct"/>
                  <w:vAlign w:val="center"/>
                </w:tcPr>
                <w:p w14:paraId="182AC46A">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沸点（℃）</w:t>
                  </w:r>
                </w:p>
              </w:tc>
              <w:tc>
                <w:tcPr>
                  <w:tcW w:w="1097" w:type="pct"/>
                  <w:vAlign w:val="center"/>
                </w:tcPr>
                <w:p w14:paraId="3925DA57">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w:t>
                  </w:r>
                </w:p>
              </w:tc>
            </w:tr>
            <w:tr w14:paraId="590C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pct"/>
                  <w:vMerge w:val="continue"/>
                  <w:vAlign w:val="center"/>
                </w:tcPr>
                <w:p w14:paraId="19565E87">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853" w:type="pct"/>
                  <w:vAlign w:val="center"/>
                </w:tcPr>
                <w:p w14:paraId="3E89972D">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闪点（℃）</w:t>
                  </w:r>
                </w:p>
              </w:tc>
              <w:tc>
                <w:tcPr>
                  <w:tcW w:w="1397" w:type="pct"/>
                  <w:vAlign w:val="center"/>
                </w:tcPr>
                <w:p w14:paraId="7CDEC1D6">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76</w:t>
                  </w:r>
                </w:p>
              </w:tc>
              <w:tc>
                <w:tcPr>
                  <w:tcW w:w="1008" w:type="pct"/>
                  <w:vAlign w:val="center"/>
                </w:tcPr>
                <w:p w14:paraId="0834F8DF">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引燃温度（℃）</w:t>
                  </w:r>
                </w:p>
              </w:tc>
              <w:tc>
                <w:tcPr>
                  <w:tcW w:w="1097" w:type="pct"/>
                  <w:vAlign w:val="center"/>
                </w:tcPr>
                <w:p w14:paraId="15E2E5F6">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248</w:t>
                  </w:r>
                </w:p>
              </w:tc>
            </w:tr>
            <w:tr w14:paraId="7F72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pct"/>
                  <w:vMerge w:val="continue"/>
                  <w:vAlign w:val="center"/>
                </w:tcPr>
                <w:p w14:paraId="6C51EECB">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853" w:type="pct"/>
                  <w:vAlign w:val="center"/>
                </w:tcPr>
                <w:p w14:paraId="72E23378">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相对密度</w:t>
                  </w:r>
                </w:p>
              </w:tc>
              <w:tc>
                <w:tcPr>
                  <w:tcW w:w="1397" w:type="pct"/>
                  <w:vAlign w:val="center"/>
                </w:tcPr>
                <w:p w14:paraId="50DBA6B2">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＜1（水=1）</w:t>
                  </w:r>
                </w:p>
              </w:tc>
              <w:tc>
                <w:tcPr>
                  <w:tcW w:w="1008" w:type="pct"/>
                  <w:vAlign w:val="center"/>
                </w:tcPr>
                <w:p w14:paraId="45FF870F">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溶解性</w:t>
                  </w:r>
                </w:p>
              </w:tc>
              <w:tc>
                <w:tcPr>
                  <w:tcW w:w="1097" w:type="pct"/>
                  <w:vAlign w:val="center"/>
                </w:tcPr>
                <w:p w14:paraId="68572B8B">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不溶于水</w:t>
                  </w:r>
                </w:p>
              </w:tc>
            </w:tr>
            <w:tr w14:paraId="193E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pct"/>
                  <w:vMerge w:val="restart"/>
                  <w:vAlign w:val="center"/>
                </w:tcPr>
                <w:p w14:paraId="0651353E">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毒性及健康危害</w:t>
                  </w:r>
                </w:p>
              </w:tc>
              <w:tc>
                <w:tcPr>
                  <w:tcW w:w="853" w:type="pct"/>
                  <w:vAlign w:val="center"/>
                </w:tcPr>
                <w:p w14:paraId="52B49928">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急性毒性</w:t>
                  </w:r>
                </w:p>
              </w:tc>
              <w:tc>
                <w:tcPr>
                  <w:tcW w:w="1397" w:type="pct"/>
                  <w:vAlign w:val="center"/>
                </w:tcPr>
                <w:p w14:paraId="32DEC765">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LD</w:t>
                  </w:r>
                  <w:r>
                    <w:rPr>
                      <w:rFonts w:hint="default" w:ascii="Times New Roman" w:hAnsi="Times New Roman" w:eastAsia="宋体" w:cs="Times New Roman"/>
                      <w:b w:val="0"/>
                      <w:bCs/>
                      <w:color w:val="auto"/>
                      <w:sz w:val="21"/>
                      <w:szCs w:val="21"/>
                      <w:vertAlign w:val="subscript"/>
                    </w:rPr>
                    <w:t>50（</w:t>
                  </w:r>
                  <w:r>
                    <w:rPr>
                      <w:rFonts w:hint="default" w:ascii="Times New Roman" w:hAnsi="Times New Roman" w:eastAsia="宋体" w:cs="Times New Roman"/>
                      <w:b w:val="0"/>
                      <w:bCs/>
                      <w:color w:val="auto"/>
                      <w:sz w:val="21"/>
                      <w:szCs w:val="21"/>
                    </w:rPr>
                    <w:t>mg/kg大鼠径口）</w:t>
                  </w:r>
                </w:p>
              </w:tc>
              <w:tc>
                <w:tcPr>
                  <w:tcW w:w="1008" w:type="pct"/>
                  <w:vAlign w:val="center"/>
                </w:tcPr>
                <w:p w14:paraId="1F29F063">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无资料</w:t>
                  </w:r>
                </w:p>
              </w:tc>
              <w:tc>
                <w:tcPr>
                  <w:tcW w:w="1097" w:type="pct"/>
                  <w:vAlign w:val="center"/>
                </w:tcPr>
                <w:p w14:paraId="4823F18B">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r>
            <w:tr w14:paraId="2C1F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pct"/>
                  <w:vMerge w:val="continue"/>
                  <w:vAlign w:val="center"/>
                </w:tcPr>
                <w:p w14:paraId="06E07849">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853" w:type="pct"/>
                  <w:vAlign w:val="center"/>
                </w:tcPr>
                <w:p w14:paraId="41C4F83C">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侵入途径</w:t>
                  </w:r>
                </w:p>
              </w:tc>
              <w:tc>
                <w:tcPr>
                  <w:tcW w:w="3503" w:type="pct"/>
                  <w:gridSpan w:val="3"/>
                  <w:vAlign w:val="center"/>
                </w:tcPr>
                <w:p w14:paraId="47B95D25">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吸入、食入</w:t>
                  </w:r>
                </w:p>
              </w:tc>
            </w:tr>
            <w:tr w14:paraId="79235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pct"/>
                  <w:vMerge w:val="continue"/>
                  <w:vAlign w:val="center"/>
                </w:tcPr>
                <w:p w14:paraId="45979F91">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853" w:type="pct"/>
                  <w:vAlign w:val="center"/>
                </w:tcPr>
                <w:p w14:paraId="4400A3DD">
                  <w:pPr>
                    <w:keepNext w:val="0"/>
                    <w:keepLines/>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kern w:val="0"/>
                      <w:sz w:val="21"/>
                      <w:szCs w:val="21"/>
                      <w:lang w:bidi="ar"/>
                    </w:rPr>
                    <w:t>健康危害</w:t>
                  </w:r>
                </w:p>
              </w:tc>
              <w:tc>
                <w:tcPr>
                  <w:tcW w:w="3503" w:type="pct"/>
                  <w:gridSpan w:val="3"/>
                  <w:vAlign w:val="center"/>
                </w:tcPr>
                <w:p w14:paraId="2F03307F">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急性吸入，可出现乏力、头晕、头痛、恶心，严重者可引起油脂性肺炎。慢接触者，暴露部位可发生油性痤疮和接触性皮炎。可引起神经衰弱综合征，呼吸道和眼刺激症状及慢性油脂性肺炎。有资料报道，接触石油润滑油类的工人，有致癌的病例报告。</w:t>
                  </w:r>
                </w:p>
              </w:tc>
            </w:tr>
            <w:tr w14:paraId="0FD16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pct"/>
                  <w:vMerge w:val="restart"/>
                  <w:vAlign w:val="center"/>
                </w:tcPr>
                <w:p w14:paraId="2C7D1232">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燃烧爆炸危险性</w:t>
                  </w:r>
                </w:p>
              </w:tc>
              <w:tc>
                <w:tcPr>
                  <w:tcW w:w="853" w:type="pct"/>
                  <w:vAlign w:val="center"/>
                </w:tcPr>
                <w:p w14:paraId="6F512584">
                  <w:pPr>
                    <w:keepNext w:val="0"/>
                    <w:keepLines/>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0"/>
                      <w:sz w:val="21"/>
                      <w:szCs w:val="21"/>
                      <w:lang w:bidi="ar"/>
                    </w:rPr>
                  </w:pPr>
                  <w:r>
                    <w:rPr>
                      <w:rFonts w:hint="default" w:ascii="Times New Roman" w:hAnsi="Times New Roman" w:eastAsia="宋体" w:cs="Times New Roman"/>
                      <w:b w:val="0"/>
                      <w:bCs/>
                      <w:color w:val="auto"/>
                      <w:kern w:val="0"/>
                      <w:sz w:val="21"/>
                      <w:szCs w:val="21"/>
                      <w:lang w:bidi="ar"/>
                    </w:rPr>
                    <w:t>危险特性</w:t>
                  </w:r>
                </w:p>
              </w:tc>
              <w:tc>
                <w:tcPr>
                  <w:tcW w:w="3503" w:type="pct"/>
                  <w:gridSpan w:val="3"/>
                  <w:vAlign w:val="center"/>
                </w:tcPr>
                <w:p w14:paraId="5FF92076">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遇明火、高热可燃。</w:t>
                  </w:r>
                </w:p>
              </w:tc>
            </w:tr>
            <w:tr w14:paraId="54FF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pct"/>
                  <w:vMerge w:val="continue"/>
                  <w:vAlign w:val="center"/>
                </w:tcPr>
                <w:p w14:paraId="1A99D65E">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853" w:type="pct"/>
                  <w:vAlign w:val="center"/>
                </w:tcPr>
                <w:p w14:paraId="6D880603">
                  <w:pPr>
                    <w:keepNext w:val="0"/>
                    <w:keepLines/>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0"/>
                      <w:sz w:val="21"/>
                      <w:szCs w:val="21"/>
                      <w:lang w:bidi="ar"/>
                    </w:rPr>
                  </w:pPr>
                  <w:r>
                    <w:rPr>
                      <w:rFonts w:hint="default" w:ascii="Times New Roman" w:hAnsi="Times New Roman" w:eastAsia="宋体" w:cs="Times New Roman"/>
                      <w:b w:val="0"/>
                      <w:bCs/>
                      <w:color w:val="auto"/>
                      <w:kern w:val="0"/>
                      <w:sz w:val="21"/>
                      <w:szCs w:val="21"/>
                      <w:lang w:bidi="ar"/>
                    </w:rPr>
                    <w:t>燃烧（分解）产物</w:t>
                  </w:r>
                </w:p>
              </w:tc>
              <w:tc>
                <w:tcPr>
                  <w:tcW w:w="3503" w:type="pct"/>
                  <w:gridSpan w:val="3"/>
                  <w:vAlign w:val="center"/>
                </w:tcPr>
                <w:p w14:paraId="6ADF18FE">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一氧化碳、二氧化碳</w:t>
                  </w:r>
                </w:p>
              </w:tc>
            </w:tr>
            <w:tr w14:paraId="7A79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pct"/>
                  <w:vMerge w:val="continue"/>
                  <w:vAlign w:val="center"/>
                </w:tcPr>
                <w:p w14:paraId="535F1133">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853" w:type="pct"/>
                  <w:vAlign w:val="center"/>
                </w:tcPr>
                <w:p w14:paraId="0AE58AD2">
                  <w:pPr>
                    <w:keepNext w:val="0"/>
                    <w:keepLines/>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0"/>
                      <w:sz w:val="21"/>
                      <w:szCs w:val="21"/>
                      <w:lang w:bidi="ar"/>
                    </w:rPr>
                  </w:pPr>
                  <w:r>
                    <w:rPr>
                      <w:rFonts w:hint="default" w:ascii="Times New Roman" w:hAnsi="Times New Roman" w:eastAsia="宋体" w:cs="Times New Roman"/>
                      <w:b w:val="0"/>
                      <w:bCs/>
                      <w:color w:val="auto"/>
                      <w:kern w:val="0"/>
                      <w:sz w:val="21"/>
                      <w:szCs w:val="21"/>
                      <w:lang w:bidi="ar"/>
                    </w:rPr>
                    <w:t>灭火剂</w:t>
                  </w:r>
                </w:p>
              </w:tc>
              <w:tc>
                <w:tcPr>
                  <w:tcW w:w="3503" w:type="pct"/>
                  <w:gridSpan w:val="3"/>
                  <w:vAlign w:val="center"/>
                </w:tcPr>
                <w:p w14:paraId="01087588">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雾状水、泡沫、干粉、二氧化碳、砂土</w:t>
                  </w:r>
                </w:p>
              </w:tc>
            </w:tr>
            <w:tr w14:paraId="3E47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pct"/>
                  <w:vMerge w:val="continue"/>
                  <w:vAlign w:val="center"/>
                </w:tcPr>
                <w:p w14:paraId="31E28D4F">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853" w:type="pct"/>
                  <w:vAlign w:val="center"/>
                </w:tcPr>
                <w:p w14:paraId="3640A289">
                  <w:pPr>
                    <w:keepNext w:val="0"/>
                    <w:keepLines/>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0"/>
                      <w:sz w:val="21"/>
                      <w:szCs w:val="21"/>
                      <w:lang w:bidi="ar"/>
                    </w:rPr>
                  </w:pPr>
                  <w:r>
                    <w:rPr>
                      <w:rFonts w:hint="default" w:ascii="Times New Roman" w:hAnsi="Times New Roman" w:eastAsia="宋体" w:cs="Times New Roman"/>
                      <w:b w:val="0"/>
                      <w:bCs/>
                      <w:color w:val="auto"/>
                      <w:kern w:val="0"/>
                      <w:sz w:val="21"/>
                      <w:szCs w:val="21"/>
                      <w:lang w:bidi="ar"/>
                    </w:rPr>
                    <w:t>灭火方法</w:t>
                  </w:r>
                </w:p>
              </w:tc>
              <w:tc>
                <w:tcPr>
                  <w:tcW w:w="3503" w:type="pct"/>
                  <w:gridSpan w:val="3"/>
                  <w:vAlign w:val="center"/>
                </w:tcPr>
                <w:p w14:paraId="036148C8">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消防人员必须佩戴防毒面具，穿全身消防服，在上风向灭火，尽可能</w:t>
                  </w:r>
                  <w:r>
                    <w:rPr>
                      <w:rFonts w:hint="eastAsia" w:ascii="Times New Roman" w:hAnsi="Times New Roman" w:cs="Times New Roman"/>
                      <w:b w:val="0"/>
                      <w:bCs/>
                      <w:color w:val="auto"/>
                      <w:sz w:val="21"/>
                      <w:szCs w:val="21"/>
                      <w:lang w:eastAsia="zh-CN"/>
                    </w:rPr>
                    <w:t>地</w:t>
                  </w:r>
                  <w:r>
                    <w:rPr>
                      <w:rFonts w:hint="default" w:ascii="Times New Roman" w:hAnsi="Times New Roman" w:eastAsia="宋体" w:cs="Times New Roman"/>
                      <w:b w:val="0"/>
                      <w:bCs/>
                      <w:color w:val="auto"/>
                      <w:sz w:val="21"/>
                      <w:szCs w:val="21"/>
                    </w:rPr>
                    <w:t>将容器从火场移至空旷处。喷水保持火场容器冷却，直至灭火结束。</w:t>
                  </w:r>
                </w:p>
              </w:tc>
            </w:tr>
          </w:tbl>
          <w:p w14:paraId="592A87F6">
            <w:pPr>
              <w:adjustRightInd w:val="0"/>
              <w:snapToGrid w:val="0"/>
              <w:spacing w:line="360" w:lineRule="auto"/>
              <w:ind w:firstLine="0" w:firstLineChars="0"/>
              <w:jc w:val="center"/>
              <w:rPr>
                <w:rFonts w:hint="eastAsia" w:ascii="Times New Roman" w:hAnsi="Times New Roman" w:eastAsia="宋体" w:cs="Times New Roman"/>
                <w:b/>
                <w:color w:val="auto"/>
                <w:kern w:val="0"/>
                <w:sz w:val="24"/>
                <w:lang w:val="en-US" w:eastAsia="zh-CN"/>
              </w:rPr>
            </w:pPr>
          </w:p>
          <w:p w14:paraId="00627711">
            <w:pPr>
              <w:adjustRightInd w:val="0"/>
              <w:snapToGrid w:val="0"/>
              <w:spacing w:line="360" w:lineRule="auto"/>
              <w:ind w:firstLine="0" w:firstLineChars="0"/>
              <w:jc w:val="center"/>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表4-19  乙炔理化性质、危险特性一览表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1619"/>
              <w:gridCol w:w="1893"/>
              <w:gridCol w:w="1819"/>
              <w:gridCol w:w="1694"/>
            </w:tblGrid>
            <w:tr w14:paraId="41E1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6" w:type="pct"/>
                  <w:vMerge w:val="restart"/>
                  <w:vAlign w:val="center"/>
                </w:tcPr>
                <w:p w14:paraId="54DBDE97">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标识</w:t>
                  </w:r>
                </w:p>
              </w:tc>
              <w:tc>
                <w:tcPr>
                  <w:tcW w:w="1049" w:type="pct"/>
                  <w:vAlign w:val="center"/>
                </w:tcPr>
                <w:p w14:paraId="04B530D1">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中文名称</w:t>
                  </w:r>
                </w:p>
              </w:tc>
              <w:tc>
                <w:tcPr>
                  <w:tcW w:w="1226" w:type="pct"/>
                  <w:vAlign w:val="center"/>
                </w:tcPr>
                <w:p w14:paraId="1670A55E">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乙炔；电石气</w:t>
                  </w:r>
                </w:p>
              </w:tc>
              <w:tc>
                <w:tcPr>
                  <w:tcW w:w="1179" w:type="pct"/>
                  <w:vAlign w:val="center"/>
                </w:tcPr>
                <w:p w14:paraId="0344F951">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英文名称</w:t>
                  </w:r>
                </w:p>
              </w:tc>
              <w:tc>
                <w:tcPr>
                  <w:tcW w:w="1098" w:type="pct"/>
                  <w:vAlign w:val="center"/>
                </w:tcPr>
                <w:p w14:paraId="6252CC35">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Acetylene</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ethyne</w:t>
                  </w:r>
                </w:p>
              </w:tc>
            </w:tr>
            <w:tr w14:paraId="07E3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6" w:type="pct"/>
                  <w:vMerge w:val="continue"/>
                  <w:vAlign w:val="center"/>
                </w:tcPr>
                <w:p w14:paraId="20F12233">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1049" w:type="pct"/>
                  <w:vAlign w:val="center"/>
                </w:tcPr>
                <w:p w14:paraId="790428F5">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CAS号</w:t>
                  </w:r>
                </w:p>
              </w:tc>
              <w:tc>
                <w:tcPr>
                  <w:tcW w:w="1226" w:type="pct"/>
                  <w:vAlign w:val="center"/>
                </w:tcPr>
                <w:p w14:paraId="053C61B8">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74-86-2</w:t>
                  </w:r>
                </w:p>
              </w:tc>
              <w:tc>
                <w:tcPr>
                  <w:tcW w:w="1179" w:type="pct"/>
                  <w:vAlign w:val="center"/>
                </w:tcPr>
                <w:p w14:paraId="098DAEE0">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UN编号</w:t>
                  </w:r>
                </w:p>
              </w:tc>
              <w:tc>
                <w:tcPr>
                  <w:tcW w:w="1098" w:type="pct"/>
                  <w:vAlign w:val="center"/>
                </w:tcPr>
                <w:p w14:paraId="348E8C9A">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1001；3374</w:t>
                  </w:r>
                </w:p>
              </w:tc>
            </w:tr>
            <w:tr w14:paraId="2675C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6" w:type="pct"/>
                  <w:vMerge w:val="continue"/>
                  <w:vAlign w:val="center"/>
                </w:tcPr>
                <w:p w14:paraId="24B5B9DF">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1049" w:type="pct"/>
                  <w:vAlign w:val="center"/>
                </w:tcPr>
                <w:p w14:paraId="2AB274AD">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危险性类别</w:t>
                  </w:r>
                </w:p>
              </w:tc>
              <w:tc>
                <w:tcPr>
                  <w:tcW w:w="3504" w:type="pct"/>
                  <w:gridSpan w:val="3"/>
                  <w:vAlign w:val="center"/>
                </w:tcPr>
                <w:p w14:paraId="1683699D">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第2.1类 易燃气体</w:t>
                  </w:r>
                </w:p>
              </w:tc>
            </w:tr>
            <w:tr w14:paraId="19892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6" w:type="pct"/>
                  <w:vMerge w:val="restart"/>
                  <w:vAlign w:val="center"/>
                </w:tcPr>
                <w:p w14:paraId="5B169F13">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理化性质</w:t>
                  </w:r>
                </w:p>
              </w:tc>
              <w:tc>
                <w:tcPr>
                  <w:tcW w:w="4553" w:type="pct"/>
                  <w:gridSpan w:val="4"/>
                  <w:vAlign w:val="center"/>
                </w:tcPr>
                <w:p w14:paraId="36BADF8E">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性状与用途</w:t>
                  </w:r>
                  <w:r>
                    <w:rPr>
                      <w:rFonts w:hint="eastAsia" w:ascii="Times New Roman" w:hAnsi="Times New Roman" w:eastAsia="宋体" w:cs="Times New Roman"/>
                      <w:b w:val="0"/>
                      <w:bCs/>
                      <w:color w:val="auto"/>
                      <w:sz w:val="21"/>
                      <w:szCs w:val="21"/>
                      <w:lang w:val="en-US" w:eastAsia="zh-CN"/>
                    </w:rPr>
                    <w:t>：</w:t>
                  </w:r>
                  <w:r>
                    <w:rPr>
                      <w:rFonts w:hint="default" w:ascii="Times New Roman" w:hAnsi="Times New Roman" w:eastAsia="宋体" w:cs="Times New Roman"/>
                      <w:b w:val="0"/>
                      <w:bCs/>
                      <w:color w:val="auto"/>
                      <w:sz w:val="21"/>
                      <w:szCs w:val="21"/>
                      <w:lang w:val="en-US" w:eastAsia="zh-CN"/>
                    </w:rPr>
                    <w:t>无色无味气体，工业品有使人不愉快的大蒜气味。是有机合成的重要原料之一。亦是合成橡胶、合成纤维和塑料的单体，也用于氧炔焊割。</w:t>
                  </w:r>
                </w:p>
              </w:tc>
            </w:tr>
            <w:tr w14:paraId="2E298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446" w:type="pct"/>
                  <w:vMerge w:val="continue"/>
                  <w:vAlign w:val="center"/>
                </w:tcPr>
                <w:p w14:paraId="5BB1F931">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2276" w:type="pct"/>
                  <w:gridSpan w:val="2"/>
                  <w:vAlign w:val="center"/>
                </w:tcPr>
                <w:p w14:paraId="7B33F858">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临界温度</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°C</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35.2</w:t>
                  </w:r>
                </w:p>
                <w:p w14:paraId="151D8D9E">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临界压力</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MPa</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6.19</w:t>
                  </w:r>
                </w:p>
                <w:p w14:paraId="6D5A1A45">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饱和蒸汽压</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kPa</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4460</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20°C</w:t>
                  </w:r>
                  <w:r>
                    <w:rPr>
                      <w:rFonts w:hint="eastAsia" w:ascii="Times New Roman" w:hAnsi="Times New Roman" w:eastAsia="宋体" w:cs="Times New Roman"/>
                      <w:b w:val="0"/>
                      <w:bCs/>
                      <w:color w:val="auto"/>
                      <w:sz w:val="21"/>
                      <w:szCs w:val="21"/>
                      <w:lang w:eastAsia="zh-CN"/>
                    </w:rPr>
                    <w:t>）</w:t>
                  </w:r>
                </w:p>
                <w:p w14:paraId="4F3DE031">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燃烧热</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kj/mol</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1298.4</w:t>
                  </w:r>
                </w:p>
                <w:p w14:paraId="1973CF98">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熔点</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°C</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-81.8</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119kPa</w:t>
                  </w:r>
                  <w:r>
                    <w:rPr>
                      <w:rFonts w:hint="eastAsia" w:ascii="Times New Roman" w:hAnsi="Times New Roman" w:eastAsia="宋体" w:cs="Times New Roman"/>
                      <w:b w:val="0"/>
                      <w:bCs/>
                      <w:color w:val="auto"/>
                      <w:sz w:val="21"/>
                      <w:szCs w:val="21"/>
                      <w:lang w:eastAsia="zh-CN"/>
                    </w:rPr>
                    <w:t>）</w:t>
                  </w:r>
                </w:p>
              </w:tc>
              <w:tc>
                <w:tcPr>
                  <w:tcW w:w="2277" w:type="pct"/>
                  <w:gridSpan w:val="2"/>
                  <w:vAlign w:val="center"/>
                </w:tcPr>
                <w:p w14:paraId="6D1AE8A7">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沸点</w:t>
                  </w:r>
                  <w:r>
                    <w:rPr>
                      <w:rFonts w:hint="eastAsia" w:ascii="Times New Roman" w:hAnsi="Times New Roman" w:eastAsia="宋体" w:cs="Times New Roman"/>
                      <w:b w:val="0"/>
                      <w:bCs/>
                      <w:color w:val="auto"/>
                      <w:sz w:val="21"/>
                      <w:szCs w:val="21"/>
                      <w:lang w:val="en-US" w:eastAsia="zh-CN"/>
                    </w:rPr>
                    <w:t>（</w:t>
                  </w:r>
                  <w:r>
                    <w:rPr>
                      <w:rFonts w:hint="default" w:ascii="Times New Roman" w:hAnsi="Times New Roman" w:eastAsia="宋体" w:cs="Times New Roman"/>
                      <w:b w:val="0"/>
                      <w:bCs/>
                      <w:color w:val="auto"/>
                      <w:sz w:val="21"/>
                      <w:szCs w:val="21"/>
                      <w:lang w:val="en-US" w:eastAsia="zh-CN"/>
                    </w:rPr>
                    <w:t>°C</w:t>
                  </w:r>
                  <w:r>
                    <w:rPr>
                      <w:rFonts w:hint="eastAsia" w:ascii="Times New Roman" w:hAnsi="Times New Roman" w:eastAsia="宋体" w:cs="Times New Roman"/>
                      <w:b w:val="0"/>
                      <w:bCs/>
                      <w:color w:val="auto"/>
                      <w:sz w:val="21"/>
                      <w:szCs w:val="21"/>
                      <w:lang w:val="en-US" w:eastAsia="zh-CN"/>
                    </w:rPr>
                    <w:t>）：</w:t>
                  </w:r>
                  <w:r>
                    <w:rPr>
                      <w:rFonts w:hint="default" w:ascii="Times New Roman" w:hAnsi="Times New Roman" w:eastAsia="宋体" w:cs="Times New Roman"/>
                      <w:b w:val="0"/>
                      <w:bCs/>
                      <w:color w:val="auto"/>
                      <w:sz w:val="21"/>
                      <w:szCs w:val="21"/>
                      <w:lang w:val="en-US" w:eastAsia="zh-CN"/>
                    </w:rPr>
                    <w:t>-83.8</w:t>
                  </w:r>
                </w:p>
                <w:p w14:paraId="24D7CB32">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相对密度</w:t>
                  </w:r>
                  <w:r>
                    <w:rPr>
                      <w:rFonts w:hint="eastAsia" w:ascii="Times New Roman" w:hAnsi="Times New Roman" w:eastAsia="宋体" w:cs="Times New Roman"/>
                      <w:b w:val="0"/>
                      <w:bCs/>
                      <w:color w:val="auto"/>
                      <w:sz w:val="21"/>
                      <w:szCs w:val="21"/>
                      <w:lang w:val="en-US" w:eastAsia="zh-CN"/>
                    </w:rPr>
                    <w:t>（</w:t>
                  </w:r>
                  <w:r>
                    <w:rPr>
                      <w:rFonts w:hint="default" w:ascii="Times New Roman" w:hAnsi="Times New Roman" w:eastAsia="宋体" w:cs="Times New Roman"/>
                      <w:b w:val="0"/>
                      <w:bCs/>
                      <w:color w:val="auto"/>
                      <w:sz w:val="21"/>
                      <w:szCs w:val="21"/>
                      <w:lang w:val="en-US" w:eastAsia="zh-CN"/>
                    </w:rPr>
                    <w:t>水=1</w:t>
                  </w:r>
                  <w:r>
                    <w:rPr>
                      <w:rFonts w:hint="eastAsia" w:ascii="Times New Roman" w:hAnsi="Times New Roman" w:eastAsia="宋体" w:cs="Times New Roman"/>
                      <w:b w:val="0"/>
                      <w:bCs/>
                      <w:color w:val="auto"/>
                      <w:sz w:val="21"/>
                      <w:szCs w:val="21"/>
                      <w:lang w:val="en-US" w:eastAsia="zh-CN"/>
                    </w:rPr>
                    <w:t>）：</w:t>
                  </w:r>
                  <w:r>
                    <w:rPr>
                      <w:rFonts w:hint="default" w:ascii="Times New Roman" w:hAnsi="Times New Roman" w:eastAsia="宋体" w:cs="Times New Roman"/>
                      <w:b w:val="0"/>
                      <w:bCs/>
                      <w:color w:val="auto"/>
                      <w:sz w:val="21"/>
                      <w:szCs w:val="21"/>
                      <w:lang w:val="en-US" w:eastAsia="zh-CN"/>
                    </w:rPr>
                    <w:t>0.62</w:t>
                  </w:r>
                </w:p>
                <w:p w14:paraId="2AF30A70">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[相对密度</w:t>
                  </w:r>
                  <w:r>
                    <w:rPr>
                      <w:rFonts w:hint="eastAsia" w:ascii="Times New Roman" w:hAnsi="Times New Roman" w:eastAsia="宋体" w:cs="Times New Roman"/>
                      <w:b w:val="0"/>
                      <w:bCs/>
                      <w:color w:val="auto"/>
                      <w:sz w:val="21"/>
                      <w:szCs w:val="21"/>
                      <w:lang w:val="en-US" w:eastAsia="zh-CN"/>
                    </w:rPr>
                    <w:t>（</w:t>
                  </w:r>
                  <w:r>
                    <w:rPr>
                      <w:rFonts w:hint="default" w:ascii="Times New Roman" w:hAnsi="Times New Roman" w:eastAsia="宋体" w:cs="Times New Roman"/>
                      <w:b w:val="0"/>
                      <w:bCs/>
                      <w:color w:val="auto"/>
                      <w:sz w:val="21"/>
                      <w:szCs w:val="21"/>
                      <w:lang w:val="en-US" w:eastAsia="zh-CN"/>
                    </w:rPr>
                    <w:t>空气=1</w:t>
                  </w:r>
                  <w:r>
                    <w:rPr>
                      <w:rFonts w:hint="eastAsia" w:ascii="Times New Roman" w:hAnsi="Times New Roman" w:eastAsia="宋体" w:cs="Times New Roman"/>
                      <w:b w:val="0"/>
                      <w:bCs/>
                      <w:color w:val="auto"/>
                      <w:sz w:val="21"/>
                      <w:szCs w:val="21"/>
                      <w:lang w:val="en-US" w:eastAsia="zh-CN"/>
                    </w:rPr>
                    <w:t>）]：</w:t>
                  </w:r>
                  <w:r>
                    <w:rPr>
                      <w:rFonts w:hint="default" w:ascii="Times New Roman" w:hAnsi="Times New Roman" w:eastAsia="宋体" w:cs="Times New Roman"/>
                      <w:b w:val="0"/>
                      <w:bCs/>
                      <w:color w:val="auto"/>
                      <w:sz w:val="21"/>
                      <w:szCs w:val="21"/>
                      <w:lang w:val="en-US" w:eastAsia="zh-CN"/>
                    </w:rPr>
                    <w:t>0.91</w:t>
                  </w:r>
                </w:p>
                <w:p w14:paraId="1DEC79D0">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自燃温度</w:t>
                  </w:r>
                  <w:r>
                    <w:rPr>
                      <w:rFonts w:hint="eastAsia" w:ascii="Times New Roman" w:hAnsi="Times New Roman" w:eastAsia="宋体" w:cs="Times New Roman"/>
                      <w:b w:val="0"/>
                      <w:bCs/>
                      <w:color w:val="auto"/>
                      <w:sz w:val="21"/>
                      <w:szCs w:val="21"/>
                      <w:lang w:val="en-US" w:eastAsia="zh-CN"/>
                    </w:rPr>
                    <w:t>（</w:t>
                  </w:r>
                  <w:r>
                    <w:rPr>
                      <w:rFonts w:hint="default" w:ascii="Times New Roman" w:hAnsi="Times New Roman" w:eastAsia="宋体" w:cs="Times New Roman"/>
                      <w:b w:val="0"/>
                      <w:bCs/>
                      <w:color w:val="auto"/>
                      <w:sz w:val="21"/>
                      <w:szCs w:val="21"/>
                      <w:lang w:val="en-US" w:eastAsia="zh-CN"/>
                    </w:rPr>
                    <w:t>°C</w:t>
                  </w:r>
                  <w:r>
                    <w:rPr>
                      <w:rFonts w:hint="eastAsia" w:ascii="Times New Roman" w:hAnsi="Times New Roman" w:eastAsia="宋体" w:cs="Times New Roman"/>
                      <w:b w:val="0"/>
                      <w:bCs/>
                      <w:color w:val="auto"/>
                      <w:sz w:val="21"/>
                      <w:szCs w:val="21"/>
                      <w:lang w:val="en-US" w:eastAsia="zh-CN"/>
                    </w:rPr>
                    <w:t>）：</w:t>
                  </w:r>
                </w:p>
              </w:tc>
            </w:tr>
            <w:tr w14:paraId="6D7C5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446" w:type="pct"/>
                  <w:vMerge w:val="restart"/>
                  <w:vAlign w:val="center"/>
                </w:tcPr>
                <w:p w14:paraId="74AD53AA">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燃爆物性与消防</w:t>
                  </w:r>
                </w:p>
              </w:tc>
              <w:tc>
                <w:tcPr>
                  <w:tcW w:w="2276" w:type="pct"/>
                  <w:gridSpan w:val="2"/>
                  <w:vAlign w:val="center"/>
                </w:tcPr>
                <w:p w14:paraId="7363AC10">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b w:val="0"/>
                      <w:bCs/>
                      <w:color w:val="auto"/>
                      <w:sz w:val="21"/>
                      <w:szCs w:val="21"/>
                      <w:lang w:eastAsia="zh-CN"/>
                    </w:rPr>
                  </w:pPr>
                  <w:r>
                    <w:rPr>
                      <w:rFonts w:hint="default" w:ascii="Times New Roman" w:hAnsi="Times New Roman" w:eastAsia="宋体" w:cs="Times New Roman"/>
                      <w:b w:val="0"/>
                      <w:bCs/>
                      <w:color w:val="auto"/>
                      <w:sz w:val="21"/>
                      <w:szCs w:val="21"/>
                    </w:rPr>
                    <w:t>燃烧性</w:t>
                  </w:r>
                  <w:r>
                    <w:rPr>
                      <w:rFonts w:hint="eastAsia" w:ascii="Times New Roman" w:hAnsi="Times New Roman" w:eastAsia="宋体" w:cs="Times New Roman"/>
                      <w:b w:val="0"/>
                      <w:bCs/>
                      <w:color w:val="auto"/>
                      <w:sz w:val="21"/>
                      <w:szCs w:val="21"/>
                      <w:lang w:eastAsia="zh-CN"/>
                    </w:rPr>
                    <w:t>：</w:t>
                  </w:r>
                </w:p>
                <w:p w14:paraId="3CF9DB91">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闪点</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°C</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&lt;-50</w:t>
                  </w:r>
                </w:p>
                <w:p w14:paraId="38811D4D">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爆炸下限</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V%</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2.5</w:t>
                  </w:r>
                </w:p>
                <w:p w14:paraId="25319C74">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爆炸上限</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V%</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100.0</w:t>
                  </w:r>
                </w:p>
                <w:p w14:paraId="3E47B25D">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稳定性</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稳定</w:t>
                  </w:r>
                </w:p>
              </w:tc>
              <w:tc>
                <w:tcPr>
                  <w:tcW w:w="2277" w:type="pct"/>
                  <w:gridSpan w:val="2"/>
                  <w:vAlign w:val="center"/>
                </w:tcPr>
                <w:p w14:paraId="46BF358A">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聚合危害</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聚合</w:t>
                  </w:r>
                </w:p>
                <w:p w14:paraId="455B65D4">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b w:val="0"/>
                      <w:bCs/>
                      <w:color w:val="auto"/>
                      <w:sz w:val="21"/>
                      <w:szCs w:val="21"/>
                      <w:lang w:eastAsia="zh-CN"/>
                    </w:rPr>
                  </w:pPr>
                  <w:r>
                    <w:rPr>
                      <w:rFonts w:hint="default" w:ascii="Times New Roman" w:hAnsi="Times New Roman" w:eastAsia="宋体" w:cs="Times New Roman"/>
                      <w:b w:val="0"/>
                      <w:bCs/>
                      <w:color w:val="auto"/>
                      <w:sz w:val="21"/>
                      <w:szCs w:val="21"/>
                    </w:rPr>
                    <w:t>建筑火险分级</w:t>
                  </w:r>
                  <w:r>
                    <w:rPr>
                      <w:rFonts w:hint="eastAsia" w:ascii="Times New Roman" w:hAnsi="Times New Roman" w:eastAsia="宋体" w:cs="Times New Roman"/>
                      <w:b w:val="0"/>
                      <w:bCs/>
                      <w:color w:val="auto"/>
                      <w:sz w:val="21"/>
                      <w:szCs w:val="21"/>
                      <w:lang w:eastAsia="zh-CN"/>
                    </w:rPr>
                    <w:t>：</w:t>
                  </w:r>
                </w:p>
                <w:p w14:paraId="0D83B05E">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燃烧</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分解</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产物</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碳、氢。</w:t>
                  </w:r>
                </w:p>
                <w:p w14:paraId="70AC09D0">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禁忌物</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强氧化剂、碱金属、碱土金属、重金属尤其是铜、重金属盐、卤素。</w:t>
                  </w:r>
                </w:p>
              </w:tc>
            </w:tr>
            <w:tr w14:paraId="7C7C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6" w:type="pct"/>
                  <w:vMerge w:val="continue"/>
                  <w:vAlign w:val="center"/>
                </w:tcPr>
                <w:p w14:paraId="2524FAA7">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4553" w:type="pct"/>
                  <w:gridSpan w:val="4"/>
                  <w:vAlign w:val="center"/>
                </w:tcPr>
                <w:p w14:paraId="664CB559">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危险特性</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极易燃烧爆炸。与空气混合能形成爆炸性混合物，遇明火、高热能引起燃烧爆炸。与氧化剂接触猛烈反应。经压缩或加热可造成剧烈爆炸。与氟、氯等接触会发生剧烈的化学反应。能与铜、银、汞等的化合物生成爆炸性物质。</w:t>
                  </w:r>
                </w:p>
              </w:tc>
            </w:tr>
            <w:tr w14:paraId="45CD3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6" w:type="pct"/>
                  <w:vMerge w:val="continue"/>
                  <w:vAlign w:val="center"/>
                </w:tcPr>
                <w:p w14:paraId="59B1A388">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4553" w:type="pct"/>
                  <w:gridSpan w:val="4"/>
                  <w:vAlign w:val="center"/>
                </w:tcPr>
                <w:p w14:paraId="3B228AD9">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灭火方法</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用雾状水、泡沫、二氧化碳、干粉灭火。</w:t>
                  </w:r>
                </w:p>
              </w:tc>
            </w:tr>
            <w:tr w14:paraId="4783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6" w:type="pct"/>
                  <w:vAlign w:val="center"/>
                </w:tcPr>
                <w:p w14:paraId="290B6D82">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毒性</w:t>
                  </w:r>
                </w:p>
              </w:tc>
              <w:tc>
                <w:tcPr>
                  <w:tcW w:w="4553" w:type="pct"/>
                  <w:gridSpan w:val="4"/>
                  <w:vAlign w:val="center"/>
                </w:tcPr>
                <w:p w14:paraId="2018FD75">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空气中浓度为60%~80%时，几分钟动物出现麻醉</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吸入浓度为20%时，发生嗜睡、呕吐、呼吸困难。</w:t>
                  </w:r>
                </w:p>
              </w:tc>
            </w:tr>
            <w:tr w14:paraId="43D2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6" w:type="pct"/>
                  <w:vAlign w:val="center"/>
                </w:tcPr>
                <w:p w14:paraId="77293D49">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健康危害</w:t>
                  </w:r>
                </w:p>
              </w:tc>
              <w:tc>
                <w:tcPr>
                  <w:tcW w:w="4553" w:type="pct"/>
                  <w:gridSpan w:val="4"/>
                  <w:vAlign w:val="center"/>
                </w:tcPr>
                <w:p w14:paraId="5A543405">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侵入途径</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吸入</w:t>
                  </w:r>
                </w:p>
                <w:p w14:paraId="3D0BF236">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健康危害</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具有弱麻醉作用。高浓度吸入可引起单纯窒息。</w:t>
                  </w:r>
                </w:p>
                <w:p w14:paraId="4EC2E7D1">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暴露于20%浓度时，出现明显缺氧症状;吸入高浓度，初期兴奋、多语、哭笑不安，后出现眩晕、头痛、恶心、呕吐、共济失调、嗜睡</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严重者昏迷、紫绀、瞳孔对光反应消失、脉弱而不齐。当混有磷化氢、硫化氢时，毒性增大，应予以注意。</w:t>
                  </w:r>
                </w:p>
              </w:tc>
            </w:tr>
            <w:tr w14:paraId="6F75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6" w:type="pct"/>
                  <w:vAlign w:val="center"/>
                </w:tcPr>
                <w:p w14:paraId="6CD8366F">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急救</w:t>
                  </w:r>
                </w:p>
              </w:tc>
              <w:tc>
                <w:tcPr>
                  <w:tcW w:w="4553" w:type="pct"/>
                  <w:gridSpan w:val="4"/>
                  <w:vAlign w:val="center"/>
                </w:tcPr>
                <w:p w14:paraId="3A2DE2C8">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皮肤接触</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不会通过该途径接触</w:t>
                  </w:r>
                </w:p>
                <w:p w14:paraId="4E86B4D2">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眼睛接触</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不会通过该途径接触。</w:t>
                  </w:r>
                </w:p>
                <w:p w14:paraId="3CC0011A">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吸入</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迅速脱离现场至空气新鲜处。保持呼吸道通畅。如呼吸困难，给输氧。呼吸、心跳停止，立即进行心肺复苏术。就医。</w:t>
                  </w:r>
                </w:p>
                <w:p w14:paraId="18ECA8F2">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食入</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不会通过该途径接触。</w:t>
                  </w:r>
                </w:p>
              </w:tc>
            </w:tr>
            <w:tr w14:paraId="5141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6" w:type="pct"/>
                  <w:vAlign w:val="center"/>
                </w:tcPr>
                <w:p w14:paraId="1D2E7A36">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防护措施</w:t>
                  </w:r>
                </w:p>
              </w:tc>
              <w:tc>
                <w:tcPr>
                  <w:tcW w:w="4553" w:type="pct"/>
                  <w:gridSpan w:val="4"/>
                  <w:vAlign w:val="center"/>
                </w:tcPr>
                <w:p w14:paraId="08463DF3">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工程控制</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生产过程密闭，全面通风。</w:t>
                  </w:r>
                </w:p>
                <w:p w14:paraId="2F0A2CE4">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呼吸系统防护</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一般不需要特殊防护，但建议特殊情况下，佩戴过滤式防毒面具</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半面罩</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w:t>
                  </w:r>
                </w:p>
                <w:p w14:paraId="0985170E">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眼睛防护</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一般不需特殊防护。</w:t>
                  </w:r>
                </w:p>
                <w:p w14:paraId="058D6D78">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身体防护</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穿防静电工作服</w:t>
                  </w:r>
                </w:p>
                <w:p w14:paraId="0DD4D331">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手防护</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戴一般作业防护手套。</w:t>
                  </w:r>
                </w:p>
                <w:p w14:paraId="7CE988E6">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其他防护</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工作现场严禁吸烟。避免长期反复接触。进入罐、限制性空间或其它高浓度区作业，须有人监护。</w:t>
                  </w:r>
                </w:p>
              </w:tc>
            </w:tr>
            <w:tr w14:paraId="754B1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6" w:type="pct"/>
                  <w:vAlign w:val="center"/>
                </w:tcPr>
                <w:p w14:paraId="12D76DAD">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泄漏处理</w:t>
                  </w:r>
                </w:p>
              </w:tc>
              <w:tc>
                <w:tcPr>
                  <w:tcW w:w="4553" w:type="pct"/>
                  <w:gridSpan w:val="4"/>
                  <w:vAlign w:val="center"/>
                </w:tcPr>
                <w:p w14:paraId="61F10BAE">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消除所有点火源。根据气体的影响区域划定警戒区，无关人员从侧风、上风向撤离至安全区。建议应急处理人员戴正压自给式呼吸器，穿防静电服。作业时使用的所有设备应接地。禁止接触或跨越泄漏物。尽可能切断泄漏源。若可能翻转容器，使之逸出气体而非液体。喷雾状水抑制蒸气或改变蒸气云流向，避免水流接触泄漏物。禁止用水直接冲击泄漏物或泄漏源。防止气体通过下水道、通风系统和密闭性空间扩散。隔离泄漏区直至气体散尽。</w:t>
                  </w:r>
                </w:p>
              </w:tc>
            </w:tr>
            <w:tr w14:paraId="68BF8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6" w:type="pct"/>
                  <w:vAlign w:val="center"/>
                </w:tcPr>
                <w:p w14:paraId="4AABB2DE">
                  <w:pPr>
                    <w:pStyle w:val="12"/>
                    <w:keepNext w:val="0"/>
                    <w:keepLines/>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储运包装</w:t>
                  </w:r>
                </w:p>
              </w:tc>
              <w:tc>
                <w:tcPr>
                  <w:tcW w:w="4553" w:type="pct"/>
                  <w:gridSpan w:val="4"/>
                  <w:vAlign w:val="center"/>
                </w:tcPr>
                <w:p w14:paraId="3DAC9C04">
                  <w:pPr>
                    <w:pStyle w:val="12"/>
                    <w:keepNext w:val="0"/>
                    <w:keepLines/>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储运注意事项</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乙炔的包装法通常是溶解在溶剂及多孔物中，装入钢瓶内。储存于阴凉、通风的易燃气体专用库房。远离火种、热源。库温不宜超过30°C。应与氧化剂、酸类、卤素分开存放，切忌混储。采用防爆型照明、通风设施。禁止使用易产生火花的机械设备和工具。储区应备有泄漏应急处理设备。</w:t>
                  </w:r>
                </w:p>
              </w:tc>
            </w:tr>
          </w:tbl>
          <w:p w14:paraId="66EBFDA0">
            <w:pPr>
              <w:ind w:firstLine="480"/>
              <w:rPr>
                <w:rFonts w:hint="default" w:eastAsia="宋体" w:cs="Times New Roman"/>
                <w:b/>
                <w:bCs/>
                <w:color w:val="auto"/>
                <w:lang w:val="en-US" w:eastAsia="zh-CN"/>
              </w:rPr>
            </w:pPr>
            <w:r>
              <w:rPr>
                <w:rFonts w:hint="eastAsia" w:cs="Times New Roman"/>
                <w:b/>
                <w:bCs/>
                <w:color w:val="auto"/>
                <w:lang w:val="en-US" w:eastAsia="zh-CN"/>
              </w:rPr>
              <w:t>2、环境风险设施</w:t>
            </w:r>
          </w:p>
          <w:p w14:paraId="07138F6B">
            <w:pPr>
              <w:ind w:firstLine="480"/>
              <w:rPr>
                <w:rFonts w:hint="eastAsia" w:cs="Times New Roman"/>
                <w:color w:val="auto"/>
              </w:rPr>
            </w:pPr>
            <w:r>
              <w:rPr>
                <w:rFonts w:hint="eastAsia" w:cs="Times New Roman"/>
                <w:color w:val="auto"/>
              </w:rPr>
              <w:t>根据本项目工艺特点和主要存在的环境风险物质，识别出本项目主要环境风险设施主要为危废暂存间</w:t>
            </w:r>
            <w:r>
              <w:rPr>
                <w:rFonts w:hint="eastAsia" w:cs="Times New Roman"/>
                <w:color w:val="auto"/>
                <w:lang w:val="en-US" w:eastAsia="zh-CN"/>
              </w:rPr>
              <w:t>和乙炔储存区</w:t>
            </w:r>
            <w:r>
              <w:rPr>
                <w:rFonts w:hint="eastAsia" w:cs="Times New Roman"/>
                <w:color w:val="auto"/>
              </w:rPr>
              <w:t>。</w:t>
            </w:r>
          </w:p>
          <w:p w14:paraId="150B8F32">
            <w:pPr>
              <w:ind w:firstLine="480"/>
              <w:rPr>
                <w:rFonts w:hint="eastAsia" w:eastAsia="宋体" w:cs="Times New Roman"/>
                <w:b/>
                <w:bCs/>
                <w:color w:val="auto"/>
                <w:lang w:val="en-US" w:eastAsia="zh-CN"/>
              </w:rPr>
            </w:pPr>
            <w:r>
              <w:rPr>
                <w:rFonts w:hint="eastAsia" w:cs="Times New Roman"/>
                <w:b/>
                <w:bCs/>
                <w:color w:val="auto"/>
                <w:lang w:val="en-US" w:eastAsia="zh-CN"/>
              </w:rPr>
              <w:t>3、临界量计算</w:t>
            </w:r>
          </w:p>
          <w:p w14:paraId="4D52C08B">
            <w:pPr>
              <w:ind w:firstLine="480"/>
              <w:rPr>
                <w:rFonts w:hint="eastAsia" w:cs="Times New Roman"/>
                <w:color w:val="auto"/>
              </w:rPr>
            </w:pPr>
            <w:r>
              <w:rPr>
                <w:rFonts w:hint="eastAsia" w:cs="Times New Roman"/>
                <w:color w:val="auto"/>
              </w:rPr>
              <w:t>项目所涉及的每种危险物质在厂界内的最大存在总量与对应临界量的比值为Q，当只涉及一种危险物质时，计算该物质的总量与其临界量比值，当存在多种危险物质时，按下列公式计算Q值：</w:t>
            </w:r>
          </w:p>
          <w:p w14:paraId="6BC37E4C">
            <w:pPr>
              <w:ind w:firstLine="480"/>
              <w:jc w:val="center"/>
              <w:rPr>
                <w:rFonts w:hint="eastAsia" w:cs="Times New Roman"/>
                <w:color w:val="auto"/>
              </w:rPr>
            </w:pPr>
            <w:r>
              <w:rPr>
                <w:rFonts w:hint="default" w:ascii="Times New Roman" w:hAnsi="Times New Roman" w:eastAsia="宋体" w:cs="Times New Roman"/>
                <w:color w:val="auto"/>
                <w:position w:val="-16"/>
                <w:sz w:val="28"/>
              </w:rPr>
              <w:object>
                <v:shape id="_x0000_i1034" o:spt="75" type="#_x0000_t75" style="height:34.65pt;width:104.75pt;" o:ole="t" filled="f" o:preferrelative="t" stroked="f" coordsize="21600,21600">
                  <v:path/>
                  <v:fill on="f" focussize="0,0"/>
                  <v:stroke on="f" joinstyle="miter"/>
                  <v:imagedata r:id="rId40" o:title=""/>
                  <o:lock v:ext="edit" aspectratio="t"/>
                  <w10:wrap type="none"/>
                  <w10:anchorlock/>
                </v:shape>
                <o:OLEObject Type="Embed" ProgID="Equation.KSEE3" ShapeID="_x0000_i1034" DrawAspect="Content" ObjectID="_1468075734" r:id="rId39">
                  <o:LockedField>false</o:LockedField>
                </o:OLEObject>
              </w:object>
            </w:r>
          </w:p>
          <w:p w14:paraId="6F5E5F30">
            <w:pPr>
              <w:keepNext w:val="0"/>
              <w:keepLines/>
              <w:pageBreakBefore w:val="0"/>
              <w:kinsoku/>
              <w:overflowPunct/>
              <w:bidi w:val="0"/>
              <w:adjustRightInd/>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式中：q1，q2，…qn—每种危险物质的最大存在总量，t；</w:t>
            </w:r>
          </w:p>
          <w:p w14:paraId="1109F985">
            <w:pPr>
              <w:keepNext w:val="0"/>
              <w:keepLines/>
              <w:pageBreakBefore w:val="0"/>
              <w:kinsoku/>
              <w:overflowPunct/>
              <w:bidi w:val="0"/>
              <w:adjustRightInd/>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Q1，Q2，…Qn—每种物质的临界量，t。可在HJ169-2018中附录B中查询。</w:t>
            </w:r>
          </w:p>
          <w:p w14:paraId="6B6F56FF">
            <w:pPr>
              <w:keepNext w:val="0"/>
              <w:keepLines/>
              <w:pageBreakBefore w:val="0"/>
              <w:kinsoku/>
              <w:overflowPunct/>
              <w:bidi w:val="0"/>
              <w:adjustRightInd/>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当Q＜1时，该项目环境风险潜势为Ⅰ。</w:t>
            </w:r>
          </w:p>
          <w:p w14:paraId="0DAAF57B">
            <w:pPr>
              <w:keepNext w:val="0"/>
              <w:keepLines/>
              <w:pageBreakBefore w:val="0"/>
              <w:kinsoku/>
              <w:overflowPunct/>
              <w:bidi w:val="0"/>
              <w:adjustRightInd/>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当Q≥1时，将Q值划分为：（1）1≤Q＜10；（2）10≤Q＜100；（3）Q≥100。</w:t>
            </w:r>
          </w:p>
          <w:p w14:paraId="3E76D1C0">
            <w:pPr>
              <w:ind w:firstLine="480"/>
              <w:rPr>
                <w:rFonts w:hint="eastAsia" w:cs="Times New Roman"/>
                <w:color w:val="auto"/>
              </w:rPr>
            </w:pPr>
            <w:r>
              <w:rPr>
                <w:rFonts w:hint="default" w:ascii="Times New Roman" w:hAnsi="Times New Roman" w:eastAsia="宋体" w:cs="Times New Roman"/>
                <w:color w:val="auto"/>
                <w:spacing w:val="8"/>
                <w:sz w:val="24"/>
              </w:rPr>
              <w:t>经向建设单位核实，项目涉及危险物质最大存放量与临界量比值结果见下表。</w:t>
            </w:r>
          </w:p>
          <w:p w14:paraId="41EFE054">
            <w:pPr>
              <w:adjustRightInd w:val="0"/>
              <w:snapToGrid w:val="0"/>
              <w:spacing w:line="360" w:lineRule="auto"/>
              <w:ind w:firstLine="0" w:firstLineChars="0"/>
              <w:jc w:val="center"/>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w:t>
            </w:r>
            <w:r>
              <w:rPr>
                <w:rFonts w:hint="eastAsia" w:cs="Times New Roman"/>
                <w:b/>
                <w:color w:val="auto"/>
                <w:kern w:val="0"/>
                <w:sz w:val="24"/>
                <w:lang w:val="en-US" w:eastAsia="zh-CN"/>
              </w:rPr>
              <w:t>20</w:t>
            </w:r>
            <w:r>
              <w:rPr>
                <w:rFonts w:hint="eastAsia" w:ascii="Times New Roman" w:hAnsi="Times New Roman" w:eastAsia="宋体" w:cs="Times New Roman"/>
                <w:b/>
                <w:color w:val="auto"/>
                <w:kern w:val="0"/>
                <w:sz w:val="24"/>
                <w:lang w:val="en-US" w:eastAsia="zh-CN"/>
              </w:rPr>
              <w:t xml:space="preserve">  项目危险物质总量与临界量比值（Q）结果</w:t>
            </w:r>
          </w:p>
          <w:tbl>
            <w:tblPr>
              <w:tblStyle w:val="2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591"/>
              <w:gridCol w:w="1103"/>
              <w:gridCol w:w="2335"/>
              <w:gridCol w:w="1372"/>
              <w:gridCol w:w="1310"/>
            </w:tblGrid>
            <w:tr w14:paraId="468B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1031" w:type="pct"/>
                  <w:tcBorders>
                    <w:top w:val="single" w:color="auto" w:sz="4" w:space="0"/>
                    <w:left w:val="single" w:color="auto" w:sz="4" w:space="0"/>
                    <w:bottom w:val="single" w:color="auto" w:sz="4" w:space="0"/>
                    <w:right w:val="single" w:color="auto" w:sz="4" w:space="0"/>
                  </w:tcBorders>
                  <w:shd w:val="clear" w:color="auto" w:fill="auto"/>
                  <w:vAlign w:val="center"/>
                </w:tcPr>
                <w:p w14:paraId="37E0F31A">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物质名称</w:t>
                  </w:r>
                </w:p>
              </w:tc>
              <w:tc>
                <w:tcPr>
                  <w:tcW w:w="715" w:type="pct"/>
                  <w:tcBorders>
                    <w:top w:val="single" w:color="auto" w:sz="4" w:space="0"/>
                    <w:left w:val="single" w:color="auto" w:sz="4" w:space="0"/>
                    <w:bottom w:val="single" w:color="auto" w:sz="4" w:space="0"/>
                    <w:right w:val="single" w:color="auto" w:sz="4" w:space="0"/>
                  </w:tcBorders>
                  <w:shd w:val="clear" w:color="auto" w:fill="auto"/>
                  <w:vAlign w:val="center"/>
                </w:tcPr>
                <w:p w14:paraId="098F9618">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CAS号</w:t>
                  </w:r>
                </w:p>
              </w:tc>
              <w:tc>
                <w:tcPr>
                  <w:tcW w:w="1513" w:type="pct"/>
                  <w:tcBorders>
                    <w:top w:val="single" w:color="auto" w:sz="4" w:space="0"/>
                    <w:left w:val="single" w:color="auto" w:sz="4" w:space="0"/>
                    <w:bottom w:val="single" w:color="auto" w:sz="4" w:space="0"/>
                    <w:right w:val="single" w:color="auto" w:sz="4" w:space="0"/>
                  </w:tcBorders>
                  <w:shd w:val="clear" w:color="auto" w:fill="auto"/>
                  <w:vAlign w:val="center"/>
                </w:tcPr>
                <w:p w14:paraId="74D1A7D1">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项目内最大存放量（t）</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AB3E51D">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临界量（t）</w:t>
                  </w:r>
                </w:p>
              </w:tc>
              <w:tc>
                <w:tcPr>
                  <w:tcW w:w="849" w:type="pct"/>
                  <w:tcBorders>
                    <w:top w:val="single" w:color="auto" w:sz="4" w:space="0"/>
                    <w:left w:val="single" w:color="auto" w:sz="4" w:space="0"/>
                    <w:bottom w:val="single" w:color="auto" w:sz="4" w:space="0"/>
                    <w:right w:val="single" w:color="auto" w:sz="4" w:space="0"/>
                  </w:tcBorders>
                  <w:shd w:val="clear" w:color="auto" w:fill="auto"/>
                  <w:vAlign w:val="center"/>
                </w:tcPr>
                <w:p w14:paraId="7DE55763">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Q</w:t>
                  </w:r>
                </w:p>
              </w:tc>
            </w:tr>
            <w:tr w14:paraId="448E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1031" w:type="pct"/>
                  <w:tcBorders>
                    <w:top w:val="single" w:color="auto" w:sz="4" w:space="0"/>
                    <w:left w:val="single" w:color="auto" w:sz="4" w:space="0"/>
                    <w:bottom w:val="single" w:color="auto" w:sz="4" w:space="0"/>
                    <w:right w:val="single" w:color="auto" w:sz="4" w:space="0"/>
                  </w:tcBorders>
                  <w:shd w:val="clear" w:color="auto" w:fill="auto"/>
                  <w:vAlign w:val="center"/>
                </w:tcPr>
                <w:p w14:paraId="155C9DF8">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b w:val="0"/>
                      <w:bCs w:val="0"/>
                      <w:color w:val="auto"/>
                      <w:sz w:val="21"/>
                      <w:szCs w:val="21"/>
                      <w:lang w:eastAsia="zh-CN"/>
                    </w:rPr>
                  </w:pPr>
                  <w:r>
                    <w:rPr>
                      <w:rFonts w:hint="eastAsia" w:ascii="Times New Roman" w:hAnsi="Times New Roman" w:eastAsia="宋体" w:cs="Times New Roman"/>
                      <w:b w:val="0"/>
                      <w:bCs w:val="0"/>
                      <w:color w:val="auto"/>
                      <w:sz w:val="21"/>
                      <w:szCs w:val="21"/>
                      <w:lang w:eastAsia="zh-CN"/>
                    </w:rPr>
                    <w:t>废液压油</w:t>
                  </w:r>
                </w:p>
              </w:tc>
              <w:tc>
                <w:tcPr>
                  <w:tcW w:w="715" w:type="pct"/>
                  <w:tcBorders>
                    <w:top w:val="single" w:color="auto" w:sz="4" w:space="0"/>
                    <w:left w:val="single" w:color="auto" w:sz="4" w:space="0"/>
                    <w:bottom w:val="single" w:color="auto" w:sz="4" w:space="0"/>
                    <w:right w:val="single" w:color="auto" w:sz="4" w:space="0"/>
                  </w:tcBorders>
                  <w:shd w:val="clear" w:color="auto" w:fill="auto"/>
                  <w:vAlign w:val="center"/>
                </w:tcPr>
                <w:p w14:paraId="72D9A5C7">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1513" w:type="pct"/>
                  <w:tcBorders>
                    <w:top w:val="single" w:color="auto" w:sz="4" w:space="0"/>
                    <w:left w:val="single" w:color="auto" w:sz="4" w:space="0"/>
                    <w:bottom w:val="single" w:color="auto" w:sz="4" w:space="0"/>
                    <w:right w:val="single" w:color="auto" w:sz="4" w:space="0"/>
                  </w:tcBorders>
                  <w:shd w:val="clear" w:color="auto" w:fill="auto"/>
                  <w:vAlign w:val="center"/>
                </w:tcPr>
                <w:p w14:paraId="359301BE">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0.</w:t>
                  </w:r>
                  <w:r>
                    <w:rPr>
                      <w:rFonts w:hint="eastAsia" w:ascii="Times New Roman" w:hAnsi="Times New Roman" w:cs="Times New Roman"/>
                      <w:b w:val="0"/>
                      <w:bCs w:val="0"/>
                      <w:color w:val="auto"/>
                      <w:sz w:val="21"/>
                      <w:szCs w:val="21"/>
                      <w:highlight w:val="none"/>
                      <w:lang w:val="en-US" w:eastAsia="zh-CN"/>
                    </w:rPr>
                    <w:t>5</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40A7EBC">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2500</w:t>
                  </w:r>
                </w:p>
              </w:tc>
              <w:tc>
                <w:tcPr>
                  <w:tcW w:w="849" w:type="pct"/>
                  <w:tcBorders>
                    <w:top w:val="single" w:color="auto" w:sz="4" w:space="0"/>
                    <w:left w:val="single" w:color="auto" w:sz="4" w:space="0"/>
                    <w:bottom w:val="single" w:color="auto" w:sz="4" w:space="0"/>
                    <w:right w:val="single" w:color="auto" w:sz="4" w:space="0"/>
                  </w:tcBorders>
                  <w:shd w:val="clear" w:color="auto" w:fill="auto"/>
                  <w:vAlign w:val="center"/>
                </w:tcPr>
                <w:p w14:paraId="7EB672AD">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0.0002</w:t>
                  </w:r>
                </w:p>
              </w:tc>
            </w:tr>
            <w:tr w14:paraId="4E587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1031" w:type="pct"/>
                  <w:tcBorders>
                    <w:top w:val="single" w:color="auto" w:sz="4" w:space="0"/>
                    <w:left w:val="single" w:color="auto" w:sz="4" w:space="0"/>
                    <w:bottom w:val="single" w:color="auto" w:sz="4" w:space="0"/>
                    <w:right w:val="single" w:color="auto" w:sz="4" w:space="0"/>
                  </w:tcBorders>
                  <w:shd w:val="clear" w:color="auto" w:fill="auto"/>
                  <w:vAlign w:val="center"/>
                </w:tcPr>
                <w:p w14:paraId="3D095A29">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废机油</w:t>
                  </w:r>
                </w:p>
              </w:tc>
              <w:tc>
                <w:tcPr>
                  <w:tcW w:w="715" w:type="pct"/>
                  <w:tcBorders>
                    <w:top w:val="single" w:color="auto" w:sz="4" w:space="0"/>
                    <w:left w:val="single" w:color="auto" w:sz="4" w:space="0"/>
                    <w:bottom w:val="single" w:color="auto" w:sz="4" w:space="0"/>
                    <w:right w:val="single" w:color="auto" w:sz="4" w:space="0"/>
                  </w:tcBorders>
                  <w:shd w:val="clear" w:color="auto" w:fill="auto"/>
                  <w:vAlign w:val="center"/>
                </w:tcPr>
                <w:p w14:paraId="59E73EAE">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1513" w:type="pct"/>
                  <w:tcBorders>
                    <w:top w:val="single" w:color="auto" w:sz="4" w:space="0"/>
                    <w:left w:val="single" w:color="auto" w:sz="4" w:space="0"/>
                    <w:bottom w:val="single" w:color="auto" w:sz="4" w:space="0"/>
                    <w:right w:val="single" w:color="auto" w:sz="4" w:space="0"/>
                  </w:tcBorders>
                  <w:shd w:val="clear" w:color="auto" w:fill="auto"/>
                  <w:vAlign w:val="center"/>
                </w:tcPr>
                <w:p w14:paraId="303D592F">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0.1</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1184137">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2500</w:t>
                  </w:r>
                </w:p>
              </w:tc>
              <w:tc>
                <w:tcPr>
                  <w:tcW w:w="849" w:type="pct"/>
                  <w:tcBorders>
                    <w:top w:val="single" w:color="auto" w:sz="4" w:space="0"/>
                    <w:left w:val="single" w:color="auto" w:sz="4" w:space="0"/>
                    <w:bottom w:val="single" w:color="auto" w:sz="4" w:space="0"/>
                    <w:right w:val="single" w:color="auto" w:sz="4" w:space="0"/>
                  </w:tcBorders>
                  <w:shd w:val="clear" w:color="auto" w:fill="auto"/>
                  <w:vAlign w:val="center"/>
                </w:tcPr>
                <w:p w14:paraId="45F42EC2">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0.00004</w:t>
                  </w:r>
                </w:p>
              </w:tc>
            </w:tr>
            <w:tr w14:paraId="072B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1031" w:type="pct"/>
                  <w:tcBorders>
                    <w:top w:val="single" w:color="auto" w:sz="4" w:space="0"/>
                    <w:left w:val="single" w:color="auto" w:sz="4" w:space="0"/>
                    <w:bottom w:val="single" w:color="auto" w:sz="4" w:space="0"/>
                    <w:right w:val="single" w:color="auto" w:sz="4" w:space="0"/>
                  </w:tcBorders>
                  <w:shd w:val="clear" w:color="auto" w:fill="auto"/>
                  <w:vAlign w:val="center"/>
                </w:tcPr>
                <w:p w14:paraId="5C64BDBC">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乙炔</w:t>
                  </w:r>
                </w:p>
              </w:tc>
              <w:tc>
                <w:tcPr>
                  <w:tcW w:w="715" w:type="pct"/>
                  <w:tcBorders>
                    <w:top w:val="single" w:color="auto" w:sz="4" w:space="0"/>
                    <w:left w:val="single" w:color="auto" w:sz="4" w:space="0"/>
                    <w:bottom w:val="single" w:color="auto" w:sz="4" w:space="0"/>
                    <w:right w:val="single" w:color="auto" w:sz="4" w:space="0"/>
                  </w:tcBorders>
                  <w:shd w:val="clear" w:color="auto" w:fill="auto"/>
                  <w:vAlign w:val="center"/>
                </w:tcPr>
                <w:p w14:paraId="59577B01">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74-86-2</w:t>
                  </w:r>
                </w:p>
              </w:tc>
              <w:tc>
                <w:tcPr>
                  <w:tcW w:w="1513" w:type="pct"/>
                  <w:tcBorders>
                    <w:top w:val="single" w:color="auto" w:sz="4" w:space="0"/>
                    <w:left w:val="single" w:color="auto" w:sz="4" w:space="0"/>
                    <w:bottom w:val="single" w:color="auto" w:sz="4" w:space="0"/>
                    <w:right w:val="single" w:color="auto" w:sz="4" w:space="0"/>
                  </w:tcBorders>
                  <w:shd w:val="clear" w:color="auto" w:fill="auto"/>
                  <w:vAlign w:val="center"/>
                </w:tcPr>
                <w:p w14:paraId="380DE567">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0.5</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A0A62FD">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10</w:t>
                  </w:r>
                </w:p>
              </w:tc>
              <w:tc>
                <w:tcPr>
                  <w:tcW w:w="849" w:type="pct"/>
                  <w:tcBorders>
                    <w:top w:val="single" w:color="auto" w:sz="4" w:space="0"/>
                    <w:left w:val="single" w:color="auto" w:sz="4" w:space="0"/>
                    <w:bottom w:val="single" w:color="auto" w:sz="4" w:space="0"/>
                    <w:right w:val="single" w:color="auto" w:sz="4" w:space="0"/>
                  </w:tcBorders>
                  <w:shd w:val="clear" w:color="auto" w:fill="auto"/>
                  <w:vAlign w:val="center"/>
                </w:tcPr>
                <w:p w14:paraId="0F18D047">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0.05</w:t>
                  </w:r>
                </w:p>
              </w:tc>
            </w:tr>
            <w:tr w14:paraId="4F791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pct"/>
                  <w:tcBorders>
                    <w:top w:val="single" w:color="auto" w:sz="4" w:space="0"/>
                    <w:left w:val="single" w:color="auto" w:sz="4" w:space="0"/>
                    <w:bottom w:val="single" w:color="auto" w:sz="4" w:space="0"/>
                    <w:right w:val="single" w:color="auto" w:sz="4" w:space="0"/>
                  </w:tcBorders>
                  <w:shd w:val="clear" w:color="auto" w:fill="auto"/>
                  <w:vAlign w:val="center"/>
                </w:tcPr>
                <w:p w14:paraId="0BCDD610">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合计</w:t>
                  </w:r>
                </w:p>
              </w:tc>
              <w:tc>
                <w:tcPr>
                  <w:tcW w:w="715" w:type="pct"/>
                  <w:tcBorders>
                    <w:top w:val="single" w:color="auto" w:sz="4" w:space="0"/>
                    <w:left w:val="single" w:color="auto" w:sz="4" w:space="0"/>
                    <w:bottom w:val="single" w:color="auto" w:sz="4" w:space="0"/>
                    <w:right w:val="single" w:color="auto" w:sz="4" w:space="0"/>
                  </w:tcBorders>
                  <w:shd w:val="clear" w:color="auto" w:fill="auto"/>
                  <w:vAlign w:val="center"/>
                </w:tcPr>
                <w:p w14:paraId="640B2D49">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1513" w:type="pct"/>
                  <w:tcBorders>
                    <w:top w:val="single" w:color="auto" w:sz="4" w:space="0"/>
                    <w:left w:val="single" w:color="auto" w:sz="4" w:space="0"/>
                    <w:bottom w:val="single" w:color="auto" w:sz="4" w:space="0"/>
                    <w:right w:val="single" w:color="auto" w:sz="4" w:space="0"/>
                  </w:tcBorders>
                  <w:shd w:val="clear" w:color="auto" w:fill="auto"/>
                  <w:vAlign w:val="center"/>
                </w:tcPr>
                <w:p w14:paraId="4D7C11CD">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A615ECF">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849" w:type="pct"/>
                  <w:tcBorders>
                    <w:top w:val="single" w:color="auto" w:sz="4" w:space="0"/>
                    <w:left w:val="single" w:color="auto" w:sz="4" w:space="0"/>
                    <w:bottom w:val="single" w:color="auto" w:sz="4" w:space="0"/>
                    <w:right w:val="single" w:color="auto" w:sz="4" w:space="0"/>
                  </w:tcBorders>
                  <w:shd w:val="clear" w:color="auto" w:fill="auto"/>
                  <w:vAlign w:val="center"/>
                </w:tcPr>
                <w:p w14:paraId="66B37E9A">
                  <w:pPr>
                    <w:pStyle w:val="12"/>
                    <w:keepNext w:val="0"/>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0.0</w:t>
                  </w:r>
                  <w:r>
                    <w:rPr>
                      <w:rFonts w:hint="eastAsia" w:ascii="Times New Roman" w:hAnsi="Times New Roman" w:cs="Times New Roman"/>
                      <w:b w:val="0"/>
                      <w:bCs w:val="0"/>
                      <w:color w:val="auto"/>
                      <w:sz w:val="21"/>
                      <w:szCs w:val="21"/>
                      <w:lang w:val="en-US" w:eastAsia="zh-CN"/>
                    </w:rPr>
                    <w:t>5</w:t>
                  </w:r>
                  <w:r>
                    <w:rPr>
                      <w:rFonts w:hint="default" w:ascii="Times New Roman" w:hAnsi="Times New Roman" w:eastAsia="宋体" w:cs="Times New Roman"/>
                      <w:b w:val="0"/>
                      <w:bCs w:val="0"/>
                      <w:color w:val="auto"/>
                      <w:sz w:val="21"/>
                      <w:szCs w:val="21"/>
                      <w:lang w:val="en-US" w:eastAsia="zh-CN"/>
                    </w:rPr>
                    <w:t>02</w:t>
                  </w:r>
                  <w:r>
                    <w:rPr>
                      <w:rFonts w:hint="eastAsia" w:ascii="Times New Roman" w:hAnsi="Times New Roman" w:cs="Times New Roman"/>
                      <w:b w:val="0"/>
                      <w:bCs w:val="0"/>
                      <w:color w:val="auto"/>
                      <w:sz w:val="21"/>
                      <w:szCs w:val="21"/>
                      <w:lang w:val="en-US" w:eastAsia="zh-CN"/>
                    </w:rPr>
                    <w:t>4</w:t>
                  </w:r>
                </w:p>
              </w:tc>
            </w:tr>
          </w:tbl>
          <w:p w14:paraId="1CEF626A">
            <w:pPr>
              <w:ind w:firstLine="480"/>
              <w:rPr>
                <w:rFonts w:hint="eastAsia" w:cs="Times New Roman"/>
                <w:color w:val="auto"/>
              </w:rPr>
            </w:pPr>
            <w:r>
              <w:rPr>
                <w:rFonts w:hint="eastAsia" w:cs="Times New Roman"/>
                <w:color w:val="auto"/>
              </w:rPr>
              <w:t>根据上表，项目Q值为0.05024，Q＜1；根据《建设项目环境风险评价技术导则》（HJ169-2018）：当Q＜1时，建设项目环境风险潜势直接判定为I，确定项目环境风险评价工作等级为简单分析。</w:t>
            </w:r>
          </w:p>
          <w:p w14:paraId="0813C308">
            <w:pPr>
              <w:ind w:firstLine="480"/>
              <w:rPr>
                <w:rFonts w:hint="eastAsia" w:eastAsia="宋体" w:cs="Times New Roman"/>
                <w:b/>
                <w:bCs/>
                <w:color w:val="auto"/>
                <w:lang w:val="en-US" w:eastAsia="zh-CN"/>
              </w:rPr>
            </w:pPr>
            <w:r>
              <w:rPr>
                <w:rFonts w:hint="eastAsia" w:cs="Times New Roman"/>
                <w:b/>
                <w:bCs/>
                <w:color w:val="auto"/>
                <w:lang w:val="en-US" w:eastAsia="zh-CN"/>
              </w:rPr>
              <w:t>4、环境风险影响途径</w:t>
            </w:r>
          </w:p>
          <w:p w14:paraId="26738392">
            <w:pPr>
              <w:ind w:firstLine="480"/>
              <w:rPr>
                <w:rFonts w:hint="eastAsia" w:cs="Times New Roman"/>
                <w:color w:val="auto"/>
              </w:rPr>
            </w:pPr>
            <w:r>
              <w:rPr>
                <w:rFonts w:hint="eastAsia" w:cs="Times New Roman"/>
                <w:color w:val="auto"/>
              </w:rPr>
              <w:t>项目环境风险影响途径如下表所示。</w:t>
            </w:r>
          </w:p>
          <w:p w14:paraId="77865AE8">
            <w:pPr>
              <w:adjustRightInd w:val="0"/>
              <w:snapToGrid w:val="0"/>
              <w:spacing w:line="360" w:lineRule="auto"/>
              <w:ind w:firstLine="0" w:firstLineChars="0"/>
              <w:jc w:val="center"/>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表4-2</w:t>
            </w:r>
            <w:r>
              <w:rPr>
                <w:rFonts w:hint="eastAsia" w:cs="Times New Roman"/>
                <w:b/>
                <w:color w:val="auto"/>
                <w:kern w:val="0"/>
                <w:sz w:val="24"/>
                <w:lang w:val="en-US" w:eastAsia="zh-CN"/>
              </w:rPr>
              <w:t>1</w:t>
            </w:r>
            <w:r>
              <w:rPr>
                <w:rFonts w:hint="eastAsia" w:ascii="Times New Roman" w:hAnsi="Times New Roman" w:eastAsia="宋体" w:cs="Times New Roman"/>
                <w:b/>
                <w:color w:val="auto"/>
                <w:kern w:val="0"/>
                <w:sz w:val="24"/>
                <w:lang w:val="en-US" w:eastAsia="zh-CN"/>
              </w:rPr>
              <w:t xml:space="preserve">  </w:t>
            </w:r>
            <w:r>
              <w:rPr>
                <w:rFonts w:hint="default" w:ascii="Times New Roman" w:hAnsi="Times New Roman" w:eastAsia="宋体" w:cs="Times New Roman"/>
                <w:b/>
                <w:color w:val="auto"/>
                <w:kern w:val="0"/>
                <w:sz w:val="24"/>
                <w:lang w:val="en-US" w:eastAsia="zh-CN"/>
              </w:rPr>
              <w:t>项目风险影响途径类型一览表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57"/>
              <w:gridCol w:w="1141"/>
              <w:gridCol w:w="1338"/>
              <w:gridCol w:w="4278"/>
            </w:tblGrid>
            <w:tr w14:paraId="6497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620" w:type="pct"/>
                  <w:shd w:val="clear" w:color="auto" w:fill="auto"/>
                  <w:vAlign w:val="center"/>
                </w:tcPr>
                <w:p w14:paraId="51C604D8">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6"/>
                      <w:sz w:val="21"/>
                      <w:vertAlign w:val="baseline"/>
                      <w:lang w:val="en-US" w:eastAsia="zh-CN"/>
                    </w:rPr>
                  </w:pPr>
                  <w:r>
                    <w:rPr>
                      <w:rFonts w:hint="eastAsia" w:ascii="Times New Roman" w:hAnsi="Times New Roman" w:eastAsia="宋体" w:cs="Times New Roman"/>
                      <w:color w:val="auto"/>
                      <w:spacing w:val="6"/>
                      <w:sz w:val="21"/>
                      <w:vertAlign w:val="baseline"/>
                      <w:lang w:val="en-US" w:eastAsia="zh-CN"/>
                    </w:rPr>
                    <w:t>工序</w:t>
                  </w:r>
                </w:p>
              </w:tc>
              <w:tc>
                <w:tcPr>
                  <w:tcW w:w="739" w:type="pct"/>
                  <w:shd w:val="clear" w:color="auto" w:fill="auto"/>
                  <w:vAlign w:val="center"/>
                </w:tcPr>
                <w:p w14:paraId="7E8806D5">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6"/>
                      <w:sz w:val="21"/>
                      <w:vertAlign w:val="baseline"/>
                      <w:lang w:val="en-US" w:eastAsia="zh-CN"/>
                    </w:rPr>
                  </w:pPr>
                  <w:r>
                    <w:rPr>
                      <w:rFonts w:hint="eastAsia" w:ascii="Times New Roman" w:hAnsi="Times New Roman" w:eastAsia="宋体" w:cs="Times New Roman"/>
                      <w:color w:val="auto"/>
                      <w:spacing w:val="6"/>
                      <w:sz w:val="21"/>
                      <w:vertAlign w:val="baseline"/>
                      <w:lang w:val="en-US" w:eastAsia="zh-CN"/>
                    </w:rPr>
                    <w:t>风险类型</w:t>
                  </w:r>
                </w:p>
              </w:tc>
              <w:tc>
                <w:tcPr>
                  <w:tcW w:w="867" w:type="pct"/>
                  <w:shd w:val="clear" w:color="auto" w:fill="auto"/>
                  <w:vAlign w:val="center"/>
                </w:tcPr>
                <w:p w14:paraId="3794C077">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6"/>
                      <w:sz w:val="21"/>
                      <w:vertAlign w:val="baseline"/>
                      <w:lang w:val="en-US" w:eastAsia="zh-CN"/>
                    </w:rPr>
                  </w:pPr>
                  <w:r>
                    <w:rPr>
                      <w:rFonts w:hint="eastAsia" w:ascii="Times New Roman" w:hAnsi="Times New Roman" w:eastAsia="宋体" w:cs="Times New Roman"/>
                      <w:color w:val="auto"/>
                      <w:spacing w:val="6"/>
                      <w:sz w:val="21"/>
                      <w:vertAlign w:val="baseline"/>
                      <w:lang w:val="en-US" w:eastAsia="zh-CN"/>
                    </w:rPr>
                    <w:t>危害</w:t>
                  </w:r>
                </w:p>
              </w:tc>
              <w:tc>
                <w:tcPr>
                  <w:tcW w:w="2771" w:type="pct"/>
                  <w:shd w:val="clear" w:color="auto" w:fill="auto"/>
                  <w:vAlign w:val="center"/>
                </w:tcPr>
                <w:p w14:paraId="79B45298">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6"/>
                      <w:sz w:val="21"/>
                      <w:vertAlign w:val="baseline"/>
                      <w:lang w:val="en-US" w:eastAsia="zh-CN"/>
                    </w:rPr>
                  </w:pPr>
                  <w:r>
                    <w:rPr>
                      <w:rFonts w:hint="eastAsia" w:ascii="Times New Roman" w:hAnsi="Times New Roman" w:eastAsia="宋体" w:cs="Times New Roman"/>
                      <w:color w:val="auto"/>
                      <w:spacing w:val="6"/>
                      <w:sz w:val="21"/>
                      <w:vertAlign w:val="baseline"/>
                      <w:lang w:val="en-US" w:eastAsia="zh-CN"/>
                    </w:rPr>
                    <w:t>原因简析</w:t>
                  </w:r>
                </w:p>
              </w:tc>
            </w:tr>
            <w:tr w14:paraId="046A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620" w:type="pct"/>
                  <w:shd w:val="clear" w:color="auto" w:fill="auto"/>
                  <w:vAlign w:val="center"/>
                </w:tcPr>
                <w:p w14:paraId="3D17514B">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6"/>
                      <w:sz w:val="21"/>
                      <w:vertAlign w:val="baseline"/>
                      <w:lang w:val="en-US" w:eastAsia="zh-CN"/>
                    </w:rPr>
                  </w:pPr>
                  <w:r>
                    <w:rPr>
                      <w:rFonts w:hint="eastAsia" w:ascii="Times New Roman" w:hAnsi="Times New Roman" w:eastAsia="宋体" w:cs="Times New Roman"/>
                      <w:color w:val="auto"/>
                      <w:spacing w:val="6"/>
                      <w:sz w:val="21"/>
                      <w:vertAlign w:val="baseline"/>
                      <w:lang w:val="en-US" w:eastAsia="zh-CN"/>
                    </w:rPr>
                    <w:t>废矿物油暂存</w:t>
                  </w:r>
                </w:p>
              </w:tc>
              <w:tc>
                <w:tcPr>
                  <w:tcW w:w="739" w:type="pct"/>
                  <w:shd w:val="clear" w:color="auto" w:fill="auto"/>
                  <w:vAlign w:val="center"/>
                </w:tcPr>
                <w:p w14:paraId="55ED5A42">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6"/>
                      <w:sz w:val="21"/>
                      <w:vertAlign w:val="baseline"/>
                      <w:lang w:val="en-US" w:eastAsia="zh-CN"/>
                    </w:rPr>
                  </w:pPr>
                  <w:r>
                    <w:rPr>
                      <w:rFonts w:hint="eastAsia" w:ascii="Times New Roman" w:hAnsi="Times New Roman" w:eastAsia="宋体" w:cs="Times New Roman"/>
                      <w:color w:val="auto"/>
                      <w:spacing w:val="6"/>
                      <w:sz w:val="21"/>
                      <w:vertAlign w:val="baseline"/>
                      <w:lang w:val="en-US" w:eastAsia="zh-CN"/>
                    </w:rPr>
                    <w:t>废矿物油</w:t>
                  </w:r>
                  <w:r>
                    <w:rPr>
                      <w:rFonts w:hint="eastAsia" w:cs="Times New Roman"/>
                      <w:color w:val="auto"/>
                      <w:spacing w:val="6"/>
                      <w:sz w:val="21"/>
                      <w:vertAlign w:val="baseline"/>
                      <w:lang w:val="en-US" w:eastAsia="zh-CN"/>
                    </w:rPr>
                    <w:t>泄漏</w:t>
                  </w:r>
                </w:p>
              </w:tc>
              <w:tc>
                <w:tcPr>
                  <w:tcW w:w="867" w:type="pct"/>
                  <w:shd w:val="clear" w:color="auto" w:fill="auto"/>
                  <w:vAlign w:val="center"/>
                </w:tcPr>
                <w:p w14:paraId="203F6935">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6"/>
                      <w:sz w:val="21"/>
                      <w:vertAlign w:val="baseline"/>
                      <w:lang w:val="en-US" w:eastAsia="zh-CN"/>
                    </w:rPr>
                  </w:pPr>
                  <w:r>
                    <w:rPr>
                      <w:rFonts w:hint="eastAsia" w:ascii="Times New Roman" w:hAnsi="Times New Roman" w:eastAsia="宋体" w:cs="Times New Roman"/>
                      <w:color w:val="auto"/>
                      <w:spacing w:val="6"/>
                      <w:sz w:val="21"/>
                      <w:vertAlign w:val="baseline"/>
                      <w:lang w:val="en-US" w:eastAsia="zh-CN"/>
                    </w:rPr>
                    <w:t>污染地下水、地表水、土壤</w:t>
                  </w:r>
                </w:p>
              </w:tc>
              <w:tc>
                <w:tcPr>
                  <w:tcW w:w="2771" w:type="pct"/>
                  <w:shd w:val="clear" w:color="auto" w:fill="auto"/>
                  <w:vAlign w:val="center"/>
                </w:tcPr>
                <w:p w14:paraId="74A367BD">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6"/>
                      <w:sz w:val="21"/>
                      <w:vertAlign w:val="baseline"/>
                    </w:rPr>
                  </w:pPr>
                  <w:r>
                    <w:rPr>
                      <w:rFonts w:hint="default" w:ascii="Times New Roman" w:hAnsi="Times New Roman" w:eastAsia="宋体" w:cs="Times New Roman"/>
                      <w:color w:val="auto"/>
                      <w:spacing w:val="6"/>
                      <w:sz w:val="21"/>
                      <w:vertAlign w:val="baseline"/>
                    </w:rPr>
                    <w:t>临时储存的废矿物油泄漏，导致废矿物油下渗进入土壤、地下水，污染环境；或废矿物油泄漏遇明火/热源引发火灾，产生次生或伴生环境污染</w:t>
                  </w:r>
                </w:p>
              </w:tc>
            </w:tr>
            <w:tr w14:paraId="593E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0" w:type="pct"/>
                  <w:shd w:val="clear" w:color="auto" w:fill="auto"/>
                  <w:vAlign w:val="center"/>
                </w:tcPr>
                <w:p w14:paraId="5BB05D2A">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6"/>
                      <w:sz w:val="21"/>
                      <w:vertAlign w:val="baseline"/>
                      <w:lang w:val="en-US" w:eastAsia="zh-CN"/>
                    </w:rPr>
                  </w:pPr>
                  <w:r>
                    <w:rPr>
                      <w:rFonts w:hint="eastAsia" w:cs="Times New Roman"/>
                      <w:color w:val="auto"/>
                      <w:spacing w:val="6"/>
                      <w:sz w:val="21"/>
                      <w:vertAlign w:val="baseline"/>
                      <w:lang w:val="en-US" w:eastAsia="zh-CN"/>
                    </w:rPr>
                    <w:t>乙炔储存区</w:t>
                  </w:r>
                </w:p>
              </w:tc>
              <w:tc>
                <w:tcPr>
                  <w:tcW w:w="739" w:type="pct"/>
                  <w:shd w:val="clear" w:color="auto" w:fill="auto"/>
                  <w:vAlign w:val="center"/>
                </w:tcPr>
                <w:p w14:paraId="4AA79D71">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6"/>
                      <w:sz w:val="21"/>
                      <w:vertAlign w:val="baseline"/>
                      <w:lang w:val="en-US" w:eastAsia="zh-CN"/>
                    </w:rPr>
                  </w:pPr>
                  <w:r>
                    <w:rPr>
                      <w:rFonts w:hint="eastAsia" w:cs="Times New Roman"/>
                      <w:color w:val="auto"/>
                      <w:spacing w:val="6"/>
                      <w:sz w:val="21"/>
                      <w:vertAlign w:val="baseline"/>
                      <w:lang w:val="en-US" w:eastAsia="zh-CN"/>
                    </w:rPr>
                    <w:t>乙炔</w:t>
                  </w:r>
                </w:p>
              </w:tc>
              <w:tc>
                <w:tcPr>
                  <w:tcW w:w="867" w:type="pct"/>
                  <w:shd w:val="clear" w:color="auto" w:fill="auto"/>
                  <w:vAlign w:val="center"/>
                </w:tcPr>
                <w:p w14:paraId="13B5E544">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6"/>
                      <w:sz w:val="21"/>
                      <w:vertAlign w:val="baseline"/>
                      <w:lang w:val="en-US" w:eastAsia="zh-CN"/>
                    </w:rPr>
                  </w:pPr>
                  <w:r>
                    <w:rPr>
                      <w:rFonts w:hint="eastAsia" w:ascii="Times New Roman" w:hAnsi="Times New Roman" w:eastAsia="宋体" w:cs="Times New Roman"/>
                      <w:color w:val="auto"/>
                      <w:spacing w:val="6"/>
                      <w:sz w:val="21"/>
                      <w:vertAlign w:val="baseline"/>
                      <w:lang w:val="en-US" w:eastAsia="zh-CN"/>
                    </w:rPr>
                    <w:t>泄漏、燃烧，危害人体，污染环境空气</w:t>
                  </w:r>
                </w:p>
              </w:tc>
              <w:tc>
                <w:tcPr>
                  <w:tcW w:w="2771" w:type="pct"/>
                  <w:shd w:val="clear" w:color="auto" w:fill="auto"/>
                  <w:vAlign w:val="center"/>
                </w:tcPr>
                <w:p w14:paraId="257E4961">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6"/>
                      <w:sz w:val="21"/>
                      <w:vertAlign w:val="baseline"/>
                    </w:rPr>
                  </w:pPr>
                  <w:r>
                    <w:rPr>
                      <w:rFonts w:hint="default" w:ascii="Times New Roman" w:hAnsi="Times New Roman" w:eastAsia="宋体" w:cs="Times New Roman"/>
                      <w:color w:val="auto"/>
                      <w:spacing w:val="6"/>
                      <w:sz w:val="21"/>
                      <w:vertAlign w:val="baseline"/>
                    </w:rPr>
                    <w:t>遇明火、高热或与氧化剂接触，有引起燃烧爆炸的危险；若遇高热，容器内压增大，有开裂和爆炸的危险</w:t>
                  </w:r>
                </w:p>
              </w:tc>
            </w:tr>
          </w:tbl>
          <w:p w14:paraId="04B0C831">
            <w:pPr>
              <w:ind w:firstLine="480"/>
              <w:rPr>
                <w:rFonts w:hint="default" w:eastAsia="宋体" w:cs="Times New Roman"/>
                <w:b/>
                <w:bCs/>
                <w:color w:val="auto"/>
                <w:lang w:val="en-US" w:eastAsia="zh-CN"/>
              </w:rPr>
            </w:pPr>
            <w:r>
              <w:rPr>
                <w:rFonts w:hint="eastAsia" w:cs="Times New Roman"/>
                <w:b/>
                <w:bCs/>
                <w:color w:val="auto"/>
                <w:lang w:val="en-US" w:eastAsia="zh-CN"/>
              </w:rPr>
              <w:t>5、风险事故影响分析</w:t>
            </w:r>
          </w:p>
          <w:p w14:paraId="04D0308B">
            <w:pPr>
              <w:ind w:firstLine="480"/>
              <w:rPr>
                <w:rFonts w:hint="eastAsia" w:cs="Times New Roman"/>
                <w:color w:val="auto"/>
              </w:rPr>
            </w:pPr>
            <w:r>
              <w:rPr>
                <w:rFonts w:hint="eastAsia" w:cs="Times New Roman"/>
                <w:color w:val="auto"/>
              </w:rPr>
              <w:t>①大气环境风险分析</w:t>
            </w:r>
          </w:p>
          <w:p w14:paraId="1D67B696">
            <w:pPr>
              <w:ind w:firstLine="480"/>
              <w:rPr>
                <w:rFonts w:hint="eastAsia" w:cs="Times New Roman"/>
                <w:color w:val="auto"/>
              </w:rPr>
            </w:pPr>
            <w:r>
              <w:rPr>
                <w:rFonts w:hint="eastAsia" w:cs="Times New Roman"/>
                <w:color w:val="auto"/>
              </w:rPr>
              <w:t>废液压油、乙炔遇明火发生火灾事故，产生CO和CO</w:t>
            </w:r>
            <w:r>
              <w:rPr>
                <w:rFonts w:hint="eastAsia" w:cs="Times New Roman"/>
                <w:color w:val="auto"/>
                <w:vertAlign w:val="subscript"/>
              </w:rPr>
              <w:t>2</w:t>
            </w:r>
            <w:r>
              <w:rPr>
                <w:rFonts w:hint="eastAsia" w:cs="Times New Roman"/>
                <w:color w:val="auto"/>
              </w:rPr>
              <w:t>等污染物，排放到大气环境中会污染大气环境。因项目区存储量较小，发生火灾爆炸事故的概率较小，在发生火灾时能够及时采取措施在最短时间内将火扑灭，在扑灭后经空气扩散稀释后对大气环境影响较小。</w:t>
            </w:r>
          </w:p>
          <w:p w14:paraId="1C8629DA">
            <w:pPr>
              <w:ind w:firstLine="480"/>
              <w:rPr>
                <w:rFonts w:hint="eastAsia" w:cs="Times New Roman"/>
                <w:color w:val="auto"/>
              </w:rPr>
            </w:pPr>
            <w:r>
              <w:rPr>
                <w:rFonts w:hint="eastAsia" w:cs="Times New Roman"/>
                <w:color w:val="auto"/>
              </w:rPr>
              <w:t>②土壤及地下水环境风险影响分析</w:t>
            </w:r>
          </w:p>
          <w:p w14:paraId="5D33F8B8">
            <w:pPr>
              <w:ind w:firstLine="480"/>
              <w:rPr>
                <w:rFonts w:hint="eastAsia" w:cs="Times New Roman"/>
                <w:color w:val="auto"/>
              </w:rPr>
            </w:pPr>
            <w:r>
              <w:rPr>
                <w:rFonts w:hint="eastAsia" w:cs="Times New Roman"/>
                <w:color w:val="auto"/>
              </w:rPr>
              <w:t>危险废物暂存间废液压油属于危险物质，其危险特性为毒性和易燃性，易发生火灾和爆炸事故会威胁人身安全，产生大量烟气会危害人体健康和污染环境空气，泄露会对地表水、地下水、土壤环境造成严重影响。</w:t>
            </w:r>
          </w:p>
          <w:p w14:paraId="09F6BDFE">
            <w:pPr>
              <w:ind w:firstLine="480"/>
              <w:rPr>
                <w:rFonts w:hint="eastAsia" w:eastAsia="宋体" w:cs="Times New Roman"/>
                <w:b/>
                <w:bCs/>
                <w:color w:val="auto"/>
                <w:lang w:val="en-US" w:eastAsia="zh-CN"/>
              </w:rPr>
            </w:pPr>
            <w:r>
              <w:rPr>
                <w:rFonts w:hint="eastAsia" w:cs="Times New Roman"/>
                <w:b/>
                <w:bCs/>
                <w:color w:val="auto"/>
                <w:lang w:val="en-US" w:eastAsia="zh-CN"/>
              </w:rPr>
              <w:t>6、风险防范措施</w:t>
            </w:r>
          </w:p>
          <w:p w14:paraId="23D790EA">
            <w:pPr>
              <w:ind w:firstLine="480"/>
              <w:rPr>
                <w:rFonts w:hint="eastAsia" w:cs="Times New Roman"/>
                <w:color w:val="auto"/>
              </w:rPr>
            </w:pPr>
            <w:r>
              <w:rPr>
                <w:rFonts w:hint="default" w:ascii="Times New Roman" w:hAnsi="Times New Roman" w:eastAsia="宋体" w:cs="Times New Roman"/>
                <w:color w:val="auto"/>
                <w:sz w:val="24"/>
              </w:rPr>
              <w:t>为把风险事故的发生和影响降到最低限度，针对项目的生产特点，特别应注意以下几点：加强职工安全环保教育，增强操作工人的责任心，防止和减少因人为因素造成的事故，同时也要加强防火安全教育；应配备必需的消防设施，落实安全管理责任。</w:t>
            </w:r>
          </w:p>
          <w:p w14:paraId="7430848A">
            <w:pPr>
              <w:ind w:firstLine="480"/>
              <w:rPr>
                <w:rFonts w:hint="eastAsia" w:eastAsia="宋体" w:cs="Times New Roman"/>
                <w:b/>
                <w:bCs/>
                <w:color w:val="auto"/>
                <w:lang w:eastAsia="zh-CN"/>
              </w:rPr>
            </w:pPr>
            <w:r>
              <w:rPr>
                <w:rFonts w:hint="eastAsia" w:cs="Times New Roman"/>
                <w:b/>
                <w:bCs/>
                <w:color w:val="auto"/>
                <w:lang w:eastAsia="zh-CN"/>
              </w:rPr>
              <w:t>（</w:t>
            </w:r>
            <w:r>
              <w:rPr>
                <w:rFonts w:hint="eastAsia" w:cs="Times New Roman"/>
                <w:b/>
                <w:bCs/>
                <w:color w:val="auto"/>
                <w:lang w:val="en-US" w:eastAsia="zh-CN"/>
              </w:rPr>
              <w:t>1</w:t>
            </w:r>
            <w:r>
              <w:rPr>
                <w:rFonts w:hint="eastAsia" w:cs="Times New Roman"/>
                <w:b/>
                <w:bCs/>
                <w:color w:val="auto"/>
                <w:lang w:eastAsia="zh-CN"/>
              </w:rPr>
              <w:t>）危险废物泄漏事故风险防范措施</w:t>
            </w:r>
          </w:p>
          <w:p w14:paraId="4002043F">
            <w:pPr>
              <w:ind w:firstLine="480"/>
              <w:rPr>
                <w:rFonts w:hint="eastAsia" w:cs="Times New Roman"/>
                <w:color w:val="auto"/>
              </w:rPr>
            </w:pPr>
            <w:r>
              <w:rPr>
                <w:rFonts w:hint="eastAsia" w:cs="Times New Roman"/>
                <w:color w:val="auto"/>
              </w:rPr>
              <w:t>①建设1间面积为</w:t>
            </w:r>
            <w:r>
              <w:rPr>
                <w:rFonts w:hint="eastAsia" w:cs="Times New Roman"/>
                <w:color w:val="auto"/>
                <w:lang w:val="en-US" w:eastAsia="zh-CN"/>
              </w:rPr>
              <w:t>5</w:t>
            </w:r>
            <w:r>
              <w:rPr>
                <w:rFonts w:hint="eastAsia" w:cs="Times New Roman"/>
                <w:color w:val="auto"/>
              </w:rPr>
              <w:t>m</w:t>
            </w:r>
            <w:r>
              <w:rPr>
                <w:rFonts w:hint="eastAsia" w:cs="Times New Roman"/>
                <w:color w:val="auto"/>
                <w:vertAlign w:val="superscript"/>
              </w:rPr>
              <w:t>2</w:t>
            </w:r>
            <w:r>
              <w:rPr>
                <w:rFonts w:hint="eastAsia" w:cs="Times New Roman"/>
                <w:color w:val="auto"/>
              </w:rPr>
              <w:t>危废暂存间，危废暂存间设置密闭收集容器，并采取必要的“三防”等措施，并按《危险废物贮存污染控制标准》（GB18597-2023）的相关要求建设，危险废物经分类收集后统一暂存于危废暂存间，严禁随意堆放、处置。</w:t>
            </w:r>
          </w:p>
          <w:p w14:paraId="7A35CE0E">
            <w:pPr>
              <w:ind w:firstLine="480"/>
              <w:rPr>
                <w:rFonts w:hint="eastAsia" w:cs="Times New Roman"/>
                <w:color w:val="auto"/>
              </w:rPr>
            </w:pPr>
            <w:r>
              <w:rPr>
                <w:rFonts w:hint="eastAsia" w:cs="Times New Roman"/>
                <w:color w:val="auto"/>
              </w:rPr>
              <w:t>②装载液体、半固体危险废物的容器内须留足够空间，容器顶部与液体表面之间保留100mm以上的空间；盛装危险废物的容器上必须粘贴危险废物标签；液体危险废物可注入开孔直径不超过70mm并有放气孔的桶中。</w:t>
            </w:r>
          </w:p>
          <w:p w14:paraId="1AF3758B">
            <w:pPr>
              <w:ind w:firstLine="480"/>
              <w:rPr>
                <w:rFonts w:hint="eastAsia" w:cs="Times New Roman"/>
                <w:color w:val="auto"/>
              </w:rPr>
            </w:pPr>
            <w:r>
              <w:rPr>
                <w:rFonts w:hint="eastAsia" w:cs="Times New Roman"/>
                <w:color w:val="auto"/>
              </w:rPr>
              <w:t>③危险废物及时交由有资质的公司进行回收处置，禁止在项目内大量堆存。</w:t>
            </w:r>
          </w:p>
          <w:p w14:paraId="353CDBB7">
            <w:pPr>
              <w:ind w:firstLine="480"/>
              <w:rPr>
                <w:rFonts w:hint="eastAsia" w:cs="Times New Roman"/>
                <w:color w:val="auto"/>
              </w:rPr>
            </w:pPr>
            <w:r>
              <w:rPr>
                <w:rFonts w:hint="eastAsia" w:cs="Times New Roman"/>
                <w:color w:val="auto"/>
              </w:rPr>
              <w:t>④设置相关运行管理台账，危险废物产生者和危险废物贮存设施经营者均须做好危险废物情况的记录，记录上须注明危险废物的名称、来源、数量、特性和包装容器的类别、入库日期、存放库位、废物出库日期及接收单位名称。危险废物的记录和货单在危险废物回取后应继续保留五年。</w:t>
            </w:r>
          </w:p>
          <w:p w14:paraId="75AA48E8">
            <w:pPr>
              <w:ind w:firstLine="480"/>
              <w:rPr>
                <w:rFonts w:hint="eastAsia" w:cs="Times New Roman"/>
                <w:color w:val="auto"/>
              </w:rPr>
            </w:pPr>
            <w:r>
              <w:rPr>
                <w:rFonts w:hint="eastAsia" w:cs="Times New Roman"/>
                <w:color w:val="auto"/>
              </w:rPr>
              <w:t>⑤必须定期对所贮存的危险废物包装容器及贮存设施进行检查，发现破损，应及时采取措施清理更换。同时检查场内暂存场所有无泄漏、雨水浸泡等问题，及时处理。</w:t>
            </w:r>
          </w:p>
          <w:p w14:paraId="70434625">
            <w:pPr>
              <w:ind w:firstLine="480"/>
              <w:rPr>
                <w:rFonts w:hint="eastAsia" w:cs="Times New Roman"/>
                <w:color w:val="auto"/>
              </w:rPr>
            </w:pPr>
            <w:r>
              <w:rPr>
                <w:rFonts w:hint="eastAsia" w:cs="Times New Roman"/>
                <w:color w:val="auto"/>
              </w:rPr>
              <w:t>⑥为进一步加强地下水、土壤防治措施，本次环评建议生产区地面涂刷环氧树脂防水漆，降低渗漏造成土壤、地下水污染的风险。</w:t>
            </w:r>
          </w:p>
          <w:p w14:paraId="4EAA8BA3">
            <w:pPr>
              <w:ind w:firstLine="480"/>
              <w:rPr>
                <w:rFonts w:hint="eastAsia" w:eastAsia="宋体" w:cs="Times New Roman"/>
                <w:b/>
                <w:bCs/>
                <w:color w:val="auto"/>
                <w:lang w:eastAsia="zh-CN"/>
              </w:rPr>
            </w:pPr>
            <w:r>
              <w:rPr>
                <w:rFonts w:hint="eastAsia" w:cs="Times New Roman"/>
                <w:b/>
                <w:bCs/>
                <w:color w:val="auto"/>
                <w:lang w:eastAsia="zh-CN"/>
              </w:rPr>
              <w:t>（</w:t>
            </w:r>
            <w:r>
              <w:rPr>
                <w:rFonts w:hint="eastAsia" w:cs="Times New Roman"/>
                <w:b/>
                <w:bCs/>
                <w:color w:val="auto"/>
                <w:lang w:val="en-US" w:eastAsia="zh-CN"/>
              </w:rPr>
              <w:t>2</w:t>
            </w:r>
            <w:r>
              <w:rPr>
                <w:rFonts w:hint="eastAsia" w:cs="Times New Roman"/>
                <w:b/>
                <w:bCs/>
                <w:color w:val="auto"/>
                <w:lang w:eastAsia="zh-CN"/>
              </w:rPr>
              <w:t>）火灾、爆炸事故风险防范措施</w:t>
            </w:r>
          </w:p>
          <w:p w14:paraId="41A5C83C">
            <w:pPr>
              <w:ind w:firstLine="480"/>
              <w:rPr>
                <w:rFonts w:hint="eastAsia" w:cs="Times New Roman"/>
                <w:color w:val="auto"/>
              </w:rPr>
            </w:pPr>
            <w:r>
              <w:rPr>
                <w:rFonts w:hint="eastAsia" w:cs="Times New Roman"/>
                <w:color w:val="auto"/>
              </w:rPr>
              <w:t>①项目加强危废间的贮存管理，加强相关隔离措施，厂区应设置“严禁烟火”的警示牌。</w:t>
            </w:r>
          </w:p>
          <w:p w14:paraId="512580A2">
            <w:pPr>
              <w:ind w:firstLine="480"/>
              <w:rPr>
                <w:rFonts w:hint="eastAsia" w:cs="Times New Roman"/>
                <w:color w:val="auto"/>
              </w:rPr>
            </w:pPr>
            <w:r>
              <w:rPr>
                <w:rFonts w:hint="eastAsia" w:cs="Times New Roman"/>
                <w:color w:val="auto"/>
              </w:rPr>
              <w:t>②制定和落实防火安全责任制及消防安全规章制度，除加强对员工的消防知识培训，对消防安全责任人及员工也定期进行消防知识培训，消防安全管理人员持证上岗。</w:t>
            </w:r>
          </w:p>
          <w:p w14:paraId="448CCBF6">
            <w:pPr>
              <w:ind w:firstLine="480"/>
              <w:rPr>
                <w:rFonts w:hint="eastAsia" w:cs="Times New Roman"/>
                <w:color w:val="auto"/>
              </w:rPr>
            </w:pPr>
            <w:r>
              <w:rPr>
                <w:rFonts w:hint="eastAsia" w:cs="Times New Roman"/>
                <w:color w:val="auto"/>
              </w:rPr>
              <w:t>③制定灭火和应急疏散预案，同时设置安全疏散通道。灭火器应布置在明显便于取用的地方，并定期维护检查，确保能正常使用。</w:t>
            </w:r>
          </w:p>
          <w:p w14:paraId="0321E4D3">
            <w:pPr>
              <w:ind w:firstLine="480"/>
              <w:rPr>
                <w:rFonts w:hint="default" w:eastAsia="宋体" w:cs="Times New Roman"/>
                <w:b/>
                <w:bCs/>
                <w:color w:val="auto"/>
                <w:lang w:val="en-US" w:eastAsia="zh-CN"/>
              </w:rPr>
            </w:pPr>
            <w:r>
              <w:rPr>
                <w:rFonts w:hint="eastAsia" w:cs="Times New Roman"/>
                <w:b/>
                <w:bCs/>
                <w:color w:val="auto"/>
                <w:lang w:eastAsia="zh-CN"/>
              </w:rPr>
              <w:t>（</w:t>
            </w:r>
            <w:r>
              <w:rPr>
                <w:rFonts w:hint="eastAsia" w:cs="Times New Roman"/>
                <w:b/>
                <w:bCs/>
                <w:color w:val="auto"/>
                <w:lang w:val="en-US" w:eastAsia="zh-CN"/>
              </w:rPr>
              <w:t>3</w:t>
            </w:r>
            <w:r>
              <w:rPr>
                <w:rFonts w:hint="eastAsia" w:cs="Times New Roman"/>
                <w:b/>
                <w:bCs/>
                <w:color w:val="auto"/>
                <w:lang w:eastAsia="zh-CN"/>
              </w:rPr>
              <w:t>）</w:t>
            </w:r>
            <w:r>
              <w:rPr>
                <w:rFonts w:hint="eastAsia" w:cs="Times New Roman"/>
                <w:b/>
                <w:bCs/>
                <w:color w:val="auto"/>
                <w:lang w:val="en-US" w:eastAsia="zh-CN"/>
              </w:rPr>
              <w:t>冷却水事故风险防范措施</w:t>
            </w:r>
          </w:p>
          <w:p w14:paraId="21FAB725">
            <w:pPr>
              <w:ind w:firstLine="480"/>
              <w:rPr>
                <w:rFonts w:hint="default" w:eastAsia="宋体" w:cs="Times New Roman"/>
                <w:color w:val="auto"/>
                <w:lang w:val="en-US" w:eastAsia="zh-CN"/>
              </w:rPr>
            </w:pPr>
            <w:r>
              <w:rPr>
                <w:rFonts w:hint="eastAsia" w:cs="Times New Roman"/>
                <w:color w:val="auto"/>
                <w:lang w:val="en-US" w:eastAsia="zh-CN"/>
              </w:rPr>
              <w:t>设置1个容积为30m</w:t>
            </w:r>
            <w:r>
              <w:rPr>
                <w:rFonts w:hint="eastAsia" w:cs="Times New Roman"/>
                <w:color w:val="auto"/>
                <w:vertAlign w:val="superscript"/>
                <w:lang w:val="en-US" w:eastAsia="zh-CN"/>
              </w:rPr>
              <w:t>3</w:t>
            </w:r>
            <w:r>
              <w:rPr>
                <w:rFonts w:hint="eastAsia" w:cs="Times New Roman"/>
                <w:color w:val="auto"/>
                <w:lang w:val="en-US" w:eastAsia="zh-CN"/>
              </w:rPr>
              <w:t>的事故池，用于收集事故状态下产生的冷却水，严禁冷却水严禁外排。</w:t>
            </w:r>
          </w:p>
          <w:p w14:paraId="198AC283">
            <w:pPr>
              <w:ind w:firstLine="480"/>
              <w:rPr>
                <w:rFonts w:hint="eastAsia" w:eastAsia="宋体" w:cs="Times New Roman"/>
                <w:b/>
                <w:bCs/>
                <w:color w:val="auto"/>
                <w:lang w:val="en-US" w:eastAsia="zh-CN"/>
              </w:rPr>
            </w:pPr>
            <w:r>
              <w:rPr>
                <w:rFonts w:hint="eastAsia" w:cs="Times New Roman"/>
                <w:b/>
                <w:bCs/>
                <w:color w:val="auto"/>
                <w:lang w:val="en-US" w:eastAsia="zh-CN"/>
              </w:rPr>
              <w:t>7、应急处理措施</w:t>
            </w:r>
          </w:p>
          <w:p w14:paraId="27D56459">
            <w:pPr>
              <w:ind w:firstLine="480"/>
              <w:rPr>
                <w:rFonts w:hint="eastAsia" w:cs="Times New Roman"/>
                <w:color w:val="auto"/>
              </w:rPr>
            </w:pPr>
            <w:r>
              <w:rPr>
                <w:rFonts w:hint="eastAsia" w:cs="Times New Roman"/>
                <w:color w:val="auto"/>
              </w:rPr>
              <w:t>严格落实环境风险防范措施，根据《关于印发〈突发环境事件应急预案管理暂行办法〉的通知》（环发〔2015〕4号）要求，待项目建设完成后，及时进行《突发环境事件应急预案》编制工作并于玉溪市生态环境局通海分局备案；加强应急演练，建立完善应急报告制度，落实应急物资和经费。切实做好环保设施的日常维护和管理，落实环境风险防范措施，杜绝事故性排放。</w:t>
            </w:r>
          </w:p>
          <w:p w14:paraId="42EEE191">
            <w:pPr>
              <w:ind w:firstLine="480"/>
              <w:rPr>
                <w:rFonts w:hint="eastAsia" w:eastAsia="宋体" w:cs="Times New Roman"/>
                <w:color w:val="auto"/>
                <w:lang w:eastAsia="zh-CN"/>
              </w:rPr>
            </w:pPr>
            <w:r>
              <w:rPr>
                <w:rFonts w:hint="eastAsia" w:cs="Times New Roman"/>
                <w:b/>
                <w:bCs/>
                <w:color w:val="auto"/>
                <w:lang w:eastAsia="zh-CN"/>
              </w:rPr>
              <w:t>（</w:t>
            </w:r>
            <w:r>
              <w:rPr>
                <w:rFonts w:hint="eastAsia" w:cs="Times New Roman"/>
                <w:b/>
                <w:bCs/>
                <w:color w:val="auto"/>
                <w:lang w:val="en-US" w:eastAsia="zh-CN"/>
              </w:rPr>
              <w:t>1</w:t>
            </w:r>
            <w:r>
              <w:rPr>
                <w:rFonts w:hint="eastAsia" w:cs="Times New Roman"/>
                <w:b/>
                <w:bCs/>
                <w:color w:val="auto"/>
                <w:lang w:eastAsia="zh-CN"/>
              </w:rPr>
              <w:t>）油品泄漏应急处理</w:t>
            </w:r>
          </w:p>
          <w:p w14:paraId="45855DF1">
            <w:pPr>
              <w:ind w:firstLine="480"/>
              <w:rPr>
                <w:rFonts w:hint="eastAsia" w:cs="Times New Roman"/>
                <w:color w:val="auto"/>
              </w:rPr>
            </w:pPr>
            <w:r>
              <w:rPr>
                <w:rFonts w:hint="eastAsia" w:cs="Times New Roman"/>
                <w:color w:val="auto"/>
              </w:rPr>
              <w:t>①发现泄漏后生产人员立即将泄漏的油品妥善收集到专门的容器内，放置于危废暂存间内，及时交由有资质的单位处置，防止造成新的污染。</w:t>
            </w:r>
          </w:p>
          <w:p w14:paraId="657DC0E7">
            <w:pPr>
              <w:ind w:firstLine="480"/>
              <w:rPr>
                <w:rFonts w:hint="eastAsia" w:cs="Times New Roman"/>
                <w:color w:val="auto"/>
              </w:rPr>
            </w:pPr>
            <w:r>
              <w:rPr>
                <w:rFonts w:hint="eastAsia" w:cs="Times New Roman"/>
                <w:color w:val="auto"/>
              </w:rPr>
              <w:t>②收集完毕之后将受影响的土壤清理干净。</w:t>
            </w:r>
          </w:p>
          <w:p w14:paraId="4E34D5EA">
            <w:pPr>
              <w:ind w:firstLine="480"/>
              <w:rPr>
                <w:rFonts w:hint="eastAsia" w:eastAsia="宋体" w:cs="Times New Roman"/>
                <w:b/>
                <w:bCs/>
                <w:color w:val="auto"/>
                <w:lang w:eastAsia="zh-CN"/>
              </w:rPr>
            </w:pPr>
            <w:r>
              <w:rPr>
                <w:rFonts w:hint="eastAsia" w:cs="Times New Roman"/>
                <w:b/>
                <w:bCs/>
                <w:color w:val="auto"/>
                <w:lang w:eastAsia="zh-CN"/>
              </w:rPr>
              <w:t>（</w:t>
            </w:r>
            <w:r>
              <w:rPr>
                <w:rFonts w:hint="eastAsia" w:cs="Times New Roman"/>
                <w:b/>
                <w:bCs/>
                <w:color w:val="auto"/>
                <w:lang w:val="en-US" w:eastAsia="zh-CN"/>
              </w:rPr>
              <w:t>2</w:t>
            </w:r>
            <w:r>
              <w:rPr>
                <w:rFonts w:hint="eastAsia" w:cs="Times New Roman"/>
                <w:b/>
                <w:bCs/>
                <w:color w:val="auto"/>
                <w:lang w:eastAsia="zh-CN"/>
              </w:rPr>
              <w:t>）火灾、爆炸应急处理</w:t>
            </w:r>
          </w:p>
          <w:p w14:paraId="1DF5F1BF">
            <w:pPr>
              <w:ind w:firstLine="480"/>
              <w:rPr>
                <w:rFonts w:hint="eastAsia" w:cs="Times New Roman"/>
                <w:color w:val="auto"/>
              </w:rPr>
            </w:pPr>
            <w:r>
              <w:rPr>
                <w:rFonts w:hint="eastAsia" w:cs="Times New Roman"/>
                <w:color w:val="auto"/>
              </w:rPr>
              <w:t>①迅速撤离火灾污染区人员至上风处，并立即进行隔离。应急处理人员戴自给正压式呼吸器，穿防毒服。尽可能切断泄漏源。</w:t>
            </w:r>
          </w:p>
          <w:p w14:paraId="737A196D">
            <w:pPr>
              <w:ind w:firstLine="480"/>
              <w:rPr>
                <w:rFonts w:hint="eastAsia" w:cs="Times New Roman"/>
                <w:color w:val="auto"/>
              </w:rPr>
            </w:pPr>
            <w:r>
              <w:rPr>
                <w:rFonts w:hint="eastAsia" w:cs="Times New Roman"/>
                <w:color w:val="auto"/>
              </w:rPr>
              <w:t>②应急处理人员戴自给正压式呼吸器，穿防毒服，用灭火器紧急处理，及时报告，根据情况向厂内应急中心求救或拨打119。</w:t>
            </w:r>
          </w:p>
          <w:p w14:paraId="380F53AC">
            <w:pPr>
              <w:ind w:firstLine="480"/>
              <w:rPr>
                <w:rFonts w:hint="eastAsia" w:cs="Times New Roman"/>
                <w:color w:val="auto"/>
              </w:rPr>
            </w:pPr>
            <w:r>
              <w:rPr>
                <w:rFonts w:hint="eastAsia" w:cs="Times New Roman"/>
                <w:color w:val="auto"/>
              </w:rPr>
              <w:t>③切断火势蔓延的途径，冷却和疏散受火势威胁的密闭容器和可燃物，控制燃烧范围，并积极抢救受伤和被困人员。合理通风，加速扩散。</w:t>
            </w:r>
          </w:p>
          <w:p w14:paraId="41D073E3">
            <w:pPr>
              <w:ind w:firstLine="480"/>
              <w:rPr>
                <w:rFonts w:hint="eastAsia" w:cs="Times New Roman"/>
                <w:color w:val="auto"/>
              </w:rPr>
            </w:pPr>
            <w:r>
              <w:rPr>
                <w:rFonts w:hint="eastAsia" w:cs="Times New Roman"/>
                <w:color w:val="auto"/>
              </w:rPr>
              <w:t>④当人体吸入有毒气体引起中毒，须迅速脱离现场至空气新鲜处；情节严重的要立即就医。</w:t>
            </w:r>
          </w:p>
          <w:p w14:paraId="45CBBB31">
            <w:pPr>
              <w:ind w:firstLine="480"/>
              <w:rPr>
                <w:rFonts w:hint="default" w:eastAsia="宋体" w:cs="Times New Roman"/>
                <w:b/>
                <w:bCs/>
                <w:color w:val="auto"/>
                <w:lang w:val="en-US" w:eastAsia="zh-CN"/>
              </w:rPr>
            </w:pPr>
            <w:r>
              <w:rPr>
                <w:rFonts w:hint="eastAsia" w:cs="Times New Roman"/>
                <w:b/>
                <w:bCs/>
                <w:color w:val="auto"/>
                <w:lang w:eastAsia="zh-CN"/>
              </w:rPr>
              <w:t>（</w:t>
            </w:r>
            <w:r>
              <w:rPr>
                <w:rFonts w:hint="eastAsia" w:cs="Times New Roman"/>
                <w:b/>
                <w:bCs/>
                <w:color w:val="auto"/>
                <w:lang w:val="en-US" w:eastAsia="zh-CN"/>
              </w:rPr>
              <w:t>3</w:t>
            </w:r>
            <w:r>
              <w:rPr>
                <w:rFonts w:hint="eastAsia" w:cs="Times New Roman"/>
                <w:b/>
                <w:bCs/>
                <w:color w:val="auto"/>
                <w:lang w:eastAsia="zh-CN"/>
              </w:rPr>
              <w:t>）</w:t>
            </w:r>
            <w:r>
              <w:rPr>
                <w:rFonts w:hint="eastAsia" w:cs="Times New Roman"/>
                <w:b/>
                <w:bCs/>
                <w:color w:val="auto"/>
                <w:lang w:val="en-US" w:eastAsia="zh-CN"/>
              </w:rPr>
              <w:t>冷却水泄漏应急处理</w:t>
            </w:r>
          </w:p>
          <w:p w14:paraId="7AD3138C">
            <w:pPr>
              <w:ind w:firstLine="480"/>
              <w:rPr>
                <w:rFonts w:hint="eastAsia" w:eastAsia="宋体" w:cs="Times New Roman"/>
                <w:color w:val="auto"/>
                <w:lang w:val="en-US" w:eastAsia="zh-CN"/>
              </w:rPr>
            </w:pPr>
            <w:r>
              <w:rPr>
                <w:rFonts w:hint="eastAsia" w:cs="Times New Roman"/>
                <w:color w:val="auto"/>
              </w:rPr>
              <w:t>①现场配备专用堵漏</w:t>
            </w:r>
            <w:r>
              <w:rPr>
                <w:rFonts w:hint="eastAsia" w:cs="Times New Roman"/>
                <w:color w:val="auto"/>
                <w:lang w:val="en-US" w:eastAsia="zh-CN"/>
              </w:rPr>
              <w:t>应急物资，做到突发泄漏可快速临时封堵；</w:t>
            </w:r>
          </w:p>
          <w:p w14:paraId="07FFD145">
            <w:pPr>
              <w:ind w:firstLine="480"/>
              <w:rPr>
                <w:rFonts w:hint="default" w:eastAsia="宋体" w:cs="Times New Roman"/>
                <w:color w:val="auto"/>
                <w:lang w:val="en-US" w:eastAsia="zh-CN"/>
              </w:rPr>
            </w:pPr>
            <w:r>
              <w:rPr>
                <w:rFonts w:hint="eastAsia" w:cs="Times New Roman"/>
                <w:color w:val="auto"/>
              </w:rPr>
              <w:t>②</w:t>
            </w:r>
            <w:r>
              <w:rPr>
                <w:rFonts w:hint="eastAsia" w:cs="Times New Roman"/>
                <w:color w:val="auto"/>
                <w:lang w:val="en-US" w:eastAsia="zh-CN"/>
              </w:rPr>
              <w:t>发现泄漏后生产人员立即将泄漏的冷却水转移到事故池中，严禁冷却水事故排放。</w:t>
            </w:r>
          </w:p>
          <w:p w14:paraId="196DDA9E">
            <w:pPr>
              <w:ind w:firstLine="480"/>
              <w:rPr>
                <w:rFonts w:hint="eastAsia" w:eastAsia="宋体" w:cs="Times New Roman"/>
                <w:b/>
                <w:bCs/>
                <w:color w:val="auto"/>
                <w:lang w:val="en-US" w:eastAsia="zh-CN"/>
              </w:rPr>
            </w:pPr>
            <w:r>
              <w:rPr>
                <w:rFonts w:hint="eastAsia" w:cs="Times New Roman"/>
                <w:b/>
                <w:bCs/>
                <w:color w:val="auto"/>
                <w:lang w:val="en-US" w:eastAsia="zh-CN"/>
              </w:rPr>
              <w:t>8、环境风险分析结论</w:t>
            </w:r>
          </w:p>
          <w:p w14:paraId="13F0316C">
            <w:pPr>
              <w:ind w:firstLine="480"/>
              <w:rPr>
                <w:rFonts w:hint="eastAsia" w:cs="Times New Roman"/>
                <w:color w:val="auto"/>
              </w:rPr>
            </w:pPr>
            <w:r>
              <w:rPr>
                <w:rFonts w:hint="eastAsia" w:cs="Times New Roman"/>
                <w:color w:val="auto"/>
              </w:rPr>
              <w:t>综上所述，本项目环境风险潜势为Ⅰ级，风险评价等级为简单分析，不存在重大风险源，主要风险事故为废液压油泄漏、火灾、爆炸事故，对在场、邻近人员造成伤害。结合项目实际情况，本评价提出了相关防范措施，在加强管理及积极落实有关防范措施后，本项目环境事故发生的可能性很低，且项目环境风险在可防控范围内，项目环境风险影响较小。</w:t>
            </w:r>
          </w:p>
          <w:p w14:paraId="15E15AFD">
            <w:pPr>
              <w:adjustRightInd w:val="0"/>
              <w:snapToGrid w:val="0"/>
              <w:spacing w:line="360" w:lineRule="auto"/>
              <w:ind w:firstLine="0" w:firstLineChars="0"/>
              <w:jc w:val="center"/>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表4-2</w:t>
            </w:r>
            <w:r>
              <w:rPr>
                <w:rFonts w:hint="eastAsia" w:cs="Times New Roman"/>
                <w:b/>
                <w:color w:val="auto"/>
                <w:kern w:val="0"/>
                <w:sz w:val="24"/>
                <w:lang w:val="en-US" w:eastAsia="zh-CN"/>
              </w:rPr>
              <w:t>2</w:t>
            </w:r>
            <w:r>
              <w:rPr>
                <w:rFonts w:hint="eastAsia" w:ascii="Times New Roman" w:hAnsi="Times New Roman" w:eastAsia="宋体" w:cs="Times New Roman"/>
                <w:b/>
                <w:color w:val="auto"/>
                <w:kern w:val="0"/>
                <w:sz w:val="24"/>
                <w:lang w:val="en-US" w:eastAsia="zh-CN"/>
              </w:rPr>
              <w:t xml:space="preserve">  建设项目环境风险简单分析内容表</w:t>
            </w:r>
          </w:p>
          <w:tbl>
            <w:tblPr>
              <w:tblStyle w:val="23"/>
              <w:tblW w:w="4997"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2"/>
              <w:gridCol w:w="1125"/>
              <w:gridCol w:w="2303"/>
              <w:gridCol w:w="728"/>
              <w:gridCol w:w="1794"/>
            </w:tblGrid>
            <w:tr w14:paraId="735F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42" w:type="pct"/>
                  <w:tcBorders>
                    <w:tl2br w:val="nil"/>
                    <w:tr2bl w:val="nil"/>
                  </w:tcBorders>
                  <w:vAlign w:val="center"/>
                </w:tcPr>
                <w:p w14:paraId="3220C246">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建设项目名称</w:t>
                  </w:r>
                </w:p>
              </w:tc>
              <w:tc>
                <w:tcPr>
                  <w:tcW w:w="3857" w:type="pct"/>
                  <w:gridSpan w:val="4"/>
                  <w:tcBorders>
                    <w:tl2br w:val="nil"/>
                    <w:tr2bl w:val="nil"/>
                  </w:tcBorders>
                  <w:vAlign w:val="center"/>
                </w:tcPr>
                <w:p w14:paraId="082E3EB0">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zh-CN" w:eastAsia="zh-CN"/>
                    </w:rPr>
                  </w:pPr>
                  <w:r>
                    <w:rPr>
                      <w:rFonts w:hint="default" w:ascii="Times New Roman" w:hAnsi="Times New Roman" w:eastAsia="宋体" w:cs="Times New Roman"/>
                      <w:bCs/>
                      <w:color w:val="auto"/>
                      <w:sz w:val="21"/>
                      <w:szCs w:val="21"/>
                      <w:lang w:val="zh-CN" w:eastAsia="zh-CN"/>
                    </w:rPr>
                    <w:t>年产10万吨焊管产能提升技术改造项目</w:t>
                  </w:r>
                </w:p>
              </w:tc>
            </w:tr>
            <w:tr w14:paraId="5E71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42" w:type="pct"/>
                  <w:tcBorders>
                    <w:tl2br w:val="nil"/>
                    <w:tr2bl w:val="nil"/>
                  </w:tcBorders>
                  <w:vAlign w:val="center"/>
                </w:tcPr>
                <w:p w14:paraId="5450F657">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建设地点</w:t>
                  </w:r>
                </w:p>
              </w:tc>
              <w:tc>
                <w:tcPr>
                  <w:tcW w:w="3857" w:type="pct"/>
                  <w:gridSpan w:val="4"/>
                  <w:tcBorders>
                    <w:tl2br w:val="nil"/>
                    <w:tr2bl w:val="nil"/>
                  </w:tcBorders>
                  <w:vAlign w:val="center"/>
                </w:tcPr>
                <w:p w14:paraId="309E33B6">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zh-CN" w:eastAsia="zh-CN"/>
                    </w:rPr>
                  </w:pPr>
                  <w:r>
                    <w:rPr>
                      <w:rFonts w:hint="default" w:ascii="Times New Roman" w:hAnsi="Times New Roman" w:eastAsia="宋体" w:cs="Times New Roman"/>
                      <w:bCs/>
                      <w:color w:val="auto"/>
                      <w:sz w:val="21"/>
                      <w:szCs w:val="21"/>
                      <w:lang w:val="zh-CN" w:eastAsia="zh-CN"/>
                    </w:rPr>
                    <w:t>云南省玉溪市通海县纳古镇</w:t>
                  </w:r>
                </w:p>
              </w:tc>
            </w:tr>
            <w:tr w14:paraId="2A96B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42" w:type="pct"/>
                  <w:tcBorders>
                    <w:tl2br w:val="nil"/>
                    <w:tr2bl w:val="nil"/>
                  </w:tcBorders>
                  <w:vAlign w:val="center"/>
                </w:tcPr>
                <w:p w14:paraId="0ACF6550">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地理坐标</w:t>
                  </w:r>
                </w:p>
              </w:tc>
              <w:tc>
                <w:tcPr>
                  <w:tcW w:w="729" w:type="pct"/>
                  <w:tcBorders>
                    <w:tl2br w:val="nil"/>
                    <w:tr2bl w:val="nil"/>
                  </w:tcBorders>
                  <w:vAlign w:val="center"/>
                </w:tcPr>
                <w:p w14:paraId="42C0BAD3">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东经</w:t>
                  </w:r>
                </w:p>
              </w:tc>
              <w:tc>
                <w:tcPr>
                  <w:tcW w:w="1493" w:type="pct"/>
                  <w:tcBorders>
                    <w:tl2br w:val="nil"/>
                    <w:tr2bl w:val="nil"/>
                  </w:tcBorders>
                  <w:vAlign w:val="center"/>
                </w:tcPr>
                <w:p w14:paraId="7BE24060">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102度44分37.176秒</w:t>
                  </w:r>
                </w:p>
              </w:tc>
              <w:tc>
                <w:tcPr>
                  <w:tcW w:w="472" w:type="pct"/>
                  <w:tcBorders>
                    <w:tl2br w:val="nil"/>
                    <w:tr2bl w:val="nil"/>
                  </w:tcBorders>
                  <w:vAlign w:val="center"/>
                </w:tcPr>
                <w:p w14:paraId="2BF2D3D9">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北纬</w:t>
                  </w:r>
                </w:p>
              </w:tc>
              <w:tc>
                <w:tcPr>
                  <w:tcW w:w="1162" w:type="pct"/>
                  <w:tcBorders>
                    <w:tl2br w:val="nil"/>
                    <w:tr2bl w:val="nil"/>
                  </w:tcBorders>
                  <w:vAlign w:val="center"/>
                </w:tcPr>
                <w:p w14:paraId="756EBA66">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24度12分8.520秒</w:t>
                  </w:r>
                </w:p>
              </w:tc>
            </w:tr>
            <w:tr w14:paraId="4C2B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42" w:type="pct"/>
                  <w:tcBorders>
                    <w:tl2br w:val="nil"/>
                    <w:tr2bl w:val="nil"/>
                  </w:tcBorders>
                  <w:vAlign w:val="center"/>
                </w:tcPr>
                <w:p w14:paraId="7FD8AA8C">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主要危险物质及分布</w:t>
                  </w:r>
                </w:p>
              </w:tc>
              <w:tc>
                <w:tcPr>
                  <w:tcW w:w="3857" w:type="pct"/>
                  <w:gridSpan w:val="4"/>
                  <w:tcBorders>
                    <w:tl2br w:val="nil"/>
                    <w:tr2bl w:val="nil"/>
                  </w:tcBorders>
                  <w:vAlign w:val="center"/>
                </w:tcPr>
                <w:p w14:paraId="4C2347A4">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val="zh-CN"/>
                    </w:rPr>
                    <w:t>根据《建设项目环境风险评价技术导则》（HJ169-2018）相关要求，本项目主要风险物质为</w:t>
                  </w:r>
                  <w:r>
                    <w:rPr>
                      <w:rFonts w:hint="default" w:ascii="Times New Roman" w:hAnsi="Times New Roman" w:eastAsia="宋体" w:cs="Times New Roman"/>
                      <w:color w:val="auto"/>
                      <w:sz w:val="21"/>
                      <w:szCs w:val="21"/>
                      <w:lang w:eastAsia="zh-CN"/>
                    </w:rPr>
                    <w:t>废液压油</w:t>
                  </w:r>
                  <w:r>
                    <w:rPr>
                      <w:rFonts w:hint="eastAsia" w:cs="Times New Roman"/>
                      <w:color w:val="auto"/>
                      <w:sz w:val="21"/>
                      <w:szCs w:val="21"/>
                      <w:lang w:val="en-US" w:eastAsia="zh-CN"/>
                    </w:rPr>
                    <w:t>、废机油和乙炔</w:t>
                  </w:r>
                  <w:r>
                    <w:rPr>
                      <w:rFonts w:hint="default"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val="en-US" w:eastAsia="zh-CN"/>
                    </w:rPr>
                    <w:t>暂存于</w:t>
                  </w:r>
                  <w:r>
                    <w:rPr>
                      <w:rFonts w:hint="default" w:ascii="Times New Roman" w:hAnsi="Times New Roman" w:eastAsia="宋体" w:cs="Times New Roman"/>
                      <w:color w:val="auto"/>
                      <w:sz w:val="21"/>
                      <w:szCs w:val="21"/>
                    </w:rPr>
                    <w:t>危废暂存间</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eastAsia="zh-CN"/>
                    </w:rPr>
                    <w:t>废液压油</w:t>
                  </w:r>
                  <w:r>
                    <w:rPr>
                      <w:rFonts w:hint="default" w:ascii="Times New Roman" w:hAnsi="Times New Roman" w:eastAsia="宋体" w:cs="Times New Roman"/>
                      <w:color w:val="auto"/>
                      <w:sz w:val="21"/>
                      <w:szCs w:val="21"/>
                      <w:highlight w:val="none"/>
                    </w:rPr>
                    <w:t>最大贮存量为</w:t>
                  </w:r>
                  <w:r>
                    <w:rPr>
                      <w:rFonts w:hint="eastAsia" w:ascii="Times New Roman" w:hAnsi="Times New Roman" w:eastAsia="宋体" w:cs="Times New Roman"/>
                      <w:color w:val="auto"/>
                      <w:sz w:val="21"/>
                      <w:szCs w:val="21"/>
                      <w:highlight w:val="none"/>
                      <w:lang w:val="en-US" w:eastAsia="zh-CN" w:bidi="ar"/>
                    </w:rPr>
                    <w:t>0.5</w:t>
                  </w:r>
                  <w:r>
                    <w:rPr>
                      <w:rFonts w:hint="default" w:ascii="Times New Roman" w:hAnsi="Times New Roman" w:eastAsia="宋体" w:cs="Times New Roman"/>
                      <w:color w:val="auto"/>
                      <w:sz w:val="21"/>
                      <w:szCs w:val="21"/>
                      <w:highlight w:val="none"/>
                      <w:lang w:bidi="ar"/>
                    </w:rPr>
                    <w:t>t</w:t>
                  </w:r>
                  <w:r>
                    <w:rPr>
                      <w:rFonts w:hint="eastAsia" w:cs="Times New Roman"/>
                      <w:color w:val="auto"/>
                      <w:sz w:val="21"/>
                      <w:szCs w:val="21"/>
                      <w:highlight w:val="none"/>
                      <w:lang w:eastAsia="zh-CN" w:bidi="ar"/>
                    </w:rPr>
                    <w:t>，</w:t>
                  </w:r>
                  <w:r>
                    <w:rPr>
                      <w:rFonts w:hint="eastAsia" w:cs="Times New Roman"/>
                      <w:color w:val="auto"/>
                      <w:sz w:val="21"/>
                      <w:szCs w:val="21"/>
                      <w:lang w:val="en-US" w:eastAsia="zh-CN"/>
                    </w:rPr>
                    <w:t>废机油</w:t>
                  </w:r>
                  <w:r>
                    <w:rPr>
                      <w:rFonts w:hint="default" w:ascii="Times New Roman" w:hAnsi="Times New Roman" w:eastAsia="宋体" w:cs="Times New Roman"/>
                      <w:color w:val="auto"/>
                      <w:sz w:val="21"/>
                      <w:szCs w:val="21"/>
                      <w:highlight w:val="none"/>
                    </w:rPr>
                    <w:t>最大贮存量为</w:t>
                  </w:r>
                  <w:r>
                    <w:rPr>
                      <w:rFonts w:hint="eastAsia" w:ascii="Times New Roman" w:hAnsi="Times New Roman" w:eastAsia="宋体" w:cs="Times New Roman"/>
                      <w:color w:val="auto"/>
                      <w:sz w:val="21"/>
                      <w:szCs w:val="21"/>
                      <w:highlight w:val="none"/>
                      <w:lang w:val="en-US" w:eastAsia="zh-CN" w:bidi="ar"/>
                    </w:rPr>
                    <w:t>0.1</w:t>
                  </w:r>
                  <w:r>
                    <w:rPr>
                      <w:rFonts w:hint="default" w:ascii="Times New Roman" w:hAnsi="Times New Roman" w:eastAsia="宋体" w:cs="Times New Roman"/>
                      <w:color w:val="auto"/>
                      <w:sz w:val="21"/>
                      <w:szCs w:val="21"/>
                      <w:highlight w:val="none"/>
                      <w:lang w:bidi="ar"/>
                    </w:rPr>
                    <w:t>t</w:t>
                  </w:r>
                  <w:r>
                    <w:rPr>
                      <w:rFonts w:hint="eastAsia" w:cs="Times New Roman"/>
                      <w:color w:val="auto"/>
                      <w:sz w:val="21"/>
                      <w:szCs w:val="21"/>
                      <w:highlight w:val="none"/>
                      <w:lang w:eastAsia="zh-CN" w:bidi="ar"/>
                    </w:rPr>
                    <w:t>，</w:t>
                  </w:r>
                  <w:r>
                    <w:rPr>
                      <w:rFonts w:hint="eastAsia" w:cs="Times New Roman"/>
                      <w:color w:val="auto"/>
                      <w:sz w:val="21"/>
                      <w:szCs w:val="21"/>
                      <w:highlight w:val="none"/>
                      <w:lang w:val="en-US" w:eastAsia="zh-CN" w:bidi="ar"/>
                    </w:rPr>
                    <w:t>乙炔最大贮存量0.5t</w:t>
                  </w:r>
                  <w:r>
                    <w:rPr>
                      <w:rFonts w:hint="default" w:ascii="Times New Roman" w:hAnsi="Times New Roman" w:eastAsia="宋体" w:cs="Times New Roman"/>
                      <w:bCs/>
                      <w:color w:val="auto"/>
                      <w:sz w:val="21"/>
                      <w:szCs w:val="21"/>
                      <w:highlight w:val="none"/>
                    </w:rPr>
                    <w:t>。</w:t>
                  </w:r>
                </w:p>
              </w:tc>
            </w:tr>
            <w:tr w14:paraId="3846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42" w:type="pct"/>
                  <w:tcBorders>
                    <w:tl2br w:val="nil"/>
                    <w:tr2bl w:val="nil"/>
                  </w:tcBorders>
                  <w:vAlign w:val="center"/>
                </w:tcPr>
                <w:p w14:paraId="39CFCA7D">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环境影响途径及危害后果</w:t>
                  </w:r>
                </w:p>
              </w:tc>
              <w:tc>
                <w:tcPr>
                  <w:tcW w:w="3857" w:type="pct"/>
                  <w:gridSpan w:val="4"/>
                  <w:tcBorders>
                    <w:tl2br w:val="nil"/>
                    <w:tr2bl w:val="nil"/>
                  </w:tcBorders>
                  <w:vAlign w:val="center"/>
                </w:tcPr>
                <w:p w14:paraId="15A544C1">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val="zh-CN"/>
                    </w:rPr>
                    <w:t>废液压油</w:t>
                  </w:r>
                  <w:r>
                    <w:rPr>
                      <w:rFonts w:hint="eastAsia" w:cs="Times New Roman"/>
                      <w:bCs/>
                      <w:color w:val="auto"/>
                      <w:sz w:val="21"/>
                      <w:szCs w:val="21"/>
                      <w:lang w:val="zh-CN"/>
                    </w:rPr>
                    <w:t>、</w:t>
                  </w:r>
                  <w:r>
                    <w:rPr>
                      <w:rFonts w:hint="eastAsia" w:cs="Times New Roman"/>
                      <w:bCs/>
                      <w:color w:val="auto"/>
                      <w:sz w:val="21"/>
                      <w:szCs w:val="21"/>
                      <w:lang w:val="en-US" w:eastAsia="zh-CN"/>
                    </w:rPr>
                    <w:t>废机油、乙炔</w:t>
                  </w:r>
                  <w:r>
                    <w:rPr>
                      <w:rFonts w:hint="default" w:ascii="Times New Roman" w:hAnsi="Times New Roman" w:eastAsia="宋体" w:cs="Times New Roman"/>
                      <w:bCs/>
                      <w:color w:val="auto"/>
                      <w:sz w:val="21"/>
                      <w:szCs w:val="21"/>
                      <w:lang w:val="zh-CN"/>
                    </w:rPr>
                    <w:t>泄漏遇明火发生火灾、爆炸事故，造成人员伤亡及经济损失；火灾爆炸事故救援过程中产生的清消废水若没有及时收集，泄漏至厂区外会对周边地表水、土壤及沿途生态环境造成影响。</w:t>
                  </w:r>
                </w:p>
              </w:tc>
            </w:tr>
            <w:tr w14:paraId="21432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42" w:type="pct"/>
                  <w:tcBorders>
                    <w:tl2br w:val="nil"/>
                    <w:tr2bl w:val="nil"/>
                  </w:tcBorders>
                  <w:vAlign w:val="center"/>
                </w:tcPr>
                <w:p w14:paraId="041A54A7">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风险防范措施要求</w:t>
                  </w:r>
                </w:p>
              </w:tc>
              <w:tc>
                <w:tcPr>
                  <w:tcW w:w="3857" w:type="pct"/>
                  <w:gridSpan w:val="4"/>
                  <w:tcBorders>
                    <w:tl2br w:val="nil"/>
                    <w:tr2bl w:val="nil"/>
                  </w:tcBorders>
                  <w:vAlign w:val="center"/>
                </w:tcPr>
                <w:p w14:paraId="35311383">
                  <w:pPr>
                    <w:keepNext w:val="0"/>
                    <w:keepLines/>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color w:val="auto"/>
                      <w:kern w:val="0"/>
                      <w:sz w:val="21"/>
                      <w:szCs w:val="21"/>
                      <w:lang w:val="en-US" w:eastAsia="zh-CN" w:bidi="ar"/>
                    </w:rPr>
                    <w:t>设置</w:t>
                  </w:r>
                  <w:r>
                    <w:rPr>
                      <w:rFonts w:hint="default" w:ascii="Times New Roman" w:hAnsi="Times New Roman" w:eastAsia="宋体" w:cs="Times New Roman"/>
                      <w:color w:val="auto"/>
                      <w:kern w:val="0"/>
                      <w:sz w:val="21"/>
                      <w:szCs w:val="21"/>
                      <w:lang w:bidi="ar"/>
                    </w:rPr>
                    <w:t>1间危废暂存间，用于贮存</w:t>
                  </w:r>
                  <w:r>
                    <w:rPr>
                      <w:rFonts w:hint="default" w:ascii="Times New Roman" w:hAnsi="Times New Roman" w:eastAsia="宋体" w:cs="Times New Roman"/>
                      <w:color w:val="auto"/>
                      <w:kern w:val="0"/>
                      <w:sz w:val="21"/>
                      <w:szCs w:val="21"/>
                      <w:lang w:eastAsia="zh-CN" w:bidi="ar"/>
                    </w:rPr>
                    <w:t>废液压油</w:t>
                  </w:r>
                  <w:r>
                    <w:rPr>
                      <w:rFonts w:hint="eastAsia" w:cs="Times New Roman"/>
                      <w:color w:val="auto"/>
                      <w:kern w:val="0"/>
                      <w:sz w:val="21"/>
                      <w:szCs w:val="21"/>
                      <w:lang w:val="en-US" w:eastAsia="zh-CN" w:bidi="ar"/>
                    </w:rPr>
                    <w:t>和废机油</w:t>
                  </w:r>
                  <w:r>
                    <w:rPr>
                      <w:rFonts w:hint="default" w:ascii="Times New Roman" w:hAnsi="Times New Roman" w:eastAsia="宋体" w:cs="Times New Roman"/>
                      <w:color w:val="auto"/>
                      <w:kern w:val="0"/>
                      <w:sz w:val="21"/>
                      <w:szCs w:val="21"/>
                      <w:lang w:bidi="ar"/>
                    </w:rPr>
                    <w:t>，收集后委托</w:t>
                  </w:r>
                  <w:r>
                    <w:rPr>
                      <w:rFonts w:hint="default" w:ascii="Times New Roman" w:hAnsi="Times New Roman" w:eastAsia="宋体" w:cs="Times New Roman"/>
                      <w:color w:val="auto"/>
                      <w:sz w:val="21"/>
                      <w:szCs w:val="21"/>
                      <w:lang w:val="en-US" w:eastAsia="zh-CN"/>
                    </w:rPr>
                    <w:t>有资质单位</w:t>
                  </w:r>
                  <w:r>
                    <w:rPr>
                      <w:rFonts w:hint="default" w:ascii="Times New Roman" w:hAnsi="Times New Roman" w:eastAsia="宋体" w:cs="Times New Roman"/>
                      <w:color w:val="auto"/>
                      <w:kern w:val="0"/>
                      <w:sz w:val="21"/>
                      <w:szCs w:val="21"/>
                      <w:lang w:bidi="ar"/>
                    </w:rPr>
                    <w:t>处置</w:t>
                  </w:r>
                  <w:r>
                    <w:rPr>
                      <w:rFonts w:hint="default" w:ascii="Times New Roman" w:hAnsi="Times New Roman" w:eastAsia="宋体" w:cs="Times New Roman"/>
                      <w:bCs/>
                      <w:color w:val="auto"/>
                      <w:sz w:val="21"/>
                      <w:szCs w:val="21"/>
                    </w:rPr>
                    <w:t>。为减少事故发生，必须增加管理力度，</w:t>
                  </w:r>
                  <w:r>
                    <w:rPr>
                      <w:rFonts w:hint="default" w:ascii="Times New Roman" w:hAnsi="Times New Roman" w:cs="Times New Roman"/>
                      <w:bCs/>
                      <w:color w:val="auto"/>
                      <w:sz w:val="21"/>
                      <w:szCs w:val="21"/>
                      <w:lang w:eastAsia="zh-CN"/>
                    </w:rPr>
                    <w:t>增强</w:t>
                  </w:r>
                  <w:r>
                    <w:rPr>
                      <w:rFonts w:hint="default" w:ascii="Times New Roman" w:hAnsi="Times New Roman" w:eastAsia="宋体" w:cs="Times New Roman"/>
                      <w:bCs/>
                      <w:color w:val="auto"/>
                      <w:sz w:val="21"/>
                      <w:szCs w:val="21"/>
                    </w:rPr>
                    <w:t>员工技术水平和安全意识，严格按规范操作，认真落实应急预案。并加强设备检查和维修，减少故障发生，提高企业的应急能力，从而确保生产安全。</w:t>
                  </w:r>
                  <w:r>
                    <w:rPr>
                      <w:rFonts w:hint="eastAsia" w:cs="Times New Roman"/>
                      <w:bCs/>
                      <w:color w:val="auto"/>
                      <w:sz w:val="21"/>
                      <w:szCs w:val="21"/>
                      <w:lang w:val="en-US" w:eastAsia="zh-CN"/>
                    </w:rPr>
                    <w:t>设置1个容积为30m</w:t>
                  </w:r>
                  <w:r>
                    <w:rPr>
                      <w:rFonts w:hint="eastAsia" w:cs="Times New Roman"/>
                      <w:bCs/>
                      <w:color w:val="auto"/>
                      <w:sz w:val="21"/>
                      <w:szCs w:val="21"/>
                      <w:vertAlign w:val="superscript"/>
                      <w:lang w:val="en-US" w:eastAsia="zh-CN"/>
                    </w:rPr>
                    <w:t>3</w:t>
                  </w:r>
                  <w:r>
                    <w:rPr>
                      <w:rFonts w:hint="eastAsia" w:cs="Times New Roman"/>
                      <w:bCs/>
                      <w:color w:val="auto"/>
                      <w:sz w:val="21"/>
                      <w:szCs w:val="21"/>
                      <w:lang w:val="en-US" w:eastAsia="zh-CN"/>
                    </w:rPr>
                    <w:t>的事故池，用于收集事故状态下的冷却水。</w:t>
                  </w:r>
                </w:p>
              </w:tc>
            </w:tr>
          </w:tbl>
          <w:p w14:paraId="176D052B">
            <w:pPr>
              <w:ind w:firstLine="480"/>
              <w:rPr>
                <w:rFonts w:hint="eastAsia" w:eastAsia="宋体" w:cs="Times New Roman"/>
                <w:b/>
                <w:bCs/>
                <w:color w:val="auto"/>
                <w:lang w:val="en-US" w:eastAsia="zh-CN"/>
              </w:rPr>
            </w:pPr>
            <w:r>
              <w:rPr>
                <w:rFonts w:hint="eastAsia" w:cs="Times New Roman"/>
                <w:b/>
                <w:bCs/>
                <w:color w:val="auto"/>
                <w:lang w:val="en-US" w:eastAsia="zh-CN"/>
              </w:rPr>
              <w:t>七、竣工环境保护验收</w:t>
            </w:r>
          </w:p>
          <w:p w14:paraId="675FD25B">
            <w:pPr>
              <w:ind w:firstLine="480"/>
              <w:rPr>
                <w:rFonts w:hint="eastAsia" w:cs="Times New Roman"/>
                <w:color w:val="auto"/>
              </w:rPr>
            </w:pPr>
            <w:r>
              <w:rPr>
                <w:rFonts w:hint="eastAsia" w:cs="Times New Roman"/>
                <w:color w:val="auto"/>
              </w:rPr>
              <w:t>本项目环保措施应当与整合主体工程同时设计、同时施工和同时投产，环保设施按照建设项目竣工环境保护验收管理办法，工程完成后在规定时间内建设单位应向当地环保部门提出申请环保设施竣工验收，同时提交竣工环境保护验收调查报告。</w:t>
            </w:r>
          </w:p>
          <w:p w14:paraId="0DB37851">
            <w:pPr>
              <w:adjustRightInd w:val="0"/>
              <w:snapToGrid w:val="0"/>
              <w:spacing w:line="360" w:lineRule="auto"/>
              <w:ind w:firstLine="0" w:firstLineChars="0"/>
              <w:jc w:val="center"/>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表4-2</w:t>
            </w:r>
            <w:r>
              <w:rPr>
                <w:rFonts w:hint="eastAsia" w:cs="Times New Roman"/>
                <w:b/>
                <w:color w:val="auto"/>
                <w:kern w:val="0"/>
                <w:sz w:val="24"/>
                <w:lang w:val="en-US" w:eastAsia="zh-CN"/>
              </w:rPr>
              <w:t>3</w:t>
            </w:r>
            <w:r>
              <w:rPr>
                <w:rFonts w:hint="eastAsia" w:ascii="Times New Roman" w:hAnsi="Times New Roman" w:eastAsia="宋体" w:cs="Times New Roman"/>
                <w:b/>
                <w:color w:val="auto"/>
                <w:kern w:val="0"/>
                <w:sz w:val="24"/>
                <w:lang w:val="en-US" w:eastAsia="zh-CN"/>
              </w:rPr>
              <w:t xml:space="preserve">  项目环保设施竣工验收一览表</w:t>
            </w:r>
          </w:p>
          <w:tbl>
            <w:tblPr>
              <w:tblStyle w:val="23"/>
              <w:tblW w:w="4998" w:type="pct"/>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
              <w:gridCol w:w="448"/>
              <w:gridCol w:w="1153"/>
              <w:gridCol w:w="1214"/>
              <w:gridCol w:w="1403"/>
              <w:gridCol w:w="969"/>
              <w:gridCol w:w="2040"/>
            </w:tblGrid>
            <w:tr w14:paraId="1E666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5" w:type="pct"/>
                  <w:tcBorders>
                    <w:tl2br w:val="nil"/>
                    <w:tr2bl w:val="nil"/>
                  </w:tcBorders>
                  <w:noWrap w:val="0"/>
                  <w:vAlign w:val="center"/>
                </w:tcPr>
                <w:p w14:paraId="0BDB76B4">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序号</w:t>
                  </w:r>
                </w:p>
              </w:tc>
              <w:tc>
                <w:tcPr>
                  <w:tcW w:w="1037" w:type="pct"/>
                  <w:gridSpan w:val="2"/>
                  <w:tcBorders>
                    <w:tl2br w:val="nil"/>
                    <w:tr2bl w:val="nil"/>
                  </w:tcBorders>
                  <w:noWrap w:val="0"/>
                  <w:vAlign w:val="center"/>
                </w:tcPr>
                <w:p w14:paraId="15BD3046">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项目</w:t>
                  </w:r>
                </w:p>
              </w:tc>
              <w:tc>
                <w:tcPr>
                  <w:tcW w:w="1696" w:type="pct"/>
                  <w:gridSpan w:val="2"/>
                  <w:tcBorders>
                    <w:tl2br w:val="nil"/>
                    <w:tr2bl w:val="nil"/>
                  </w:tcBorders>
                  <w:noWrap w:val="0"/>
                  <w:vAlign w:val="center"/>
                </w:tcPr>
                <w:p w14:paraId="11CC085D">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污染防治措施</w:t>
                  </w:r>
                </w:p>
              </w:tc>
              <w:tc>
                <w:tcPr>
                  <w:tcW w:w="628" w:type="pct"/>
                  <w:tcBorders>
                    <w:tl2br w:val="nil"/>
                    <w:tr2bl w:val="nil"/>
                  </w:tcBorders>
                  <w:noWrap w:val="0"/>
                  <w:vAlign w:val="center"/>
                </w:tcPr>
                <w:p w14:paraId="08686F2D">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主要污染物</w:t>
                  </w:r>
                </w:p>
              </w:tc>
              <w:tc>
                <w:tcPr>
                  <w:tcW w:w="1322" w:type="pct"/>
                  <w:tcBorders>
                    <w:tl2br w:val="nil"/>
                    <w:tr2bl w:val="nil"/>
                  </w:tcBorders>
                  <w:noWrap w:val="0"/>
                  <w:vAlign w:val="center"/>
                </w:tcPr>
                <w:p w14:paraId="184C9624">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排放标准</w:t>
                  </w:r>
                </w:p>
              </w:tc>
            </w:tr>
            <w:tr w14:paraId="7B43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5" w:type="pct"/>
                  <w:tcBorders>
                    <w:tl2br w:val="nil"/>
                    <w:tr2bl w:val="nil"/>
                  </w:tcBorders>
                  <w:noWrap w:val="0"/>
                  <w:vAlign w:val="center"/>
                </w:tcPr>
                <w:p w14:paraId="47F0CD77">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1</w:t>
                  </w:r>
                </w:p>
              </w:tc>
              <w:tc>
                <w:tcPr>
                  <w:tcW w:w="290" w:type="pct"/>
                  <w:vMerge w:val="restart"/>
                  <w:tcBorders>
                    <w:tl2br w:val="nil"/>
                    <w:tr2bl w:val="nil"/>
                  </w:tcBorders>
                  <w:noWrap w:val="0"/>
                  <w:vAlign w:val="center"/>
                </w:tcPr>
                <w:p w14:paraId="24BA32EC">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大气污染</w:t>
                  </w:r>
                </w:p>
              </w:tc>
              <w:tc>
                <w:tcPr>
                  <w:tcW w:w="747" w:type="pct"/>
                  <w:tcBorders>
                    <w:tl2br w:val="nil"/>
                    <w:tr2bl w:val="nil"/>
                  </w:tcBorders>
                  <w:noWrap w:val="0"/>
                  <w:vAlign w:val="center"/>
                </w:tcPr>
                <w:p w14:paraId="4E67A1FC">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w:t>
                  </w:r>
                  <w:r>
                    <w:rPr>
                      <w:rFonts w:hint="eastAsia" w:ascii="Times New Roman" w:hAnsi="Times New Roman" w:eastAsia="宋体" w:cs="Times New Roman"/>
                      <w:b w:val="0"/>
                      <w:bCs w:val="0"/>
                      <w:color w:val="auto"/>
                      <w:sz w:val="21"/>
                      <w:szCs w:val="21"/>
                      <w:vertAlign w:val="baseline"/>
                      <w:lang w:val="en-US" w:eastAsia="zh-CN"/>
                    </w:rPr>
                    <w:t>焊接</w:t>
                  </w:r>
                  <w:r>
                    <w:rPr>
                      <w:rFonts w:hint="eastAsia" w:cs="Times New Roman"/>
                      <w:b w:val="0"/>
                      <w:bCs w:val="0"/>
                      <w:color w:val="auto"/>
                      <w:sz w:val="21"/>
                      <w:szCs w:val="21"/>
                      <w:vertAlign w:val="baseline"/>
                      <w:lang w:val="en-US" w:eastAsia="zh-CN"/>
                    </w:rPr>
                    <w:t>、补锌</w:t>
                  </w:r>
                  <w:r>
                    <w:rPr>
                      <w:rFonts w:hint="eastAsia" w:ascii="Times New Roman" w:hAnsi="Times New Roman" w:eastAsia="宋体" w:cs="Times New Roman"/>
                      <w:b w:val="0"/>
                      <w:bCs w:val="0"/>
                      <w:color w:val="auto"/>
                      <w:sz w:val="21"/>
                      <w:szCs w:val="21"/>
                      <w:vertAlign w:val="baseline"/>
                      <w:lang w:val="en-US" w:eastAsia="zh-CN"/>
                    </w:rPr>
                    <w:t>烟尘</w:t>
                  </w:r>
                </w:p>
              </w:tc>
              <w:tc>
                <w:tcPr>
                  <w:tcW w:w="786" w:type="pct"/>
                  <w:tcBorders>
                    <w:tl2br w:val="nil"/>
                    <w:tr2bl w:val="nil"/>
                  </w:tcBorders>
                  <w:noWrap w:val="0"/>
                  <w:vAlign w:val="center"/>
                </w:tcPr>
                <w:p w14:paraId="00F31C5E">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集气罩（</w:t>
                  </w:r>
                  <w:r>
                    <w:rPr>
                      <w:rFonts w:hint="eastAsia" w:ascii="Times New Roman" w:hAnsi="Times New Roman" w:eastAsia="宋体" w:cs="Times New Roman"/>
                      <w:b w:val="0"/>
                      <w:bCs w:val="0"/>
                      <w:color w:val="auto"/>
                      <w:sz w:val="21"/>
                      <w:szCs w:val="21"/>
                      <w:vertAlign w:val="baseline"/>
                      <w:lang w:val="en-US" w:eastAsia="zh-CN"/>
                    </w:rPr>
                    <w:t>4</w:t>
                  </w:r>
                  <w:r>
                    <w:rPr>
                      <w:rFonts w:hint="default" w:ascii="Times New Roman" w:hAnsi="Times New Roman" w:eastAsia="宋体" w:cs="Times New Roman"/>
                      <w:b w:val="0"/>
                      <w:bCs w:val="0"/>
                      <w:color w:val="auto"/>
                      <w:sz w:val="21"/>
                      <w:szCs w:val="21"/>
                      <w:vertAlign w:val="baseline"/>
                      <w:lang w:val="en-US" w:eastAsia="zh-CN"/>
                    </w:rPr>
                    <w:t>个）+布袋除尘器</w:t>
                  </w:r>
                  <w:r>
                    <w:rPr>
                      <w:rFonts w:hint="eastAsia" w:cs="Times New Roman"/>
                      <w:b w:val="0"/>
                      <w:bCs w:val="0"/>
                      <w:color w:val="auto"/>
                      <w:sz w:val="21"/>
                      <w:szCs w:val="21"/>
                      <w:vertAlign w:val="baseline"/>
                      <w:lang w:val="en-US" w:eastAsia="zh-CN"/>
                    </w:rPr>
                    <w:t>（TA001）</w:t>
                  </w:r>
                </w:p>
              </w:tc>
              <w:tc>
                <w:tcPr>
                  <w:tcW w:w="909" w:type="pct"/>
                  <w:tcBorders>
                    <w:tl2br w:val="nil"/>
                    <w:tr2bl w:val="nil"/>
                  </w:tcBorders>
                  <w:noWrap w:val="0"/>
                  <w:vAlign w:val="center"/>
                </w:tcPr>
                <w:p w14:paraId="57DFDC75">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+15m高排气筒（DA001）</w:t>
                  </w:r>
                </w:p>
              </w:tc>
              <w:tc>
                <w:tcPr>
                  <w:tcW w:w="628" w:type="pct"/>
                  <w:tcBorders>
                    <w:tl2br w:val="nil"/>
                    <w:tr2bl w:val="nil"/>
                  </w:tcBorders>
                  <w:noWrap w:val="0"/>
                  <w:vAlign w:val="center"/>
                </w:tcPr>
                <w:p w14:paraId="76547EA7">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颗粒物</w:t>
                  </w:r>
                </w:p>
              </w:tc>
              <w:tc>
                <w:tcPr>
                  <w:tcW w:w="1322" w:type="pct"/>
                  <w:vMerge w:val="restart"/>
                  <w:tcBorders>
                    <w:tl2br w:val="nil"/>
                    <w:tr2bl w:val="nil"/>
                  </w:tcBorders>
                  <w:noWrap w:val="0"/>
                  <w:vAlign w:val="center"/>
                </w:tcPr>
                <w:p w14:paraId="090F897A">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《大气污染物综合排放标准》（GB16297-1996）表2</w:t>
                  </w:r>
                  <w:r>
                    <w:rPr>
                      <w:rFonts w:hint="eastAsia" w:ascii="Times New Roman" w:hAnsi="Times New Roman" w:eastAsia="宋体" w:cs="Times New Roman"/>
                      <w:b w:val="0"/>
                      <w:bCs w:val="0"/>
                      <w:color w:val="auto"/>
                      <w:sz w:val="21"/>
                      <w:szCs w:val="21"/>
                      <w:vertAlign w:val="baseline"/>
                      <w:lang w:val="en-US" w:eastAsia="zh-CN"/>
                    </w:rPr>
                    <w:t>标准</w:t>
                  </w:r>
                </w:p>
              </w:tc>
            </w:tr>
            <w:tr w14:paraId="1C56A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5" w:type="pct"/>
                  <w:tcBorders>
                    <w:tl2br w:val="nil"/>
                    <w:tr2bl w:val="nil"/>
                  </w:tcBorders>
                  <w:noWrap w:val="0"/>
                  <w:vAlign w:val="center"/>
                </w:tcPr>
                <w:p w14:paraId="380E7590">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2</w:t>
                  </w:r>
                </w:p>
              </w:tc>
              <w:tc>
                <w:tcPr>
                  <w:tcW w:w="290" w:type="pct"/>
                  <w:vMerge w:val="continue"/>
                  <w:tcBorders>
                    <w:tl2br w:val="nil"/>
                    <w:tr2bl w:val="nil"/>
                  </w:tcBorders>
                  <w:noWrap w:val="0"/>
                  <w:vAlign w:val="center"/>
                </w:tcPr>
                <w:p w14:paraId="5E913BF9">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p>
              </w:tc>
              <w:tc>
                <w:tcPr>
                  <w:tcW w:w="747" w:type="pct"/>
                  <w:tcBorders>
                    <w:tl2br w:val="nil"/>
                    <w:tr2bl w:val="nil"/>
                  </w:tcBorders>
                  <w:noWrap w:val="0"/>
                  <w:vAlign w:val="center"/>
                </w:tcPr>
                <w:p w14:paraId="7767D382">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2#</w:t>
                  </w:r>
                  <w:r>
                    <w:rPr>
                      <w:rFonts w:hint="eastAsia" w:ascii="Times New Roman" w:hAnsi="Times New Roman" w:eastAsia="宋体" w:cs="Times New Roman"/>
                      <w:b w:val="0"/>
                      <w:bCs w:val="0"/>
                      <w:color w:val="auto"/>
                      <w:sz w:val="21"/>
                      <w:szCs w:val="21"/>
                      <w:vertAlign w:val="baseline"/>
                      <w:lang w:val="en-US" w:eastAsia="zh-CN"/>
                    </w:rPr>
                    <w:t>焊接</w:t>
                  </w:r>
                  <w:r>
                    <w:rPr>
                      <w:rFonts w:hint="eastAsia" w:cs="Times New Roman"/>
                      <w:b w:val="0"/>
                      <w:bCs w:val="0"/>
                      <w:color w:val="auto"/>
                      <w:sz w:val="21"/>
                      <w:szCs w:val="21"/>
                      <w:vertAlign w:val="baseline"/>
                      <w:lang w:val="en-US" w:eastAsia="zh-CN"/>
                    </w:rPr>
                    <w:t>、补锌</w:t>
                  </w:r>
                  <w:r>
                    <w:rPr>
                      <w:rFonts w:hint="eastAsia" w:ascii="Times New Roman" w:hAnsi="Times New Roman" w:eastAsia="宋体" w:cs="Times New Roman"/>
                      <w:b w:val="0"/>
                      <w:bCs w:val="0"/>
                      <w:color w:val="auto"/>
                      <w:sz w:val="21"/>
                      <w:szCs w:val="21"/>
                      <w:vertAlign w:val="baseline"/>
                      <w:lang w:val="en-US" w:eastAsia="zh-CN"/>
                    </w:rPr>
                    <w:t>烟尘</w:t>
                  </w:r>
                </w:p>
              </w:tc>
              <w:tc>
                <w:tcPr>
                  <w:tcW w:w="786" w:type="pct"/>
                  <w:tcBorders>
                    <w:tl2br w:val="nil"/>
                    <w:tr2bl w:val="nil"/>
                  </w:tcBorders>
                  <w:noWrap w:val="0"/>
                  <w:vAlign w:val="center"/>
                </w:tcPr>
                <w:p w14:paraId="68F7F9AE">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集气罩（4个）</w:t>
                  </w:r>
                  <w:r>
                    <w:rPr>
                      <w:rFonts w:hint="default" w:ascii="Times New Roman" w:hAnsi="Times New Roman" w:eastAsia="宋体" w:cs="Times New Roman"/>
                      <w:b w:val="0"/>
                      <w:bCs w:val="0"/>
                      <w:color w:val="auto"/>
                      <w:sz w:val="21"/>
                      <w:szCs w:val="21"/>
                      <w:vertAlign w:val="baseline"/>
                      <w:lang w:val="en-US" w:eastAsia="zh-CN"/>
                    </w:rPr>
                    <w:t>+</w:t>
                  </w:r>
                  <w:r>
                    <w:rPr>
                      <w:rFonts w:hint="eastAsia" w:ascii="Times New Roman" w:hAnsi="Times New Roman" w:eastAsia="宋体" w:cs="Times New Roman"/>
                      <w:b w:val="0"/>
                      <w:bCs w:val="0"/>
                      <w:color w:val="auto"/>
                      <w:sz w:val="21"/>
                      <w:szCs w:val="21"/>
                      <w:vertAlign w:val="baseline"/>
                      <w:lang w:val="en-US" w:eastAsia="zh-CN"/>
                    </w:rPr>
                    <w:t>布袋除尘器</w:t>
                  </w:r>
                  <w:r>
                    <w:rPr>
                      <w:rFonts w:hint="eastAsia" w:cs="Times New Roman"/>
                      <w:b w:val="0"/>
                      <w:bCs w:val="0"/>
                      <w:color w:val="auto"/>
                      <w:sz w:val="21"/>
                      <w:szCs w:val="21"/>
                      <w:vertAlign w:val="baseline"/>
                      <w:lang w:val="en-US" w:eastAsia="zh-CN"/>
                    </w:rPr>
                    <w:t>（TA002）</w:t>
                  </w:r>
                </w:p>
              </w:tc>
              <w:tc>
                <w:tcPr>
                  <w:tcW w:w="909" w:type="pct"/>
                  <w:tcBorders>
                    <w:tl2br w:val="nil"/>
                    <w:tr2bl w:val="nil"/>
                  </w:tcBorders>
                  <w:noWrap w:val="0"/>
                  <w:vAlign w:val="center"/>
                </w:tcPr>
                <w:p w14:paraId="1E734A7E">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+15m高排气筒（DA002）</w:t>
                  </w:r>
                </w:p>
              </w:tc>
              <w:tc>
                <w:tcPr>
                  <w:tcW w:w="628" w:type="pct"/>
                  <w:tcBorders>
                    <w:tl2br w:val="nil"/>
                    <w:tr2bl w:val="nil"/>
                  </w:tcBorders>
                  <w:noWrap w:val="0"/>
                  <w:vAlign w:val="center"/>
                </w:tcPr>
                <w:p w14:paraId="13A4DD1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颗粒物</w:t>
                  </w:r>
                </w:p>
              </w:tc>
              <w:tc>
                <w:tcPr>
                  <w:tcW w:w="1322" w:type="pct"/>
                  <w:vMerge w:val="continue"/>
                  <w:tcBorders>
                    <w:tl2br w:val="nil"/>
                    <w:tr2bl w:val="nil"/>
                  </w:tcBorders>
                  <w:noWrap w:val="0"/>
                  <w:vAlign w:val="center"/>
                </w:tcPr>
                <w:p w14:paraId="0C0EF4A8">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6C09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5" w:type="pct"/>
                  <w:tcBorders>
                    <w:tl2br w:val="nil"/>
                    <w:tr2bl w:val="nil"/>
                  </w:tcBorders>
                  <w:noWrap w:val="0"/>
                  <w:vAlign w:val="center"/>
                </w:tcPr>
                <w:p w14:paraId="1EDED785">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3</w:t>
                  </w:r>
                </w:p>
              </w:tc>
              <w:tc>
                <w:tcPr>
                  <w:tcW w:w="290" w:type="pct"/>
                  <w:vMerge w:val="continue"/>
                  <w:tcBorders>
                    <w:tl2br w:val="nil"/>
                    <w:tr2bl w:val="nil"/>
                  </w:tcBorders>
                  <w:noWrap w:val="0"/>
                  <w:vAlign w:val="center"/>
                </w:tcPr>
                <w:p w14:paraId="500402F7">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p>
              </w:tc>
              <w:tc>
                <w:tcPr>
                  <w:tcW w:w="747" w:type="pct"/>
                  <w:tcBorders>
                    <w:tl2br w:val="nil"/>
                    <w:tr2bl w:val="nil"/>
                  </w:tcBorders>
                  <w:noWrap w:val="0"/>
                  <w:vAlign w:val="center"/>
                </w:tcPr>
                <w:p w14:paraId="6E8713FD">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1#焊接</w:t>
                  </w:r>
                  <w:r>
                    <w:rPr>
                      <w:rFonts w:hint="eastAsia" w:cs="Times New Roman"/>
                      <w:b w:val="0"/>
                      <w:bCs w:val="0"/>
                      <w:color w:val="auto"/>
                      <w:sz w:val="21"/>
                      <w:szCs w:val="21"/>
                      <w:vertAlign w:val="baseline"/>
                      <w:lang w:val="en-US" w:eastAsia="zh-CN"/>
                    </w:rPr>
                    <w:t>、补锌</w:t>
                  </w:r>
                  <w:r>
                    <w:rPr>
                      <w:rFonts w:hint="eastAsia" w:ascii="Times New Roman" w:hAnsi="Times New Roman" w:eastAsia="宋体" w:cs="Times New Roman"/>
                      <w:b w:val="0"/>
                      <w:bCs w:val="0"/>
                      <w:color w:val="auto"/>
                      <w:sz w:val="21"/>
                      <w:szCs w:val="21"/>
                      <w:vertAlign w:val="baseline"/>
                      <w:lang w:val="en-US" w:eastAsia="zh-CN"/>
                    </w:rPr>
                    <w:t>烟尘</w:t>
                  </w:r>
                  <w:r>
                    <w:rPr>
                      <w:rFonts w:hint="default" w:ascii="Times New Roman" w:hAnsi="Times New Roman" w:eastAsia="宋体" w:cs="Times New Roman"/>
                      <w:b w:val="0"/>
                      <w:bCs w:val="0"/>
                      <w:color w:val="auto"/>
                      <w:sz w:val="21"/>
                      <w:szCs w:val="21"/>
                      <w:vertAlign w:val="baseline"/>
                      <w:lang w:val="en-US" w:eastAsia="zh-CN"/>
                    </w:rPr>
                    <w:t>逸散粉尘</w:t>
                  </w:r>
                  <w:r>
                    <w:rPr>
                      <w:rFonts w:hint="eastAsia" w:ascii="Times New Roman" w:hAnsi="Times New Roman" w:eastAsia="宋体" w:cs="Times New Roman"/>
                      <w:b w:val="0"/>
                      <w:bCs w:val="0"/>
                      <w:color w:val="auto"/>
                      <w:sz w:val="21"/>
                      <w:szCs w:val="21"/>
                      <w:vertAlign w:val="baseline"/>
                      <w:lang w:val="en-US" w:eastAsia="zh-CN"/>
                    </w:rPr>
                    <w:t>、2#焊接</w:t>
                  </w:r>
                  <w:r>
                    <w:rPr>
                      <w:rFonts w:hint="eastAsia" w:cs="Times New Roman"/>
                      <w:b w:val="0"/>
                      <w:bCs w:val="0"/>
                      <w:color w:val="auto"/>
                      <w:sz w:val="21"/>
                      <w:szCs w:val="21"/>
                      <w:vertAlign w:val="baseline"/>
                      <w:lang w:val="en-US" w:eastAsia="zh-CN"/>
                    </w:rPr>
                    <w:t>、补锌</w:t>
                  </w:r>
                  <w:r>
                    <w:rPr>
                      <w:rFonts w:hint="eastAsia" w:ascii="Times New Roman" w:hAnsi="Times New Roman" w:eastAsia="宋体" w:cs="Times New Roman"/>
                      <w:b w:val="0"/>
                      <w:bCs w:val="0"/>
                      <w:color w:val="auto"/>
                      <w:sz w:val="21"/>
                      <w:szCs w:val="21"/>
                      <w:vertAlign w:val="baseline"/>
                      <w:lang w:val="en-US" w:eastAsia="zh-CN"/>
                    </w:rPr>
                    <w:t>烟尘逸散粉尘、切割粉尘</w:t>
                  </w:r>
                </w:p>
              </w:tc>
              <w:tc>
                <w:tcPr>
                  <w:tcW w:w="1696" w:type="pct"/>
                  <w:gridSpan w:val="2"/>
                  <w:tcBorders>
                    <w:tl2br w:val="nil"/>
                    <w:tr2bl w:val="nil"/>
                  </w:tcBorders>
                  <w:noWrap w:val="0"/>
                  <w:vAlign w:val="center"/>
                </w:tcPr>
                <w:p w14:paraId="2D55184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厂房阻隔、大气扩散</w:t>
                  </w:r>
                </w:p>
              </w:tc>
              <w:tc>
                <w:tcPr>
                  <w:tcW w:w="628" w:type="pct"/>
                  <w:tcBorders>
                    <w:tl2br w:val="nil"/>
                    <w:tr2bl w:val="nil"/>
                  </w:tcBorders>
                  <w:noWrap w:val="0"/>
                  <w:vAlign w:val="center"/>
                </w:tcPr>
                <w:p w14:paraId="072BDDD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颗粒物</w:t>
                  </w:r>
                </w:p>
              </w:tc>
              <w:tc>
                <w:tcPr>
                  <w:tcW w:w="1322" w:type="pct"/>
                  <w:tcBorders>
                    <w:tl2br w:val="nil"/>
                    <w:tr2bl w:val="nil"/>
                  </w:tcBorders>
                  <w:noWrap w:val="0"/>
                  <w:vAlign w:val="center"/>
                </w:tcPr>
                <w:p w14:paraId="6962800E">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《大气污染物综合排放标准》（GB16297-1996）中表2无组织排放监控浓度限值</w:t>
                  </w:r>
                </w:p>
              </w:tc>
            </w:tr>
            <w:tr w14:paraId="37906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5" w:type="pct"/>
                  <w:tcBorders>
                    <w:tl2br w:val="nil"/>
                    <w:tr2bl w:val="nil"/>
                  </w:tcBorders>
                  <w:noWrap w:val="0"/>
                  <w:vAlign w:val="center"/>
                </w:tcPr>
                <w:p w14:paraId="3BC43291">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4</w:t>
                  </w:r>
                </w:p>
              </w:tc>
              <w:tc>
                <w:tcPr>
                  <w:tcW w:w="290" w:type="pct"/>
                  <w:vMerge w:val="restart"/>
                  <w:tcBorders>
                    <w:tl2br w:val="nil"/>
                    <w:tr2bl w:val="nil"/>
                  </w:tcBorders>
                  <w:noWrap w:val="0"/>
                  <w:vAlign w:val="center"/>
                </w:tcPr>
                <w:p w14:paraId="4DE7D5CF">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水污染</w:t>
                  </w:r>
                </w:p>
              </w:tc>
              <w:tc>
                <w:tcPr>
                  <w:tcW w:w="747" w:type="pct"/>
                  <w:tcBorders>
                    <w:tl2br w:val="nil"/>
                    <w:tr2bl w:val="nil"/>
                  </w:tcBorders>
                  <w:noWrap w:val="0"/>
                  <w:vAlign w:val="center"/>
                </w:tcPr>
                <w:p w14:paraId="29A68FD5">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生活污水</w:t>
                  </w:r>
                </w:p>
              </w:tc>
              <w:tc>
                <w:tcPr>
                  <w:tcW w:w="1696" w:type="pct"/>
                  <w:gridSpan w:val="2"/>
                  <w:tcBorders>
                    <w:tl2br w:val="nil"/>
                    <w:tr2bl w:val="nil"/>
                  </w:tcBorders>
                  <w:noWrap w:val="0"/>
                  <w:vAlign w:val="center"/>
                </w:tcPr>
                <w:p w14:paraId="3E17A9C8">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经化粪池（3m</w:t>
                  </w:r>
                  <w:r>
                    <w:rPr>
                      <w:rFonts w:hint="eastAsia" w:cs="Times New Roman"/>
                      <w:b w:val="0"/>
                      <w:bCs w:val="0"/>
                      <w:color w:val="auto"/>
                      <w:sz w:val="21"/>
                      <w:szCs w:val="21"/>
                      <w:vertAlign w:val="superscript"/>
                      <w:lang w:val="en-US" w:eastAsia="zh-CN"/>
                    </w:rPr>
                    <w:t>3</w:t>
                  </w:r>
                  <w:r>
                    <w:rPr>
                      <w:rFonts w:hint="eastAsia" w:cs="Times New Roman"/>
                      <w:b w:val="0"/>
                      <w:bCs w:val="0"/>
                      <w:color w:val="auto"/>
                      <w:sz w:val="21"/>
                      <w:szCs w:val="21"/>
                      <w:vertAlign w:val="baseline"/>
                      <w:lang w:val="en-US" w:eastAsia="zh-CN"/>
                    </w:rPr>
                    <w:t>）预处理后进入自建一体化污水处理设施（2m</w:t>
                  </w:r>
                  <w:r>
                    <w:rPr>
                      <w:rFonts w:hint="eastAsia" w:cs="Times New Roman"/>
                      <w:b w:val="0"/>
                      <w:bCs w:val="0"/>
                      <w:color w:val="auto"/>
                      <w:sz w:val="21"/>
                      <w:szCs w:val="21"/>
                      <w:vertAlign w:val="superscript"/>
                      <w:lang w:val="en-US" w:eastAsia="zh-CN"/>
                    </w:rPr>
                    <w:t>3</w:t>
                  </w:r>
                  <w:r>
                    <w:rPr>
                      <w:rFonts w:hint="eastAsia" w:cs="Times New Roman"/>
                      <w:b w:val="0"/>
                      <w:bCs w:val="0"/>
                      <w:color w:val="auto"/>
                      <w:sz w:val="21"/>
                      <w:szCs w:val="21"/>
                      <w:vertAlign w:val="baseline"/>
                      <w:lang w:val="en-US" w:eastAsia="zh-CN"/>
                    </w:rPr>
                    <w:t>/d）处理达标后暂存于中水池（7m</w:t>
                  </w:r>
                  <w:r>
                    <w:rPr>
                      <w:rFonts w:hint="eastAsia" w:cs="Times New Roman"/>
                      <w:b w:val="0"/>
                      <w:bCs w:val="0"/>
                      <w:color w:val="auto"/>
                      <w:sz w:val="21"/>
                      <w:szCs w:val="21"/>
                      <w:vertAlign w:val="superscript"/>
                      <w:lang w:val="en-US" w:eastAsia="zh-CN"/>
                    </w:rPr>
                    <w:t>3</w:t>
                  </w:r>
                  <w:r>
                    <w:rPr>
                      <w:rFonts w:hint="eastAsia" w:cs="Times New Roman"/>
                      <w:b w:val="0"/>
                      <w:bCs w:val="0"/>
                      <w:color w:val="auto"/>
                      <w:sz w:val="21"/>
                      <w:szCs w:val="21"/>
                      <w:vertAlign w:val="baseline"/>
                      <w:lang w:val="en-US" w:eastAsia="zh-CN"/>
                    </w:rPr>
                    <w:t>），回用于厂区绿化及道路空地洒水降尘</w:t>
                  </w:r>
                </w:p>
              </w:tc>
              <w:tc>
                <w:tcPr>
                  <w:tcW w:w="628" w:type="pct"/>
                  <w:tcBorders>
                    <w:tl2br w:val="nil"/>
                    <w:tr2bl w:val="nil"/>
                  </w:tcBorders>
                  <w:noWrap w:val="0"/>
                  <w:vAlign w:val="center"/>
                </w:tcPr>
                <w:p w14:paraId="14C2E188">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COD、BOD</w:t>
                  </w:r>
                  <w:r>
                    <w:rPr>
                      <w:rFonts w:hint="eastAsia" w:ascii="Times New Roman" w:hAnsi="Times New Roman" w:eastAsia="宋体" w:cs="Times New Roman"/>
                      <w:b w:val="0"/>
                      <w:bCs w:val="0"/>
                      <w:color w:val="auto"/>
                      <w:sz w:val="21"/>
                      <w:szCs w:val="21"/>
                      <w:vertAlign w:val="subscript"/>
                      <w:lang w:val="en-US" w:eastAsia="zh-CN"/>
                    </w:rPr>
                    <w:t>5</w:t>
                  </w:r>
                  <w:r>
                    <w:rPr>
                      <w:rFonts w:hint="eastAsia" w:ascii="Times New Roman" w:hAnsi="Times New Roman" w:eastAsia="宋体" w:cs="Times New Roman"/>
                      <w:b w:val="0"/>
                      <w:bCs w:val="0"/>
                      <w:color w:val="auto"/>
                      <w:sz w:val="21"/>
                      <w:szCs w:val="21"/>
                      <w:vertAlign w:val="baseline"/>
                      <w:lang w:val="en-US" w:eastAsia="zh-CN"/>
                    </w:rPr>
                    <w:t>、SS、氨氮</w:t>
                  </w:r>
                </w:p>
              </w:tc>
              <w:tc>
                <w:tcPr>
                  <w:tcW w:w="1322" w:type="pct"/>
                  <w:tcBorders>
                    <w:tl2br w:val="nil"/>
                    <w:tr2bl w:val="nil"/>
                  </w:tcBorders>
                  <w:noWrap w:val="0"/>
                  <w:vAlign w:val="center"/>
                </w:tcPr>
                <w:p w14:paraId="209C7ABB">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《城市污水再生利用 城市杂用水水质》（GB/T 18920-2020）中城市绿化、道路清扫标准</w:t>
                  </w:r>
                </w:p>
              </w:tc>
            </w:tr>
            <w:tr w14:paraId="05E51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5" w:type="pct"/>
                  <w:tcBorders>
                    <w:tl2br w:val="nil"/>
                    <w:tr2bl w:val="nil"/>
                  </w:tcBorders>
                  <w:noWrap w:val="0"/>
                  <w:vAlign w:val="center"/>
                </w:tcPr>
                <w:p w14:paraId="511C714E">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5</w:t>
                  </w:r>
                </w:p>
              </w:tc>
              <w:tc>
                <w:tcPr>
                  <w:tcW w:w="290" w:type="pct"/>
                  <w:vMerge w:val="continue"/>
                  <w:tcBorders>
                    <w:tl2br w:val="nil"/>
                    <w:tr2bl w:val="nil"/>
                  </w:tcBorders>
                  <w:noWrap w:val="0"/>
                  <w:vAlign w:val="center"/>
                </w:tcPr>
                <w:p w14:paraId="38C5BADD">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p>
              </w:tc>
              <w:tc>
                <w:tcPr>
                  <w:tcW w:w="747" w:type="pct"/>
                  <w:tcBorders>
                    <w:tl2br w:val="nil"/>
                    <w:tr2bl w:val="nil"/>
                  </w:tcBorders>
                  <w:noWrap w:val="0"/>
                  <w:vAlign w:val="center"/>
                </w:tcPr>
                <w:p w14:paraId="19CC37FD">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冷却水</w:t>
                  </w:r>
                </w:p>
              </w:tc>
              <w:tc>
                <w:tcPr>
                  <w:tcW w:w="1696" w:type="pct"/>
                  <w:gridSpan w:val="2"/>
                  <w:tcBorders>
                    <w:tl2br w:val="nil"/>
                    <w:tr2bl w:val="nil"/>
                  </w:tcBorders>
                  <w:noWrap w:val="0"/>
                  <w:vAlign w:val="center"/>
                </w:tcPr>
                <w:p w14:paraId="3FEBD20E">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循环冷却池（8个，总容积为165m</w:t>
                  </w:r>
                  <w:r>
                    <w:rPr>
                      <w:rFonts w:hint="eastAsia" w:cs="Times New Roman"/>
                      <w:b w:val="0"/>
                      <w:bCs w:val="0"/>
                      <w:color w:val="auto"/>
                      <w:sz w:val="21"/>
                      <w:szCs w:val="21"/>
                      <w:vertAlign w:val="superscript"/>
                      <w:lang w:val="en-US" w:eastAsia="zh-CN"/>
                    </w:rPr>
                    <w:t>3</w:t>
                  </w:r>
                  <w:r>
                    <w:rPr>
                      <w:rFonts w:hint="eastAsia" w:cs="Times New Roman"/>
                      <w:b w:val="0"/>
                      <w:bCs w:val="0"/>
                      <w:color w:val="auto"/>
                      <w:sz w:val="21"/>
                      <w:szCs w:val="21"/>
                      <w:vertAlign w:val="baseline"/>
                      <w:lang w:val="en-US" w:eastAsia="zh-CN"/>
                    </w:rPr>
                    <w:t>）</w:t>
                  </w:r>
                </w:p>
              </w:tc>
              <w:tc>
                <w:tcPr>
                  <w:tcW w:w="628" w:type="pct"/>
                  <w:tcBorders>
                    <w:tl2br w:val="nil"/>
                    <w:tr2bl w:val="nil"/>
                  </w:tcBorders>
                  <w:noWrap w:val="0"/>
                  <w:vAlign w:val="center"/>
                </w:tcPr>
                <w:p w14:paraId="0C54916B">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w:t>
                  </w:r>
                </w:p>
              </w:tc>
              <w:tc>
                <w:tcPr>
                  <w:tcW w:w="1322" w:type="pct"/>
                  <w:tcBorders>
                    <w:tl2br w:val="nil"/>
                    <w:tr2bl w:val="nil"/>
                  </w:tcBorders>
                  <w:noWrap w:val="0"/>
                  <w:vAlign w:val="center"/>
                </w:tcPr>
                <w:p w14:paraId="21D39E18">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w:t>
                  </w:r>
                </w:p>
              </w:tc>
            </w:tr>
            <w:tr w14:paraId="5C5D1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5" w:type="pct"/>
                  <w:tcBorders>
                    <w:tl2br w:val="nil"/>
                    <w:tr2bl w:val="nil"/>
                  </w:tcBorders>
                  <w:shd w:val="clear" w:color="auto" w:fill="auto"/>
                  <w:noWrap w:val="0"/>
                  <w:vAlign w:val="center"/>
                </w:tcPr>
                <w:p w14:paraId="270F3890">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6</w:t>
                  </w:r>
                </w:p>
              </w:tc>
              <w:tc>
                <w:tcPr>
                  <w:tcW w:w="290" w:type="pct"/>
                  <w:vMerge w:val="continue"/>
                  <w:tcBorders>
                    <w:tl2br w:val="nil"/>
                    <w:tr2bl w:val="nil"/>
                  </w:tcBorders>
                  <w:noWrap w:val="0"/>
                  <w:vAlign w:val="center"/>
                </w:tcPr>
                <w:p w14:paraId="5496D6D6">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p>
              </w:tc>
              <w:tc>
                <w:tcPr>
                  <w:tcW w:w="747" w:type="pct"/>
                  <w:tcBorders>
                    <w:tl2br w:val="nil"/>
                    <w:tr2bl w:val="nil"/>
                  </w:tcBorders>
                  <w:noWrap w:val="0"/>
                  <w:vAlign w:val="center"/>
                </w:tcPr>
                <w:p w14:paraId="557B7FCF">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初期雨水</w:t>
                  </w:r>
                </w:p>
              </w:tc>
              <w:tc>
                <w:tcPr>
                  <w:tcW w:w="1696" w:type="pct"/>
                  <w:gridSpan w:val="2"/>
                  <w:tcBorders>
                    <w:tl2br w:val="nil"/>
                    <w:tr2bl w:val="nil"/>
                  </w:tcBorders>
                  <w:noWrap w:val="0"/>
                  <w:vAlign w:val="center"/>
                </w:tcPr>
                <w:p w14:paraId="658126FB">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经初期雨水收集池（100m</w:t>
                  </w:r>
                  <w:r>
                    <w:rPr>
                      <w:rFonts w:hint="eastAsia" w:cs="Times New Roman"/>
                      <w:b w:val="0"/>
                      <w:bCs w:val="0"/>
                      <w:color w:val="auto"/>
                      <w:sz w:val="21"/>
                      <w:szCs w:val="21"/>
                      <w:vertAlign w:val="superscript"/>
                      <w:lang w:val="en-US" w:eastAsia="zh-CN"/>
                    </w:rPr>
                    <w:t>3</w:t>
                  </w:r>
                  <w:r>
                    <w:rPr>
                      <w:rFonts w:hint="eastAsia" w:cs="Times New Roman"/>
                      <w:b w:val="0"/>
                      <w:bCs w:val="0"/>
                      <w:color w:val="auto"/>
                      <w:sz w:val="21"/>
                      <w:szCs w:val="21"/>
                      <w:vertAlign w:val="baseline"/>
                      <w:lang w:val="en-US" w:eastAsia="zh-CN"/>
                    </w:rPr>
                    <w:t>）收集沉淀后回用于厂区洒水降尘</w:t>
                  </w:r>
                </w:p>
              </w:tc>
              <w:tc>
                <w:tcPr>
                  <w:tcW w:w="628" w:type="pct"/>
                  <w:tcBorders>
                    <w:tl2br w:val="nil"/>
                    <w:tr2bl w:val="nil"/>
                  </w:tcBorders>
                  <w:noWrap w:val="0"/>
                  <w:vAlign w:val="center"/>
                </w:tcPr>
                <w:p w14:paraId="482D57C1">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SS</w:t>
                  </w:r>
                </w:p>
              </w:tc>
              <w:tc>
                <w:tcPr>
                  <w:tcW w:w="1322" w:type="pct"/>
                  <w:tcBorders>
                    <w:tl2br w:val="nil"/>
                    <w:tr2bl w:val="nil"/>
                  </w:tcBorders>
                  <w:noWrap w:val="0"/>
                  <w:vAlign w:val="center"/>
                </w:tcPr>
                <w:p w14:paraId="3D6F9654">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w:t>
                  </w:r>
                </w:p>
              </w:tc>
            </w:tr>
            <w:tr w14:paraId="73D7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5" w:type="pct"/>
                  <w:tcBorders>
                    <w:tl2br w:val="nil"/>
                    <w:tr2bl w:val="nil"/>
                  </w:tcBorders>
                  <w:shd w:val="clear" w:color="auto" w:fill="auto"/>
                  <w:noWrap w:val="0"/>
                  <w:vAlign w:val="center"/>
                </w:tcPr>
                <w:p w14:paraId="18627B78">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7</w:t>
                  </w:r>
                </w:p>
              </w:tc>
              <w:tc>
                <w:tcPr>
                  <w:tcW w:w="290" w:type="pct"/>
                  <w:tcBorders>
                    <w:tl2br w:val="nil"/>
                    <w:tr2bl w:val="nil"/>
                  </w:tcBorders>
                  <w:noWrap w:val="0"/>
                  <w:vAlign w:val="center"/>
                </w:tcPr>
                <w:p w14:paraId="7ACA7BEB">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噪声</w:t>
                  </w:r>
                </w:p>
              </w:tc>
              <w:tc>
                <w:tcPr>
                  <w:tcW w:w="747" w:type="pct"/>
                  <w:tcBorders>
                    <w:tl2br w:val="nil"/>
                    <w:tr2bl w:val="nil"/>
                  </w:tcBorders>
                  <w:noWrap w:val="0"/>
                  <w:vAlign w:val="center"/>
                </w:tcPr>
                <w:p w14:paraId="226F0863">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厂界噪声</w:t>
                  </w:r>
                </w:p>
              </w:tc>
              <w:tc>
                <w:tcPr>
                  <w:tcW w:w="1696" w:type="pct"/>
                  <w:gridSpan w:val="2"/>
                  <w:tcBorders>
                    <w:tl2br w:val="nil"/>
                    <w:tr2bl w:val="nil"/>
                  </w:tcBorders>
                  <w:noWrap w:val="0"/>
                  <w:vAlign w:val="center"/>
                </w:tcPr>
                <w:p w14:paraId="166CA230">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厂房隔声、基础减震、距离衰减等</w:t>
                  </w:r>
                </w:p>
              </w:tc>
              <w:tc>
                <w:tcPr>
                  <w:tcW w:w="628" w:type="pct"/>
                  <w:tcBorders>
                    <w:tl2br w:val="nil"/>
                    <w:tr2bl w:val="nil"/>
                  </w:tcBorders>
                  <w:noWrap w:val="0"/>
                  <w:vAlign w:val="center"/>
                </w:tcPr>
                <w:p w14:paraId="5821E410">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等效连续A声级</w:t>
                  </w:r>
                </w:p>
              </w:tc>
              <w:tc>
                <w:tcPr>
                  <w:tcW w:w="1322" w:type="pct"/>
                  <w:tcBorders>
                    <w:tl2br w:val="nil"/>
                    <w:tr2bl w:val="nil"/>
                  </w:tcBorders>
                  <w:noWrap w:val="0"/>
                  <w:vAlign w:val="center"/>
                </w:tcPr>
                <w:p w14:paraId="538F85A4">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《工业企业厂界环境噪声排放标准》（GB12348-2008）中</w:t>
                  </w:r>
                  <w:r>
                    <w:rPr>
                      <w:rFonts w:hint="eastAsia" w:cs="Times New Roman"/>
                      <w:color w:val="auto"/>
                      <w:sz w:val="21"/>
                      <w:szCs w:val="21"/>
                      <w:vertAlign w:val="baseline"/>
                      <w:lang w:val="en-US" w:eastAsia="zh-CN"/>
                    </w:rPr>
                    <w:t>2</w:t>
                  </w:r>
                  <w:r>
                    <w:rPr>
                      <w:rFonts w:hint="default" w:ascii="Times New Roman" w:hAnsi="Times New Roman" w:eastAsia="宋体" w:cs="Times New Roman"/>
                      <w:color w:val="auto"/>
                      <w:sz w:val="21"/>
                      <w:szCs w:val="21"/>
                      <w:vertAlign w:val="baseline"/>
                      <w:lang w:val="en-US" w:eastAsia="zh-CN"/>
                    </w:rPr>
                    <w:t>类标准限值</w:t>
                  </w:r>
                </w:p>
              </w:tc>
            </w:tr>
            <w:tr w14:paraId="41EA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5" w:type="pct"/>
                  <w:tcBorders>
                    <w:tl2br w:val="nil"/>
                    <w:tr2bl w:val="nil"/>
                  </w:tcBorders>
                  <w:shd w:val="clear" w:color="auto" w:fill="auto"/>
                  <w:noWrap w:val="0"/>
                  <w:vAlign w:val="center"/>
                </w:tcPr>
                <w:p w14:paraId="490B3DB8">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8</w:t>
                  </w:r>
                </w:p>
              </w:tc>
              <w:tc>
                <w:tcPr>
                  <w:tcW w:w="290" w:type="pct"/>
                  <w:vMerge w:val="restart"/>
                  <w:tcBorders>
                    <w:tl2br w:val="nil"/>
                    <w:tr2bl w:val="nil"/>
                  </w:tcBorders>
                  <w:noWrap w:val="0"/>
                  <w:vAlign w:val="center"/>
                </w:tcPr>
                <w:p w14:paraId="49A480E1">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一般工业固体废物</w:t>
                  </w:r>
                </w:p>
              </w:tc>
              <w:tc>
                <w:tcPr>
                  <w:tcW w:w="747" w:type="pct"/>
                  <w:tcBorders>
                    <w:tl2br w:val="nil"/>
                    <w:tr2bl w:val="nil"/>
                  </w:tcBorders>
                  <w:noWrap w:val="0"/>
                  <w:vAlign w:val="center"/>
                </w:tcPr>
                <w:p w14:paraId="69B94A0D">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生活垃圾</w:t>
                  </w:r>
                </w:p>
              </w:tc>
              <w:tc>
                <w:tcPr>
                  <w:tcW w:w="1696" w:type="pct"/>
                  <w:gridSpan w:val="2"/>
                  <w:tcBorders>
                    <w:tl2br w:val="nil"/>
                    <w:tr2bl w:val="nil"/>
                  </w:tcBorders>
                  <w:noWrap w:val="0"/>
                  <w:vAlign w:val="center"/>
                </w:tcPr>
                <w:p w14:paraId="07AF2C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集中分类收集后并入附近村庄处置</w:t>
                  </w:r>
                </w:p>
              </w:tc>
              <w:tc>
                <w:tcPr>
                  <w:tcW w:w="628" w:type="pct"/>
                  <w:tcBorders>
                    <w:tl2br w:val="nil"/>
                    <w:tr2bl w:val="nil"/>
                  </w:tcBorders>
                  <w:noWrap w:val="0"/>
                  <w:vAlign w:val="center"/>
                </w:tcPr>
                <w:p w14:paraId="32643D42">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w:t>
                  </w:r>
                </w:p>
              </w:tc>
              <w:tc>
                <w:tcPr>
                  <w:tcW w:w="1322" w:type="pct"/>
                  <w:vMerge w:val="restart"/>
                  <w:tcBorders>
                    <w:tl2br w:val="nil"/>
                    <w:tr2bl w:val="nil"/>
                  </w:tcBorders>
                  <w:noWrap w:val="0"/>
                  <w:vAlign w:val="center"/>
                </w:tcPr>
                <w:p w14:paraId="3E867756">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处置率100%</w:t>
                  </w:r>
                </w:p>
              </w:tc>
            </w:tr>
            <w:tr w14:paraId="3E2EE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5" w:type="pct"/>
                  <w:tcBorders>
                    <w:tl2br w:val="nil"/>
                    <w:tr2bl w:val="nil"/>
                  </w:tcBorders>
                  <w:shd w:val="clear" w:color="auto" w:fill="auto"/>
                  <w:noWrap w:val="0"/>
                  <w:vAlign w:val="center"/>
                </w:tcPr>
                <w:p w14:paraId="4595DF9B">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9</w:t>
                  </w:r>
                </w:p>
              </w:tc>
              <w:tc>
                <w:tcPr>
                  <w:tcW w:w="290" w:type="pct"/>
                  <w:vMerge w:val="continue"/>
                  <w:tcBorders>
                    <w:tl2br w:val="nil"/>
                    <w:tr2bl w:val="nil"/>
                  </w:tcBorders>
                  <w:noWrap w:val="0"/>
                  <w:vAlign w:val="center"/>
                </w:tcPr>
                <w:p w14:paraId="322DC511">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p>
              </w:tc>
              <w:tc>
                <w:tcPr>
                  <w:tcW w:w="747" w:type="pct"/>
                  <w:tcBorders>
                    <w:tl2br w:val="nil"/>
                    <w:tr2bl w:val="nil"/>
                  </w:tcBorders>
                  <w:noWrap w:val="0"/>
                  <w:vAlign w:val="center"/>
                </w:tcPr>
                <w:p w14:paraId="3BE026E8">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化粪池污泥</w:t>
                  </w:r>
                </w:p>
              </w:tc>
              <w:tc>
                <w:tcPr>
                  <w:tcW w:w="1696" w:type="pct"/>
                  <w:gridSpan w:val="2"/>
                  <w:tcBorders>
                    <w:tl2br w:val="nil"/>
                    <w:tr2bl w:val="nil"/>
                  </w:tcBorders>
                  <w:noWrap w:val="0"/>
                  <w:vAlign w:val="center"/>
                </w:tcPr>
                <w:p w14:paraId="12B13B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定期委托环卫部门清掏处置</w:t>
                  </w:r>
                </w:p>
              </w:tc>
              <w:tc>
                <w:tcPr>
                  <w:tcW w:w="628" w:type="pct"/>
                  <w:tcBorders>
                    <w:tl2br w:val="nil"/>
                    <w:tr2bl w:val="nil"/>
                  </w:tcBorders>
                  <w:noWrap w:val="0"/>
                  <w:vAlign w:val="center"/>
                </w:tcPr>
                <w:p w14:paraId="074C6052">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w:t>
                  </w:r>
                </w:p>
              </w:tc>
              <w:tc>
                <w:tcPr>
                  <w:tcW w:w="1322" w:type="pct"/>
                  <w:vMerge w:val="continue"/>
                  <w:tcBorders>
                    <w:tl2br w:val="nil"/>
                    <w:tr2bl w:val="nil"/>
                  </w:tcBorders>
                  <w:noWrap w:val="0"/>
                  <w:vAlign w:val="center"/>
                </w:tcPr>
                <w:p w14:paraId="632BC5C7">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r>
            <w:tr w14:paraId="39863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5" w:type="pct"/>
                  <w:tcBorders>
                    <w:tl2br w:val="nil"/>
                    <w:tr2bl w:val="nil"/>
                  </w:tcBorders>
                  <w:shd w:val="clear" w:color="auto" w:fill="auto"/>
                  <w:noWrap w:val="0"/>
                  <w:vAlign w:val="center"/>
                </w:tcPr>
                <w:p w14:paraId="44C7095D">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10</w:t>
                  </w:r>
                </w:p>
              </w:tc>
              <w:tc>
                <w:tcPr>
                  <w:tcW w:w="290" w:type="pct"/>
                  <w:vMerge w:val="continue"/>
                  <w:tcBorders>
                    <w:tl2br w:val="nil"/>
                    <w:tr2bl w:val="nil"/>
                  </w:tcBorders>
                  <w:noWrap w:val="0"/>
                  <w:vAlign w:val="center"/>
                </w:tcPr>
                <w:p w14:paraId="429F146E">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p>
              </w:tc>
              <w:tc>
                <w:tcPr>
                  <w:tcW w:w="747" w:type="pct"/>
                  <w:tcBorders>
                    <w:tl2br w:val="nil"/>
                    <w:tr2bl w:val="nil"/>
                  </w:tcBorders>
                  <w:noWrap w:val="0"/>
                  <w:vAlign w:val="center"/>
                </w:tcPr>
                <w:p w14:paraId="7A9665F1">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eastAsia="宋体" w:cs="Times New Roman"/>
                      <w:bCs/>
                      <w:color w:val="auto"/>
                      <w:sz w:val="21"/>
                      <w:szCs w:val="21"/>
                      <w:vertAlign w:val="baseline"/>
                      <w:lang w:val="en-US" w:eastAsia="zh-CN"/>
                    </w:rPr>
                    <w:t>焊渣</w:t>
                  </w:r>
                </w:p>
              </w:tc>
              <w:tc>
                <w:tcPr>
                  <w:tcW w:w="1696" w:type="pct"/>
                  <w:gridSpan w:val="2"/>
                  <w:tcBorders>
                    <w:tl2br w:val="nil"/>
                    <w:tr2bl w:val="nil"/>
                  </w:tcBorders>
                  <w:noWrap w:val="0"/>
                  <w:vAlign w:val="center"/>
                </w:tcPr>
                <w:p w14:paraId="279F3A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收集后暂存于原料区</w:t>
                  </w:r>
                  <w:r>
                    <w:rPr>
                      <w:rFonts w:hint="eastAsia" w:cs="Times New Roman"/>
                      <w:bCs/>
                      <w:color w:val="auto"/>
                      <w:sz w:val="21"/>
                      <w:szCs w:val="21"/>
                      <w:vertAlign w:val="baseline"/>
                      <w:lang w:val="en-US" w:eastAsia="zh-CN"/>
                    </w:rPr>
                    <w:t>用作原料</w:t>
                  </w:r>
                </w:p>
              </w:tc>
              <w:tc>
                <w:tcPr>
                  <w:tcW w:w="628" w:type="pct"/>
                  <w:tcBorders>
                    <w:tl2br w:val="nil"/>
                    <w:tr2bl w:val="nil"/>
                  </w:tcBorders>
                  <w:noWrap w:val="0"/>
                  <w:vAlign w:val="center"/>
                </w:tcPr>
                <w:p w14:paraId="334B5850">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w:t>
                  </w:r>
                </w:p>
              </w:tc>
              <w:tc>
                <w:tcPr>
                  <w:tcW w:w="1322" w:type="pct"/>
                  <w:vMerge w:val="continue"/>
                  <w:tcBorders>
                    <w:tl2br w:val="nil"/>
                    <w:tr2bl w:val="nil"/>
                  </w:tcBorders>
                  <w:noWrap w:val="0"/>
                  <w:vAlign w:val="center"/>
                </w:tcPr>
                <w:p w14:paraId="25E55EBC">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14:paraId="4361F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5" w:type="pct"/>
                  <w:tcBorders>
                    <w:tl2br w:val="nil"/>
                    <w:tr2bl w:val="nil"/>
                  </w:tcBorders>
                  <w:shd w:val="clear" w:color="auto" w:fill="auto"/>
                  <w:noWrap w:val="0"/>
                  <w:vAlign w:val="center"/>
                </w:tcPr>
                <w:p w14:paraId="4937C2B4">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11</w:t>
                  </w:r>
                </w:p>
              </w:tc>
              <w:tc>
                <w:tcPr>
                  <w:tcW w:w="290" w:type="pct"/>
                  <w:vMerge w:val="continue"/>
                  <w:tcBorders>
                    <w:tl2br w:val="nil"/>
                    <w:tr2bl w:val="nil"/>
                  </w:tcBorders>
                  <w:noWrap w:val="0"/>
                  <w:vAlign w:val="center"/>
                </w:tcPr>
                <w:p w14:paraId="3F18B494">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p>
              </w:tc>
              <w:tc>
                <w:tcPr>
                  <w:tcW w:w="747" w:type="pct"/>
                  <w:tcBorders>
                    <w:tl2br w:val="nil"/>
                    <w:tr2bl w:val="nil"/>
                  </w:tcBorders>
                  <w:noWrap w:val="0"/>
                  <w:vAlign w:val="center"/>
                </w:tcPr>
                <w:p w14:paraId="70065212">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eastAsia="宋体" w:cs="Times New Roman"/>
                      <w:bCs/>
                      <w:color w:val="auto"/>
                      <w:sz w:val="21"/>
                      <w:szCs w:val="21"/>
                      <w:vertAlign w:val="baseline"/>
                      <w:lang w:val="en-US" w:eastAsia="zh-CN"/>
                    </w:rPr>
                    <w:t>循环水水池沉渣</w:t>
                  </w:r>
                </w:p>
              </w:tc>
              <w:tc>
                <w:tcPr>
                  <w:tcW w:w="1696" w:type="pct"/>
                  <w:gridSpan w:val="2"/>
                  <w:tcBorders>
                    <w:tl2br w:val="nil"/>
                    <w:tr2bl w:val="nil"/>
                  </w:tcBorders>
                  <w:noWrap w:val="0"/>
                  <w:vAlign w:val="center"/>
                </w:tcPr>
                <w:p w14:paraId="76E598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定期清掏，每次清掏时需进行浸出毒性检测，按照《固体废物 浸出毒性浸出方法 水平振荡法》（HJ 557-2010）中规定方法获得的浸出液检测结果需满足《一般工业固体废物贮存和填埋污染控制标准》（GB 18599-2020）中第I类一般工业固体废物或第II类一般工业固体废物的要求，方可作为一般固体废物外售处置。若浸出毒性检测结果超过第I类一般工业固体废物或第II类一般工业固体废物的要求，则需要进行危险废物管理和处置。</w:t>
                  </w:r>
                </w:p>
              </w:tc>
              <w:tc>
                <w:tcPr>
                  <w:tcW w:w="628" w:type="pct"/>
                  <w:tcBorders>
                    <w:tl2br w:val="nil"/>
                    <w:tr2bl w:val="nil"/>
                  </w:tcBorders>
                  <w:noWrap w:val="0"/>
                  <w:vAlign w:val="center"/>
                </w:tcPr>
                <w:p w14:paraId="781D6FB2">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vertAlign w:val="baseline"/>
                      <w:lang w:val="en-US" w:eastAsia="zh-CN"/>
                    </w:rPr>
                  </w:pPr>
                  <w:r>
                    <w:rPr>
                      <w:rFonts w:hint="eastAsia" w:cs="Times New Roman"/>
                      <w:color w:val="auto"/>
                      <w:sz w:val="21"/>
                      <w:szCs w:val="21"/>
                      <w:vertAlign w:val="baseline"/>
                      <w:lang w:val="en-US" w:eastAsia="zh-CN"/>
                    </w:rPr>
                    <w:t>/</w:t>
                  </w:r>
                </w:p>
              </w:tc>
              <w:tc>
                <w:tcPr>
                  <w:tcW w:w="1322" w:type="pct"/>
                  <w:vMerge w:val="continue"/>
                  <w:tcBorders>
                    <w:tl2br w:val="nil"/>
                    <w:tr2bl w:val="nil"/>
                  </w:tcBorders>
                  <w:noWrap w:val="0"/>
                  <w:vAlign w:val="center"/>
                </w:tcPr>
                <w:p w14:paraId="428FB8C3">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14:paraId="1703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5" w:type="pct"/>
                  <w:tcBorders>
                    <w:tl2br w:val="nil"/>
                    <w:tr2bl w:val="nil"/>
                  </w:tcBorders>
                  <w:shd w:val="clear" w:color="auto" w:fill="auto"/>
                  <w:noWrap w:val="0"/>
                  <w:vAlign w:val="center"/>
                </w:tcPr>
                <w:p w14:paraId="759EF184">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12</w:t>
                  </w:r>
                </w:p>
              </w:tc>
              <w:tc>
                <w:tcPr>
                  <w:tcW w:w="290" w:type="pct"/>
                  <w:vMerge w:val="continue"/>
                  <w:tcBorders>
                    <w:tl2br w:val="nil"/>
                    <w:tr2bl w:val="nil"/>
                  </w:tcBorders>
                  <w:noWrap w:val="0"/>
                  <w:vAlign w:val="center"/>
                </w:tcPr>
                <w:p w14:paraId="6155CA6D">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p>
              </w:tc>
              <w:tc>
                <w:tcPr>
                  <w:tcW w:w="747" w:type="pct"/>
                  <w:tcBorders>
                    <w:tl2br w:val="nil"/>
                    <w:tr2bl w:val="nil"/>
                  </w:tcBorders>
                  <w:noWrap w:val="0"/>
                  <w:vAlign w:val="center"/>
                </w:tcPr>
                <w:p w14:paraId="1EE49FBF">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eastAsia="宋体" w:cs="Times New Roman"/>
                      <w:bCs/>
                      <w:color w:val="auto"/>
                      <w:sz w:val="21"/>
                      <w:szCs w:val="21"/>
                      <w:vertAlign w:val="baseline"/>
                      <w:lang w:val="en-US" w:eastAsia="zh-CN"/>
                    </w:rPr>
                    <w:t>边角废料及切割碎屑</w:t>
                  </w:r>
                </w:p>
              </w:tc>
              <w:tc>
                <w:tcPr>
                  <w:tcW w:w="1696" w:type="pct"/>
                  <w:gridSpan w:val="2"/>
                  <w:vMerge w:val="restart"/>
                  <w:tcBorders>
                    <w:tl2br w:val="nil"/>
                    <w:tr2bl w:val="nil"/>
                  </w:tcBorders>
                  <w:noWrap w:val="0"/>
                  <w:vAlign w:val="center"/>
                </w:tcPr>
                <w:p w14:paraId="33FB57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收集后暂存于废料打包库，定期外售给废旧物资回收单位</w:t>
                  </w:r>
                </w:p>
              </w:tc>
              <w:tc>
                <w:tcPr>
                  <w:tcW w:w="628" w:type="pct"/>
                  <w:tcBorders>
                    <w:tl2br w:val="nil"/>
                    <w:tr2bl w:val="nil"/>
                  </w:tcBorders>
                  <w:noWrap w:val="0"/>
                  <w:vAlign w:val="center"/>
                </w:tcPr>
                <w:p w14:paraId="190A386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vertAlign w:val="baseline"/>
                      <w:lang w:val="en-US" w:eastAsia="zh-CN"/>
                    </w:rPr>
                  </w:pPr>
                  <w:r>
                    <w:rPr>
                      <w:rFonts w:hint="eastAsia" w:cs="Times New Roman"/>
                      <w:color w:val="auto"/>
                      <w:sz w:val="21"/>
                      <w:szCs w:val="21"/>
                      <w:vertAlign w:val="baseline"/>
                      <w:lang w:val="en-US" w:eastAsia="zh-CN"/>
                    </w:rPr>
                    <w:t>/</w:t>
                  </w:r>
                </w:p>
              </w:tc>
              <w:tc>
                <w:tcPr>
                  <w:tcW w:w="1322" w:type="pct"/>
                  <w:vMerge w:val="continue"/>
                  <w:tcBorders>
                    <w:tl2br w:val="nil"/>
                    <w:tr2bl w:val="nil"/>
                  </w:tcBorders>
                  <w:noWrap w:val="0"/>
                  <w:vAlign w:val="center"/>
                </w:tcPr>
                <w:p w14:paraId="09162FDA">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14:paraId="222A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5" w:type="pct"/>
                  <w:tcBorders>
                    <w:tl2br w:val="nil"/>
                    <w:tr2bl w:val="nil"/>
                  </w:tcBorders>
                  <w:shd w:val="clear" w:color="auto" w:fill="auto"/>
                  <w:noWrap w:val="0"/>
                  <w:vAlign w:val="center"/>
                </w:tcPr>
                <w:p w14:paraId="6ED7745C">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13</w:t>
                  </w:r>
                </w:p>
              </w:tc>
              <w:tc>
                <w:tcPr>
                  <w:tcW w:w="290" w:type="pct"/>
                  <w:vMerge w:val="continue"/>
                  <w:tcBorders>
                    <w:tl2br w:val="nil"/>
                    <w:tr2bl w:val="nil"/>
                  </w:tcBorders>
                  <w:noWrap w:val="0"/>
                  <w:vAlign w:val="center"/>
                </w:tcPr>
                <w:p w14:paraId="2CEDF842">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p>
              </w:tc>
              <w:tc>
                <w:tcPr>
                  <w:tcW w:w="747" w:type="pct"/>
                  <w:tcBorders>
                    <w:tl2br w:val="nil"/>
                    <w:tr2bl w:val="nil"/>
                  </w:tcBorders>
                  <w:noWrap w:val="0"/>
                  <w:vAlign w:val="center"/>
                </w:tcPr>
                <w:p w14:paraId="25575852">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除尘灰</w:t>
                  </w:r>
                </w:p>
              </w:tc>
              <w:tc>
                <w:tcPr>
                  <w:tcW w:w="1696" w:type="pct"/>
                  <w:gridSpan w:val="2"/>
                  <w:vMerge w:val="continue"/>
                  <w:tcBorders>
                    <w:tl2br w:val="nil"/>
                    <w:tr2bl w:val="nil"/>
                  </w:tcBorders>
                  <w:noWrap w:val="0"/>
                  <w:vAlign w:val="center"/>
                </w:tcPr>
                <w:p w14:paraId="5FCA9D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p>
              </w:tc>
              <w:tc>
                <w:tcPr>
                  <w:tcW w:w="628" w:type="pct"/>
                  <w:tcBorders>
                    <w:tl2br w:val="nil"/>
                    <w:tr2bl w:val="nil"/>
                  </w:tcBorders>
                  <w:noWrap w:val="0"/>
                  <w:vAlign w:val="center"/>
                </w:tcPr>
                <w:p w14:paraId="2A5A349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vertAlign w:val="baseline"/>
                      <w:lang w:val="en-US" w:eastAsia="zh-CN"/>
                    </w:rPr>
                  </w:pPr>
                  <w:r>
                    <w:rPr>
                      <w:rFonts w:hint="eastAsia" w:cs="Times New Roman"/>
                      <w:color w:val="auto"/>
                      <w:sz w:val="21"/>
                      <w:szCs w:val="21"/>
                      <w:vertAlign w:val="baseline"/>
                      <w:lang w:val="en-US" w:eastAsia="zh-CN"/>
                    </w:rPr>
                    <w:t>/</w:t>
                  </w:r>
                </w:p>
              </w:tc>
              <w:tc>
                <w:tcPr>
                  <w:tcW w:w="1322" w:type="pct"/>
                  <w:vMerge w:val="continue"/>
                  <w:tcBorders>
                    <w:tl2br w:val="nil"/>
                    <w:tr2bl w:val="nil"/>
                  </w:tcBorders>
                  <w:noWrap w:val="0"/>
                  <w:vAlign w:val="center"/>
                </w:tcPr>
                <w:p w14:paraId="507042A5">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14:paraId="3DE9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5" w:type="pct"/>
                  <w:tcBorders>
                    <w:tl2br w:val="nil"/>
                    <w:tr2bl w:val="nil"/>
                  </w:tcBorders>
                  <w:shd w:val="clear" w:color="auto" w:fill="auto"/>
                  <w:noWrap w:val="0"/>
                  <w:vAlign w:val="center"/>
                </w:tcPr>
                <w:p w14:paraId="75DDEA09">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14</w:t>
                  </w:r>
                </w:p>
              </w:tc>
              <w:tc>
                <w:tcPr>
                  <w:tcW w:w="290" w:type="pct"/>
                  <w:vMerge w:val="restart"/>
                  <w:tcBorders>
                    <w:tl2br w:val="nil"/>
                    <w:tr2bl w:val="nil"/>
                  </w:tcBorders>
                  <w:noWrap w:val="0"/>
                  <w:vAlign w:val="center"/>
                </w:tcPr>
                <w:p w14:paraId="06BC0316">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危险废物</w:t>
                  </w:r>
                </w:p>
              </w:tc>
              <w:tc>
                <w:tcPr>
                  <w:tcW w:w="747" w:type="pct"/>
                  <w:tcBorders>
                    <w:tl2br w:val="nil"/>
                    <w:tr2bl w:val="nil"/>
                  </w:tcBorders>
                  <w:noWrap w:val="0"/>
                  <w:vAlign w:val="center"/>
                </w:tcPr>
                <w:p w14:paraId="05150C78">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eastAsia="宋体" w:cs="Times New Roman"/>
                      <w:bCs/>
                      <w:color w:val="auto"/>
                      <w:sz w:val="21"/>
                      <w:szCs w:val="21"/>
                      <w:vertAlign w:val="baseline"/>
                      <w:lang w:val="en-US" w:eastAsia="zh-CN"/>
                    </w:rPr>
                    <w:t>废液压油</w:t>
                  </w:r>
                </w:p>
              </w:tc>
              <w:tc>
                <w:tcPr>
                  <w:tcW w:w="1696" w:type="pct"/>
                  <w:gridSpan w:val="2"/>
                  <w:vMerge w:val="restart"/>
                  <w:tcBorders>
                    <w:tl2br w:val="nil"/>
                    <w:tr2bl w:val="nil"/>
                  </w:tcBorders>
                  <w:noWrap w:val="0"/>
                  <w:vAlign w:val="center"/>
                </w:tcPr>
                <w:p w14:paraId="6EFFA9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收集后暂存于危废暂存间，定期委托有资质单位清运处置</w:t>
                  </w:r>
                </w:p>
              </w:tc>
              <w:tc>
                <w:tcPr>
                  <w:tcW w:w="628" w:type="pct"/>
                  <w:tcBorders>
                    <w:tl2br w:val="nil"/>
                    <w:tr2bl w:val="nil"/>
                  </w:tcBorders>
                  <w:noWrap w:val="0"/>
                  <w:vAlign w:val="center"/>
                </w:tcPr>
                <w:p w14:paraId="51EF813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vertAlign w:val="baseline"/>
                      <w:lang w:val="en-US" w:eastAsia="zh-CN"/>
                    </w:rPr>
                  </w:pPr>
                  <w:r>
                    <w:rPr>
                      <w:rFonts w:hint="eastAsia" w:cs="Times New Roman"/>
                      <w:color w:val="auto"/>
                      <w:sz w:val="21"/>
                      <w:szCs w:val="21"/>
                      <w:vertAlign w:val="baseline"/>
                      <w:lang w:val="en-US" w:eastAsia="zh-CN"/>
                    </w:rPr>
                    <w:t>/</w:t>
                  </w:r>
                </w:p>
              </w:tc>
              <w:tc>
                <w:tcPr>
                  <w:tcW w:w="1322" w:type="pct"/>
                  <w:vMerge w:val="continue"/>
                  <w:tcBorders>
                    <w:tl2br w:val="nil"/>
                    <w:tr2bl w:val="nil"/>
                  </w:tcBorders>
                  <w:noWrap w:val="0"/>
                  <w:vAlign w:val="center"/>
                </w:tcPr>
                <w:p w14:paraId="7D915031">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14:paraId="5197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5" w:type="pct"/>
                  <w:tcBorders>
                    <w:tl2br w:val="nil"/>
                    <w:tr2bl w:val="nil"/>
                  </w:tcBorders>
                  <w:shd w:val="clear" w:color="auto" w:fill="auto"/>
                  <w:noWrap w:val="0"/>
                  <w:vAlign w:val="center"/>
                </w:tcPr>
                <w:p w14:paraId="1D310E6D">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15</w:t>
                  </w:r>
                </w:p>
              </w:tc>
              <w:tc>
                <w:tcPr>
                  <w:tcW w:w="290" w:type="pct"/>
                  <w:vMerge w:val="continue"/>
                  <w:tcBorders>
                    <w:tl2br w:val="nil"/>
                    <w:tr2bl w:val="nil"/>
                  </w:tcBorders>
                  <w:noWrap w:val="0"/>
                  <w:vAlign w:val="center"/>
                </w:tcPr>
                <w:p w14:paraId="0B70A6D3">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p>
              </w:tc>
              <w:tc>
                <w:tcPr>
                  <w:tcW w:w="747" w:type="pct"/>
                  <w:tcBorders>
                    <w:tl2br w:val="nil"/>
                    <w:tr2bl w:val="nil"/>
                  </w:tcBorders>
                  <w:noWrap w:val="0"/>
                  <w:vAlign w:val="center"/>
                </w:tcPr>
                <w:p w14:paraId="6ACE7FC1">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eastAsia="宋体" w:cs="Times New Roman"/>
                      <w:bCs/>
                      <w:color w:val="auto"/>
                      <w:sz w:val="21"/>
                      <w:szCs w:val="21"/>
                      <w:vertAlign w:val="baseline"/>
                      <w:lang w:val="en-US" w:eastAsia="zh-CN"/>
                    </w:rPr>
                    <w:t>废液压油桶</w:t>
                  </w:r>
                </w:p>
              </w:tc>
              <w:tc>
                <w:tcPr>
                  <w:tcW w:w="1696" w:type="pct"/>
                  <w:gridSpan w:val="2"/>
                  <w:vMerge w:val="continue"/>
                  <w:tcBorders>
                    <w:tl2br w:val="nil"/>
                    <w:tr2bl w:val="nil"/>
                  </w:tcBorders>
                  <w:noWrap w:val="0"/>
                  <w:vAlign w:val="center"/>
                </w:tcPr>
                <w:p w14:paraId="0149ED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p>
              </w:tc>
              <w:tc>
                <w:tcPr>
                  <w:tcW w:w="628" w:type="pct"/>
                  <w:tcBorders>
                    <w:tl2br w:val="nil"/>
                    <w:tr2bl w:val="nil"/>
                  </w:tcBorders>
                  <w:noWrap w:val="0"/>
                  <w:vAlign w:val="center"/>
                </w:tcPr>
                <w:p w14:paraId="59C232F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vertAlign w:val="baseline"/>
                      <w:lang w:val="en-US" w:eastAsia="zh-CN"/>
                    </w:rPr>
                  </w:pPr>
                  <w:r>
                    <w:rPr>
                      <w:rFonts w:hint="eastAsia" w:cs="Times New Roman"/>
                      <w:color w:val="auto"/>
                      <w:sz w:val="21"/>
                      <w:szCs w:val="21"/>
                      <w:vertAlign w:val="baseline"/>
                      <w:lang w:val="en-US" w:eastAsia="zh-CN"/>
                    </w:rPr>
                    <w:t>/</w:t>
                  </w:r>
                </w:p>
              </w:tc>
              <w:tc>
                <w:tcPr>
                  <w:tcW w:w="1322" w:type="pct"/>
                  <w:vMerge w:val="continue"/>
                  <w:tcBorders>
                    <w:tl2br w:val="nil"/>
                    <w:tr2bl w:val="nil"/>
                  </w:tcBorders>
                  <w:noWrap w:val="0"/>
                  <w:vAlign w:val="center"/>
                </w:tcPr>
                <w:p w14:paraId="746C1768">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14:paraId="1496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5" w:type="pct"/>
                  <w:tcBorders>
                    <w:tl2br w:val="nil"/>
                    <w:tr2bl w:val="nil"/>
                  </w:tcBorders>
                  <w:shd w:val="clear" w:color="auto" w:fill="auto"/>
                  <w:noWrap w:val="0"/>
                  <w:vAlign w:val="center"/>
                </w:tcPr>
                <w:p w14:paraId="4CA9F7F1">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16</w:t>
                  </w:r>
                </w:p>
              </w:tc>
              <w:tc>
                <w:tcPr>
                  <w:tcW w:w="290" w:type="pct"/>
                  <w:vMerge w:val="continue"/>
                  <w:tcBorders>
                    <w:tl2br w:val="nil"/>
                    <w:tr2bl w:val="nil"/>
                  </w:tcBorders>
                  <w:noWrap w:val="0"/>
                  <w:vAlign w:val="center"/>
                </w:tcPr>
                <w:p w14:paraId="7A24FDE7">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p>
              </w:tc>
              <w:tc>
                <w:tcPr>
                  <w:tcW w:w="747" w:type="pct"/>
                  <w:tcBorders>
                    <w:tl2br w:val="nil"/>
                    <w:tr2bl w:val="nil"/>
                  </w:tcBorders>
                  <w:noWrap w:val="0"/>
                  <w:vAlign w:val="center"/>
                </w:tcPr>
                <w:p w14:paraId="57D15C01">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废机油</w:t>
                  </w:r>
                </w:p>
              </w:tc>
              <w:tc>
                <w:tcPr>
                  <w:tcW w:w="1696" w:type="pct"/>
                  <w:gridSpan w:val="2"/>
                  <w:vMerge w:val="continue"/>
                  <w:tcBorders>
                    <w:tl2br w:val="nil"/>
                    <w:tr2bl w:val="nil"/>
                  </w:tcBorders>
                  <w:noWrap w:val="0"/>
                  <w:vAlign w:val="center"/>
                </w:tcPr>
                <w:p w14:paraId="604595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p>
              </w:tc>
              <w:tc>
                <w:tcPr>
                  <w:tcW w:w="628" w:type="pct"/>
                  <w:tcBorders>
                    <w:tl2br w:val="nil"/>
                    <w:tr2bl w:val="nil"/>
                  </w:tcBorders>
                  <w:noWrap w:val="0"/>
                  <w:vAlign w:val="center"/>
                </w:tcPr>
                <w:p w14:paraId="3383C8D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 w:val="21"/>
                      <w:szCs w:val="21"/>
                      <w:vertAlign w:val="baseline"/>
                      <w:lang w:val="en-US" w:eastAsia="zh-CN"/>
                    </w:rPr>
                  </w:pPr>
                  <w:r>
                    <w:rPr>
                      <w:rFonts w:hint="eastAsia" w:cs="Times New Roman"/>
                      <w:color w:val="auto"/>
                      <w:sz w:val="21"/>
                      <w:szCs w:val="21"/>
                      <w:vertAlign w:val="baseline"/>
                      <w:lang w:val="en-US" w:eastAsia="zh-CN"/>
                    </w:rPr>
                    <w:t>/</w:t>
                  </w:r>
                </w:p>
              </w:tc>
              <w:tc>
                <w:tcPr>
                  <w:tcW w:w="1322" w:type="pct"/>
                  <w:vMerge w:val="continue"/>
                  <w:tcBorders>
                    <w:tl2br w:val="nil"/>
                    <w:tr2bl w:val="nil"/>
                  </w:tcBorders>
                  <w:noWrap w:val="0"/>
                  <w:vAlign w:val="center"/>
                </w:tcPr>
                <w:p w14:paraId="06AA1A6F">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bl>
          <w:p w14:paraId="294ED1EC">
            <w:pPr>
              <w:ind w:firstLine="480"/>
              <w:rPr>
                <w:rFonts w:hint="eastAsia" w:eastAsia="宋体" w:cs="Times New Roman"/>
                <w:b/>
                <w:bCs/>
                <w:color w:val="auto"/>
                <w:lang w:val="en-US" w:eastAsia="zh-CN"/>
              </w:rPr>
            </w:pPr>
            <w:r>
              <w:rPr>
                <w:rFonts w:hint="eastAsia" w:cs="Times New Roman"/>
                <w:b/>
                <w:bCs/>
                <w:color w:val="auto"/>
                <w:lang w:val="en-US" w:eastAsia="zh-CN"/>
              </w:rPr>
              <w:t>八、运营期环境监测计划</w:t>
            </w:r>
          </w:p>
          <w:p w14:paraId="44E384A7">
            <w:pPr>
              <w:ind w:firstLine="480"/>
              <w:rPr>
                <w:rFonts w:hint="eastAsia" w:cs="Times New Roman"/>
                <w:color w:val="auto"/>
              </w:rPr>
            </w:pPr>
            <w:r>
              <w:rPr>
                <w:rFonts w:hint="eastAsia" w:cs="Times New Roman"/>
                <w:color w:val="auto"/>
              </w:rPr>
              <w:t>根据《排污单位自行监测技术指南 总则》（HJ 8192017）</w:t>
            </w:r>
            <w:r>
              <w:rPr>
                <w:rFonts w:hint="eastAsia" w:cs="Times New Roman"/>
                <w:color w:val="auto"/>
                <w:lang w:val="en-US" w:eastAsia="zh-CN"/>
              </w:rPr>
              <w:t>及《排污单位自行监测技术指南钢铁工业及炼焦化学工业》（HJ878-2017）</w:t>
            </w:r>
            <w:r>
              <w:rPr>
                <w:rFonts w:hint="eastAsia" w:cs="Times New Roman"/>
                <w:color w:val="auto"/>
              </w:rPr>
              <w:t>相关技术规范，项目运营期环境监测计划详见下表。</w:t>
            </w:r>
          </w:p>
          <w:p w14:paraId="73ACF9F0">
            <w:pPr>
              <w:adjustRightInd w:val="0"/>
              <w:snapToGrid w:val="0"/>
              <w:spacing w:line="360" w:lineRule="auto"/>
              <w:ind w:firstLine="0" w:firstLineChars="0"/>
              <w:jc w:val="center"/>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表4-2</w:t>
            </w:r>
            <w:r>
              <w:rPr>
                <w:rFonts w:hint="eastAsia" w:cs="Times New Roman"/>
                <w:b/>
                <w:color w:val="auto"/>
                <w:kern w:val="0"/>
                <w:sz w:val="24"/>
                <w:lang w:val="en-US" w:eastAsia="zh-CN"/>
              </w:rPr>
              <w:t>4</w:t>
            </w:r>
            <w:r>
              <w:rPr>
                <w:rFonts w:hint="eastAsia" w:ascii="Times New Roman" w:hAnsi="Times New Roman" w:eastAsia="宋体" w:cs="Times New Roman"/>
                <w:b/>
                <w:color w:val="auto"/>
                <w:kern w:val="0"/>
                <w:sz w:val="24"/>
                <w:lang w:val="en-US" w:eastAsia="zh-CN"/>
              </w:rPr>
              <w:t xml:space="preserve">  运营期环境监测计划表</w:t>
            </w:r>
          </w:p>
          <w:tbl>
            <w:tblPr>
              <w:tblStyle w:val="23"/>
              <w:tblW w:w="4998" w:type="pct"/>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1"/>
              <w:gridCol w:w="760"/>
              <w:gridCol w:w="1576"/>
              <w:gridCol w:w="1192"/>
              <w:gridCol w:w="1255"/>
              <w:gridCol w:w="2430"/>
            </w:tblGrid>
            <w:tr w14:paraId="09DA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4" w:type="pct"/>
                  <w:tcBorders>
                    <w:tl2br w:val="nil"/>
                    <w:tr2bl w:val="nil"/>
                  </w:tcBorders>
                  <w:noWrap w:val="0"/>
                  <w:vAlign w:val="center"/>
                </w:tcPr>
                <w:p w14:paraId="36B6222C">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序号</w:t>
                  </w:r>
                </w:p>
              </w:tc>
              <w:tc>
                <w:tcPr>
                  <w:tcW w:w="492" w:type="pct"/>
                  <w:tcBorders>
                    <w:tl2br w:val="nil"/>
                    <w:tr2bl w:val="nil"/>
                  </w:tcBorders>
                  <w:noWrap w:val="0"/>
                  <w:vAlign w:val="center"/>
                </w:tcPr>
                <w:p w14:paraId="1E9E3405">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类别</w:t>
                  </w:r>
                </w:p>
              </w:tc>
              <w:tc>
                <w:tcPr>
                  <w:tcW w:w="1021" w:type="pct"/>
                  <w:tcBorders>
                    <w:tl2br w:val="nil"/>
                    <w:tr2bl w:val="nil"/>
                  </w:tcBorders>
                  <w:noWrap w:val="0"/>
                  <w:vAlign w:val="center"/>
                </w:tcPr>
                <w:p w14:paraId="59F0DE12">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监测点</w:t>
                  </w:r>
                </w:p>
              </w:tc>
              <w:tc>
                <w:tcPr>
                  <w:tcW w:w="772" w:type="pct"/>
                  <w:tcBorders>
                    <w:tl2br w:val="nil"/>
                    <w:tr2bl w:val="nil"/>
                  </w:tcBorders>
                  <w:noWrap w:val="0"/>
                  <w:vAlign w:val="center"/>
                </w:tcPr>
                <w:p w14:paraId="17E22618">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监测因子</w:t>
                  </w:r>
                </w:p>
              </w:tc>
              <w:tc>
                <w:tcPr>
                  <w:tcW w:w="813" w:type="pct"/>
                  <w:tcBorders>
                    <w:tl2br w:val="nil"/>
                    <w:tr2bl w:val="nil"/>
                  </w:tcBorders>
                  <w:noWrap w:val="0"/>
                  <w:vAlign w:val="center"/>
                </w:tcPr>
                <w:p w14:paraId="5388EB0F">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监测频次</w:t>
                  </w:r>
                </w:p>
              </w:tc>
              <w:tc>
                <w:tcPr>
                  <w:tcW w:w="1575" w:type="pct"/>
                  <w:tcBorders>
                    <w:tl2br w:val="nil"/>
                    <w:tr2bl w:val="nil"/>
                  </w:tcBorders>
                  <w:noWrap w:val="0"/>
                  <w:vAlign w:val="center"/>
                </w:tcPr>
                <w:p w14:paraId="72EB4029">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执行标准</w:t>
                  </w:r>
                </w:p>
              </w:tc>
            </w:tr>
            <w:tr w14:paraId="73B0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4" w:type="pct"/>
                  <w:tcBorders>
                    <w:tl2br w:val="nil"/>
                    <w:tr2bl w:val="nil"/>
                  </w:tcBorders>
                  <w:noWrap w:val="0"/>
                  <w:vAlign w:val="center"/>
                </w:tcPr>
                <w:p w14:paraId="7B90D9B1">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1</w:t>
                  </w:r>
                </w:p>
              </w:tc>
              <w:tc>
                <w:tcPr>
                  <w:tcW w:w="492" w:type="pct"/>
                  <w:vMerge w:val="restart"/>
                  <w:tcBorders>
                    <w:tl2br w:val="nil"/>
                    <w:tr2bl w:val="nil"/>
                  </w:tcBorders>
                  <w:noWrap w:val="0"/>
                  <w:vAlign w:val="center"/>
                </w:tcPr>
                <w:p w14:paraId="1AC7CA26">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有组织废气</w:t>
                  </w:r>
                </w:p>
              </w:tc>
              <w:tc>
                <w:tcPr>
                  <w:tcW w:w="1021" w:type="pct"/>
                  <w:tcBorders>
                    <w:tl2br w:val="nil"/>
                    <w:tr2bl w:val="nil"/>
                  </w:tcBorders>
                  <w:noWrap w:val="0"/>
                  <w:vAlign w:val="center"/>
                </w:tcPr>
                <w:p w14:paraId="2E75A04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1#焊接</w:t>
                  </w:r>
                  <w:r>
                    <w:rPr>
                      <w:rFonts w:hint="eastAsia" w:cs="Times New Roman"/>
                      <w:i w:val="0"/>
                      <w:iCs w:val="0"/>
                      <w:color w:val="auto"/>
                      <w:kern w:val="0"/>
                      <w:sz w:val="21"/>
                      <w:szCs w:val="21"/>
                      <w:u w:val="none"/>
                      <w:lang w:val="en-US" w:eastAsia="zh-CN" w:bidi="ar"/>
                    </w:rPr>
                    <w:t>、补锌</w:t>
                  </w:r>
                  <w:r>
                    <w:rPr>
                      <w:rFonts w:hint="default" w:ascii="Times New Roman" w:hAnsi="Times New Roman" w:eastAsia="宋体" w:cs="Times New Roman"/>
                      <w:i w:val="0"/>
                      <w:iCs w:val="0"/>
                      <w:color w:val="auto"/>
                      <w:kern w:val="0"/>
                      <w:sz w:val="21"/>
                      <w:szCs w:val="21"/>
                      <w:u w:val="none"/>
                      <w:lang w:val="en-US" w:eastAsia="zh-CN" w:bidi="ar"/>
                    </w:rPr>
                    <w:t>烟尘排放口（排口编号：DA001）</w:t>
                  </w:r>
                </w:p>
              </w:tc>
              <w:tc>
                <w:tcPr>
                  <w:tcW w:w="772" w:type="pct"/>
                  <w:tcBorders>
                    <w:tl2br w:val="nil"/>
                    <w:tr2bl w:val="nil"/>
                  </w:tcBorders>
                  <w:noWrap w:val="0"/>
                  <w:vAlign w:val="center"/>
                </w:tcPr>
                <w:p w14:paraId="1E1A567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颗粒物</w:t>
                  </w:r>
                </w:p>
              </w:tc>
              <w:tc>
                <w:tcPr>
                  <w:tcW w:w="813" w:type="pct"/>
                  <w:tcBorders>
                    <w:tl2br w:val="nil"/>
                    <w:tr2bl w:val="nil"/>
                  </w:tcBorders>
                  <w:noWrap w:val="0"/>
                  <w:vAlign w:val="center"/>
                </w:tcPr>
                <w:p w14:paraId="1DF54B3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1次/半年</w:t>
                  </w:r>
                </w:p>
              </w:tc>
              <w:tc>
                <w:tcPr>
                  <w:tcW w:w="1575" w:type="pct"/>
                  <w:vMerge w:val="restart"/>
                  <w:tcBorders>
                    <w:tl2br w:val="nil"/>
                    <w:tr2bl w:val="nil"/>
                  </w:tcBorders>
                  <w:noWrap w:val="0"/>
                  <w:vAlign w:val="center"/>
                </w:tcPr>
                <w:p w14:paraId="7BE0FCF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《大气污染物综合排放标准》（GB16297-1996）表2标准</w:t>
                  </w:r>
                </w:p>
              </w:tc>
            </w:tr>
            <w:tr w14:paraId="304B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4" w:type="pct"/>
                  <w:tcBorders>
                    <w:tl2br w:val="nil"/>
                    <w:tr2bl w:val="nil"/>
                  </w:tcBorders>
                  <w:noWrap w:val="0"/>
                  <w:vAlign w:val="center"/>
                </w:tcPr>
                <w:p w14:paraId="5374C592">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2</w:t>
                  </w:r>
                </w:p>
              </w:tc>
              <w:tc>
                <w:tcPr>
                  <w:tcW w:w="492" w:type="pct"/>
                  <w:vMerge w:val="continue"/>
                  <w:tcBorders>
                    <w:tl2br w:val="nil"/>
                    <w:tr2bl w:val="nil"/>
                  </w:tcBorders>
                  <w:noWrap w:val="0"/>
                  <w:vAlign w:val="center"/>
                </w:tcPr>
                <w:p w14:paraId="141002FB">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021" w:type="pct"/>
                  <w:tcBorders>
                    <w:tl2br w:val="nil"/>
                    <w:tr2bl w:val="nil"/>
                  </w:tcBorders>
                  <w:noWrap w:val="0"/>
                  <w:vAlign w:val="center"/>
                </w:tcPr>
                <w:p w14:paraId="179321E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2#焊接</w:t>
                  </w:r>
                  <w:r>
                    <w:rPr>
                      <w:rFonts w:hint="eastAsia" w:cs="Times New Roman"/>
                      <w:i w:val="0"/>
                      <w:iCs w:val="0"/>
                      <w:color w:val="auto"/>
                      <w:kern w:val="0"/>
                      <w:sz w:val="21"/>
                      <w:szCs w:val="21"/>
                      <w:u w:val="none"/>
                      <w:lang w:val="en-US" w:eastAsia="zh-CN" w:bidi="ar"/>
                    </w:rPr>
                    <w:t>、补锌</w:t>
                  </w:r>
                  <w:r>
                    <w:rPr>
                      <w:rFonts w:hint="default" w:ascii="Times New Roman" w:hAnsi="Times New Roman" w:eastAsia="宋体" w:cs="Times New Roman"/>
                      <w:i w:val="0"/>
                      <w:iCs w:val="0"/>
                      <w:color w:val="auto"/>
                      <w:kern w:val="0"/>
                      <w:sz w:val="21"/>
                      <w:szCs w:val="21"/>
                      <w:u w:val="none"/>
                      <w:lang w:val="en-US" w:eastAsia="zh-CN" w:bidi="ar"/>
                    </w:rPr>
                    <w:t>烟尘排放口（排口编号：DA002）</w:t>
                  </w:r>
                </w:p>
              </w:tc>
              <w:tc>
                <w:tcPr>
                  <w:tcW w:w="772" w:type="pct"/>
                  <w:tcBorders>
                    <w:tl2br w:val="nil"/>
                    <w:tr2bl w:val="nil"/>
                  </w:tcBorders>
                  <w:noWrap w:val="0"/>
                  <w:vAlign w:val="center"/>
                </w:tcPr>
                <w:p w14:paraId="1AF290C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颗粒物</w:t>
                  </w:r>
                </w:p>
              </w:tc>
              <w:tc>
                <w:tcPr>
                  <w:tcW w:w="813" w:type="pct"/>
                  <w:tcBorders>
                    <w:tl2br w:val="nil"/>
                    <w:tr2bl w:val="nil"/>
                  </w:tcBorders>
                  <w:noWrap w:val="0"/>
                  <w:vAlign w:val="center"/>
                </w:tcPr>
                <w:p w14:paraId="496C0E1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1次/半年</w:t>
                  </w:r>
                </w:p>
              </w:tc>
              <w:tc>
                <w:tcPr>
                  <w:tcW w:w="1575" w:type="pct"/>
                  <w:vMerge w:val="continue"/>
                  <w:tcBorders>
                    <w:tl2br w:val="nil"/>
                    <w:tr2bl w:val="nil"/>
                  </w:tcBorders>
                  <w:noWrap w:val="0"/>
                  <w:vAlign w:val="center"/>
                </w:tcPr>
                <w:p w14:paraId="6411EF3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2D55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4" w:type="pct"/>
                  <w:tcBorders>
                    <w:tl2br w:val="nil"/>
                    <w:tr2bl w:val="nil"/>
                  </w:tcBorders>
                  <w:noWrap w:val="0"/>
                  <w:vAlign w:val="center"/>
                </w:tcPr>
                <w:p w14:paraId="19DD35D1">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3</w:t>
                  </w:r>
                </w:p>
              </w:tc>
              <w:tc>
                <w:tcPr>
                  <w:tcW w:w="492" w:type="pct"/>
                  <w:tcBorders>
                    <w:tl2br w:val="nil"/>
                    <w:tr2bl w:val="nil"/>
                  </w:tcBorders>
                  <w:noWrap w:val="0"/>
                  <w:vAlign w:val="center"/>
                </w:tcPr>
                <w:p w14:paraId="099827F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无组织</w:t>
                  </w:r>
                </w:p>
              </w:tc>
              <w:tc>
                <w:tcPr>
                  <w:tcW w:w="1021" w:type="pct"/>
                  <w:tcBorders>
                    <w:tl2br w:val="nil"/>
                    <w:tr2bl w:val="nil"/>
                  </w:tcBorders>
                  <w:noWrap w:val="0"/>
                  <w:vAlign w:val="center"/>
                </w:tcPr>
                <w:p w14:paraId="4E61A914">
                  <w:pPr>
                    <w:pStyle w:val="19"/>
                    <w:keepNext w:val="0"/>
                    <w:keepLines/>
                    <w:pageBreakBefore w:val="0"/>
                    <w:widowControl w:val="0"/>
                    <w:kinsoku/>
                    <w:wordWrap/>
                    <w:overflowPunct/>
                    <w:topLinePunct w:val="0"/>
                    <w:autoSpaceDE/>
                    <w:autoSpaceDN/>
                    <w:bidi w:val="0"/>
                    <w:adjustRightInd w:val="0"/>
                    <w:snapToGrid w:val="0"/>
                    <w:spacing w:before="0" w:beforeAutospacing="0" w:after="0" w:afterAutospacing="0" w:line="240" w:lineRule="auto"/>
                    <w:ind w:firstLine="0" w:firstLineChars="0"/>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厂界上方向2-50m范围内1个，下方向10m范围内3个</w:t>
                  </w:r>
                </w:p>
              </w:tc>
              <w:tc>
                <w:tcPr>
                  <w:tcW w:w="772" w:type="pct"/>
                  <w:tcBorders>
                    <w:tl2br w:val="nil"/>
                    <w:tr2bl w:val="nil"/>
                  </w:tcBorders>
                  <w:noWrap w:val="0"/>
                  <w:vAlign w:val="center"/>
                </w:tcPr>
                <w:p w14:paraId="50571AAF">
                  <w:pPr>
                    <w:pStyle w:val="19"/>
                    <w:keepNext w:val="0"/>
                    <w:keepLines/>
                    <w:pageBreakBefore w:val="0"/>
                    <w:widowControl w:val="0"/>
                    <w:kinsoku/>
                    <w:wordWrap/>
                    <w:overflowPunct/>
                    <w:topLinePunct w:val="0"/>
                    <w:autoSpaceDE/>
                    <w:autoSpaceDN/>
                    <w:bidi w:val="0"/>
                    <w:adjustRightInd w:val="0"/>
                    <w:snapToGrid w:val="0"/>
                    <w:spacing w:before="0" w:beforeAutospacing="0" w:after="0" w:afterAutospacing="0" w:line="240" w:lineRule="auto"/>
                    <w:ind w:firstLine="0" w:firstLineChars="0"/>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颗粒物</w:t>
                  </w:r>
                </w:p>
              </w:tc>
              <w:tc>
                <w:tcPr>
                  <w:tcW w:w="813" w:type="pct"/>
                  <w:tcBorders>
                    <w:tl2br w:val="nil"/>
                    <w:tr2bl w:val="nil"/>
                  </w:tcBorders>
                  <w:noWrap w:val="0"/>
                  <w:vAlign w:val="center"/>
                </w:tcPr>
                <w:p w14:paraId="64CDE37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1次/年</w:t>
                  </w:r>
                </w:p>
              </w:tc>
              <w:tc>
                <w:tcPr>
                  <w:tcW w:w="1575" w:type="pct"/>
                  <w:tcBorders>
                    <w:tl2br w:val="nil"/>
                    <w:tr2bl w:val="nil"/>
                  </w:tcBorders>
                  <w:noWrap w:val="0"/>
                  <w:vAlign w:val="center"/>
                </w:tcPr>
                <w:p w14:paraId="76E3A91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《大气污染物综合排放标准》（GB16297-1996）中表2无组织排放监控浓度限值</w:t>
                  </w:r>
                </w:p>
              </w:tc>
            </w:tr>
            <w:tr w14:paraId="3D0F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4" w:type="pct"/>
                  <w:tcBorders>
                    <w:tl2br w:val="nil"/>
                    <w:tr2bl w:val="nil"/>
                  </w:tcBorders>
                  <w:noWrap w:val="0"/>
                  <w:vAlign w:val="center"/>
                </w:tcPr>
                <w:p w14:paraId="033E61F7">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4</w:t>
                  </w:r>
                </w:p>
              </w:tc>
              <w:tc>
                <w:tcPr>
                  <w:tcW w:w="492" w:type="pct"/>
                  <w:tcBorders>
                    <w:tl2br w:val="nil"/>
                    <w:tr2bl w:val="nil"/>
                  </w:tcBorders>
                  <w:noWrap w:val="0"/>
                  <w:vAlign w:val="center"/>
                </w:tcPr>
                <w:p w14:paraId="75395E7F">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厂界噪声</w:t>
                  </w:r>
                </w:p>
              </w:tc>
              <w:tc>
                <w:tcPr>
                  <w:tcW w:w="1021" w:type="pct"/>
                  <w:tcBorders>
                    <w:tl2br w:val="nil"/>
                    <w:tr2bl w:val="nil"/>
                  </w:tcBorders>
                  <w:noWrap w:val="0"/>
                  <w:vAlign w:val="center"/>
                </w:tcPr>
                <w:p w14:paraId="6246ED05">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厂界四周</w:t>
                  </w:r>
                </w:p>
              </w:tc>
              <w:tc>
                <w:tcPr>
                  <w:tcW w:w="772" w:type="pct"/>
                  <w:tcBorders>
                    <w:tl2br w:val="nil"/>
                    <w:tr2bl w:val="nil"/>
                  </w:tcBorders>
                  <w:noWrap w:val="0"/>
                  <w:vAlign w:val="center"/>
                </w:tcPr>
                <w:p w14:paraId="0808B707">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等效连续A声级</w:t>
                  </w:r>
                </w:p>
              </w:tc>
              <w:tc>
                <w:tcPr>
                  <w:tcW w:w="813" w:type="pct"/>
                  <w:tcBorders>
                    <w:tl2br w:val="nil"/>
                    <w:tr2bl w:val="nil"/>
                  </w:tcBorders>
                  <w:noWrap w:val="0"/>
                  <w:vAlign w:val="center"/>
                </w:tcPr>
                <w:p w14:paraId="1616796E">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1次/季</w:t>
                  </w:r>
                </w:p>
              </w:tc>
              <w:tc>
                <w:tcPr>
                  <w:tcW w:w="1575" w:type="pct"/>
                  <w:tcBorders>
                    <w:tl2br w:val="nil"/>
                    <w:tr2bl w:val="nil"/>
                  </w:tcBorders>
                  <w:noWrap w:val="0"/>
                  <w:vAlign w:val="center"/>
                </w:tcPr>
                <w:p w14:paraId="47578863">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《工业企业厂界环境噪声排放标准》（GB12348-2008）中</w:t>
                  </w:r>
                  <w:r>
                    <w:rPr>
                      <w:rFonts w:hint="default" w:ascii="Times New Roman" w:hAnsi="Times New Roman" w:cs="Times New Roman"/>
                      <w:color w:val="auto"/>
                      <w:sz w:val="21"/>
                      <w:szCs w:val="21"/>
                      <w:vertAlign w:val="baseline"/>
                      <w:lang w:val="en-US" w:eastAsia="zh-CN"/>
                    </w:rPr>
                    <w:t>2</w:t>
                  </w:r>
                  <w:r>
                    <w:rPr>
                      <w:rFonts w:hint="default" w:ascii="Times New Roman" w:hAnsi="Times New Roman" w:eastAsia="宋体" w:cs="Times New Roman"/>
                      <w:color w:val="auto"/>
                      <w:sz w:val="21"/>
                      <w:szCs w:val="21"/>
                      <w:vertAlign w:val="baseline"/>
                      <w:lang w:val="en-US" w:eastAsia="zh-CN"/>
                    </w:rPr>
                    <w:t>类标准限值</w:t>
                  </w:r>
                </w:p>
              </w:tc>
            </w:tr>
          </w:tbl>
          <w:p w14:paraId="2C288B1F">
            <w:pPr>
              <w:ind w:left="0" w:leftChars="0" w:firstLine="0" w:firstLineChars="0"/>
              <w:rPr>
                <w:color w:val="auto"/>
                <w:vertAlign w:val="baseline"/>
              </w:rPr>
            </w:pPr>
          </w:p>
          <w:p w14:paraId="2E9F7F9E">
            <w:pPr>
              <w:ind w:left="0" w:leftChars="0" w:firstLine="0" w:firstLineChars="0"/>
              <w:rPr>
                <w:color w:val="auto"/>
                <w:vertAlign w:val="baseline"/>
              </w:rPr>
            </w:pPr>
          </w:p>
          <w:p w14:paraId="2BBDEB32">
            <w:pPr>
              <w:ind w:left="0" w:leftChars="0" w:firstLine="0" w:firstLineChars="0"/>
              <w:rPr>
                <w:color w:val="auto"/>
                <w:vertAlign w:val="baseline"/>
              </w:rPr>
            </w:pPr>
          </w:p>
          <w:p w14:paraId="3DB3F0ED">
            <w:pPr>
              <w:ind w:left="0" w:leftChars="0" w:firstLine="0" w:firstLineChars="0"/>
              <w:rPr>
                <w:color w:val="auto"/>
                <w:vertAlign w:val="baseline"/>
              </w:rPr>
            </w:pPr>
          </w:p>
          <w:p w14:paraId="0DFC1BDA">
            <w:pPr>
              <w:ind w:left="0" w:leftChars="0" w:firstLine="0" w:firstLineChars="0"/>
              <w:rPr>
                <w:color w:val="auto"/>
                <w:vertAlign w:val="baseline"/>
              </w:rPr>
            </w:pPr>
          </w:p>
          <w:p w14:paraId="71C1EBFF">
            <w:pPr>
              <w:ind w:left="0" w:leftChars="0" w:firstLine="0" w:firstLineChars="0"/>
              <w:rPr>
                <w:color w:val="auto"/>
                <w:vertAlign w:val="baseline"/>
              </w:rPr>
            </w:pPr>
          </w:p>
          <w:p w14:paraId="5ADCCB3A">
            <w:pPr>
              <w:ind w:left="0" w:leftChars="0" w:firstLine="0" w:firstLineChars="0"/>
              <w:rPr>
                <w:color w:val="auto"/>
                <w:vertAlign w:val="baseline"/>
              </w:rPr>
            </w:pPr>
          </w:p>
          <w:p w14:paraId="488CF89B">
            <w:pPr>
              <w:ind w:left="0" w:leftChars="0" w:firstLine="0" w:firstLineChars="0"/>
              <w:rPr>
                <w:color w:val="auto"/>
                <w:vertAlign w:val="baseline"/>
              </w:rPr>
            </w:pPr>
          </w:p>
          <w:p w14:paraId="4B189F62">
            <w:pPr>
              <w:ind w:left="0" w:leftChars="0" w:firstLine="0" w:firstLineChars="0"/>
              <w:rPr>
                <w:color w:val="auto"/>
                <w:vertAlign w:val="baseline"/>
              </w:rPr>
            </w:pPr>
          </w:p>
          <w:p w14:paraId="58346720">
            <w:pPr>
              <w:ind w:left="0" w:leftChars="0" w:firstLine="0" w:firstLineChars="0"/>
              <w:rPr>
                <w:color w:val="auto"/>
                <w:vertAlign w:val="baseline"/>
              </w:rPr>
            </w:pPr>
          </w:p>
          <w:p w14:paraId="538949DB">
            <w:pPr>
              <w:ind w:left="0" w:leftChars="0" w:firstLine="0" w:firstLineChars="0"/>
              <w:rPr>
                <w:color w:val="auto"/>
                <w:vertAlign w:val="baseline"/>
              </w:rPr>
            </w:pPr>
          </w:p>
          <w:p w14:paraId="6A4BE5EC">
            <w:pPr>
              <w:ind w:left="0" w:leftChars="0" w:firstLine="0" w:firstLineChars="0"/>
              <w:rPr>
                <w:color w:val="auto"/>
                <w:vertAlign w:val="baseline"/>
              </w:rPr>
            </w:pPr>
          </w:p>
          <w:p w14:paraId="15570738">
            <w:pPr>
              <w:ind w:left="0" w:leftChars="0" w:firstLine="0" w:firstLineChars="0"/>
              <w:rPr>
                <w:color w:val="auto"/>
                <w:vertAlign w:val="baseline"/>
              </w:rPr>
            </w:pPr>
          </w:p>
          <w:p w14:paraId="560A923B">
            <w:pPr>
              <w:ind w:left="0" w:leftChars="0" w:firstLine="0" w:firstLineChars="0"/>
              <w:rPr>
                <w:color w:val="auto"/>
                <w:vertAlign w:val="baseline"/>
              </w:rPr>
            </w:pPr>
          </w:p>
          <w:p w14:paraId="4570B777">
            <w:pPr>
              <w:pStyle w:val="2"/>
              <w:rPr>
                <w:color w:val="auto"/>
                <w:vertAlign w:val="baseline"/>
              </w:rPr>
            </w:pPr>
          </w:p>
          <w:p w14:paraId="208F1591">
            <w:pPr>
              <w:rPr>
                <w:color w:val="auto"/>
                <w:vertAlign w:val="baseline"/>
              </w:rPr>
            </w:pPr>
          </w:p>
          <w:p w14:paraId="4760A87B">
            <w:pPr>
              <w:pStyle w:val="2"/>
              <w:rPr>
                <w:color w:val="auto"/>
                <w:vertAlign w:val="baseline"/>
              </w:rPr>
            </w:pPr>
          </w:p>
          <w:p w14:paraId="5954D07C">
            <w:pPr>
              <w:rPr>
                <w:color w:val="auto"/>
                <w:vertAlign w:val="baseline"/>
              </w:rPr>
            </w:pPr>
          </w:p>
          <w:p w14:paraId="4D4E8F9A">
            <w:pPr>
              <w:pStyle w:val="2"/>
              <w:rPr>
                <w:color w:val="auto"/>
                <w:vertAlign w:val="baseline"/>
              </w:rPr>
            </w:pPr>
          </w:p>
          <w:p w14:paraId="325B6F22">
            <w:pPr>
              <w:rPr>
                <w:color w:val="auto"/>
                <w:vertAlign w:val="baseline"/>
              </w:rPr>
            </w:pPr>
          </w:p>
          <w:p w14:paraId="79F52B80">
            <w:pPr>
              <w:pStyle w:val="2"/>
              <w:rPr>
                <w:color w:val="auto"/>
                <w:vertAlign w:val="baseline"/>
              </w:rPr>
            </w:pPr>
          </w:p>
          <w:p w14:paraId="110668F1">
            <w:pPr>
              <w:rPr>
                <w:color w:val="auto"/>
                <w:vertAlign w:val="baseline"/>
              </w:rPr>
            </w:pPr>
          </w:p>
          <w:p w14:paraId="171BD1D7">
            <w:pPr>
              <w:pStyle w:val="2"/>
              <w:rPr>
                <w:color w:val="auto"/>
                <w:vertAlign w:val="baseline"/>
              </w:rPr>
            </w:pPr>
          </w:p>
          <w:p w14:paraId="35C561C4">
            <w:pPr>
              <w:rPr>
                <w:color w:val="auto"/>
                <w:vertAlign w:val="baseline"/>
              </w:rPr>
            </w:pPr>
          </w:p>
          <w:p w14:paraId="2E013839">
            <w:pPr>
              <w:pStyle w:val="2"/>
              <w:rPr>
                <w:color w:val="auto"/>
                <w:vertAlign w:val="baseline"/>
              </w:rPr>
            </w:pPr>
          </w:p>
          <w:p w14:paraId="6E16AD6E">
            <w:pPr>
              <w:rPr>
                <w:color w:val="auto"/>
              </w:rPr>
            </w:pPr>
          </w:p>
          <w:p w14:paraId="7672D07B">
            <w:pPr>
              <w:ind w:left="0" w:leftChars="0" w:firstLine="0" w:firstLineChars="0"/>
              <w:rPr>
                <w:color w:val="auto"/>
                <w:vertAlign w:val="baseline"/>
              </w:rPr>
            </w:pPr>
          </w:p>
        </w:tc>
      </w:tr>
    </w:tbl>
    <w:p w14:paraId="51C8F596">
      <w:pPr>
        <w:ind w:firstLine="0" w:firstLineChars="0"/>
        <w:rPr>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40A337FD">
      <w:pPr>
        <w:pStyle w:val="3"/>
        <w:numPr>
          <w:ilvl w:val="0"/>
          <w:numId w:val="2"/>
        </w:numPr>
        <w:rPr>
          <w:color w:val="auto"/>
        </w:rPr>
      </w:pPr>
      <w:bookmarkStart w:id="13" w:name="_Toc32742"/>
      <w:r>
        <w:rPr>
          <w:rFonts w:hint="eastAsia"/>
          <w:color w:val="auto"/>
        </w:rPr>
        <w:t>环境保护措施监督清单</w:t>
      </w:r>
      <w:bookmarkEnd w:id="13"/>
    </w:p>
    <w:tbl>
      <w:tblPr>
        <w:tblStyle w:val="22"/>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1541"/>
        <w:gridCol w:w="1336"/>
        <w:gridCol w:w="2521"/>
        <w:gridCol w:w="2292"/>
      </w:tblGrid>
      <w:tr w14:paraId="7ED952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10" w:type="dxa"/>
            <w:tcBorders>
              <w:tl2br w:val="single" w:color="auto" w:sz="4" w:space="0"/>
            </w:tcBorders>
            <w:vAlign w:val="center"/>
          </w:tcPr>
          <w:p w14:paraId="69B7ACFC">
            <w:pPr>
              <w:pStyle w:val="31"/>
              <w:jc w:val="center"/>
              <w:rPr>
                <w:rFonts w:hint="default"/>
                <w:color w:val="auto"/>
                <w:sz w:val="24"/>
                <w:szCs w:val="24"/>
              </w:rPr>
            </w:pPr>
            <w:r>
              <w:rPr>
                <w:rFonts w:hint="default"/>
                <w:color w:val="auto"/>
                <w:sz w:val="24"/>
                <w:szCs w:val="24"/>
              </w:rPr>
              <w:t>内容</w:t>
            </w:r>
          </w:p>
          <w:p w14:paraId="3060928E">
            <w:pPr>
              <w:pStyle w:val="31"/>
              <w:jc w:val="center"/>
              <w:rPr>
                <w:rFonts w:hint="default"/>
                <w:color w:val="auto"/>
                <w:sz w:val="24"/>
                <w:szCs w:val="24"/>
              </w:rPr>
            </w:pPr>
            <w:r>
              <w:rPr>
                <w:rFonts w:hint="default"/>
                <w:color w:val="auto"/>
                <w:sz w:val="24"/>
                <w:szCs w:val="24"/>
              </w:rPr>
              <w:t>要素</w:t>
            </w:r>
          </w:p>
        </w:tc>
        <w:tc>
          <w:tcPr>
            <w:tcW w:w="1541" w:type="dxa"/>
            <w:vAlign w:val="center"/>
          </w:tcPr>
          <w:p w14:paraId="6D645618">
            <w:pPr>
              <w:pStyle w:val="31"/>
              <w:jc w:val="center"/>
              <w:rPr>
                <w:rFonts w:hint="default"/>
                <w:color w:val="auto"/>
                <w:sz w:val="24"/>
                <w:szCs w:val="24"/>
              </w:rPr>
            </w:pPr>
            <w:r>
              <w:rPr>
                <w:rFonts w:hint="default"/>
                <w:color w:val="auto"/>
                <w:sz w:val="24"/>
                <w:szCs w:val="24"/>
              </w:rPr>
              <w:t>排放口</w:t>
            </w:r>
            <w:r>
              <w:rPr>
                <w:color w:val="auto"/>
                <w:sz w:val="24"/>
                <w:szCs w:val="24"/>
              </w:rPr>
              <w:t>(</w:t>
            </w:r>
            <w:r>
              <w:rPr>
                <w:rFonts w:hint="default"/>
                <w:color w:val="auto"/>
                <w:sz w:val="24"/>
                <w:szCs w:val="24"/>
              </w:rPr>
              <w:t>编号、名称</w:t>
            </w:r>
            <w:r>
              <w:rPr>
                <w:color w:val="auto"/>
                <w:sz w:val="24"/>
                <w:szCs w:val="24"/>
              </w:rPr>
              <w:t>)/</w:t>
            </w:r>
            <w:r>
              <w:rPr>
                <w:rFonts w:hint="default"/>
                <w:color w:val="auto"/>
                <w:sz w:val="24"/>
                <w:szCs w:val="24"/>
              </w:rPr>
              <w:t>污染源</w:t>
            </w:r>
          </w:p>
        </w:tc>
        <w:tc>
          <w:tcPr>
            <w:tcW w:w="1336" w:type="dxa"/>
            <w:vAlign w:val="center"/>
          </w:tcPr>
          <w:p w14:paraId="529422E3">
            <w:pPr>
              <w:pStyle w:val="31"/>
              <w:jc w:val="center"/>
              <w:rPr>
                <w:rFonts w:hint="default"/>
                <w:color w:val="auto"/>
                <w:sz w:val="24"/>
                <w:szCs w:val="24"/>
              </w:rPr>
            </w:pPr>
            <w:r>
              <w:rPr>
                <w:rFonts w:hint="default"/>
                <w:color w:val="auto"/>
                <w:sz w:val="24"/>
                <w:szCs w:val="24"/>
              </w:rPr>
              <w:t>污染物项目</w:t>
            </w:r>
          </w:p>
        </w:tc>
        <w:tc>
          <w:tcPr>
            <w:tcW w:w="2521" w:type="dxa"/>
            <w:vAlign w:val="center"/>
          </w:tcPr>
          <w:p w14:paraId="0B4CEC58">
            <w:pPr>
              <w:pStyle w:val="31"/>
              <w:jc w:val="center"/>
              <w:rPr>
                <w:rFonts w:hint="default"/>
                <w:color w:val="auto"/>
                <w:sz w:val="24"/>
                <w:szCs w:val="24"/>
              </w:rPr>
            </w:pPr>
            <w:r>
              <w:rPr>
                <w:rFonts w:hint="default"/>
                <w:color w:val="auto"/>
                <w:sz w:val="24"/>
                <w:szCs w:val="24"/>
              </w:rPr>
              <w:t>环境保护措施</w:t>
            </w:r>
          </w:p>
        </w:tc>
        <w:tc>
          <w:tcPr>
            <w:tcW w:w="2292" w:type="dxa"/>
            <w:vAlign w:val="center"/>
          </w:tcPr>
          <w:p w14:paraId="2F32374F">
            <w:pPr>
              <w:pStyle w:val="31"/>
              <w:jc w:val="center"/>
              <w:rPr>
                <w:rFonts w:hint="default"/>
                <w:color w:val="auto"/>
                <w:sz w:val="24"/>
                <w:szCs w:val="24"/>
              </w:rPr>
            </w:pPr>
            <w:r>
              <w:rPr>
                <w:rFonts w:hint="default"/>
                <w:color w:val="auto"/>
                <w:sz w:val="24"/>
                <w:szCs w:val="24"/>
              </w:rPr>
              <w:t>执行标准</w:t>
            </w:r>
          </w:p>
        </w:tc>
      </w:tr>
      <w:tr w14:paraId="48BB37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10" w:type="dxa"/>
            <w:vMerge w:val="restart"/>
            <w:vAlign w:val="center"/>
          </w:tcPr>
          <w:p w14:paraId="765D8C6A">
            <w:pPr>
              <w:pStyle w:val="31"/>
              <w:jc w:val="center"/>
              <w:rPr>
                <w:rFonts w:hint="default"/>
                <w:color w:val="auto"/>
                <w:sz w:val="24"/>
                <w:szCs w:val="24"/>
              </w:rPr>
            </w:pPr>
            <w:r>
              <w:rPr>
                <w:rFonts w:hint="default"/>
                <w:color w:val="auto"/>
                <w:sz w:val="24"/>
                <w:szCs w:val="24"/>
              </w:rPr>
              <w:t>大气环境</w:t>
            </w:r>
          </w:p>
        </w:tc>
        <w:tc>
          <w:tcPr>
            <w:tcW w:w="1541" w:type="dxa"/>
            <w:vAlign w:val="center"/>
          </w:tcPr>
          <w:p w14:paraId="0A81A4FF">
            <w:pPr>
              <w:pStyle w:val="31"/>
              <w:jc w:val="center"/>
              <w:rPr>
                <w:rFonts w:hint="eastAsia" w:eastAsia="宋体"/>
                <w:color w:val="auto"/>
                <w:sz w:val="24"/>
                <w:szCs w:val="24"/>
                <w:lang w:eastAsia="zh-CN"/>
              </w:rPr>
            </w:pPr>
            <w:r>
              <w:rPr>
                <w:rFonts w:hint="eastAsia" w:eastAsia="宋体"/>
                <w:color w:val="auto"/>
                <w:sz w:val="24"/>
                <w:szCs w:val="24"/>
                <w:lang w:eastAsia="zh-CN"/>
              </w:rPr>
              <w:t>1#焊接、补锌烟尘排放口（排放口编号：DA001）</w:t>
            </w:r>
          </w:p>
        </w:tc>
        <w:tc>
          <w:tcPr>
            <w:tcW w:w="1336" w:type="dxa"/>
            <w:vAlign w:val="center"/>
          </w:tcPr>
          <w:p w14:paraId="1685EF7D">
            <w:pPr>
              <w:pStyle w:val="31"/>
              <w:jc w:val="center"/>
              <w:rPr>
                <w:rFonts w:hint="eastAsia" w:eastAsia="宋体"/>
                <w:color w:val="auto"/>
                <w:sz w:val="24"/>
                <w:szCs w:val="24"/>
                <w:lang w:eastAsia="zh-CN"/>
              </w:rPr>
            </w:pPr>
            <w:r>
              <w:rPr>
                <w:rFonts w:hint="eastAsia" w:eastAsia="宋体"/>
                <w:color w:val="auto"/>
                <w:sz w:val="24"/>
                <w:szCs w:val="24"/>
                <w:lang w:eastAsia="zh-CN"/>
              </w:rPr>
              <w:t>颗粒物</w:t>
            </w:r>
          </w:p>
        </w:tc>
        <w:tc>
          <w:tcPr>
            <w:tcW w:w="2521" w:type="dxa"/>
            <w:vAlign w:val="center"/>
          </w:tcPr>
          <w:p w14:paraId="213CE9CD">
            <w:pPr>
              <w:pStyle w:val="31"/>
              <w:ind w:firstLine="0" w:firstLineChars="0"/>
              <w:jc w:val="center"/>
              <w:rPr>
                <w:rFonts w:hint="eastAsia" w:ascii="Times New Roman" w:hAnsi="Times New Roman" w:eastAsia="宋体" w:cs="黑体"/>
                <w:color w:val="auto"/>
                <w:kern w:val="2"/>
                <w:sz w:val="24"/>
                <w:szCs w:val="24"/>
                <w:lang w:val="en-US" w:eastAsia="zh-CN" w:bidi="ar-SA"/>
              </w:rPr>
            </w:pPr>
            <w:r>
              <w:rPr>
                <w:rFonts w:hint="eastAsia" w:ascii="Times New Roman" w:hAnsi="Times New Roman" w:eastAsia="宋体" w:cs="黑体"/>
                <w:color w:val="auto"/>
                <w:kern w:val="2"/>
                <w:sz w:val="24"/>
                <w:szCs w:val="24"/>
                <w:lang w:val="en-US" w:eastAsia="zh-CN" w:bidi="ar-SA"/>
              </w:rPr>
              <w:t>集气罩（4个）+布袋除尘器</w:t>
            </w:r>
            <w:r>
              <w:rPr>
                <w:rFonts w:hint="eastAsia" w:cs="黑体"/>
                <w:color w:val="auto"/>
                <w:kern w:val="2"/>
                <w:sz w:val="24"/>
                <w:szCs w:val="24"/>
                <w:lang w:val="en-US" w:eastAsia="zh-CN" w:bidi="ar-SA"/>
              </w:rPr>
              <w:t>（TA001）</w:t>
            </w:r>
            <w:r>
              <w:rPr>
                <w:rFonts w:hint="eastAsia" w:ascii="Times New Roman" w:hAnsi="Times New Roman" w:eastAsia="宋体" w:cs="黑体"/>
                <w:color w:val="auto"/>
                <w:kern w:val="2"/>
                <w:sz w:val="24"/>
                <w:szCs w:val="24"/>
                <w:lang w:val="en-US" w:eastAsia="zh-CN" w:bidi="ar-SA"/>
              </w:rPr>
              <w:t>+15m高排气筒（DA001）</w:t>
            </w:r>
          </w:p>
        </w:tc>
        <w:tc>
          <w:tcPr>
            <w:tcW w:w="2292" w:type="dxa"/>
            <w:vMerge w:val="restart"/>
            <w:vAlign w:val="center"/>
          </w:tcPr>
          <w:p w14:paraId="59A4CE54">
            <w:pPr>
              <w:pStyle w:val="31"/>
              <w:jc w:val="center"/>
              <w:rPr>
                <w:color w:val="auto"/>
                <w:sz w:val="24"/>
                <w:szCs w:val="24"/>
              </w:rPr>
            </w:pPr>
            <w:r>
              <w:rPr>
                <w:rFonts w:hint="eastAsia"/>
                <w:color w:val="auto"/>
                <w:sz w:val="24"/>
                <w:szCs w:val="24"/>
              </w:rPr>
              <w:t>《大气污染物综合排放标准》（GB16297-1996）表2标准</w:t>
            </w:r>
          </w:p>
        </w:tc>
      </w:tr>
      <w:tr w14:paraId="09F21C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10" w:type="dxa"/>
            <w:vMerge w:val="continue"/>
            <w:vAlign w:val="center"/>
          </w:tcPr>
          <w:p w14:paraId="18099FB8">
            <w:pPr>
              <w:pStyle w:val="31"/>
              <w:jc w:val="center"/>
              <w:rPr>
                <w:rFonts w:hint="default"/>
                <w:color w:val="auto"/>
                <w:sz w:val="24"/>
                <w:szCs w:val="24"/>
              </w:rPr>
            </w:pPr>
          </w:p>
        </w:tc>
        <w:tc>
          <w:tcPr>
            <w:tcW w:w="1541" w:type="dxa"/>
            <w:vAlign w:val="center"/>
          </w:tcPr>
          <w:p w14:paraId="16AFB80E">
            <w:pPr>
              <w:pStyle w:val="31"/>
              <w:jc w:val="center"/>
              <w:rPr>
                <w:rFonts w:hint="eastAsia" w:eastAsia="宋体"/>
                <w:color w:val="auto"/>
                <w:sz w:val="24"/>
                <w:szCs w:val="24"/>
                <w:lang w:eastAsia="zh-CN"/>
              </w:rPr>
            </w:pPr>
            <w:r>
              <w:rPr>
                <w:rFonts w:hint="eastAsia" w:eastAsia="宋体"/>
                <w:color w:val="auto"/>
                <w:sz w:val="24"/>
                <w:szCs w:val="24"/>
                <w:lang w:eastAsia="zh-CN"/>
              </w:rPr>
              <w:t>2#焊接、补锌烟尘排放口排放口编号：DA002）</w:t>
            </w:r>
          </w:p>
        </w:tc>
        <w:tc>
          <w:tcPr>
            <w:tcW w:w="1336" w:type="dxa"/>
            <w:vAlign w:val="center"/>
          </w:tcPr>
          <w:p w14:paraId="6FCE3E27">
            <w:pPr>
              <w:pStyle w:val="31"/>
              <w:jc w:val="center"/>
              <w:rPr>
                <w:rFonts w:hint="eastAsia" w:eastAsia="宋体"/>
                <w:color w:val="auto"/>
                <w:sz w:val="24"/>
                <w:szCs w:val="24"/>
                <w:lang w:eastAsia="zh-CN"/>
              </w:rPr>
            </w:pPr>
            <w:r>
              <w:rPr>
                <w:rFonts w:hint="eastAsia" w:eastAsia="宋体"/>
                <w:color w:val="auto"/>
                <w:sz w:val="24"/>
                <w:szCs w:val="24"/>
                <w:lang w:eastAsia="zh-CN"/>
              </w:rPr>
              <w:t>颗粒物</w:t>
            </w:r>
          </w:p>
        </w:tc>
        <w:tc>
          <w:tcPr>
            <w:tcW w:w="2521" w:type="dxa"/>
            <w:vAlign w:val="center"/>
          </w:tcPr>
          <w:p w14:paraId="6CB617EC">
            <w:pPr>
              <w:pStyle w:val="31"/>
              <w:ind w:firstLine="0" w:firstLineChars="0"/>
              <w:jc w:val="center"/>
              <w:rPr>
                <w:rFonts w:hint="eastAsia"/>
                <w:color w:val="auto"/>
                <w:sz w:val="24"/>
                <w:szCs w:val="24"/>
                <w:lang w:val="en-US" w:eastAsia="zh-CN"/>
              </w:rPr>
            </w:pPr>
            <w:r>
              <w:rPr>
                <w:rFonts w:hint="eastAsia" w:ascii="Times New Roman" w:hAnsi="Times New Roman" w:eastAsia="宋体" w:cs="黑体"/>
                <w:color w:val="auto"/>
                <w:kern w:val="2"/>
                <w:sz w:val="24"/>
                <w:szCs w:val="24"/>
                <w:lang w:val="en-US" w:eastAsia="zh-CN" w:bidi="ar-SA"/>
              </w:rPr>
              <w:t>集气罩（4个）+布袋除尘器</w:t>
            </w:r>
            <w:r>
              <w:rPr>
                <w:rFonts w:hint="eastAsia" w:cs="黑体"/>
                <w:color w:val="auto"/>
                <w:kern w:val="2"/>
                <w:sz w:val="24"/>
                <w:szCs w:val="24"/>
                <w:lang w:val="en-US" w:eastAsia="zh-CN" w:bidi="ar-SA"/>
              </w:rPr>
              <w:t>（TA002）</w:t>
            </w:r>
            <w:r>
              <w:rPr>
                <w:rFonts w:hint="eastAsia" w:ascii="Times New Roman" w:hAnsi="Times New Roman" w:eastAsia="宋体" w:cs="黑体"/>
                <w:color w:val="auto"/>
                <w:kern w:val="2"/>
                <w:sz w:val="24"/>
                <w:szCs w:val="24"/>
                <w:lang w:val="en-US" w:eastAsia="zh-CN" w:bidi="ar-SA"/>
              </w:rPr>
              <w:t>+15m高排气筒（DA002）</w:t>
            </w:r>
          </w:p>
        </w:tc>
        <w:tc>
          <w:tcPr>
            <w:tcW w:w="2292" w:type="dxa"/>
            <w:vMerge w:val="continue"/>
            <w:vAlign w:val="center"/>
          </w:tcPr>
          <w:p w14:paraId="1795A515">
            <w:pPr>
              <w:pStyle w:val="31"/>
              <w:jc w:val="center"/>
              <w:rPr>
                <w:rFonts w:hint="eastAsia" w:cs="Times New Roman"/>
                <w:color w:val="auto"/>
                <w:sz w:val="24"/>
                <w:szCs w:val="24"/>
              </w:rPr>
            </w:pPr>
          </w:p>
        </w:tc>
      </w:tr>
      <w:tr w14:paraId="6727F5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10" w:type="dxa"/>
            <w:vMerge w:val="continue"/>
            <w:vAlign w:val="center"/>
          </w:tcPr>
          <w:p w14:paraId="3DC144D8">
            <w:pPr>
              <w:pStyle w:val="31"/>
              <w:jc w:val="center"/>
              <w:rPr>
                <w:rFonts w:hint="default"/>
                <w:color w:val="auto"/>
                <w:sz w:val="24"/>
                <w:szCs w:val="24"/>
              </w:rPr>
            </w:pPr>
          </w:p>
        </w:tc>
        <w:tc>
          <w:tcPr>
            <w:tcW w:w="1541" w:type="dxa"/>
            <w:vAlign w:val="center"/>
          </w:tcPr>
          <w:p w14:paraId="295B4ACE">
            <w:pPr>
              <w:pStyle w:val="31"/>
              <w:jc w:val="center"/>
              <w:rPr>
                <w:rFonts w:hint="eastAsia" w:eastAsia="宋体"/>
                <w:color w:val="auto"/>
                <w:sz w:val="24"/>
                <w:szCs w:val="24"/>
                <w:lang w:eastAsia="zh-CN"/>
              </w:rPr>
            </w:pPr>
            <w:r>
              <w:rPr>
                <w:rFonts w:hint="eastAsia" w:eastAsia="宋体"/>
                <w:color w:val="auto"/>
                <w:sz w:val="24"/>
                <w:szCs w:val="24"/>
                <w:lang w:eastAsia="zh-CN"/>
              </w:rPr>
              <w:t>1#焊接、补锌烟尘逸散粉尘、2#焊接、补锌烟尘逸散粉尘、切割粉尘</w:t>
            </w:r>
          </w:p>
        </w:tc>
        <w:tc>
          <w:tcPr>
            <w:tcW w:w="1336" w:type="dxa"/>
            <w:vAlign w:val="center"/>
          </w:tcPr>
          <w:p w14:paraId="2DD48A43">
            <w:pPr>
              <w:pStyle w:val="31"/>
              <w:jc w:val="center"/>
              <w:rPr>
                <w:rFonts w:hint="eastAsia" w:eastAsia="宋体"/>
                <w:color w:val="auto"/>
                <w:sz w:val="24"/>
                <w:szCs w:val="24"/>
                <w:lang w:eastAsia="zh-CN"/>
              </w:rPr>
            </w:pPr>
            <w:r>
              <w:rPr>
                <w:rFonts w:hint="eastAsia" w:eastAsia="宋体"/>
                <w:color w:val="auto"/>
                <w:sz w:val="24"/>
                <w:szCs w:val="24"/>
                <w:lang w:eastAsia="zh-CN"/>
              </w:rPr>
              <w:t>颗粒物</w:t>
            </w:r>
          </w:p>
        </w:tc>
        <w:tc>
          <w:tcPr>
            <w:tcW w:w="2521" w:type="dxa"/>
            <w:vAlign w:val="center"/>
          </w:tcPr>
          <w:p w14:paraId="66A1AC5A">
            <w:pPr>
              <w:pStyle w:val="31"/>
              <w:jc w:val="center"/>
              <w:rPr>
                <w:color w:val="auto"/>
                <w:sz w:val="24"/>
                <w:szCs w:val="24"/>
              </w:rPr>
            </w:pPr>
            <w:r>
              <w:rPr>
                <w:rFonts w:hint="eastAsia"/>
                <w:color w:val="auto"/>
                <w:sz w:val="24"/>
                <w:szCs w:val="24"/>
              </w:rPr>
              <w:t>厂房阻隔、大气扩散</w:t>
            </w:r>
          </w:p>
        </w:tc>
        <w:tc>
          <w:tcPr>
            <w:tcW w:w="2292" w:type="dxa"/>
            <w:vAlign w:val="center"/>
          </w:tcPr>
          <w:p w14:paraId="2889DDCA">
            <w:pPr>
              <w:pStyle w:val="31"/>
              <w:jc w:val="center"/>
              <w:rPr>
                <w:rFonts w:hint="default" w:cs="Times New Roman"/>
                <w:color w:val="auto"/>
                <w:sz w:val="24"/>
                <w:szCs w:val="24"/>
              </w:rPr>
            </w:pPr>
            <w:r>
              <w:rPr>
                <w:rFonts w:hint="default" w:cs="Times New Roman"/>
                <w:color w:val="auto"/>
                <w:sz w:val="24"/>
                <w:szCs w:val="24"/>
              </w:rPr>
              <w:t>《大气污染物综合排放标准》（GB16297-1996）中表2无组织排放监控浓度限值</w:t>
            </w:r>
          </w:p>
        </w:tc>
      </w:tr>
      <w:tr w14:paraId="179330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10" w:type="dxa"/>
            <w:vMerge w:val="restart"/>
            <w:vAlign w:val="center"/>
          </w:tcPr>
          <w:p w14:paraId="04ADD2D8">
            <w:pPr>
              <w:pStyle w:val="31"/>
              <w:jc w:val="center"/>
              <w:rPr>
                <w:rFonts w:hint="default"/>
                <w:color w:val="auto"/>
                <w:sz w:val="24"/>
                <w:szCs w:val="24"/>
              </w:rPr>
            </w:pPr>
            <w:r>
              <w:rPr>
                <w:rFonts w:hint="default"/>
                <w:color w:val="auto"/>
                <w:sz w:val="24"/>
                <w:szCs w:val="24"/>
              </w:rPr>
              <w:t>地表水</w:t>
            </w:r>
          </w:p>
          <w:p w14:paraId="581EC5AD">
            <w:pPr>
              <w:pStyle w:val="31"/>
              <w:jc w:val="center"/>
              <w:rPr>
                <w:rFonts w:hint="default"/>
                <w:color w:val="auto"/>
                <w:sz w:val="24"/>
                <w:szCs w:val="24"/>
              </w:rPr>
            </w:pPr>
            <w:r>
              <w:rPr>
                <w:rFonts w:hint="default"/>
                <w:color w:val="auto"/>
                <w:sz w:val="24"/>
                <w:szCs w:val="24"/>
              </w:rPr>
              <w:t>环境</w:t>
            </w:r>
          </w:p>
        </w:tc>
        <w:tc>
          <w:tcPr>
            <w:tcW w:w="1541" w:type="dxa"/>
            <w:vAlign w:val="center"/>
          </w:tcPr>
          <w:p w14:paraId="4E9197C8">
            <w:pPr>
              <w:pStyle w:val="31"/>
              <w:jc w:val="center"/>
              <w:rPr>
                <w:rFonts w:hint="eastAsia" w:eastAsia="宋体"/>
                <w:color w:val="auto"/>
                <w:sz w:val="24"/>
                <w:szCs w:val="24"/>
                <w:lang w:eastAsia="zh-CN"/>
              </w:rPr>
            </w:pPr>
            <w:r>
              <w:rPr>
                <w:rFonts w:hint="eastAsia"/>
                <w:color w:val="auto"/>
                <w:sz w:val="24"/>
                <w:szCs w:val="24"/>
                <w:lang w:eastAsia="zh-CN"/>
              </w:rPr>
              <w:t>直接冷却水</w:t>
            </w:r>
          </w:p>
        </w:tc>
        <w:tc>
          <w:tcPr>
            <w:tcW w:w="1336" w:type="dxa"/>
            <w:vAlign w:val="center"/>
          </w:tcPr>
          <w:p w14:paraId="2E1BB7F2">
            <w:pPr>
              <w:pStyle w:val="31"/>
              <w:jc w:val="center"/>
              <w:rPr>
                <w:rFonts w:hint="default"/>
                <w:color w:val="auto"/>
                <w:sz w:val="24"/>
                <w:szCs w:val="24"/>
              </w:rPr>
            </w:pPr>
            <w:r>
              <w:rPr>
                <w:color w:val="auto"/>
                <w:sz w:val="24"/>
                <w:szCs w:val="24"/>
              </w:rPr>
              <w:t>/</w:t>
            </w:r>
          </w:p>
        </w:tc>
        <w:tc>
          <w:tcPr>
            <w:tcW w:w="2521" w:type="dxa"/>
            <w:vAlign w:val="center"/>
          </w:tcPr>
          <w:p w14:paraId="2134C9CB">
            <w:pPr>
              <w:pStyle w:val="31"/>
              <w:jc w:val="center"/>
              <w:rPr>
                <w:rFonts w:hint="eastAsia" w:eastAsia="宋体"/>
                <w:color w:val="auto"/>
                <w:sz w:val="24"/>
                <w:szCs w:val="24"/>
                <w:lang w:val="en-US" w:eastAsia="zh-CN"/>
              </w:rPr>
            </w:pPr>
            <w:r>
              <w:rPr>
                <w:rFonts w:hint="eastAsia"/>
                <w:color w:val="auto"/>
                <w:sz w:val="24"/>
                <w:szCs w:val="24"/>
              </w:rPr>
              <w:t>设置</w:t>
            </w:r>
            <w:r>
              <w:rPr>
                <w:rFonts w:hint="eastAsia"/>
                <w:color w:val="auto"/>
                <w:sz w:val="24"/>
                <w:szCs w:val="24"/>
                <w:lang w:val="en-US" w:eastAsia="zh-CN"/>
              </w:rPr>
              <w:t>8个循环冷却池</w:t>
            </w:r>
            <w:r>
              <w:rPr>
                <w:rFonts w:hint="eastAsia"/>
                <w:color w:val="auto"/>
                <w:sz w:val="24"/>
                <w:szCs w:val="24"/>
              </w:rPr>
              <w:t>，</w:t>
            </w:r>
            <w:r>
              <w:rPr>
                <w:rFonts w:hint="eastAsia"/>
                <w:color w:val="auto"/>
                <w:sz w:val="24"/>
                <w:szCs w:val="24"/>
                <w:lang w:val="en-US" w:eastAsia="zh-CN"/>
              </w:rPr>
              <w:t>其中2个容积为30m</w:t>
            </w:r>
            <w:r>
              <w:rPr>
                <w:rFonts w:hint="eastAsia"/>
                <w:color w:val="auto"/>
                <w:sz w:val="24"/>
                <w:szCs w:val="24"/>
                <w:vertAlign w:val="superscript"/>
                <w:lang w:val="en-US" w:eastAsia="zh-CN"/>
              </w:rPr>
              <w:t>3</w:t>
            </w:r>
            <w:r>
              <w:rPr>
                <w:rFonts w:hint="eastAsia"/>
                <w:color w:val="auto"/>
                <w:sz w:val="24"/>
                <w:szCs w:val="24"/>
                <w:lang w:val="en-US" w:eastAsia="zh-CN"/>
              </w:rPr>
              <w:t>的循环冷却池，1个容积为15m</w:t>
            </w:r>
            <w:r>
              <w:rPr>
                <w:rFonts w:hint="eastAsia"/>
                <w:color w:val="auto"/>
                <w:sz w:val="24"/>
                <w:szCs w:val="24"/>
                <w:vertAlign w:val="superscript"/>
                <w:lang w:val="en-US" w:eastAsia="zh-CN"/>
              </w:rPr>
              <w:t>3</w:t>
            </w:r>
            <w:r>
              <w:rPr>
                <w:rFonts w:hint="eastAsia"/>
                <w:color w:val="auto"/>
                <w:sz w:val="24"/>
                <w:szCs w:val="24"/>
                <w:lang w:val="en-US" w:eastAsia="zh-CN"/>
              </w:rPr>
              <w:t>的循环冷却水池，1个10m</w:t>
            </w:r>
            <w:r>
              <w:rPr>
                <w:rFonts w:hint="eastAsia"/>
                <w:color w:val="auto"/>
                <w:sz w:val="24"/>
                <w:szCs w:val="24"/>
                <w:vertAlign w:val="superscript"/>
                <w:lang w:val="en-US" w:eastAsia="zh-CN"/>
              </w:rPr>
              <w:t>3</w:t>
            </w:r>
            <w:r>
              <w:rPr>
                <w:rFonts w:hint="eastAsia"/>
                <w:color w:val="auto"/>
                <w:sz w:val="24"/>
                <w:szCs w:val="24"/>
                <w:lang w:val="en-US" w:eastAsia="zh-CN"/>
              </w:rPr>
              <w:t>的循环冷却水池，4个容积均为20m</w:t>
            </w:r>
            <w:r>
              <w:rPr>
                <w:rFonts w:hint="eastAsia"/>
                <w:color w:val="auto"/>
                <w:sz w:val="24"/>
                <w:szCs w:val="24"/>
                <w:vertAlign w:val="superscript"/>
                <w:lang w:val="en-US" w:eastAsia="zh-CN"/>
              </w:rPr>
              <w:t>3</w:t>
            </w:r>
            <w:r>
              <w:rPr>
                <w:rFonts w:hint="eastAsia"/>
                <w:color w:val="auto"/>
                <w:sz w:val="24"/>
                <w:szCs w:val="24"/>
                <w:lang w:val="en-US" w:eastAsia="zh-CN"/>
              </w:rPr>
              <w:t>的循环冷却池。</w:t>
            </w:r>
          </w:p>
        </w:tc>
        <w:tc>
          <w:tcPr>
            <w:tcW w:w="2292" w:type="dxa"/>
            <w:vAlign w:val="center"/>
          </w:tcPr>
          <w:p w14:paraId="00E8E9CB">
            <w:pPr>
              <w:pStyle w:val="31"/>
              <w:jc w:val="center"/>
              <w:rPr>
                <w:rFonts w:hint="eastAsia" w:eastAsia="宋体" w:cs="Times New Roman"/>
                <w:color w:val="auto"/>
                <w:sz w:val="24"/>
                <w:szCs w:val="24"/>
                <w:lang w:eastAsia="zh-CN"/>
              </w:rPr>
            </w:pPr>
            <w:r>
              <w:rPr>
                <w:rFonts w:hint="eastAsia" w:eastAsia="宋体" w:cs="Times New Roman"/>
                <w:color w:val="auto"/>
                <w:sz w:val="24"/>
                <w:szCs w:val="24"/>
                <w:lang w:eastAsia="zh-CN"/>
              </w:rPr>
              <w:t>不外排</w:t>
            </w:r>
          </w:p>
        </w:tc>
      </w:tr>
      <w:tr w14:paraId="3910F3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10" w:type="dxa"/>
            <w:vMerge w:val="continue"/>
            <w:vAlign w:val="center"/>
          </w:tcPr>
          <w:p w14:paraId="2434B0A5">
            <w:pPr>
              <w:pStyle w:val="31"/>
              <w:jc w:val="center"/>
              <w:rPr>
                <w:rFonts w:hint="default"/>
                <w:color w:val="auto"/>
                <w:sz w:val="24"/>
                <w:szCs w:val="24"/>
              </w:rPr>
            </w:pPr>
          </w:p>
        </w:tc>
        <w:tc>
          <w:tcPr>
            <w:tcW w:w="1541" w:type="dxa"/>
            <w:vAlign w:val="center"/>
          </w:tcPr>
          <w:p w14:paraId="6901B889">
            <w:pPr>
              <w:pStyle w:val="31"/>
              <w:jc w:val="center"/>
              <w:rPr>
                <w:rFonts w:hint="default"/>
                <w:color w:val="auto"/>
                <w:sz w:val="24"/>
                <w:szCs w:val="24"/>
              </w:rPr>
            </w:pPr>
            <w:r>
              <w:rPr>
                <w:color w:val="auto"/>
                <w:sz w:val="24"/>
                <w:szCs w:val="24"/>
              </w:rPr>
              <w:t>生活污水</w:t>
            </w:r>
          </w:p>
        </w:tc>
        <w:tc>
          <w:tcPr>
            <w:tcW w:w="1336" w:type="dxa"/>
            <w:vAlign w:val="center"/>
          </w:tcPr>
          <w:p w14:paraId="2829A2BB">
            <w:pPr>
              <w:pStyle w:val="31"/>
              <w:jc w:val="center"/>
              <w:rPr>
                <w:rFonts w:hint="default"/>
                <w:color w:val="auto"/>
                <w:sz w:val="24"/>
                <w:szCs w:val="24"/>
              </w:rPr>
            </w:pPr>
            <w:r>
              <w:rPr>
                <w:rFonts w:hint="default"/>
                <w:color w:val="auto"/>
                <w:sz w:val="24"/>
                <w:szCs w:val="24"/>
              </w:rPr>
              <w:t>SS、BOD</w:t>
            </w:r>
            <w:r>
              <w:rPr>
                <w:rFonts w:hint="default"/>
                <w:color w:val="auto"/>
                <w:sz w:val="24"/>
                <w:szCs w:val="24"/>
                <w:vertAlign w:val="subscript"/>
              </w:rPr>
              <w:t>5</w:t>
            </w:r>
            <w:r>
              <w:rPr>
                <w:rFonts w:hint="default"/>
                <w:color w:val="auto"/>
                <w:sz w:val="24"/>
                <w:szCs w:val="24"/>
              </w:rPr>
              <w:t>、COD</w:t>
            </w:r>
            <w:r>
              <w:rPr>
                <w:rFonts w:hint="default"/>
                <w:color w:val="auto"/>
                <w:sz w:val="24"/>
                <w:szCs w:val="24"/>
                <w:vertAlign w:val="subscript"/>
              </w:rPr>
              <w:t>Cr</w:t>
            </w:r>
            <w:r>
              <w:rPr>
                <w:rFonts w:hint="default"/>
                <w:color w:val="auto"/>
                <w:sz w:val="24"/>
                <w:szCs w:val="24"/>
              </w:rPr>
              <w:t>、NH</w:t>
            </w:r>
            <w:r>
              <w:rPr>
                <w:rFonts w:hint="default"/>
                <w:color w:val="auto"/>
                <w:sz w:val="24"/>
                <w:szCs w:val="24"/>
                <w:vertAlign w:val="subscript"/>
              </w:rPr>
              <w:t>3</w:t>
            </w:r>
            <w:r>
              <w:rPr>
                <w:rFonts w:hint="default"/>
                <w:color w:val="auto"/>
                <w:sz w:val="24"/>
                <w:szCs w:val="24"/>
              </w:rPr>
              <w:t>-N</w:t>
            </w:r>
          </w:p>
        </w:tc>
        <w:tc>
          <w:tcPr>
            <w:tcW w:w="2521" w:type="dxa"/>
            <w:vAlign w:val="center"/>
          </w:tcPr>
          <w:p w14:paraId="75FE8505">
            <w:pPr>
              <w:pStyle w:val="31"/>
              <w:jc w:val="center"/>
              <w:rPr>
                <w:rFonts w:hint="eastAsia" w:eastAsia="宋体"/>
                <w:color w:val="auto"/>
                <w:sz w:val="24"/>
                <w:szCs w:val="24"/>
                <w:lang w:eastAsia="zh-CN"/>
              </w:rPr>
            </w:pPr>
            <w:r>
              <w:rPr>
                <w:rFonts w:hint="eastAsia" w:eastAsia="宋体"/>
                <w:color w:val="auto"/>
                <w:sz w:val="24"/>
                <w:szCs w:val="24"/>
                <w:lang w:eastAsia="zh-CN"/>
              </w:rPr>
              <w:t>经化粪池（</w:t>
            </w:r>
            <w:r>
              <w:rPr>
                <w:rFonts w:hint="eastAsia"/>
                <w:color w:val="auto"/>
                <w:sz w:val="24"/>
                <w:szCs w:val="24"/>
                <w:lang w:val="en-US" w:eastAsia="zh-CN"/>
              </w:rPr>
              <w:t>TA001，</w:t>
            </w:r>
            <w:r>
              <w:rPr>
                <w:rFonts w:hint="eastAsia" w:eastAsia="宋体"/>
                <w:color w:val="auto"/>
                <w:sz w:val="24"/>
                <w:szCs w:val="24"/>
                <w:lang w:eastAsia="zh-CN"/>
              </w:rPr>
              <w:t>3m</w:t>
            </w:r>
            <w:r>
              <w:rPr>
                <w:rFonts w:hint="eastAsia" w:eastAsia="宋体"/>
                <w:color w:val="auto"/>
                <w:sz w:val="24"/>
                <w:szCs w:val="24"/>
                <w:vertAlign w:val="superscript"/>
                <w:lang w:eastAsia="zh-CN"/>
              </w:rPr>
              <w:t>3</w:t>
            </w:r>
            <w:r>
              <w:rPr>
                <w:rFonts w:hint="eastAsia" w:eastAsia="宋体"/>
                <w:color w:val="auto"/>
                <w:sz w:val="24"/>
                <w:szCs w:val="24"/>
                <w:lang w:eastAsia="zh-CN"/>
              </w:rPr>
              <w:t>）预处理后进入自建一体化污水处理设施（</w:t>
            </w:r>
            <w:r>
              <w:rPr>
                <w:rFonts w:hint="eastAsia"/>
                <w:color w:val="auto"/>
                <w:sz w:val="24"/>
                <w:szCs w:val="24"/>
                <w:lang w:val="en-US" w:eastAsia="zh-CN"/>
              </w:rPr>
              <w:t>TW002，</w:t>
            </w:r>
            <w:r>
              <w:rPr>
                <w:rFonts w:hint="eastAsia" w:eastAsia="宋体"/>
                <w:color w:val="auto"/>
                <w:sz w:val="24"/>
                <w:szCs w:val="24"/>
                <w:lang w:eastAsia="zh-CN"/>
              </w:rPr>
              <w:t>2m</w:t>
            </w:r>
            <w:r>
              <w:rPr>
                <w:rFonts w:hint="eastAsia" w:eastAsia="宋体"/>
                <w:color w:val="auto"/>
                <w:sz w:val="24"/>
                <w:szCs w:val="24"/>
                <w:vertAlign w:val="superscript"/>
                <w:lang w:eastAsia="zh-CN"/>
              </w:rPr>
              <w:t>3</w:t>
            </w:r>
            <w:r>
              <w:rPr>
                <w:rFonts w:hint="eastAsia" w:eastAsia="宋体"/>
                <w:color w:val="auto"/>
                <w:sz w:val="24"/>
                <w:szCs w:val="24"/>
                <w:lang w:eastAsia="zh-CN"/>
              </w:rPr>
              <w:t>/d）处理达标后暂存于中水池（7m</w:t>
            </w:r>
            <w:r>
              <w:rPr>
                <w:rFonts w:hint="eastAsia" w:eastAsia="宋体"/>
                <w:color w:val="auto"/>
                <w:sz w:val="24"/>
                <w:szCs w:val="24"/>
                <w:vertAlign w:val="superscript"/>
                <w:lang w:eastAsia="zh-CN"/>
              </w:rPr>
              <w:t>3</w:t>
            </w:r>
            <w:r>
              <w:rPr>
                <w:rFonts w:hint="eastAsia" w:eastAsia="宋体"/>
                <w:color w:val="auto"/>
                <w:sz w:val="24"/>
                <w:szCs w:val="24"/>
                <w:lang w:eastAsia="zh-CN"/>
              </w:rPr>
              <w:t>），回用于厂区绿化及道路空地洒水降尘</w:t>
            </w:r>
          </w:p>
        </w:tc>
        <w:tc>
          <w:tcPr>
            <w:tcW w:w="2292" w:type="dxa"/>
            <w:vAlign w:val="center"/>
          </w:tcPr>
          <w:p w14:paraId="7B0CBB4C">
            <w:pPr>
              <w:pStyle w:val="31"/>
              <w:jc w:val="center"/>
              <w:rPr>
                <w:rFonts w:hint="default"/>
                <w:color w:val="auto"/>
                <w:sz w:val="24"/>
                <w:szCs w:val="24"/>
              </w:rPr>
            </w:pPr>
            <w:r>
              <w:rPr>
                <w:rFonts w:hint="default"/>
                <w:color w:val="auto"/>
                <w:sz w:val="24"/>
                <w:szCs w:val="24"/>
              </w:rPr>
              <w:t>《城市污水再生利用 城市杂用水水质》（GB/T 18920-2020）中城市绿化、道路清扫标准</w:t>
            </w:r>
          </w:p>
        </w:tc>
      </w:tr>
      <w:tr w14:paraId="06BA43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10" w:type="dxa"/>
            <w:vMerge w:val="continue"/>
            <w:vAlign w:val="center"/>
          </w:tcPr>
          <w:p w14:paraId="0DFC9BCB">
            <w:pPr>
              <w:pStyle w:val="31"/>
              <w:jc w:val="center"/>
              <w:rPr>
                <w:rFonts w:hint="default"/>
                <w:color w:val="auto"/>
                <w:sz w:val="24"/>
                <w:szCs w:val="24"/>
              </w:rPr>
            </w:pPr>
          </w:p>
        </w:tc>
        <w:tc>
          <w:tcPr>
            <w:tcW w:w="1541" w:type="dxa"/>
            <w:vAlign w:val="center"/>
          </w:tcPr>
          <w:p w14:paraId="3ECC63D5">
            <w:pPr>
              <w:pStyle w:val="31"/>
              <w:jc w:val="center"/>
              <w:rPr>
                <w:rFonts w:ascii="Times New Roman" w:hAnsi="Times New Roman" w:eastAsia="宋体"/>
                <w:color w:val="auto"/>
                <w:sz w:val="24"/>
                <w:szCs w:val="24"/>
              </w:rPr>
            </w:pPr>
            <w:r>
              <w:rPr>
                <w:rFonts w:hint="eastAsia" w:ascii="Times New Roman" w:hAnsi="Times New Roman" w:eastAsia="宋体"/>
                <w:color w:val="auto"/>
                <w:sz w:val="24"/>
                <w:szCs w:val="24"/>
                <w:lang w:val="en-US" w:eastAsia="zh-CN"/>
              </w:rPr>
              <w:t>初期雨水</w:t>
            </w:r>
          </w:p>
        </w:tc>
        <w:tc>
          <w:tcPr>
            <w:tcW w:w="1336" w:type="dxa"/>
            <w:vAlign w:val="center"/>
          </w:tcPr>
          <w:p w14:paraId="5AF18C30">
            <w:pPr>
              <w:pStyle w:val="31"/>
              <w:jc w:val="center"/>
              <w:rPr>
                <w:rFonts w:hint="default" w:ascii="Times New Roman" w:hAnsi="Times New Roman" w:eastAsia="宋体"/>
                <w:color w:val="auto"/>
                <w:sz w:val="24"/>
                <w:szCs w:val="24"/>
              </w:rPr>
            </w:pPr>
            <w:r>
              <w:rPr>
                <w:rFonts w:hint="eastAsia" w:ascii="Times New Roman" w:hAnsi="Times New Roman" w:eastAsia="宋体"/>
                <w:color w:val="auto"/>
                <w:sz w:val="24"/>
                <w:szCs w:val="24"/>
                <w:lang w:val="en-US" w:eastAsia="zh-CN"/>
              </w:rPr>
              <w:t>SS</w:t>
            </w:r>
          </w:p>
        </w:tc>
        <w:tc>
          <w:tcPr>
            <w:tcW w:w="2521" w:type="dxa"/>
            <w:vAlign w:val="center"/>
          </w:tcPr>
          <w:p w14:paraId="135291D6">
            <w:pPr>
              <w:pStyle w:val="31"/>
              <w:jc w:val="center"/>
              <w:rPr>
                <w:rFonts w:hint="eastAsia" w:ascii="Times New Roman" w:hAnsi="Times New Roman" w:eastAsia="宋体"/>
                <w:color w:val="auto"/>
                <w:sz w:val="24"/>
                <w:szCs w:val="24"/>
                <w:lang w:eastAsia="zh-CN"/>
              </w:rPr>
            </w:pPr>
            <w:r>
              <w:rPr>
                <w:rFonts w:hint="eastAsia" w:ascii="Times New Roman" w:hAnsi="Times New Roman" w:eastAsia="宋体"/>
                <w:color w:val="auto"/>
                <w:sz w:val="24"/>
                <w:szCs w:val="24"/>
                <w:lang w:val="en-US" w:eastAsia="zh-CN"/>
              </w:rPr>
              <w:t>经初期雨水收集池（100m</w:t>
            </w:r>
            <w:r>
              <w:rPr>
                <w:rFonts w:hint="eastAsia" w:ascii="Times New Roman" w:hAnsi="Times New Roman" w:eastAsia="宋体"/>
                <w:color w:val="auto"/>
                <w:sz w:val="24"/>
                <w:szCs w:val="24"/>
                <w:vertAlign w:val="superscript"/>
                <w:lang w:val="en-US" w:eastAsia="zh-CN"/>
              </w:rPr>
              <w:t>3</w:t>
            </w:r>
            <w:r>
              <w:rPr>
                <w:rFonts w:hint="eastAsia" w:ascii="Times New Roman" w:hAnsi="Times New Roman" w:eastAsia="宋体"/>
                <w:color w:val="auto"/>
                <w:sz w:val="24"/>
                <w:szCs w:val="24"/>
                <w:lang w:val="en-US" w:eastAsia="zh-CN"/>
              </w:rPr>
              <w:t>）收集沉淀后回用于厂区洒水降尘</w:t>
            </w:r>
          </w:p>
        </w:tc>
        <w:tc>
          <w:tcPr>
            <w:tcW w:w="2292" w:type="dxa"/>
            <w:vAlign w:val="center"/>
          </w:tcPr>
          <w:p w14:paraId="755004D5">
            <w:pPr>
              <w:pStyle w:val="31"/>
              <w:jc w:val="center"/>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w:t>
            </w:r>
          </w:p>
        </w:tc>
      </w:tr>
      <w:tr w14:paraId="6D601F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10" w:type="dxa"/>
            <w:vAlign w:val="center"/>
          </w:tcPr>
          <w:p w14:paraId="24302F33">
            <w:pPr>
              <w:pStyle w:val="31"/>
              <w:jc w:val="center"/>
              <w:rPr>
                <w:rFonts w:hint="default"/>
                <w:color w:val="auto"/>
                <w:sz w:val="24"/>
                <w:szCs w:val="24"/>
              </w:rPr>
            </w:pPr>
            <w:r>
              <w:rPr>
                <w:rFonts w:hint="default"/>
                <w:color w:val="auto"/>
                <w:sz w:val="24"/>
                <w:szCs w:val="24"/>
              </w:rPr>
              <w:t>声环境</w:t>
            </w:r>
          </w:p>
        </w:tc>
        <w:tc>
          <w:tcPr>
            <w:tcW w:w="1541" w:type="dxa"/>
            <w:vAlign w:val="center"/>
          </w:tcPr>
          <w:p w14:paraId="6C2E3928">
            <w:pPr>
              <w:pStyle w:val="31"/>
              <w:jc w:val="center"/>
              <w:rPr>
                <w:rFonts w:hint="default"/>
                <w:color w:val="auto"/>
                <w:sz w:val="24"/>
                <w:szCs w:val="24"/>
              </w:rPr>
            </w:pPr>
            <w:r>
              <w:rPr>
                <w:rFonts w:hint="default"/>
                <w:color w:val="auto"/>
                <w:sz w:val="24"/>
                <w:szCs w:val="24"/>
              </w:rPr>
              <w:t>生产设备</w:t>
            </w:r>
          </w:p>
        </w:tc>
        <w:tc>
          <w:tcPr>
            <w:tcW w:w="1336" w:type="dxa"/>
            <w:vAlign w:val="center"/>
          </w:tcPr>
          <w:p w14:paraId="2CE867BB">
            <w:pPr>
              <w:pStyle w:val="31"/>
              <w:jc w:val="center"/>
              <w:rPr>
                <w:rFonts w:hint="default"/>
                <w:color w:val="auto"/>
                <w:sz w:val="24"/>
                <w:szCs w:val="24"/>
              </w:rPr>
            </w:pPr>
            <w:r>
              <w:rPr>
                <w:rFonts w:hint="default"/>
                <w:color w:val="auto"/>
                <w:sz w:val="24"/>
                <w:szCs w:val="24"/>
              </w:rPr>
              <w:t>等效A声级</w:t>
            </w:r>
          </w:p>
        </w:tc>
        <w:tc>
          <w:tcPr>
            <w:tcW w:w="2521" w:type="dxa"/>
            <w:vAlign w:val="center"/>
          </w:tcPr>
          <w:p w14:paraId="320A54C2">
            <w:pPr>
              <w:pStyle w:val="31"/>
              <w:jc w:val="center"/>
              <w:rPr>
                <w:rFonts w:hint="default" w:eastAsia="宋体"/>
                <w:color w:val="auto"/>
                <w:sz w:val="24"/>
                <w:szCs w:val="24"/>
                <w:lang w:val="en-US" w:eastAsia="zh-CN"/>
              </w:rPr>
            </w:pPr>
            <w:r>
              <w:rPr>
                <w:rFonts w:hint="default"/>
                <w:color w:val="auto"/>
                <w:sz w:val="24"/>
                <w:szCs w:val="24"/>
              </w:rPr>
              <w:t>合理布置、基础减振、</w:t>
            </w:r>
            <w:r>
              <w:rPr>
                <w:rFonts w:hint="eastAsia"/>
                <w:color w:val="auto"/>
                <w:sz w:val="24"/>
                <w:szCs w:val="24"/>
                <w:lang w:val="en-US" w:eastAsia="zh-CN"/>
              </w:rPr>
              <w:t>厂房阻隔</w:t>
            </w:r>
          </w:p>
        </w:tc>
        <w:tc>
          <w:tcPr>
            <w:tcW w:w="2292" w:type="dxa"/>
            <w:vAlign w:val="center"/>
          </w:tcPr>
          <w:p w14:paraId="6BF2C826">
            <w:pPr>
              <w:pStyle w:val="31"/>
              <w:jc w:val="center"/>
              <w:rPr>
                <w:rFonts w:hint="default"/>
                <w:color w:val="auto"/>
                <w:sz w:val="24"/>
                <w:szCs w:val="24"/>
              </w:rPr>
            </w:pPr>
            <w:r>
              <w:rPr>
                <w:rFonts w:hint="default"/>
                <w:color w:val="auto"/>
                <w:sz w:val="24"/>
                <w:szCs w:val="24"/>
              </w:rPr>
              <w:t>《工业企业厂界环境噪声排放标准》（GB12348-2008）</w:t>
            </w:r>
            <w:r>
              <w:rPr>
                <w:color w:val="auto"/>
                <w:sz w:val="24"/>
                <w:szCs w:val="24"/>
              </w:rPr>
              <w:t>2</w:t>
            </w:r>
            <w:r>
              <w:rPr>
                <w:rFonts w:hint="default"/>
                <w:color w:val="auto"/>
                <w:sz w:val="24"/>
                <w:szCs w:val="24"/>
              </w:rPr>
              <w:t>类标准</w:t>
            </w:r>
          </w:p>
        </w:tc>
      </w:tr>
      <w:tr w14:paraId="54F096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10" w:type="dxa"/>
            <w:vAlign w:val="center"/>
          </w:tcPr>
          <w:p w14:paraId="602B5B2F">
            <w:pPr>
              <w:pStyle w:val="31"/>
              <w:jc w:val="center"/>
              <w:rPr>
                <w:rFonts w:hint="default"/>
                <w:color w:val="auto"/>
                <w:sz w:val="24"/>
                <w:szCs w:val="24"/>
              </w:rPr>
            </w:pPr>
            <w:r>
              <w:rPr>
                <w:rFonts w:hint="default"/>
                <w:color w:val="auto"/>
                <w:sz w:val="24"/>
                <w:szCs w:val="24"/>
              </w:rPr>
              <w:t>固体废物</w:t>
            </w:r>
          </w:p>
        </w:tc>
        <w:tc>
          <w:tcPr>
            <w:tcW w:w="7690" w:type="dxa"/>
            <w:gridSpan w:val="4"/>
            <w:vAlign w:val="center"/>
          </w:tcPr>
          <w:p w14:paraId="1D3FE5AC">
            <w:pPr>
              <w:pStyle w:val="31"/>
              <w:spacing w:line="360" w:lineRule="auto"/>
              <w:jc w:val="both"/>
              <w:rPr>
                <w:rFonts w:hint="eastAsia" w:eastAsia="宋体"/>
                <w:color w:val="auto"/>
                <w:sz w:val="24"/>
                <w:szCs w:val="24"/>
                <w:lang w:eastAsia="zh-CN"/>
              </w:rPr>
            </w:pPr>
            <w:r>
              <w:rPr>
                <w:rFonts w:hint="eastAsia"/>
                <w:color w:val="auto"/>
                <w:sz w:val="24"/>
                <w:szCs w:val="24"/>
                <w:lang w:eastAsia="zh-CN"/>
              </w:rPr>
              <w:t>（</w:t>
            </w:r>
            <w:r>
              <w:rPr>
                <w:rFonts w:hint="eastAsia"/>
                <w:color w:val="auto"/>
                <w:sz w:val="24"/>
                <w:szCs w:val="24"/>
                <w:lang w:val="en-US" w:eastAsia="zh-CN"/>
              </w:rPr>
              <w:t>1</w:t>
            </w:r>
            <w:r>
              <w:rPr>
                <w:rFonts w:hint="eastAsia"/>
                <w:color w:val="auto"/>
                <w:sz w:val="24"/>
                <w:szCs w:val="24"/>
                <w:lang w:eastAsia="zh-CN"/>
              </w:rPr>
              <w:t>）</w:t>
            </w:r>
            <w:r>
              <w:rPr>
                <w:color w:val="auto"/>
                <w:sz w:val="24"/>
                <w:szCs w:val="24"/>
              </w:rPr>
              <w:t>生活垃圾：</w:t>
            </w:r>
            <w:r>
              <w:rPr>
                <w:rFonts w:hint="eastAsia"/>
                <w:color w:val="auto"/>
                <w:sz w:val="24"/>
                <w:szCs w:val="24"/>
              </w:rPr>
              <w:t>集中分类收集后并入附近村庄处置</w:t>
            </w:r>
            <w:r>
              <w:rPr>
                <w:rFonts w:hint="eastAsia" w:eastAsia="宋体"/>
                <w:color w:val="auto"/>
                <w:sz w:val="24"/>
                <w:szCs w:val="24"/>
                <w:lang w:eastAsia="zh-CN"/>
              </w:rPr>
              <w:t>。</w:t>
            </w:r>
          </w:p>
          <w:p w14:paraId="44912FAC">
            <w:pPr>
              <w:pStyle w:val="31"/>
              <w:spacing w:line="360" w:lineRule="auto"/>
              <w:jc w:val="both"/>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lang w:eastAsia="zh-CN"/>
              </w:rPr>
              <w:t>（</w:t>
            </w:r>
            <w:r>
              <w:rPr>
                <w:rFonts w:hint="eastAsia" w:ascii="Times New Roman" w:hAnsi="Times New Roman" w:eastAsia="宋体"/>
                <w:color w:val="auto"/>
                <w:sz w:val="24"/>
                <w:szCs w:val="24"/>
                <w:lang w:val="en-US" w:eastAsia="zh-CN"/>
              </w:rPr>
              <w:t>2</w:t>
            </w:r>
            <w:r>
              <w:rPr>
                <w:rFonts w:hint="eastAsia" w:ascii="Times New Roman" w:hAnsi="Times New Roman" w:eastAsia="宋体"/>
                <w:color w:val="auto"/>
                <w:sz w:val="24"/>
                <w:szCs w:val="24"/>
                <w:lang w:eastAsia="zh-CN"/>
              </w:rPr>
              <w:t>）</w:t>
            </w:r>
            <w:r>
              <w:rPr>
                <w:rFonts w:hint="eastAsia" w:ascii="Times New Roman" w:hAnsi="Times New Roman" w:eastAsia="宋体"/>
                <w:color w:val="auto"/>
                <w:sz w:val="24"/>
                <w:szCs w:val="24"/>
                <w:lang w:val="en-US" w:eastAsia="zh-CN"/>
              </w:rPr>
              <w:t>化粪池污泥、污水处理站污泥：定期委托环卫部门清运处置。</w:t>
            </w:r>
          </w:p>
          <w:p w14:paraId="5C6380A9">
            <w:pPr>
              <w:pStyle w:val="31"/>
              <w:spacing w:line="360" w:lineRule="auto"/>
              <w:jc w:val="both"/>
              <w:rPr>
                <w:rFonts w:hint="eastAsia" w:ascii="Times New Roman" w:hAnsi="Times New Roman" w:eastAsia="宋体"/>
                <w:color w:val="auto"/>
                <w:sz w:val="24"/>
                <w:szCs w:val="24"/>
                <w:lang w:eastAsia="zh-CN"/>
              </w:rPr>
            </w:pPr>
            <w:r>
              <w:rPr>
                <w:rFonts w:hint="eastAsia" w:ascii="Times New Roman" w:hAnsi="Times New Roman" w:eastAsia="宋体"/>
                <w:color w:val="auto"/>
                <w:sz w:val="24"/>
                <w:szCs w:val="24"/>
                <w:lang w:eastAsia="zh-CN"/>
              </w:rPr>
              <w:t>（</w:t>
            </w:r>
            <w:r>
              <w:rPr>
                <w:rFonts w:hint="eastAsia" w:ascii="Times New Roman" w:hAnsi="Times New Roman" w:eastAsia="宋体"/>
                <w:color w:val="auto"/>
                <w:sz w:val="24"/>
                <w:szCs w:val="24"/>
                <w:lang w:val="en-US" w:eastAsia="zh-CN"/>
              </w:rPr>
              <w:t>3</w:t>
            </w:r>
            <w:r>
              <w:rPr>
                <w:rFonts w:hint="eastAsia" w:ascii="Times New Roman" w:hAnsi="Times New Roman" w:eastAsia="宋体"/>
                <w:color w:val="auto"/>
                <w:sz w:val="24"/>
                <w:szCs w:val="24"/>
                <w:lang w:eastAsia="zh-CN"/>
              </w:rPr>
              <w:t>）焊渣、循环水池沉渣、边角废料及切割碎屑</w:t>
            </w:r>
            <w:r>
              <w:rPr>
                <w:rFonts w:hint="eastAsia"/>
                <w:color w:val="auto"/>
                <w:sz w:val="24"/>
                <w:szCs w:val="24"/>
                <w:lang w:eastAsia="zh-CN"/>
              </w:rPr>
              <w:t>、</w:t>
            </w:r>
            <w:r>
              <w:rPr>
                <w:rFonts w:hint="eastAsia"/>
                <w:color w:val="auto"/>
                <w:sz w:val="24"/>
                <w:szCs w:val="24"/>
                <w:lang w:val="en-US" w:eastAsia="zh-CN"/>
              </w:rPr>
              <w:t>除尘灰</w:t>
            </w:r>
            <w:r>
              <w:rPr>
                <w:rFonts w:hint="eastAsia" w:ascii="Times New Roman" w:hAnsi="Times New Roman" w:eastAsia="宋体"/>
                <w:color w:val="auto"/>
                <w:sz w:val="24"/>
                <w:szCs w:val="24"/>
                <w:lang w:eastAsia="zh-CN"/>
              </w:rPr>
              <w:t>：收集后暂存于废料打包库，定期外售给废旧物资回收单位。</w:t>
            </w:r>
          </w:p>
          <w:p w14:paraId="298F4146">
            <w:pPr>
              <w:pStyle w:val="31"/>
              <w:spacing w:line="360" w:lineRule="auto"/>
              <w:jc w:val="both"/>
              <w:rPr>
                <w:rFonts w:hint="eastAsia" w:eastAsia="宋体"/>
                <w:color w:val="auto"/>
                <w:sz w:val="24"/>
                <w:szCs w:val="24"/>
                <w:lang w:eastAsia="zh-CN"/>
              </w:rPr>
            </w:pPr>
            <w:r>
              <w:rPr>
                <w:rFonts w:hint="eastAsia" w:ascii="Times New Roman" w:hAnsi="Times New Roman" w:eastAsia="宋体"/>
                <w:color w:val="auto"/>
                <w:sz w:val="24"/>
                <w:szCs w:val="24"/>
                <w:lang w:eastAsia="zh-CN"/>
              </w:rPr>
              <w:t>（</w:t>
            </w:r>
            <w:r>
              <w:rPr>
                <w:rFonts w:hint="eastAsia" w:ascii="Times New Roman" w:hAnsi="Times New Roman" w:eastAsia="宋体"/>
                <w:color w:val="auto"/>
                <w:sz w:val="24"/>
                <w:szCs w:val="24"/>
                <w:lang w:val="en-US" w:eastAsia="zh-CN"/>
              </w:rPr>
              <w:t>4</w:t>
            </w:r>
            <w:r>
              <w:rPr>
                <w:rFonts w:hint="eastAsia" w:ascii="Times New Roman" w:hAnsi="Times New Roman" w:eastAsia="宋体"/>
                <w:color w:val="auto"/>
                <w:sz w:val="24"/>
                <w:szCs w:val="24"/>
                <w:lang w:eastAsia="zh-CN"/>
              </w:rPr>
              <w:t>）废液压油、废液压油桶、</w:t>
            </w:r>
            <w:r>
              <w:rPr>
                <w:rFonts w:hint="eastAsia" w:ascii="Times New Roman" w:hAnsi="Times New Roman" w:eastAsia="宋体"/>
                <w:color w:val="auto"/>
                <w:sz w:val="24"/>
                <w:szCs w:val="24"/>
                <w:lang w:val="en-US" w:eastAsia="zh-CN"/>
              </w:rPr>
              <w:t>废机油</w:t>
            </w:r>
            <w:r>
              <w:rPr>
                <w:rFonts w:hint="eastAsia" w:ascii="Times New Roman" w:hAnsi="Times New Roman" w:eastAsia="宋体"/>
                <w:color w:val="auto"/>
                <w:sz w:val="24"/>
                <w:szCs w:val="24"/>
                <w:lang w:eastAsia="zh-CN"/>
              </w:rPr>
              <w:t>：收集后暂存于危废暂存间，定期委托有资质单位处置。</w:t>
            </w:r>
          </w:p>
        </w:tc>
      </w:tr>
      <w:tr w14:paraId="088A5E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10" w:type="dxa"/>
            <w:vAlign w:val="center"/>
          </w:tcPr>
          <w:p w14:paraId="67B8C8FB">
            <w:pPr>
              <w:pStyle w:val="31"/>
              <w:jc w:val="center"/>
              <w:rPr>
                <w:rFonts w:hint="default"/>
                <w:color w:val="auto"/>
                <w:sz w:val="24"/>
                <w:szCs w:val="24"/>
              </w:rPr>
            </w:pPr>
            <w:r>
              <w:rPr>
                <w:rFonts w:hint="default"/>
                <w:color w:val="auto"/>
                <w:sz w:val="24"/>
                <w:szCs w:val="24"/>
              </w:rPr>
              <w:t>土壤及地下水污染防治措施</w:t>
            </w:r>
          </w:p>
        </w:tc>
        <w:tc>
          <w:tcPr>
            <w:tcW w:w="7690" w:type="dxa"/>
            <w:gridSpan w:val="4"/>
            <w:vAlign w:val="center"/>
          </w:tcPr>
          <w:p w14:paraId="28876D27">
            <w:pPr>
              <w:pStyle w:val="31"/>
              <w:numPr>
                <w:ilvl w:val="0"/>
                <w:numId w:val="0"/>
              </w:numPr>
              <w:spacing w:line="360" w:lineRule="auto"/>
              <w:jc w:val="both"/>
              <w:rPr>
                <w:rFonts w:hint="eastAsia"/>
                <w:b w:val="0"/>
                <w:bCs w:val="0"/>
                <w:color w:val="auto"/>
                <w:sz w:val="24"/>
                <w:szCs w:val="24"/>
                <w:lang w:val="en-US" w:eastAsia="zh-CN"/>
              </w:rPr>
            </w:pPr>
            <w:r>
              <w:rPr>
                <w:rFonts w:hint="eastAsia"/>
                <w:b w:val="0"/>
                <w:bCs w:val="0"/>
                <w:color w:val="auto"/>
                <w:sz w:val="24"/>
                <w:szCs w:val="24"/>
                <w:lang w:val="en-US" w:eastAsia="zh-CN"/>
              </w:rPr>
              <w:t>重点防渗区：危废暂存间，根据《危险废物贮存污染控制标准》（GB18597—2023），防渗层为至少1m厚黏土层（渗透系数不大于1</w:t>
            </w:r>
            <w:r>
              <w:rPr>
                <w:rFonts w:hint="eastAsia"/>
                <w:b w:val="0"/>
                <w:bCs w:val="0"/>
                <w:color w:val="auto"/>
                <w:sz w:val="24"/>
                <w:szCs w:val="24"/>
                <w:vertAlign w:val="superscript"/>
                <w:lang w:val="en-US" w:eastAsia="zh-CN"/>
              </w:rPr>
              <w:t>0-7</w:t>
            </w:r>
            <w:r>
              <w:rPr>
                <w:rFonts w:hint="eastAsia"/>
                <w:b w:val="0"/>
                <w:bCs w:val="0"/>
                <w:color w:val="auto"/>
                <w:sz w:val="24"/>
                <w:szCs w:val="24"/>
                <w:lang w:val="en-US" w:eastAsia="zh-CN"/>
              </w:rPr>
              <w:t>cm/s），或至少2mm厚高密度聚乙烯膜等人工防渗材料（渗透系数不大于10</w:t>
            </w:r>
            <w:r>
              <w:rPr>
                <w:rFonts w:hint="eastAsia"/>
                <w:b w:val="0"/>
                <w:bCs w:val="0"/>
                <w:color w:val="auto"/>
                <w:sz w:val="24"/>
                <w:szCs w:val="24"/>
                <w:vertAlign w:val="superscript"/>
                <w:lang w:val="en-US" w:eastAsia="zh-CN"/>
              </w:rPr>
              <w:t>-10</w:t>
            </w:r>
            <w:r>
              <w:rPr>
                <w:rFonts w:hint="eastAsia"/>
                <w:b w:val="0"/>
                <w:bCs w:val="0"/>
                <w:color w:val="auto"/>
                <w:sz w:val="24"/>
                <w:szCs w:val="24"/>
                <w:lang w:val="en-US" w:eastAsia="zh-CN"/>
              </w:rPr>
              <w:t>cm/s）；</w:t>
            </w:r>
          </w:p>
          <w:p w14:paraId="3386DCE5">
            <w:pPr>
              <w:pStyle w:val="31"/>
              <w:numPr>
                <w:ilvl w:val="0"/>
                <w:numId w:val="0"/>
              </w:numPr>
              <w:spacing w:line="360" w:lineRule="auto"/>
              <w:jc w:val="both"/>
              <w:rPr>
                <w:rFonts w:hint="eastAsia"/>
                <w:b w:val="0"/>
                <w:bCs w:val="0"/>
                <w:color w:val="auto"/>
                <w:sz w:val="24"/>
                <w:szCs w:val="24"/>
                <w:lang w:val="en-US" w:eastAsia="zh-CN"/>
              </w:rPr>
            </w:pPr>
            <w:r>
              <w:rPr>
                <w:rFonts w:hint="eastAsia"/>
                <w:b w:val="0"/>
                <w:bCs w:val="0"/>
                <w:color w:val="auto"/>
                <w:sz w:val="24"/>
                <w:szCs w:val="24"/>
                <w:lang w:val="en-US" w:eastAsia="zh-CN"/>
              </w:rPr>
              <w:t>一般防渗区：化粪池、一体化污水处理设施、循环冷却池、初期雨水收集池、事故池，等效黏土防渗层Mb≥1.5m，K≤1×10</w:t>
            </w:r>
            <w:r>
              <w:rPr>
                <w:rFonts w:hint="eastAsia"/>
                <w:b w:val="0"/>
                <w:bCs w:val="0"/>
                <w:color w:val="auto"/>
                <w:sz w:val="24"/>
                <w:szCs w:val="24"/>
                <w:vertAlign w:val="superscript"/>
                <w:lang w:val="en-US" w:eastAsia="zh-CN"/>
              </w:rPr>
              <w:t>-7</w:t>
            </w:r>
            <w:r>
              <w:rPr>
                <w:rFonts w:hint="eastAsia"/>
                <w:b w:val="0"/>
                <w:bCs w:val="0"/>
                <w:color w:val="auto"/>
                <w:sz w:val="24"/>
                <w:szCs w:val="24"/>
                <w:lang w:val="en-US" w:eastAsia="zh-CN"/>
              </w:rPr>
              <w:t>cm/s；或参照GB16889执行。</w:t>
            </w:r>
          </w:p>
          <w:p w14:paraId="6EF3B541">
            <w:pPr>
              <w:pStyle w:val="31"/>
              <w:numPr>
                <w:ilvl w:val="0"/>
                <w:numId w:val="0"/>
              </w:numPr>
              <w:spacing w:line="360" w:lineRule="auto"/>
              <w:jc w:val="both"/>
              <w:rPr>
                <w:rFonts w:hint="default"/>
                <w:color w:val="auto"/>
                <w:sz w:val="24"/>
                <w:szCs w:val="24"/>
              </w:rPr>
            </w:pPr>
            <w:r>
              <w:rPr>
                <w:rFonts w:hint="eastAsia"/>
                <w:b w:val="0"/>
                <w:bCs w:val="0"/>
                <w:color w:val="auto"/>
                <w:sz w:val="24"/>
                <w:szCs w:val="24"/>
                <w:lang w:val="en-US" w:eastAsia="zh-CN"/>
              </w:rPr>
              <w:t>简单防渗区：生产车间、办公室、厂区道路等除重点及一般防渗外的其他区域。</w:t>
            </w:r>
          </w:p>
        </w:tc>
      </w:tr>
      <w:tr w14:paraId="172D88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10" w:type="dxa"/>
            <w:vAlign w:val="center"/>
          </w:tcPr>
          <w:p w14:paraId="4A938CB5">
            <w:pPr>
              <w:pStyle w:val="31"/>
              <w:jc w:val="center"/>
              <w:rPr>
                <w:rFonts w:hint="default"/>
                <w:color w:val="auto"/>
                <w:sz w:val="24"/>
                <w:szCs w:val="24"/>
              </w:rPr>
            </w:pPr>
            <w:r>
              <w:rPr>
                <w:rFonts w:hint="default"/>
                <w:color w:val="auto"/>
                <w:sz w:val="24"/>
                <w:szCs w:val="24"/>
              </w:rPr>
              <w:t>生态保护措施</w:t>
            </w:r>
          </w:p>
        </w:tc>
        <w:tc>
          <w:tcPr>
            <w:tcW w:w="7690" w:type="dxa"/>
            <w:gridSpan w:val="4"/>
            <w:vAlign w:val="center"/>
          </w:tcPr>
          <w:p w14:paraId="13D27660">
            <w:pPr>
              <w:pStyle w:val="31"/>
              <w:numPr>
                <w:ilvl w:val="0"/>
                <w:numId w:val="0"/>
              </w:numPr>
              <w:spacing w:line="360" w:lineRule="auto"/>
              <w:jc w:val="center"/>
              <w:rPr>
                <w:rFonts w:hint="eastAsia"/>
                <w:b w:val="0"/>
                <w:bCs w:val="0"/>
                <w:color w:val="auto"/>
                <w:sz w:val="24"/>
                <w:szCs w:val="24"/>
                <w:lang w:val="en-US" w:eastAsia="zh-CN"/>
              </w:rPr>
            </w:pPr>
            <w:r>
              <w:rPr>
                <w:rFonts w:hint="eastAsia"/>
                <w:b w:val="0"/>
                <w:bCs w:val="0"/>
                <w:color w:val="auto"/>
                <w:sz w:val="24"/>
                <w:szCs w:val="24"/>
                <w:lang w:val="en-US" w:eastAsia="zh-CN"/>
              </w:rPr>
              <w:t>/</w:t>
            </w:r>
          </w:p>
        </w:tc>
      </w:tr>
      <w:tr w14:paraId="348295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10" w:type="dxa"/>
            <w:vAlign w:val="center"/>
          </w:tcPr>
          <w:p w14:paraId="6746F362">
            <w:pPr>
              <w:pStyle w:val="31"/>
              <w:jc w:val="center"/>
              <w:rPr>
                <w:rFonts w:hint="default"/>
                <w:color w:val="auto"/>
                <w:sz w:val="24"/>
                <w:szCs w:val="24"/>
              </w:rPr>
            </w:pPr>
            <w:r>
              <w:rPr>
                <w:rFonts w:hint="default"/>
                <w:color w:val="auto"/>
                <w:sz w:val="24"/>
                <w:szCs w:val="24"/>
              </w:rPr>
              <w:t>环境风险防范措施</w:t>
            </w:r>
          </w:p>
        </w:tc>
        <w:tc>
          <w:tcPr>
            <w:tcW w:w="7690" w:type="dxa"/>
            <w:gridSpan w:val="4"/>
            <w:vAlign w:val="center"/>
          </w:tcPr>
          <w:p w14:paraId="5B108E93">
            <w:pPr>
              <w:pStyle w:val="31"/>
              <w:spacing w:line="360" w:lineRule="auto"/>
              <w:jc w:val="both"/>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①落实环境管理及风险监控的机构、人员，加强日常监控和管理，并制定相应的环境风险事故应急预案，强化消防安全措施及管理；增强企业员工安全意识。</w:t>
            </w:r>
          </w:p>
          <w:p w14:paraId="46A797DA">
            <w:pPr>
              <w:pStyle w:val="31"/>
              <w:spacing w:line="360" w:lineRule="auto"/>
              <w:jc w:val="both"/>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②危废暂存间采取防渗，防渗系数达到≤10</w:t>
            </w:r>
            <w:r>
              <w:rPr>
                <w:rFonts w:hint="eastAsia" w:ascii="Times New Roman" w:hAnsi="Times New Roman" w:eastAsia="宋体"/>
                <w:color w:val="auto"/>
                <w:sz w:val="24"/>
                <w:szCs w:val="24"/>
                <w:vertAlign w:val="superscript"/>
                <w:lang w:val="en-US" w:eastAsia="zh-CN"/>
              </w:rPr>
              <w:t>-10</w:t>
            </w:r>
            <w:r>
              <w:rPr>
                <w:rFonts w:hint="eastAsia" w:ascii="Times New Roman" w:hAnsi="Times New Roman" w:eastAsia="宋体"/>
                <w:color w:val="auto"/>
                <w:sz w:val="24"/>
                <w:szCs w:val="24"/>
                <w:lang w:val="en-US" w:eastAsia="zh-CN"/>
              </w:rPr>
              <w:t>cm/s，</w:t>
            </w:r>
            <w:r>
              <w:rPr>
                <w:rFonts w:hint="eastAsia"/>
                <w:color w:val="auto"/>
                <w:sz w:val="24"/>
                <w:szCs w:val="24"/>
                <w:lang w:val="en-US" w:eastAsia="zh-CN"/>
              </w:rPr>
              <w:t>地面设置导流沟、收集池</w:t>
            </w:r>
            <w:r>
              <w:rPr>
                <w:rFonts w:hint="eastAsia" w:ascii="Times New Roman" w:hAnsi="Times New Roman" w:eastAsia="宋体"/>
                <w:color w:val="auto"/>
                <w:sz w:val="24"/>
                <w:szCs w:val="24"/>
                <w:lang w:val="en-US" w:eastAsia="zh-CN"/>
              </w:rPr>
              <w:t>，避免事故情况外渗污染周围环境。</w:t>
            </w:r>
          </w:p>
          <w:p w14:paraId="395424ED">
            <w:pPr>
              <w:pStyle w:val="31"/>
              <w:spacing w:line="360" w:lineRule="auto"/>
              <w:jc w:val="both"/>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③企业设专人管理，其他人未经允许不得进入内。</w:t>
            </w:r>
          </w:p>
          <w:p w14:paraId="46621DA8">
            <w:pPr>
              <w:pStyle w:val="31"/>
              <w:spacing w:line="360" w:lineRule="auto"/>
              <w:jc w:val="both"/>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④危险废物暂存间不存放除危险废物以外的其他废弃物，不同类别的危险废物分别堆放，并在存放区分别标明危险废物名称，不混放。</w:t>
            </w:r>
          </w:p>
          <w:p w14:paraId="6EAAE25E">
            <w:pPr>
              <w:pStyle w:val="31"/>
              <w:spacing w:line="360" w:lineRule="auto"/>
              <w:jc w:val="both"/>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⑤危险废物贮存区应设置消防沙池、气体灭火装置和室内消火栓等消防设施。</w:t>
            </w:r>
          </w:p>
          <w:p w14:paraId="7A4BEE72">
            <w:pPr>
              <w:pStyle w:val="31"/>
              <w:spacing w:line="360" w:lineRule="auto"/>
              <w:jc w:val="both"/>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⑥加强对环保设施的管理和检查，确保环保设施正常运行，防止废气事故排放。</w:t>
            </w:r>
          </w:p>
          <w:p w14:paraId="40F35C56">
            <w:pPr>
              <w:pStyle w:val="31"/>
              <w:spacing w:line="360" w:lineRule="auto"/>
              <w:jc w:val="both"/>
              <w:rPr>
                <w:rFonts w:hint="default"/>
                <w:color w:val="auto"/>
                <w:sz w:val="24"/>
                <w:szCs w:val="24"/>
              </w:rPr>
            </w:pPr>
            <w:r>
              <w:rPr>
                <w:rFonts w:hint="eastAsia" w:ascii="Times New Roman" w:hAnsi="Times New Roman" w:eastAsia="宋体"/>
                <w:color w:val="auto"/>
                <w:sz w:val="24"/>
                <w:szCs w:val="24"/>
                <w:lang w:val="en-US" w:eastAsia="zh-CN"/>
              </w:rPr>
              <w:t>⑦制定厂区突发环境事件应急预案的编制并备案，配套完善应急物资建设，定期开展应急演练，持续开展环境安全隐患排查整治，提升应急监测能力，加强应急物资管理。</w:t>
            </w:r>
          </w:p>
        </w:tc>
      </w:tr>
      <w:tr w14:paraId="295762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10" w:type="dxa"/>
            <w:vAlign w:val="center"/>
          </w:tcPr>
          <w:p w14:paraId="159524E0">
            <w:pPr>
              <w:pStyle w:val="31"/>
              <w:jc w:val="center"/>
              <w:rPr>
                <w:rFonts w:hint="default"/>
                <w:color w:val="auto"/>
                <w:sz w:val="24"/>
                <w:szCs w:val="24"/>
              </w:rPr>
            </w:pPr>
            <w:r>
              <w:rPr>
                <w:rFonts w:hint="default"/>
                <w:color w:val="auto"/>
                <w:sz w:val="24"/>
                <w:szCs w:val="24"/>
              </w:rPr>
              <w:t>其他环境管理要求</w:t>
            </w:r>
          </w:p>
        </w:tc>
        <w:tc>
          <w:tcPr>
            <w:tcW w:w="7690" w:type="dxa"/>
            <w:gridSpan w:val="4"/>
            <w:vAlign w:val="center"/>
          </w:tcPr>
          <w:p w14:paraId="4F7AA22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both"/>
              <w:textAlignment w:val="auto"/>
              <w:rPr>
                <w:rFonts w:hint="default" w:ascii="Times New Roman" w:hAnsi="Times New Roman" w:eastAsia="宋体" w:cs="Times New Roman"/>
                <w:b/>
                <w:bCs/>
                <w:color w:val="auto"/>
                <w:sz w:val="24"/>
                <w:szCs w:val="24"/>
                <w:lang w:val="en-US" w:eastAsia="zh-CN"/>
              </w:rPr>
            </w:pPr>
            <w:r>
              <w:rPr>
                <w:rFonts w:hint="eastAsia" w:eastAsia="宋体" w:cs="Times New Roman"/>
                <w:b/>
                <w:bCs/>
                <w:color w:val="auto"/>
                <w:sz w:val="24"/>
                <w:szCs w:val="24"/>
                <w:lang w:val="en-US" w:eastAsia="zh-CN"/>
              </w:rPr>
              <w:t>1、环境管理计划</w:t>
            </w:r>
          </w:p>
          <w:p w14:paraId="35921FF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1）根据国家环保政策、标准及环境监测要求，制定该项目运行期环境管理规章制度、各种污染物排放指标。</w:t>
            </w:r>
          </w:p>
          <w:p w14:paraId="06BD261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2）项目建成投产前建设单位应自行组织项目竣工环境保护验收工作，检查环保设施是否达到“三同时”要求。</w:t>
            </w:r>
          </w:p>
          <w:p w14:paraId="3A22B47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3）加强环保设施的管理，定期检查厂内环保设施运行情况。及时排除故障，保证环保设施正常运转。</w:t>
            </w:r>
          </w:p>
          <w:p w14:paraId="3BDDB28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4）危险废物的收集管理应由专人负责，分类收集。</w:t>
            </w:r>
          </w:p>
          <w:p w14:paraId="73A9983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5）运用经济、教育、行政、法律及其它手段，加强项目区内人员的环保意识，加强环境保护的自觉性，不断提高环境管理水平。</w:t>
            </w:r>
          </w:p>
          <w:p w14:paraId="7C1D553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6）配合当地环保监测机构，实施环境监测计划。</w:t>
            </w:r>
          </w:p>
          <w:p w14:paraId="12A18F5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both"/>
              <w:textAlignment w:val="auto"/>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2</w:t>
            </w:r>
            <w:r>
              <w:rPr>
                <w:rFonts w:hint="default" w:ascii="Times New Roman" w:hAnsi="Times New Roman" w:eastAsia="宋体" w:cs="Times New Roman"/>
                <w:b/>
                <w:bCs/>
                <w:color w:val="auto"/>
                <w:sz w:val="24"/>
                <w:szCs w:val="24"/>
                <w:lang w:val="en-US" w:eastAsia="zh-CN"/>
              </w:rPr>
              <w:t>、建设项目竣工环境保护验收</w:t>
            </w:r>
          </w:p>
          <w:p w14:paraId="2D892B5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本项目环保设施竣工验收由建设单位自己组织实施验收。</w:t>
            </w:r>
          </w:p>
          <w:p w14:paraId="2ECBF1D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单位是建设项目竣工环境保护验收的责任主体，应当按照《建设项目竣工环境保护验收暂行办法》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w:t>
            </w:r>
          </w:p>
          <w:p w14:paraId="7E9B00B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both"/>
              <w:textAlignment w:val="auto"/>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3、排污许可制度</w:t>
            </w:r>
          </w:p>
          <w:p w14:paraId="759E82D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固定污染源排污许可分类管理名录（2019年版）》，本项目为钢压延加工，属于“二十六、黑色金属冶炼和压延加工业31—73钢压延加工313—其他”，项目属于登记管理的项目。建设单位应当在（http://permit.mee.gov.cn/）全国排污许可证管理信息平台填报排污登记表，登记基本信息、污染物排放去向、执行的污染物排放标准以及采取的污染防治措施等信息。</w:t>
            </w:r>
          </w:p>
          <w:p w14:paraId="72BB8F9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both"/>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4、环保台账制度</w:t>
            </w:r>
          </w:p>
          <w:p w14:paraId="6A1D19A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厂内需建立记录制度和档案保存制度，有利于环境管理质量的追踪和持续改进。记录和台账包括设施运行和维护记录、危险废物进出台账、废水、废气污染物监测台账、所有原辅材料使用台账、突发性事件的处理、调查记录等，妥善保存所有记录、台账及污染物排放监测资料、环境管理档案资料等。</w:t>
            </w:r>
          </w:p>
          <w:p w14:paraId="69F4DE6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both"/>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5、污染治理设施的管理、监控制度</w:t>
            </w:r>
          </w:p>
          <w:p w14:paraId="5D98D1C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建成后，必须确保污染治理设施长期、稳定、有效地运行，不得擅自拆除或者闲置污染治理设施等，不得故意不正常使用污染治理设施。污染治理设施的管理必须与生产经营活动一起纳入公司日常管理工作的范畴，落实责任人、操作人员、维修人员、运行经费、设备的备品备件和其他原辅材料。同时要建立健全岗位责任制、制定正确的操作规程、建立管理台账。</w:t>
            </w:r>
          </w:p>
          <w:p w14:paraId="5DAF37E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both"/>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6、固体废物环境保护制度</w:t>
            </w:r>
          </w:p>
          <w:p w14:paraId="3E6297C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①建设单位应如实记录危险废物的实际产生、贮存、利用、处置等情况，并建立危险废物管理台账和企业内部产生和收集、贮存、转移等部门危险废物交接制度。</w:t>
            </w:r>
          </w:p>
          <w:p w14:paraId="7E99B3A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②明确建设单位为固体废物污染防治的责任主体，要求企业建立风险管理及应急救援体系，执行环境监测计划、转移联单管理制度及国家和省有关转移管理的相关规定、处置过程安全操作规程、人员培训考核制度、档案管理制度、处置全过程管理制度等。</w:t>
            </w:r>
          </w:p>
          <w:p w14:paraId="50165D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③规范建设危险废物贮存场所并按照要求设置警告标志，危废包装、容器和贮存场所应按照《危险废物贮存污染控制标准》（GB18597-2023）有关要求。</w:t>
            </w:r>
          </w:p>
          <w:p w14:paraId="3906A01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both"/>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7、污染源排放口规范化</w:t>
            </w:r>
          </w:p>
          <w:p w14:paraId="0906CE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各污染源排放口应规范设置，应符合国家、省、市有关规定，厂区“三废”及固体废物堆放处应设置明显的环保图形标志，污染物排放口的环保图形标志牌应设置在靠近采样点的醒目处。项目建成后，有组织废气排气筒应按照《环境保护图形标志—排放口（源）》（GB15562.1-1995）中的相关要求设置排放源图形标识，并规范设置永久采样孔、采样测试平台。</w:t>
            </w:r>
          </w:p>
          <w:p w14:paraId="15865BA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在厂区的固体废物贮存处置场应设置环境保护图形标志，图形符号分为提示图形和警告图形符号两种，分别按《环境保护图形标志—固体废物贮存（处置）场》（GB15562.2-1995）及其修改单、《危险废物识别标志设置技术规范》（HJ1276-2022）执行。</w:t>
            </w:r>
          </w:p>
          <w:p w14:paraId="6AB7317C">
            <w:pPr>
              <w:pStyle w:val="31"/>
              <w:jc w:val="both"/>
              <w:rPr>
                <w:rFonts w:hint="default"/>
                <w:color w:val="auto"/>
                <w:sz w:val="24"/>
                <w:szCs w:val="24"/>
              </w:rPr>
            </w:pPr>
          </w:p>
          <w:p w14:paraId="77050B12">
            <w:pPr>
              <w:rPr>
                <w:rFonts w:hint="default"/>
                <w:color w:val="auto"/>
                <w:sz w:val="24"/>
                <w:szCs w:val="24"/>
              </w:rPr>
            </w:pPr>
          </w:p>
          <w:p w14:paraId="5F76DF5B">
            <w:pPr>
              <w:rPr>
                <w:rFonts w:hint="default"/>
                <w:color w:val="auto"/>
                <w:sz w:val="24"/>
                <w:szCs w:val="24"/>
              </w:rPr>
            </w:pPr>
          </w:p>
          <w:p w14:paraId="5504599F">
            <w:pPr>
              <w:rPr>
                <w:rFonts w:hint="default"/>
                <w:color w:val="auto"/>
                <w:sz w:val="24"/>
                <w:szCs w:val="24"/>
              </w:rPr>
            </w:pPr>
          </w:p>
          <w:p w14:paraId="64A2B498">
            <w:pPr>
              <w:rPr>
                <w:rFonts w:hint="default"/>
                <w:color w:val="auto"/>
                <w:sz w:val="24"/>
                <w:szCs w:val="24"/>
              </w:rPr>
            </w:pPr>
          </w:p>
          <w:p w14:paraId="3071F33C">
            <w:pPr>
              <w:rPr>
                <w:rFonts w:hint="default"/>
                <w:color w:val="auto"/>
                <w:sz w:val="24"/>
                <w:szCs w:val="24"/>
              </w:rPr>
            </w:pPr>
          </w:p>
          <w:p w14:paraId="1558B06D">
            <w:pPr>
              <w:rPr>
                <w:rFonts w:hint="default"/>
                <w:color w:val="auto"/>
                <w:sz w:val="24"/>
                <w:szCs w:val="24"/>
              </w:rPr>
            </w:pPr>
          </w:p>
          <w:p w14:paraId="004B7842">
            <w:pPr>
              <w:rPr>
                <w:rFonts w:hint="default"/>
                <w:color w:val="auto"/>
                <w:sz w:val="24"/>
                <w:szCs w:val="24"/>
              </w:rPr>
            </w:pPr>
          </w:p>
          <w:p w14:paraId="26C9031D">
            <w:pPr>
              <w:rPr>
                <w:rFonts w:hint="default"/>
                <w:color w:val="auto"/>
                <w:sz w:val="24"/>
                <w:szCs w:val="24"/>
              </w:rPr>
            </w:pPr>
          </w:p>
          <w:p w14:paraId="1BBBDE59">
            <w:pPr>
              <w:rPr>
                <w:rFonts w:hint="default"/>
                <w:color w:val="auto"/>
                <w:sz w:val="24"/>
                <w:szCs w:val="24"/>
              </w:rPr>
            </w:pPr>
          </w:p>
          <w:p w14:paraId="568A1999">
            <w:pPr>
              <w:rPr>
                <w:rFonts w:hint="default"/>
                <w:color w:val="auto"/>
                <w:sz w:val="24"/>
                <w:szCs w:val="24"/>
              </w:rPr>
            </w:pPr>
          </w:p>
          <w:p w14:paraId="6AA046E4">
            <w:pPr>
              <w:rPr>
                <w:rFonts w:hint="default"/>
                <w:color w:val="auto"/>
                <w:sz w:val="24"/>
                <w:szCs w:val="24"/>
              </w:rPr>
            </w:pPr>
          </w:p>
          <w:p w14:paraId="4F9B9F32">
            <w:pPr>
              <w:rPr>
                <w:rFonts w:hint="default"/>
                <w:color w:val="auto"/>
                <w:sz w:val="24"/>
                <w:szCs w:val="24"/>
              </w:rPr>
            </w:pPr>
          </w:p>
          <w:p w14:paraId="1F11F22E">
            <w:pPr>
              <w:rPr>
                <w:rFonts w:hint="default"/>
                <w:color w:val="auto"/>
                <w:sz w:val="24"/>
                <w:szCs w:val="24"/>
              </w:rPr>
            </w:pPr>
          </w:p>
          <w:p w14:paraId="2265C68D">
            <w:pPr>
              <w:rPr>
                <w:rFonts w:hint="default"/>
                <w:color w:val="auto"/>
                <w:sz w:val="24"/>
                <w:szCs w:val="24"/>
              </w:rPr>
            </w:pPr>
          </w:p>
          <w:p w14:paraId="25F40EBA">
            <w:pPr>
              <w:rPr>
                <w:rFonts w:hint="default"/>
                <w:color w:val="auto"/>
                <w:sz w:val="24"/>
                <w:szCs w:val="24"/>
              </w:rPr>
            </w:pPr>
          </w:p>
          <w:p w14:paraId="1BCAAB9F">
            <w:pPr>
              <w:rPr>
                <w:rFonts w:hint="default"/>
                <w:color w:val="auto"/>
                <w:sz w:val="24"/>
                <w:szCs w:val="24"/>
              </w:rPr>
            </w:pPr>
          </w:p>
          <w:p w14:paraId="4CEAA0D9">
            <w:pPr>
              <w:rPr>
                <w:rFonts w:hint="default"/>
                <w:color w:val="auto"/>
                <w:sz w:val="24"/>
                <w:szCs w:val="24"/>
              </w:rPr>
            </w:pPr>
          </w:p>
          <w:p w14:paraId="5E76EA45">
            <w:pPr>
              <w:rPr>
                <w:rFonts w:hint="default"/>
                <w:color w:val="auto"/>
                <w:sz w:val="24"/>
                <w:szCs w:val="24"/>
              </w:rPr>
            </w:pPr>
          </w:p>
          <w:p w14:paraId="5DF9D277">
            <w:pPr>
              <w:rPr>
                <w:rFonts w:hint="default"/>
                <w:color w:val="auto"/>
                <w:sz w:val="24"/>
                <w:szCs w:val="24"/>
              </w:rPr>
            </w:pPr>
          </w:p>
          <w:p w14:paraId="640D2A99">
            <w:pPr>
              <w:rPr>
                <w:rFonts w:hint="default"/>
                <w:color w:val="auto"/>
                <w:sz w:val="24"/>
                <w:szCs w:val="24"/>
              </w:rPr>
            </w:pPr>
          </w:p>
          <w:p w14:paraId="1C5D4B72">
            <w:pPr>
              <w:rPr>
                <w:rFonts w:hint="default"/>
                <w:color w:val="auto"/>
                <w:sz w:val="24"/>
                <w:szCs w:val="24"/>
              </w:rPr>
            </w:pPr>
          </w:p>
          <w:p w14:paraId="77D6D7C0">
            <w:pPr>
              <w:rPr>
                <w:rFonts w:hint="default"/>
                <w:color w:val="auto"/>
                <w:sz w:val="24"/>
                <w:szCs w:val="24"/>
              </w:rPr>
            </w:pPr>
          </w:p>
          <w:p w14:paraId="54128909">
            <w:pPr>
              <w:rPr>
                <w:rFonts w:hint="default"/>
                <w:color w:val="auto"/>
                <w:sz w:val="24"/>
                <w:szCs w:val="24"/>
              </w:rPr>
            </w:pPr>
          </w:p>
          <w:p w14:paraId="6D33DB9A">
            <w:pPr>
              <w:rPr>
                <w:rFonts w:hint="default"/>
                <w:color w:val="auto"/>
                <w:sz w:val="24"/>
                <w:szCs w:val="24"/>
              </w:rPr>
            </w:pPr>
          </w:p>
          <w:p w14:paraId="4BD6DAFF">
            <w:pPr>
              <w:ind w:left="0" w:leftChars="0" w:firstLine="0" w:firstLineChars="0"/>
              <w:rPr>
                <w:rFonts w:hint="default"/>
                <w:color w:val="auto"/>
                <w:sz w:val="24"/>
                <w:szCs w:val="24"/>
              </w:rPr>
            </w:pPr>
          </w:p>
        </w:tc>
      </w:tr>
    </w:tbl>
    <w:p w14:paraId="2E5C587C">
      <w:pPr>
        <w:pStyle w:val="3"/>
        <w:numPr>
          <w:ilvl w:val="0"/>
          <w:numId w:val="4"/>
        </w:numPr>
        <w:rPr>
          <w:color w:val="auto"/>
        </w:rPr>
      </w:pPr>
      <w:bookmarkStart w:id="14" w:name="_Toc25065"/>
      <w:r>
        <w:rPr>
          <w:rFonts w:hint="eastAsia"/>
          <w:color w:val="auto"/>
        </w:rPr>
        <w:t>结论</w:t>
      </w:r>
      <w:bookmarkEnd w:id="14"/>
    </w:p>
    <w:tbl>
      <w:tblPr>
        <w:tblStyle w:val="22"/>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0"/>
      </w:tblGrid>
      <w:tr w14:paraId="55EC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0" w:type="dxa"/>
          </w:tcPr>
          <w:p w14:paraId="50A68AA1">
            <w:pPr>
              <w:bidi w:val="0"/>
              <w:rPr>
                <w:rFonts w:hint="eastAsia"/>
                <w:color w:val="auto"/>
                <w:lang w:eastAsia="zh-CN"/>
              </w:rPr>
            </w:pPr>
            <w:r>
              <w:rPr>
                <w:rFonts w:hint="default"/>
                <w:color w:val="auto"/>
              </w:rPr>
              <w:t>本项目符合国家产业政策及相关规划，选址合理可行；通过对项目所在地区的环境现状以及项目产生的环境影响进行分析，项目产生的环境影响包括废气、噪声、废水、固体废弃物等，在采取环评提出的防治措施后，噪声和废气</w:t>
            </w:r>
            <w:r>
              <w:rPr>
                <w:rFonts w:hint="default"/>
                <w:color w:val="auto"/>
                <w:lang w:eastAsia="zh-CN"/>
              </w:rPr>
              <w:t>、废水</w:t>
            </w:r>
            <w:r>
              <w:rPr>
                <w:rFonts w:hint="default"/>
                <w:color w:val="auto"/>
              </w:rPr>
              <w:t>能达标</w:t>
            </w:r>
            <w:r>
              <w:rPr>
                <w:rFonts w:hint="eastAsia"/>
                <w:color w:val="auto"/>
                <w:lang w:eastAsia="zh-CN"/>
              </w:rPr>
              <w:t>处理</w:t>
            </w:r>
            <w:r>
              <w:rPr>
                <w:rFonts w:hint="default"/>
                <w:color w:val="auto"/>
              </w:rPr>
              <w:t>，固体废物及危险废物均得到妥善处置</w:t>
            </w:r>
            <w:r>
              <w:rPr>
                <w:rFonts w:hint="default"/>
                <w:color w:val="auto"/>
                <w:lang w:eastAsia="zh-CN"/>
              </w:rPr>
              <w:t>，</w:t>
            </w:r>
            <w:r>
              <w:rPr>
                <w:rFonts w:hint="default"/>
                <w:color w:val="auto"/>
              </w:rPr>
              <w:t>项目的建设不会改变当地环境功能。项目在运营过程中，认真落实“环评”提出的各项污染防治措施，严格执行“三同时”制度，确保环保设施正常运行，在此前提下，从环境保护角度，该项目的建设是可行的。</w:t>
            </w:r>
          </w:p>
          <w:p w14:paraId="331CB89C">
            <w:pPr>
              <w:ind w:firstLine="480"/>
              <w:rPr>
                <w:rFonts w:cs="Times New Roman"/>
                <w:color w:val="auto"/>
              </w:rPr>
            </w:pPr>
          </w:p>
          <w:p w14:paraId="7D3757B1">
            <w:pPr>
              <w:ind w:firstLine="480"/>
              <w:rPr>
                <w:rFonts w:cs="Times New Roman"/>
                <w:color w:val="auto"/>
              </w:rPr>
            </w:pPr>
          </w:p>
          <w:p w14:paraId="50028FA5">
            <w:pPr>
              <w:ind w:firstLine="480"/>
              <w:rPr>
                <w:rFonts w:cs="Times New Roman"/>
                <w:color w:val="auto"/>
              </w:rPr>
            </w:pPr>
          </w:p>
          <w:p w14:paraId="6B8FDE6D">
            <w:pPr>
              <w:ind w:firstLine="480"/>
              <w:rPr>
                <w:rFonts w:cs="Times New Roman"/>
                <w:color w:val="auto"/>
              </w:rPr>
            </w:pPr>
          </w:p>
          <w:p w14:paraId="1D8939F2">
            <w:pPr>
              <w:ind w:firstLine="480"/>
              <w:rPr>
                <w:rFonts w:cs="Times New Roman"/>
                <w:color w:val="auto"/>
              </w:rPr>
            </w:pPr>
          </w:p>
          <w:p w14:paraId="14A98341">
            <w:pPr>
              <w:ind w:firstLine="480"/>
              <w:rPr>
                <w:rFonts w:cs="Times New Roman"/>
                <w:color w:val="auto"/>
              </w:rPr>
            </w:pPr>
          </w:p>
          <w:p w14:paraId="09CB8F90">
            <w:pPr>
              <w:ind w:firstLine="480"/>
              <w:rPr>
                <w:rFonts w:cs="Times New Roman"/>
                <w:color w:val="auto"/>
              </w:rPr>
            </w:pPr>
          </w:p>
          <w:p w14:paraId="60DBD94D">
            <w:pPr>
              <w:ind w:firstLine="480"/>
              <w:rPr>
                <w:rFonts w:cs="Times New Roman"/>
                <w:color w:val="auto"/>
              </w:rPr>
            </w:pPr>
          </w:p>
          <w:p w14:paraId="2730A5A9">
            <w:pPr>
              <w:ind w:firstLine="480"/>
              <w:rPr>
                <w:rFonts w:cs="Times New Roman"/>
                <w:color w:val="auto"/>
              </w:rPr>
            </w:pPr>
          </w:p>
          <w:p w14:paraId="4E63D48B">
            <w:pPr>
              <w:ind w:firstLine="480"/>
              <w:rPr>
                <w:rFonts w:cs="Times New Roman"/>
                <w:color w:val="auto"/>
              </w:rPr>
            </w:pPr>
          </w:p>
          <w:p w14:paraId="1FE2E1CE">
            <w:pPr>
              <w:ind w:firstLine="480"/>
              <w:rPr>
                <w:rFonts w:cs="Times New Roman"/>
                <w:color w:val="auto"/>
              </w:rPr>
            </w:pPr>
          </w:p>
          <w:p w14:paraId="253085E0">
            <w:pPr>
              <w:ind w:firstLine="480"/>
              <w:rPr>
                <w:rFonts w:cs="Times New Roman"/>
                <w:color w:val="auto"/>
              </w:rPr>
            </w:pPr>
          </w:p>
          <w:p w14:paraId="4DD880B8">
            <w:pPr>
              <w:ind w:firstLine="480"/>
              <w:rPr>
                <w:rFonts w:cs="Times New Roman"/>
                <w:color w:val="auto"/>
              </w:rPr>
            </w:pPr>
          </w:p>
          <w:p w14:paraId="38BA0D89">
            <w:pPr>
              <w:ind w:firstLine="480"/>
              <w:rPr>
                <w:rFonts w:cs="Times New Roman"/>
                <w:color w:val="auto"/>
              </w:rPr>
            </w:pPr>
          </w:p>
          <w:p w14:paraId="74D73336">
            <w:pPr>
              <w:ind w:firstLine="480"/>
              <w:rPr>
                <w:rFonts w:cs="Times New Roman"/>
                <w:color w:val="auto"/>
              </w:rPr>
            </w:pPr>
          </w:p>
          <w:p w14:paraId="1E8CCFEA">
            <w:pPr>
              <w:ind w:firstLine="480"/>
              <w:rPr>
                <w:rFonts w:cs="Times New Roman"/>
                <w:color w:val="auto"/>
              </w:rPr>
            </w:pPr>
          </w:p>
          <w:p w14:paraId="2CA740D3">
            <w:pPr>
              <w:ind w:firstLine="480"/>
              <w:rPr>
                <w:rFonts w:cs="Times New Roman"/>
                <w:color w:val="auto"/>
              </w:rPr>
            </w:pPr>
          </w:p>
          <w:p w14:paraId="1D52680F">
            <w:pPr>
              <w:ind w:firstLine="480"/>
              <w:rPr>
                <w:rFonts w:cs="Times New Roman"/>
                <w:color w:val="auto"/>
              </w:rPr>
            </w:pPr>
          </w:p>
          <w:p w14:paraId="300CE9BB">
            <w:pPr>
              <w:ind w:firstLine="480"/>
              <w:rPr>
                <w:rFonts w:cs="Times New Roman"/>
                <w:color w:val="auto"/>
              </w:rPr>
            </w:pPr>
          </w:p>
          <w:p w14:paraId="0CA9C418">
            <w:pPr>
              <w:ind w:firstLine="480"/>
              <w:rPr>
                <w:rFonts w:cs="Times New Roman"/>
                <w:color w:val="auto"/>
              </w:rPr>
            </w:pPr>
          </w:p>
          <w:p w14:paraId="511E10ED">
            <w:pPr>
              <w:ind w:firstLine="0" w:firstLineChars="0"/>
              <w:rPr>
                <w:rFonts w:cs="Times New Roman"/>
                <w:color w:val="auto"/>
              </w:rPr>
            </w:pPr>
          </w:p>
        </w:tc>
      </w:tr>
    </w:tbl>
    <w:p w14:paraId="50A53032">
      <w:pPr>
        <w:ind w:firstLine="0" w:firstLineChars="0"/>
        <w:rPr>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6BC7BD8D">
      <w:pPr>
        <w:pStyle w:val="3"/>
        <w:jc w:val="left"/>
        <w:rPr>
          <w:rFonts w:hint="eastAsia"/>
          <w:color w:val="auto"/>
        </w:rPr>
      </w:pPr>
      <w:bookmarkStart w:id="15" w:name="_Toc14731"/>
      <w:r>
        <w:rPr>
          <w:rFonts w:hint="eastAsia"/>
          <w:color w:val="auto"/>
        </w:rPr>
        <w:t>附表</w:t>
      </w:r>
      <w:bookmarkEnd w:id="15"/>
    </w:p>
    <w:p w14:paraId="205922BF">
      <w:pPr>
        <w:keepNext w:val="0"/>
        <w:keepLines w:val="0"/>
        <w:pageBreakBefore w:val="0"/>
        <w:widowControl w:val="0"/>
        <w:kinsoku/>
        <w:wordWrap/>
        <w:overflowPunct/>
        <w:topLinePunct w:val="0"/>
        <w:autoSpaceDE/>
        <w:autoSpaceDN/>
        <w:bidi w:val="0"/>
        <w:adjustRightInd w:val="0"/>
        <w:snapToGrid w:val="0"/>
        <w:spacing w:line="240" w:lineRule="auto"/>
        <w:ind w:firstLine="800" w:firstLineChars="200"/>
        <w:jc w:val="center"/>
        <w:textAlignment w:val="auto"/>
        <w:rPr>
          <w:rFonts w:hint="eastAsia" w:ascii="方正小标宋_GBK" w:hAnsi="方正小标宋_GBK" w:eastAsia="方正小标宋_GBK" w:cs="方正小标宋_GBK"/>
          <w:color w:val="auto"/>
          <w:sz w:val="40"/>
          <w:szCs w:val="40"/>
        </w:rPr>
      </w:pPr>
      <w:bookmarkStart w:id="16" w:name="_Toc20368"/>
      <w:r>
        <w:rPr>
          <w:rFonts w:hint="eastAsia" w:ascii="方正小标宋_GBK" w:hAnsi="方正小标宋_GBK" w:eastAsia="方正小标宋_GBK" w:cs="方正小标宋_GBK"/>
          <w:color w:val="auto"/>
          <w:sz w:val="40"/>
          <w:szCs w:val="40"/>
        </w:rPr>
        <w:t>建设项目污染物排放量汇总表</w:t>
      </w:r>
      <w:bookmarkEnd w:id="16"/>
    </w:p>
    <w:tbl>
      <w:tblPr>
        <w:tblStyle w:val="22"/>
        <w:tblpPr w:leftFromText="180" w:rightFromText="180" w:vertAnchor="text" w:horzAnchor="page" w:tblpX="1442" w:tblpY="621"/>
        <w:tblOverlap w:val="never"/>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1695"/>
        <w:gridCol w:w="1486"/>
        <w:gridCol w:w="1066"/>
        <w:gridCol w:w="1567"/>
        <w:gridCol w:w="1750"/>
        <w:gridCol w:w="1350"/>
        <w:gridCol w:w="1817"/>
        <w:gridCol w:w="1856"/>
      </w:tblGrid>
      <w:tr w14:paraId="23062F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1" w:type="dxa"/>
            <w:tcBorders>
              <w:tl2br w:val="single" w:color="auto" w:sz="4" w:space="0"/>
            </w:tcBorders>
            <w:tcMar>
              <w:left w:w="28" w:type="dxa"/>
              <w:right w:w="28" w:type="dxa"/>
            </w:tcMar>
            <w:vAlign w:val="center"/>
          </w:tcPr>
          <w:p w14:paraId="58FDCFC4">
            <w:pPr>
              <w:pStyle w:val="34"/>
              <w:spacing w:before="31" w:after="31" w:line="240" w:lineRule="auto"/>
              <w:ind w:firstLine="0" w:firstLineChars="0"/>
              <w:jc w:val="right"/>
              <w:rPr>
                <w:rFonts w:ascii="黑体" w:hAnsi="黑体" w:eastAsia="黑体" w:cs="宋体"/>
                <w:snapToGrid w:val="0"/>
                <w:color w:val="auto"/>
                <w:spacing w:val="-6"/>
                <w:kern w:val="21"/>
                <w:sz w:val="24"/>
                <w:szCs w:val="24"/>
              </w:rPr>
            </w:pPr>
            <w:bookmarkStart w:id="17" w:name="_Toc8175"/>
            <w:r>
              <w:rPr>
                <w:rFonts w:hint="eastAsia" w:ascii="黑体" w:hAnsi="黑体" w:eastAsia="黑体" w:cs="宋体"/>
                <w:snapToGrid w:val="0"/>
                <w:color w:val="auto"/>
                <w:spacing w:val="-6"/>
                <w:kern w:val="21"/>
                <w:sz w:val="24"/>
                <w:szCs w:val="24"/>
              </w:rPr>
              <w:t>项目</w:t>
            </w:r>
          </w:p>
          <w:p w14:paraId="4D782B76">
            <w:pPr>
              <w:pStyle w:val="34"/>
              <w:spacing w:before="31" w:after="31" w:line="240" w:lineRule="auto"/>
              <w:ind w:firstLine="0" w:firstLineChars="0"/>
              <w:jc w:val="left"/>
              <w:rPr>
                <w:rFonts w:ascii="黑体" w:hAnsi="黑体" w:eastAsia="黑体" w:cs="宋体"/>
                <w:snapToGrid w:val="0"/>
                <w:color w:val="auto"/>
                <w:spacing w:val="-6"/>
                <w:kern w:val="21"/>
                <w:sz w:val="24"/>
                <w:szCs w:val="24"/>
              </w:rPr>
            </w:pPr>
            <w:r>
              <w:rPr>
                <w:rFonts w:hint="eastAsia" w:ascii="黑体" w:hAnsi="黑体" w:eastAsia="黑体" w:cs="宋体"/>
                <w:snapToGrid w:val="0"/>
                <w:color w:val="auto"/>
                <w:spacing w:val="-6"/>
                <w:kern w:val="21"/>
                <w:sz w:val="24"/>
                <w:szCs w:val="24"/>
              </w:rPr>
              <w:t>分类</w:t>
            </w:r>
          </w:p>
        </w:tc>
        <w:tc>
          <w:tcPr>
            <w:tcW w:w="1695" w:type="dxa"/>
            <w:tcMar>
              <w:left w:w="28" w:type="dxa"/>
              <w:right w:w="28" w:type="dxa"/>
            </w:tcMar>
            <w:vAlign w:val="center"/>
          </w:tcPr>
          <w:p w14:paraId="077A7B62">
            <w:pPr>
              <w:pStyle w:val="34"/>
              <w:spacing w:before="31" w:after="31" w:line="240" w:lineRule="auto"/>
              <w:ind w:firstLine="0" w:firstLineChars="0"/>
              <w:rPr>
                <w:rFonts w:ascii="黑体" w:hAnsi="黑体" w:eastAsia="黑体" w:cs="宋体"/>
                <w:snapToGrid w:val="0"/>
                <w:color w:val="auto"/>
                <w:spacing w:val="-6"/>
                <w:kern w:val="21"/>
                <w:sz w:val="24"/>
                <w:szCs w:val="24"/>
              </w:rPr>
            </w:pPr>
            <w:r>
              <w:rPr>
                <w:rFonts w:hint="eastAsia" w:ascii="黑体" w:hAnsi="黑体" w:eastAsia="黑体" w:cs="宋体"/>
                <w:snapToGrid w:val="0"/>
                <w:color w:val="auto"/>
                <w:spacing w:val="-6"/>
                <w:kern w:val="21"/>
                <w:sz w:val="24"/>
                <w:szCs w:val="24"/>
              </w:rPr>
              <w:t>污染物名称</w:t>
            </w:r>
          </w:p>
        </w:tc>
        <w:tc>
          <w:tcPr>
            <w:tcW w:w="1486" w:type="dxa"/>
            <w:tcMar>
              <w:left w:w="28" w:type="dxa"/>
              <w:right w:w="28" w:type="dxa"/>
            </w:tcMar>
            <w:vAlign w:val="center"/>
          </w:tcPr>
          <w:p w14:paraId="31D6408C">
            <w:pPr>
              <w:pStyle w:val="34"/>
              <w:spacing w:before="31" w:after="31" w:line="240" w:lineRule="auto"/>
              <w:ind w:firstLine="0" w:firstLineChars="0"/>
              <w:rPr>
                <w:rFonts w:ascii="黑体" w:hAnsi="黑体" w:eastAsia="黑体" w:cs="Times New Roman"/>
                <w:snapToGrid w:val="0"/>
                <w:color w:val="auto"/>
                <w:spacing w:val="-6"/>
                <w:kern w:val="21"/>
                <w:sz w:val="24"/>
                <w:szCs w:val="24"/>
              </w:rPr>
            </w:pPr>
            <w:r>
              <w:rPr>
                <w:rFonts w:ascii="黑体" w:hAnsi="黑体" w:eastAsia="黑体" w:cs="Times New Roman"/>
                <w:snapToGrid w:val="0"/>
                <w:color w:val="auto"/>
                <w:spacing w:val="-6"/>
                <w:kern w:val="21"/>
                <w:sz w:val="24"/>
                <w:szCs w:val="24"/>
              </w:rPr>
              <w:t>现有工程排放量（固</w:t>
            </w:r>
            <w:r>
              <w:rPr>
                <w:rFonts w:hint="eastAsia" w:ascii="黑体" w:hAnsi="黑体" w:eastAsia="黑体" w:cs="Times New Roman"/>
                <w:snapToGrid w:val="0"/>
                <w:color w:val="auto"/>
                <w:spacing w:val="-6"/>
                <w:kern w:val="21"/>
                <w:sz w:val="24"/>
                <w:szCs w:val="24"/>
              </w:rPr>
              <w:t>体</w:t>
            </w:r>
            <w:r>
              <w:rPr>
                <w:rFonts w:ascii="黑体" w:hAnsi="黑体" w:eastAsia="黑体" w:cs="Times New Roman"/>
                <w:snapToGrid w:val="0"/>
                <w:color w:val="auto"/>
                <w:spacing w:val="-6"/>
                <w:kern w:val="21"/>
                <w:sz w:val="24"/>
                <w:szCs w:val="24"/>
              </w:rPr>
              <w:t>废</w:t>
            </w:r>
            <w:r>
              <w:rPr>
                <w:rFonts w:hint="eastAsia" w:ascii="黑体" w:hAnsi="黑体" w:eastAsia="黑体" w:cs="Times New Roman"/>
                <w:snapToGrid w:val="0"/>
                <w:color w:val="auto"/>
                <w:spacing w:val="-6"/>
                <w:kern w:val="21"/>
                <w:sz w:val="24"/>
                <w:szCs w:val="24"/>
              </w:rPr>
              <w:t>物</w:t>
            </w:r>
            <w:r>
              <w:rPr>
                <w:rFonts w:ascii="黑体" w:hAnsi="黑体" w:eastAsia="黑体" w:cs="Times New Roman"/>
                <w:snapToGrid w:val="0"/>
                <w:color w:val="auto"/>
                <w:spacing w:val="-6"/>
                <w:kern w:val="21"/>
                <w:sz w:val="24"/>
                <w:szCs w:val="24"/>
              </w:rPr>
              <w:t>产生量）</w:t>
            </w:r>
            <w:r>
              <w:rPr>
                <w:rFonts w:ascii="黑体" w:hAnsi="黑体" w:eastAsia="黑体" w:cs="Times New Roman"/>
                <w:snapToGrid w:val="0"/>
                <w:color w:val="auto"/>
                <w:spacing w:val="-6"/>
                <w:kern w:val="21"/>
                <w:sz w:val="24"/>
                <w:szCs w:val="24"/>
              </w:rPr>
              <w:fldChar w:fldCharType="begin"/>
            </w:r>
            <w:r>
              <w:rPr>
                <w:rFonts w:ascii="黑体" w:hAnsi="黑体" w:eastAsia="黑体" w:cs="Times New Roman"/>
                <w:snapToGrid w:val="0"/>
                <w:color w:val="auto"/>
                <w:spacing w:val="-6"/>
                <w:kern w:val="21"/>
                <w:sz w:val="24"/>
                <w:szCs w:val="24"/>
              </w:rPr>
              <w:instrText xml:space="preserve"> = 1 \* GB3 \* MERGEFORMAT </w:instrText>
            </w:r>
            <w:r>
              <w:rPr>
                <w:rFonts w:ascii="黑体" w:hAnsi="黑体" w:eastAsia="黑体" w:cs="Times New Roman"/>
                <w:snapToGrid w:val="0"/>
                <w:color w:val="auto"/>
                <w:spacing w:val="-6"/>
                <w:kern w:val="21"/>
                <w:sz w:val="24"/>
                <w:szCs w:val="24"/>
              </w:rPr>
              <w:fldChar w:fldCharType="separate"/>
            </w:r>
            <w:r>
              <w:rPr>
                <w:rFonts w:hint="eastAsia" w:ascii="黑体" w:hAnsi="黑体" w:eastAsia="黑体" w:cs="宋体"/>
                <w:color w:val="auto"/>
                <w:kern w:val="2"/>
                <w:sz w:val="24"/>
                <w:szCs w:val="24"/>
              </w:rPr>
              <w:t>①</w:t>
            </w:r>
            <w:r>
              <w:rPr>
                <w:rFonts w:ascii="黑体" w:hAnsi="黑体" w:eastAsia="黑体" w:cs="Times New Roman"/>
                <w:snapToGrid w:val="0"/>
                <w:color w:val="auto"/>
                <w:spacing w:val="-6"/>
                <w:kern w:val="21"/>
                <w:sz w:val="24"/>
                <w:szCs w:val="24"/>
              </w:rPr>
              <w:fldChar w:fldCharType="end"/>
            </w:r>
          </w:p>
        </w:tc>
        <w:tc>
          <w:tcPr>
            <w:tcW w:w="1066" w:type="dxa"/>
            <w:tcMar>
              <w:left w:w="28" w:type="dxa"/>
              <w:right w:w="28" w:type="dxa"/>
            </w:tcMar>
            <w:vAlign w:val="center"/>
          </w:tcPr>
          <w:p w14:paraId="2AB3D010">
            <w:pPr>
              <w:pStyle w:val="34"/>
              <w:spacing w:before="31" w:after="31" w:line="240" w:lineRule="auto"/>
              <w:ind w:firstLine="0" w:firstLineChars="0"/>
              <w:rPr>
                <w:rFonts w:ascii="黑体" w:hAnsi="黑体" w:eastAsia="黑体" w:cs="Times New Roman"/>
                <w:snapToGrid w:val="0"/>
                <w:color w:val="auto"/>
                <w:spacing w:val="-6"/>
                <w:kern w:val="21"/>
                <w:sz w:val="24"/>
                <w:szCs w:val="24"/>
              </w:rPr>
            </w:pPr>
            <w:r>
              <w:rPr>
                <w:rFonts w:ascii="黑体" w:hAnsi="黑体" w:eastAsia="黑体" w:cs="Times New Roman"/>
                <w:snapToGrid w:val="0"/>
                <w:color w:val="auto"/>
                <w:spacing w:val="-6"/>
                <w:kern w:val="21"/>
                <w:sz w:val="24"/>
                <w:szCs w:val="24"/>
              </w:rPr>
              <w:t>现有工程许可排放量</w:t>
            </w:r>
            <w:r>
              <w:rPr>
                <w:rFonts w:ascii="黑体" w:hAnsi="黑体" w:eastAsia="黑体" w:cs="Times New Roman"/>
                <w:snapToGrid w:val="0"/>
                <w:color w:val="auto"/>
                <w:spacing w:val="-6"/>
                <w:kern w:val="21"/>
                <w:sz w:val="24"/>
                <w:szCs w:val="24"/>
              </w:rPr>
              <w:fldChar w:fldCharType="begin"/>
            </w:r>
            <w:r>
              <w:rPr>
                <w:rFonts w:ascii="黑体" w:hAnsi="黑体" w:eastAsia="黑体" w:cs="Times New Roman"/>
                <w:snapToGrid w:val="0"/>
                <w:color w:val="auto"/>
                <w:spacing w:val="-6"/>
                <w:kern w:val="21"/>
                <w:sz w:val="24"/>
                <w:szCs w:val="24"/>
              </w:rPr>
              <w:instrText xml:space="preserve"> = 2 \* GB3 \* MERGEFORMAT </w:instrText>
            </w:r>
            <w:r>
              <w:rPr>
                <w:rFonts w:ascii="黑体" w:hAnsi="黑体" w:eastAsia="黑体" w:cs="Times New Roman"/>
                <w:snapToGrid w:val="0"/>
                <w:color w:val="auto"/>
                <w:spacing w:val="-6"/>
                <w:kern w:val="21"/>
                <w:sz w:val="24"/>
                <w:szCs w:val="24"/>
              </w:rPr>
              <w:fldChar w:fldCharType="separate"/>
            </w:r>
            <w:r>
              <w:rPr>
                <w:rFonts w:hint="eastAsia" w:ascii="黑体" w:hAnsi="黑体" w:eastAsia="黑体" w:cs="宋体"/>
                <w:snapToGrid w:val="0"/>
                <w:color w:val="auto"/>
                <w:spacing w:val="-6"/>
                <w:kern w:val="21"/>
                <w:sz w:val="24"/>
                <w:szCs w:val="24"/>
              </w:rPr>
              <w:t>②</w:t>
            </w:r>
            <w:r>
              <w:rPr>
                <w:rFonts w:ascii="黑体" w:hAnsi="黑体" w:eastAsia="黑体" w:cs="Times New Roman"/>
                <w:snapToGrid w:val="0"/>
                <w:color w:val="auto"/>
                <w:spacing w:val="-6"/>
                <w:kern w:val="21"/>
                <w:sz w:val="24"/>
                <w:szCs w:val="24"/>
              </w:rPr>
              <w:fldChar w:fldCharType="end"/>
            </w:r>
          </w:p>
        </w:tc>
        <w:tc>
          <w:tcPr>
            <w:tcW w:w="1567" w:type="dxa"/>
            <w:tcMar>
              <w:left w:w="28" w:type="dxa"/>
              <w:right w:w="28" w:type="dxa"/>
            </w:tcMar>
            <w:vAlign w:val="center"/>
          </w:tcPr>
          <w:p w14:paraId="7AC35948">
            <w:pPr>
              <w:pStyle w:val="34"/>
              <w:spacing w:before="31" w:after="31" w:line="240" w:lineRule="auto"/>
              <w:ind w:firstLine="0" w:firstLineChars="0"/>
              <w:rPr>
                <w:rFonts w:ascii="黑体" w:hAnsi="黑体" w:eastAsia="黑体" w:cs="Times New Roman"/>
                <w:snapToGrid w:val="0"/>
                <w:color w:val="auto"/>
                <w:spacing w:val="-6"/>
                <w:kern w:val="21"/>
                <w:sz w:val="24"/>
                <w:szCs w:val="24"/>
              </w:rPr>
            </w:pPr>
            <w:r>
              <w:rPr>
                <w:rFonts w:ascii="黑体" w:hAnsi="黑体" w:eastAsia="黑体" w:cs="Times New Roman"/>
                <w:snapToGrid w:val="0"/>
                <w:color w:val="auto"/>
                <w:spacing w:val="-6"/>
                <w:kern w:val="21"/>
                <w:sz w:val="24"/>
                <w:szCs w:val="24"/>
              </w:rPr>
              <w:t>在建工程排放量（固</w:t>
            </w:r>
            <w:r>
              <w:rPr>
                <w:rFonts w:hint="eastAsia" w:ascii="黑体" w:hAnsi="黑体" w:eastAsia="黑体" w:cs="Times New Roman"/>
                <w:snapToGrid w:val="0"/>
                <w:color w:val="auto"/>
                <w:spacing w:val="-6"/>
                <w:kern w:val="21"/>
                <w:sz w:val="24"/>
                <w:szCs w:val="24"/>
              </w:rPr>
              <w:t>体</w:t>
            </w:r>
            <w:r>
              <w:rPr>
                <w:rFonts w:ascii="黑体" w:hAnsi="黑体" w:eastAsia="黑体" w:cs="Times New Roman"/>
                <w:snapToGrid w:val="0"/>
                <w:color w:val="auto"/>
                <w:spacing w:val="-6"/>
                <w:kern w:val="21"/>
                <w:sz w:val="24"/>
                <w:szCs w:val="24"/>
              </w:rPr>
              <w:t>废</w:t>
            </w:r>
            <w:r>
              <w:rPr>
                <w:rFonts w:hint="eastAsia" w:ascii="黑体" w:hAnsi="黑体" w:eastAsia="黑体" w:cs="Times New Roman"/>
                <w:snapToGrid w:val="0"/>
                <w:color w:val="auto"/>
                <w:spacing w:val="-6"/>
                <w:kern w:val="21"/>
                <w:sz w:val="24"/>
                <w:szCs w:val="24"/>
              </w:rPr>
              <w:t>物</w:t>
            </w:r>
            <w:r>
              <w:rPr>
                <w:rFonts w:ascii="黑体" w:hAnsi="黑体" w:eastAsia="黑体" w:cs="Times New Roman"/>
                <w:snapToGrid w:val="0"/>
                <w:color w:val="auto"/>
                <w:spacing w:val="-6"/>
                <w:kern w:val="21"/>
                <w:sz w:val="24"/>
                <w:szCs w:val="24"/>
              </w:rPr>
              <w:t>产生量）</w:t>
            </w:r>
            <w:r>
              <w:rPr>
                <w:rFonts w:ascii="黑体" w:hAnsi="黑体" w:eastAsia="黑体" w:cs="Times New Roman"/>
                <w:snapToGrid w:val="0"/>
                <w:color w:val="auto"/>
                <w:spacing w:val="-6"/>
                <w:kern w:val="21"/>
                <w:sz w:val="24"/>
                <w:szCs w:val="24"/>
              </w:rPr>
              <w:fldChar w:fldCharType="begin"/>
            </w:r>
            <w:r>
              <w:rPr>
                <w:rFonts w:ascii="黑体" w:hAnsi="黑体" w:eastAsia="黑体" w:cs="Times New Roman"/>
                <w:snapToGrid w:val="0"/>
                <w:color w:val="auto"/>
                <w:spacing w:val="-6"/>
                <w:kern w:val="21"/>
                <w:sz w:val="24"/>
                <w:szCs w:val="24"/>
              </w:rPr>
              <w:instrText xml:space="preserve"> = 3 \* GB3 \* MERGEFORMAT </w:instrText>
            </w:r>
            <w:r>
              <w:rPr>
                <w:rFonts w:ascii="黑体" w:hAnsi="黑体" w:eastAsia="黑体" w:cs="Times New Roman"/>
                <w:snapToGrid w:val="0"/>
                <w:color w:val="auto"/>
                <w:spacing w:val="-6"/>
                <w:kern w:val="21"/>
                <w:sz w:val="24"/>
                <w:szCs w:val="24"/>
              </w:rPr>
              <w:fldChar w:fldCharType="separate"/>
            </w:r>
            <w:r>
              <w:rPr>
                <w:rFonts w:hint="eastAsia" w:ascii="黑体" w:hAnsi="黑体" w:eastAsia="黑体" w:cs="宋体"/>
                <w:color w:val="auto"/>
                <w:kern w:val="2"/>
                <w:sz w:val="24"/>
                <w:szCs w:val="24"/>
              </w:rPr>
              <w:t>③</w:t>
            </w:r>
            <w:r>
              <w:rPr>
                <w:rFonts w:ascii="黑体" w:hAnsi="黑体" w:eastAsia="黑体" w:cs="Times New Roman"/>
                <w:snapToGrid w:val="0"/>
                <w:color w:val="auto"/>
                <w:spacing w:val="-6"/>
                <w:kern w:val="21"/>
                <w:sz w:val="24"/>
                <w:szCs w:val="24"/>
              </w:rPr>
              <w:fldChar w:fldCharType="end"/>
            </w:r>
          </w:p>
        </w:tc>
        <w:tc>
          <w:tcPr>
            <w:tcW w:w="1750" w:type="dxa"/>
            <w:tcMar>
              <w:left w:w="28" w:type="dxa"/>
              <w:right w:w="28" w:type="dxa"/>
            </w:tcMar>
            <w:vAlign w:val="center"/>
          </w:tcPr>
          <w:p w14:paraId="11E4D94A">
            <w:pPr>
              <w:pStyle w:val="34"/>
              <w:spacing w:before="31" w:after="31" w:line="240" w:lineRule="auto"/>
              <w:ind w:firstLine="0" w:firstLineChars="0"/>
              <w:rPr>
                <w:rFonts w:ascii="黑体" w:hAnsi="黑体" w:eastAsia="黑体" w:cs="Times New Roman"/>
                <w:snapToGrid w:val="0"/>
                <w:color w:val="auto"/>
                <w:spacing w:val="-6"/>
                <w:kern w:val="21"/>
                <w:sz w:val="24"/>
                <w:szCs w:val="24"/>
              </w:rPr>
            </w:pPr>
            <w:r>
              <w:rPr>
                <w:rFonts w:ascii="黑体" w:hAnsi="黑体" w:eastAsia="黑体" w:cs="Times New Roman"/>
                <w:snapToGrid w:val="0"/>
                <w:color w:val="auto"/>
                <w:spacing w:val="-6"/>
                <w:kern w:val="21"/>
                <w:sz w:val="24"/>
                <w:szCs w:val="24"/>
              </w:rPr>
              <w:t>本项目排放量（固</w:t>
            </w:r>
            <w:r>
              <w:rPr>
                <w:rFonts w:hint="eastAsia" w:ascii="黑体" w:hAnsi="黑体" w:eastAsia="黑体" w:cs="Times New Roman"/>
                <w:snapToGrid w:val="0"/>
                <w:color w:val="auto"/>
                <w:spacing w:val="-6"/>
                <w:kern w:val="21"/>
                <w:sz w:val="24"/>
                <w:szCs w:val="24"/>
              </w:rPr>
              <w:t>体</w:t>
            </w:r>
            <w:r>
              <w:rPr>
                <w:rFonts w:ascii="黑体" w:hAnsi="黑体" w:eastAsia="黑体" w:cs="Times New Roman"/>
                <w:snapToGrid w:val="0"/>
                <w:color w:val="auto"/>
                <w:spacing w:val="-6"/>
                <w:kern w:val="21"/>
                <w:sz w:val="24"/>
                <w:szCs w:val="24"/>
              </w:rPr>
              <w:t>废</w:t>
            </w:r>
            <w:r>
              <w:rPr>
                <w:rFonts w:hint="eastAsia" w:ascii="黑体" w:hAnsi="黑体" w:eastAsia="黑体" w:cs="Times New Roman"/>
                <w:snapToGrid w:val="0"/>
                <w:color w:val="auto"/>
                <w:spacing w:val="-6"/>
                <w:kern w:val="21"/>
                <w:sz w:val="24"/>
                <w:szCs w:val="24"/>
              </w:rPr>
              <w:t>物</w:t>
            </w:r>
            <w:r>
              <w:rPr>
                <w:rFonts w:ascii="黑体" w:hAnsi="黑体" w:eastAsia="黑体" w:cs="Times New Roman"/>
                <w:snapToGrid w:val="0"/>
                <w:color w:val="auto"/>
                <w:spacing w:val="-6"/>
                <w:kern w:val="21"/>
                <w:sz w:val="24"/>
                <w:szCs w:val="24"/>
              </w:rPr>
              <w:t>产生量）</w:t>
            </w:r>
            <w:r>
              <w:rPr>
                <w:rFonts w:ascii="黑体" w:hAnsi="黑体" w:eastAsia="黑体" w:cs="Times New Roman"/>
                <w:snapToGrid w:val="0"/>
                <w:color w:val="auto"/>
                <w:spacing w:val="-6"/>
                <w:kern w:val="21"/>
                <w:sz w:val="24"/>
                <w:szCs w:val="24"/>
              </w:rPr>
              <w:fldChar w:fldCharType="begin"/>
            </w:r>
            <w:r>
              <w:rPr>
                <w:rFonts w:ascii="黑体" w:hAnsi="黑体" w:eastAsia="黑体" w:cs="Times New Roman"/>
                <w:snapToGrid w:val="0"/>
                <w:color w:val="auto"/>
                <w:spacing w:val="-6"/>
                <w:kern w:val="21"/>
                <w:sz w:val="24"/>
                <w:szCs w:val="24"/>
              </w:rPr>
              <w:instrText xml:space="preserve"> = 4 \* GB3 \* MERGEFORMAT </w:instrText>
            </w:r>
            <w:r>
              <w:rPr>
                <w:rFonts w:ascii="黑体" w:hAnsi="黑体" w:eastAsia="黑体" w:cs="Times New Roman"/>
                <w:snapToGrid w:val="0"/>
                <w:color w:val="auto"/>
                <w:spacing w:val="-6"/>
                <w:kern w:val="21"/>
                <w:sz w:val="24"/>
                <w:szCs w:val="24"/>
              </w:rPr>
              <w:fldChar w:fldCharType="separate"/>
            </w:r>
            <w:r>
              <w:rPr>
                <w:rFonts w:hint="eastAsia" w:ascii="黑体" w:hAnsi="黑体" w:eastAsia="黑体" w:cs="宋体"/>
                <w:color w:val="auto"/>
                <w:kern w:val="2"/>
                <w:sz w:val="24"/>
                <w:szCs w:val="24"/>
              </w:rPr>
              <w:t>④</w:t>
            </w:r>
            <w:r>
              <w:rPr>
                <w:rFonts w:ascii="黑体" w:hAnsi="黑体" w:eastAsia="黑体" w:cs="Times New Roman"/>
                <w:snapToGrid w:val="0"/>
                <w:color w:val="auto"/>
                <w:spacing w:val="-6"/>
                <w:kern w:val="21"/>
                <w:sz w:val="24"/>
                <w:szCs w:val="24"/>
              </w:rPr>
              <w:fldChar w:fldCharType="end"/>
            </w:r>
          </w:p>
        </w:tc>
        <w:tc>
          <w:tcPr>
            <w:tcW w:w="1350" w:type="dxa"/>
            <w:tcMar>
              <w:left w:w="28" w:type="dxa"/>
              <w:right w:w="28" w:type="dxa"/>
            </w:tcMar>
            <w:vAlign w:val="center"/>
          </w:tcPr>
          <w:p w14:paraId="653C5AC0">
            <w:pPr>
              <w:pStyle w:val="34"/>
              <w:spacing w:before="31" w:after="31" w:line="240" w:lineRule="auto"/>
              <w:ind w:firstLine="0" w:firstLineChars="0"/>
              <w:rPr>
                <w:rFonts w:ascii="黑体" w:hAnsi="黑体" w:eastAsia="黑体" w:cs="Times New Roman"/>
                <w:snapToGrid w:val="0"/>
                <w:color w:val="auto"/>
                <w:spacing w:val="-16"/>
                <w:kern w:val="21"/>
                <w:sz w:val="24"/>
                <w:szCs w:val="24"/>
              </w:rPr>
            </w:pPr>
            <w:r>
              <w:rPr>
                <w:rFonts w:ascii="黑体" w:hAnsi="黑体" w:eastAsia="黑体" w:cs="Times New Roman"/>
                <w:snapToGrid w:val="0"/>
                <w:color w:val="auto"/>
                <w:spacing w:val="-16"/>
                <w:kern w:val="21"/>
                <w:sz w:val="24"/>
                <w:szCs w:val="24"/>
              </w:rPr>
              <w:t>以新带老削减量（新建项目不填）</w:t>
            </w:r>
            <w:r>
              <w:rPr>
                <w:rFonts w:ascii="黑体" w:hAnsi="黑体" w:eastAsia="黑体" w:cs="Times New Roman"/>
                <w:snapToGrid w:val="0"/>
                <w:color w:val="auto"/>
                <w:spacing w:val="-16"/>
                <w:kern w:val="21"/>
                <w:sz w:val="24"/>
                <w:szCs w:val="24"/>
              </w:rPr>
              <w:fldChar w:fldCharType="begin"/>
            </w:r>
            <w:r>
              <w:rPr>
                <w:rFonts w:ascii="黑体" w:hAnsi="黑体" w:eastAsia="黑体" w:cs="Times New Roman"/>
                <w:snapToGrid w:val="0"/>
                <w:color w:val="auto"/>
                <w:spacing w:val="-16"/>
                <w:kern w:val="21"/>
                <w:sz w:val="24"/>
                <w:szCs w:val="24"/>
              </w:rPr>
              <w:instrText xml:space="preserve"> = 5 \* GB3 \* MERGEFORMAT </w:instrText>
            </w:r>
            <w:r>
              <w:rPr>
                <w:rFonts w:ascii="黑体" w:hAnsi="黑体" w:eastAsia="黑体" w:cs="Times New Roman"/>
                <w:snapToGrid w:val="0"/>
                <w:color w:val="auto"/>
                <w:spacing w:val="-16"/>
                <w:kern w:val="21"/>
                <w:sz w:val="24"/>
                <w:szCs w:val="24"/>
              </w:rPr>
              <w:fldChar w:fldCharType="separate"/>
            </w:r>
            <w:r>
              <w:rPr>
                <w:rFonts w:hint="eastAsia" w:ascii="黑体" w:hAnsi="黑体" w:eastAsia="黑体" w:cs="宋体"/>
                <w:color w:val="auto"/>
                <w:kern w:val="2"/>
                <w:sz w:val="24"/>
                <w:szCs w:val="24"/>
              </w:rPr>
              <w:t>⑤</w:t>
            </w:r>
            <w:r>
              <w:rPr>
                <w:rFonts w:ascii="黑体" w:hAnsi="黑体" w:eastAsia="黑体" w:cs="Times New Roman"/>
                <w:snapToGrid w:val="0"/>
                <w:color w:val="auto"/>
                <w:spacing w:val="-16"/>
                <w:kern w:val="21"/>
                <w:sz w:val="24"/>
                <w:szCs w:val="24"/>
              </w:rPr>
              <w:fldChar w:fldCharType="end"/>
            </w:r>
          </w:p>
        </w:tc>
        <w:tc>
          <w:tcPr>
            <w:tcW w:w="1817" w:type="dxa"/>
            <w:tcMar>
              <w:left w:w="28" w:type="dxa"/>
              <w:right w:w="28" w:type="dxa"/>
            </w:tcMar>
            <w:vAlign w:val="center"/>
          </w:tcPr>
          <w:p w14:paraId="71B397CB">
            <w:pPr>
              <w:pStyle w:val="34"/>
              <w:spacing w:before="31" w:after="31" w:line="240" w:lineRule="auto"/>
              <w:ind w:firstLine="0" w:firstLineChars="0"/>
              <w:rPr>
                <w:rFonts w:ascii="黑体" w:hAnsi="黑体" w:eastAsia="黑体" w:cs="Times New Roman"/>
                <w:snapToGrid w:val="0"/>
                <w:color w:val="auto"/>
                <w:spacing w:val="-16"/>
                <w:kern w:val="21"/>
                <w:sz w:val="24"/>
                <w:szCs w:val="24"/>
              </w:rPr>
            </w:pPr>
            <w:r>
              <w:rPr>
                <w:rFonts w:ascii="黑体" w:hAnsi="黑体" w:eastAsia="黑体" w:cs="Times New Roman"/>
                <w:snapToGrid w:val="0"/>
                <w:color w:val="auto"/>
                <w:spacing w:val="-16"/>
                <w:kern w:val="21"/>
                <w:sz w:val="24"/>
                <w:szCs w:val="24"/>
              </w:rPr>
              <w:t>本项目建成后</w:t>
            </w:r>
            <w:r>
              <w:rPr>
                <w:rFonts w:hint="eastAsia" w:ascii="黑体" w:hAnsi="黑体" w:eastAsia="黑体" w:cs="Times New Roman"/>
                <w:snapToGrid w:val="0"/>
                <w:color w:val="auto"/>
                <w:spacing w:val="-16"/>
                <w:kern w:val="21"/>
                <w:sz w:val="24"/>
                <w:szCs w:val="24"/>
              </w:rPr>
              <w:t>全厂</w:t>
            </w:r>
            <w:r>
              <w:rPr>
                <w:rFonts w:ascii="黑体" w:hAnsi="黑体" w:eastAsia="黑体" w:cs="Times New Roman"/>
                <w:snapToGrid w:val="0"/>
                <w:color w:val="auto"/>
                <w:spacing w:val="-16"/>
                <w:kern w:val="21"/>
                <w:sz w:val="24"/>
                <w:szCs w:val="24"/>
              </w:rPr>
              <w:t>排放量（固</w:t>
            </w:r>
            <w:r>
              <w:rPr>
                <w:rFonts w:hint="eastAsia" w:ascii="黑体" w:hAnsi="黑体" w:eastAsia="黑体" w:cs="Times New Roman"/>
                <w:snapToGrid w:val="0"/>
                <w:color w:val="auto"/>
                <w:spacing w:val="-16"/>
                <w:kern w:val="21"/>
                <w:sz w:val="24"/>
                <w:szCs w:val="24"/>
              </w:rPr>
              <w:t>体</w:t>
            </w:r>
            <w:r>
              <w:rPr>
                <w:rFonts w:ascii="黑体" w:hAnsi="黑体" w:eastAsia="黑体" w:cs="Times New Roman"/>
                <w:snapToGrid w:val="0"/>
                <w:color w:val="auto"/>
                <w:spacing w:val="-16"/>
                <w:kern w:val="21"/>
                <w:sz w:val="24"/>
                <w:szCs w:val="24"/>
              </w:rPr>
              <w:t>废</w:t>
            </w:r>
            <w:r>
              <w:rPr>
                <w:rFonts w:hint="eastAsia" w:ascii="黑体" w:hAnsi="黑体" w:eastAsia="黑体" w:cs="Times New Roman"/>
                <w:snapToGrid w:val="0"/>
                <w:color w:val="auto"/>
                <w:spacing w:val="-16"/>
                <w:kern w:val="21"/>
                <w:sz w:val="24"/>
                <w:szCs w:val="24"/>
              </w:rPr>
              <w:t>物</w:t>
            </w:r>
            <w:r>
              <w:rPr>
                <w:rFonts w:ascii="黑体" w:hAnsi="黑体" w:eastAsia="黑体" w:cs="Times New Roman"/>
                <w:snapToGrid w:val="0"/>
                <w:color w:val="auto"/>
                <w:spacing w:val="-16"/>
                <w:kern w:val="21"/>
                <w:sz w:val="24"/>
                <w:szCs w:val="24"/>
              </w:rPr>
              <w:t>产生量）</w:t>
            </w:r>
            <w:r>
              <w:rPr>
                <w:rFonts w:ascii="黑体" w:hAnsi="黑体" w:eastAsia="黑体" w:cs="Times New Roman"/>
                <w:snapToGrid w:val="0"/>
                <w:color w:val="auto"/>
                <w:spacing w:val="-16"/>
                <w:kern w:val="21"/>
                <w:sz w:val="24"/>
                <w:szCs w:val="24"/>
              </w:rPr>
              <w:fldChar w:fldCharType="begin"/>
            </w:r>
            <w:r>
              <w:rPr>
                <w:rFonts w:ascii="黑体" w:hAnsi="黑体" w:eastAsia="黑体" w:cs="Times New Roman"/>
                <w:snapToGrid w:val="0"/>
                <w:color w:val="auto"/>
                <w:spacing w:val="-16"/>
                <w:kern w:val="21"/>
                <w:sz w:val="24"/>
                <w:szCs w:val="24"/>
              </w:rPr>
              <w:instrText xml:space="preserve"> = 6 \* GB3 \* MERGEFORMAT </w:instrText>
            </w:r>
            <w:r>
              <w:rPr>
                <w:rFonts w:ascii="黑体" w:hAnsi="黑体" w:eastAsia="黑体" w:cs="Times New Roman"/>
                <w:snapToGrid w:val="0"/>
                <w:color w:val="auto"/>
                <w:spacing w:val="-16"/>
                <w:kern w:val="21"/>
                <w:sz w:val="24"/>
                <w:szCs w:val="24"/>
              </w:rPr>
              <w:fldChar w:fldCharType="separate"/>
            </w:r>
            <w:r>
              <w:rPr>
                <w:rFonts w:hint="eastAsia" w:ascii="黑体" w:hAnsi="黑体" w:eastAsia="黑体" w:cs="宋体"/>
                <w:color w:val="auto"/>
                <w:kern w:val="2"/>
                <w:sz w:val="24"/>
                <w:szCs w:val="24"/>
              </w:rPr>
              <w:t>⑥</w:t>
            </w:r>
            <w:r>
              <w:rPr>
                <w:rFonts w:ascii="黑体" w:hAnsi="黑体" w:eastAsia="黑体" w:cs="Times New Roman"/>
                <w:snapToGrid w:val="0"/>
                <w:color w:val="auto"/>
                <w:spacing w:val="-16"/>
                <w:kern w:val="21"/>
                <w:sz w:val="24"/>
                <w:szCs w:val="24"/>
              </w:rPr>
              <w:fldChar w:fldCharType="end"/>
            </w:r>
          </w:p>
        </w:tc>
        <w:tc>
          <w:tcPr>
            <w:tcW w:w="1856" w:type="dxa"/>
            <w:tcMar>
              <w:left w:w="28" w:type="dxa"/>
              <w:right w:w="28" w:type="dxa"/>
            </w:tcMar>
            <w:vAlign w:val="center"/>
          </w:tcPr>
          <w:p w14:paraId="52AF3DFD">
            <w:pPr>
              <w:pStyle w:val="34"/>
              <w:spacing w:before="31" w:after="31" w:line="240" w:lineRule="auto"/>
              <w:ind w:firstLine="0" w:firstLineChars="0"/>
              <w:rPr>
                <w:rFonts w:ascii="黑体" w:hAnsi="黑体" w:eastAsia="黑体" w:cs="Times New Roman"/>
                <w:snapToGrid w:val="0"/>
                <w:color w:val="auto"/>
                <w:spacing w:val="-6"/>
                <w:kern w:val="21"/>
                <w:sz w:val="24"/>
                <w:szCs w:val="24"/>
              </w:rPr>
            </w:pPr>
            <w:r>
              <w:rPr>
                <w:rFonts w:ascii="黑体" w:hAnsi="黑体" w:eastAsia="黑体" w:cs="Times New Roman"/>
                <w:snapToGrid w:val="0"/>
                <w:color w:val="auto"/>
                <w:spacing w:val="-6"/>
                <w:kern w:val="21"/>
                <w:sz w:val="24"/>
                <w:szCs w:val="24"/>
              </w:rPr>
              <w:t>变化量</w:t>
            </w:r>
          </w:p>
          <w:p w14:paraId="001FCA79">
            <w:pPr>
              <w:pStyle w:val="34"/>
              <w:spacing w:before="31" w:after="31" w:line="240" w:lineRule="auto"/>
              <w:ind w:firstLine="0" w:firstLineChars="0"/>
              <w:rPr>
                <w:rFonts w:ascii="黑体" w:hAnsi="黑体" w:eastAsia="黑体" w:cs="Times New Roman"/>
                <w:snapToGrid w:val="0"/>
                <w:color w:val="auto"/>
                <w:spacing w:val="-6"/>
                <w:kern w:val="21"/>
                <w:sz w:val="24"/>
                <w:szCs w:val="24"/>
              </w:rPr>
            </w:pPr>
            <w:r>
              <w:rPr>
                <w:rFonts w:ascii="黑体" w:hAnsi="黑体" w:eastAsia="黑体" w:cs="Times New Roman"/>
                <w:snapToGrid w:val="0"/>
                <w:color w:val="auto"/>
                <w:spacing w:val="-6"/>
                <w:kern w:val="21"/>
                <w:sz w:val="24"/>
                <w:szCs w:val="24"/>
              </w:rPr>
              <w:fldChar w:fldCharType="begin"/>
            </w:r>
            <w:r>
              <w:rPr>
                <w:rFonts w:ascii="黑体" w:hAnsi="黑体" w:eastAsia="黑体" w:cs="Times New Roman"/>
                <w:snapToGrid w:val="0"/>
                <w:color w:val="auto"/>
                <w:spacing w:val="-6"/>
                <w:kern w:val="21"/>
                <w:sz w:val="24"/>
                <w:szCs w:val="24"/>
              </w:rPr>
              <w:instrText xml:space="preserve"> = 7 \* GB3 \* MERGEFORMAT </w:instrText>
            </w:r>
            <w:r>
              <w:rPr>
                <w:rFonts w:ascii="黑体" w:hAnsi="黑体" w:eastAsia="黑体" w:cs="Times New Roman"/>
                <w:snapToGrid w:val="0"/>
                <w:color w:val="auto"/>
                <w:spacing w:val="-6"/>
                <w:kern w:val="21"/>
                <w:sz w:val="24"/>
                <w:szCs w:val="24"/>
              </w:rPr>
              <w:fldChar w:fldCharType="separate"/>
            </w:r>
            <w:r>
              <w:rPr>
                <w:rFonts w:hint="eastAsia" w:ascii="黑体" w:hAnsi="黑体" w:eastAsia="黑体" w:cs="宋体"/>
                <w:color w:val="auto"/>
                <w:kern w:val="2"/>
                <w:sz w:val="24"/>
                <w:szCs w:val="24"/>
              </w:rPr>
              <w:t>⑦</w:t>
            </w:r>
            <w:r>
              <w:rPr>
                <w:rFonts w:ascii="黑体" w:hAnsi="黑体" w:eastAsia="黑体" w:cs="Times New Roman"/>
                <w:snapToGrid w:val="0"/>
                <w:color w:val="auto"/>
                <w:spacing w:val="-6"/>
                <w:kern w:val="21"/>
                <w:sz w:val="24"/>
                <w:szCs w:val="24"/>
              </w:rPr>
              <w:fldChar w:fldCharType="end"/>
            </w:r>
          </w:p>
        </w:tc>
      </w:tr>
      <w:tr w14:paraId="7E5876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1" w:type="dxa"/>
            <w:vMerge w:val="restart"/>
            <w:vAlign w:val="center"/>
          </w:tcPr>
          <w:p w14:paraId="0E3428D9">
            <w:pPr>
              <w:pStyle w:val="34"/>
              <w:spacing w:before="31" w:after="31" w:line="240" w:lineRule="auto"/>
              <w:ind w:firstLine="0" w:firstLineChars="0"/>
              <w:rPr>
                <w:rFonts w:hint="eastAsia" w:ascii="Times New Roman" w:hAnsi="宋体" w:eastAsia="宋体" w:cs="宋体"/>
                <w:snapToGrid w:val="0"/>
                <w:color w:val="auto"/>
                <w:kern w:val="21"/>
                <w:sz w:val="24"/>
                <w:szCs w:val="24"/>
                <w:lang w:eastAsia="zh-CN"/>
              </w:rPr>
            </w:pPr>
            <w:r>
              <w:rPr>
                <w:rFonts w:hint="eastAsia" w:ascii="Times New Roman" w:hAnsi="宋体" w:cs="宋体"/>
                <w:snapToGrid w:val="0"/>
                <w:color w:val="auto"/>
                <w:kern w:val="21"/>
                <w:sz w:val="24"/>
                <w:szCs w:val="24"/>
                <w:lang w:eastAsia="zh-CN"/>
              </w:rPr>
              <w:t>废气</w:t>
            </w:r>
          </w:p>
        </w:tc>
        <w:tc>
          <w:tcPr>
            <w:tcW w:w="1695" w:type="dxa"/>
            <w:vAlign w:val="center"/>
          </w:tcPr>
          <w:p w14:paraId="33A13ACF">
            <w:pPr>
              <w:pStyle w:val="34"/>
              <w:spacing w:before="31" w:after="31" w:line="240" w:lineRule="auto"/>
              <w:ind w:firstLine="0" w:firstLineChars="0"/>
              <w:rPr>
                <w:rFonts w:hint="eastAsia"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废气量</w:t>
            </w:r>
          </w:p>
        </w:tc>
        <w:tc>
          <w:tcPr>
            <w:tcW w:w="1486" w:type="dxa"/>
            <w:vAlign w:val="center"/>
          </w:tcPr>
          <w:p w14:paraId="12C4E01A">
            <w:pPr>
              <w:pStyle w:val="34"/>
              <w:spacing w:before="31" w:after="31" w:line="240" w:lineRule="auto"/>
              <w:ind w:firstLine="0" w:firstLineChars="0"/>
              <w:rPr>
                <w:rFonts w:hint="eastAsia"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066" w:type="dxa"/>
            <w:vAlign w:val="center"/>
          </w:tcPr>
          <w:p w14:paraId="58A3AD1A">
            <w:pPr>
              <w:pStyle w:val="34"/>
              <w:spacing w:before="31" w:after="31" w:line="240" w:lineRule="auto"/>
              <w:ind w:firstLine="0" w:firstLineChars="0"/>
              <w:rPr>
                <w:rFonts w:ascii="Times New Roman" w:hAnsi="宋体" w:cs="宋体"/>
                <w:snapToGrid w:val="0"/>
                <w:color w:val="auto"/>
                <w:kern w:val="21"/>
                <w:sz w:val="24"/>
                <w:szCs w:val="24"/>
              </w:rPr>
            </w:pPr>
            <w:r>
              <w:rPr>
                <w:rFonts w:hint="eastAsia" w:ascii="Times New Roman" w:hAnsi="宋体" w:cs="宋体"/>
                <w:snapToGrid w:val="0"/>
                <w:color w:val="auto"/>
                <w:kern w:val="21"/>
                <w:sz w:val="24"/>
                <w:szCs w:val="24"/>
                <w:lang w:val="en-US" w:eastAsia="zh-CN"/>
              </w:rPr>
              <w:t>0</w:t>
            </w:r>
          </w:p>
        </w:tc>
        <w:tc>
          <w:tcPr>
            <w:tcW w:w="1567" w:type="dxa"/>
            <w:vAlign w:val="center"/>
          </w:tcPr>
          <w:p w14:paraId="627C03D7">
            <w:pPr>
              <w:pStyle w:val="34"/>
              <w:spacing w:before="31" w:after="31" w:line="240" w:lineRule="auto"/>
              <w:ind w:firstLine="0" w:firstLineChars="0"/>
              <w:rPr>
                <w:rFonts w:ascii="Times New Roman" w:hAnsi="宋体" w:cs="宋体"/>
                <w:snapToGrid w:val="0"/>
                <w:color w:val="auto"/>
                <w:kern w:val="21"/>
                <w:sz w:val="24"/>
                <w:szCs w:val="24"/>
              </w:rPr>
            </w:pPr>
            <w:r>
              <w:rPr>
                <w:rFonts w:hint="eastAsia" w:ascii="Times New Roman" w:hAnsi="宋体" w:cs="宋体"/>
                <w:snapToGrid w:val="0"/>
                <w:color w:val="auto"/>
                <w:kern w:val="21"/>
                <w:sz w:val="24"/>
                <w:szCs w:val="24"/>
                <w:lang w:val="en-US" w:eastAsia="zh-CN"/>
              </w:rPr>
              <w:t>0</w:t>
            </w:r>
          </w:p>
        </w:tc>
        <w:tc>
          <w:tcPr>
            <w:tcW w:w="1750" w:type="dxa"/>
            <w:vAlign w:val="center"/>
          </w:tcPr>
          <w:p w14:paraId="0997B8AE">
            <w:pPr>
              <w:pStyle w:val="31"/>
              <w:bidi w:val="0"/>
              <w:ind w:firstLine="0" w:firstLineChars="0"/>
              <w:rPr>
                <w:rFonts w:hint="default" w:ascii="Times New Roman" w:hAnsi="Times New Roman" w:eastAsia="宋体" w:cs="黑体"/>
                <w:color w:val="auto"/>
                <w:kern w:val="2"/>
                <w:sz w:val="24"/>
                <w:szCs w:val="24"/>
                <w:lang w:val="en-US" w:eastAsia="zh-CN" w:bidi="ar-SA"/>
              </w:rPr>
            </w:pPr>
            <w:r>
              <w:rPr>
                <w:rFonts w:hint="eastAsia"/>
                <w:color w:val="auto"/>
                <w:sz w:val="24"/>
                <w:szCs w:val="24"/>
                <w:lang w:val="en-US" w:eastAsia="zh-CN"/>
              </w:rPr>
              <w:t>1440万</w:t>
            </w:r>
            <w:r>
              <w:rPr>
                <w:rFonts w:hint="default" w:ascii="Times New Roman" w:hAnsi="Times New Roman" w:eastAsia="宋体" w:cs="Times New Roman"/>
                <w:b w:val="0"/>
                <w:bCs w:val="0"/>
                <w:snapToGrid w:val="0"/>
                <w:color w:val="auto"/>
                <w:kern w:val="21"/>
                <w:sz w:val="24"/>
                <w:szCs w:val="24"/>
              </w:rPr>
              <w:t>N</w:t>
            </w:r>
            <w:r>
              <w:rPr>
                <w:rFonts w:hint="eastAsia" w:ascii="Times New Roman" w:hAnsi="Times New Roman" w:eastAsia="宋体" w:cs="Times New Roman"/>
                <w:b w:val="0"/>
                <w:bCs w:val="0"/>
                <w:snapToGrid w:val="0"/>
                <w:color w:val="auto"/>
                <w:kern w:val="21"/>
                <w:sz w:val="24"/>
                <w:szCs w:val="24"/>
                <w:highlight w:val="none"/>
                <w:lang w:val="en-US" w:eastAsia="zh-CN"/>
              </w:rPr>
              <w:t>m</w:t>
            </w:r>
            <w:r>
              <w:rPr>
                <w:rFonts w:hint="eastAsia" w:ascii="Times New Roman" w:hAnsi="Times New Roman" w:eastAsia="宋体" w:cs="Times New Roman"/>
                <w:b w:val="0"/>
                <w:bCs w:val="0"/>
                <w:snapToGrid w:val="0"/>
                <w:color w:val="auto"/>
                <w:kern w:val="21"/>
                <w:sz w:val="24"/>
                <w:szCs w:val="24"/>
                <w:highlight w:val="none"/>
                <w:vertAlign w:val="superscript"/>
                <w:lang w:val="en-US" w:eastAsia="zh-CN"/>
              </w:rPr>
              <w:t>3</w:t>
            </w:r>
            <w:r>
              <w:rPr>
                <w:rFonts w:hint="default" w:ascii="Times New Roman" w:hAnsi="Times New Roman" w:eastAsia="宋体" w:cs="Times New Roman"/>
                <w:b w:val="0"/>
                <w:bCs w:val="0"/>
                <w:snapToGrid w:val="0"/>
                <w:color w:val="auto"/>
                <w:kern w:val="21"/>
                <w:sz w:val="24"/>
                <w:szCs w:val="24"/>
              </w:rPr>
              <w:t>/a</w:t>
            </w:r>
          </w:p>
        </w:tc>
        <w:tc>
          <w:tcPr>
            <w:tcW w:w="1350" w:type="dxa"/>
            <w:vAlign w:val="center"/>
          </w:tcPr>
          <w:p w14:paraId="0A9D254E">
            <w:pPr>
              <w:pStyle w:val="34"/>
              <w:spacing w:before="31" w:after="31" w:line="240" w:lineRule="auto"/>
              <w:ind w:firstLine="0" w:firstLineChars="0"/>
              <w:rPr>
                <w:rFonts w:hint="default"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817" w:type="dxa"/>
            <w:vAlign w:val="center"/>
          </w:tcPr>
          <w:p w14:paraId="73AC0309">
            <w:pPr>
              <w:pStyle w:val="31"/>
              <w:bidi w:val="0"/>
              <w:ind w:firstLine="0" w:firstLineChars="0"/>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1440万</w:t>
            </w:r>
            <w:r>
              <w:rPr>
                <w:rFonts w:hint="default" w:ascii="Times New Roman" w:hAnsi="Times New Roman" w:eastAsia="宋体"/>
                <w:color w:val="auto"/>
                <w:sz w:val="24"/>
                <w:szCs w:val="24"/>
                <w:lang w:val="en-US" w:eastAsia="zh-CN"/>
              </w:rPr>
              <w:t>N</w:t>
            </w:r>
            <w:r>
              <w:rPr>
                <w:rFonts w:hint="eastAsia" w:ascii="Times New Roman" w:hAnsi="Times New Roman" w:eastAsia="宋体"/>
                <w:color w:val="auto"/>
                <w:sz w:val="24"/>
                <w:szCs w:val="24"/>
                <w:lang w:val="en-US" w:eastAsia="zh-CN"/>
              </w:rPr>
              <w:t>m</w:t>
            </w:r>
            <w:r>
              <w:rPr>
                <w:rFonts w:hint="eastAsia" w:ascii="Times New Roman" w:hAnsi="Times New Roman" w:eastAsia="宋体"/>
                <w:color w:val="auto"/>
                <w:sz w:val="24"/>
                <w:szCs w:val="24"/>
                <w:vertAlign w:val="superscript"/>
                <w:lang w:val="en-US" w:eastAsia="zh-CN"/>
              </w:rPr>
              <w:t>3</w:t>
            </w:r>
            <w:r>
              <w:rPr>
                <w:rFonts w:hint="default" w:ascii="Times New Roman" w:hAnsi="Times New Roman" w:eastAsia="宋体"/>
                <w:color w:val="auto"/>
                <w:sz w:val="24"/>
                <w:szCs w:val="24"/>
                <w:lang w:val="en-US" w:eastAsia="zh-CN"/>
              </w:rPr>
              <w:t>/a</w:t>
            </w:r>
          </w:p>
        </w:tc>
        <w:tc>
          <w:tcPr>
            <w:tcW w:w="1856" w:type="dxa"/>
            <w:vAlign w:val="center"/>
          </w:tcPr>
          <w:p w14:paraId="392592FF">
            <w:pPr>
              <w:pStyle w:val="31"/>
              <w:bidi w:val="0"/>
              <w:ind w:firstLine="0" w:firstLineChars="0"/>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+1440万</w:t>
            </w:r>
            <w:r>
              <w:rPr>
                <w:rFonts w:hint="default" w:ascii="Times New Roman" w:hAnsi="Times New Roman" w:eastAsia="宋体"/>
                <w:color w:val="auto"/>
                <w:sz w:val="24"/>
                <w:szCs w:val="24"/>
                <w:lang w:val="en-US" w:eastAsia="zh-CN"/>
              </w:rPr>
              <w:t>N</w:t>
            </w:r>
            <w:r>
              <w:rPr>
                <w:rFonts w:hint="eastAsia" w:ascii="Times New Roman" w:hAnsi="Times New Roman" w:eastAsia="宋体"/>
                <w:color w:val="auto"/>
                <w:sz w:val="24"/>
                <w:szCs w:val="24"/>
                <w:lang w:val="en-US" w:eastAsia="zh-CN"/>
              </w:rPr>
              <w:t>m</w:t>
            </w:r>
            <w:r>
              <w:rPr>
                <w:rFonts w:hint="eastAsia" w:ascii="Times New Roman" w:hAnsi="Times New Roman" w:eastAsia="宋体"/>
                <w:color w:val="auto"/>
                <w:sz w:val="24"/>
                <w:szCs w:val="24"/>
                <w:vertAlign w:val="superscript"/>
                <w:lang w:val="en-US" w:eastAsia="zh-CN"/>
              </w:rPr>
              <w:t>3</w:t>
            </w:r>
            <w:r>
              <w:rPr>
                <w:rFonts w:hint="default" w:ascii="Times New Roman" w:hAnsi="Times New Roman" w:eastAsia="宋体"/>
                <w:color w:val="auto"/>
                <w:sz w:val="24"/>
                <w:szCs w:val="24"/>
                <w:lang w:val="en-US" w:eastAsia="zh-CN"/>
              </w:rPr>
              <w:t>/a</w:t>
            </w:r>
          </w:p>
        </w:tc>
      </w:tr>
      <w:tr w14:paraId="3C57D9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1" w:type="dxa"/>
            <w:vMerge w:val="continue"/>
            <w:vAlign w:val="center"/>
          </w:tcPr>
          <w:p w14:paraId="1E42968D">
            <w:pPr>
              <w:pStyle w:val="34"/>
              <w:spacing w:before="31" w:after="31" w:line="240" w:lineRule="auto"/>
              <w:ind w:firstLine="0" w:firstLineChars="0"/>
              <w:rPr>
                <w:rFonts w:hint="eastAsia" w:ascii="Times New Roman" w:hAnsi="宋体" w:cs="宋体"/>
                <w:snapToGrid w:val="0"/>
                <w:color w:val="auto"/>
                <w:kern w:val="21"/>
                <w:sz w:val="24"/>
                <w:szCs w:val="24"/>
                <w:lang w:eastAsia="zh-CN"/>
              </w:rPr>
            </w:pPr>
          </w:p>
        </w:tc>
        <w:tc>
          <w:tcPr>
            <w:tcW w:w="1695" w:type="dxa"/>
            <w:vAlign w:val="center"/>
          </w:tcPr>
          <w:p w14:paraId="798B159A">
            <w:pPr>
              <w:pStyle w:val="34"/>
              <w:spacing w:before="31" w:after="31" w:line="240" w:lineRule="auto"/>
              <w:ind w:firstLine="0" w:firstLineChars="0"/>
              <w:rPr>
                <w:rFonts w:hint="eastAsia" w:ascii="Times New Roman" w:hAnsi="宋体" w:cs="宋体"/>
                <w:snapToGrid w:val="0"/>
                <w:color w:val="auto"/>
                <w:kern w:val="21"/>
                <w:sz w:val="24"/>
                <w:szCs w:val="24"/>
              </w:rPr>
            </w:pPr>
            <w:r>
              <w:rPr>
                <w:rFonts w:hint="eastAsia" w:ascii="Times New Roman" w:hAnsi="宋体" w:cs="宋体"/>
                <w:snapToGrid w:val="0"/>
                <w:color w:val="auto"/>
                <w:kern w:val="21"/>
                <w:sz w:val="24"/>
                <w:szCs w:val="24"/>
                <w:lang w:val="en-US" w:eastAsia="zh-CN"/>
              </w:rPr>
              <w:t>有组织</w:t>
            </w:r>
            <w:r>
              <w:rPr>
                <w:rFonts w:hint="eastAsia" w:ascii="Times New Roman" w:hAnsi="宋体" w:cs="宋体"/>
                <w:snapToGrid w:val="0"/>
                <w:color w:val="auto"/>
                <w:kern w:val="21"/>
                <w:sz w:val="24"/>
                <w:szCs w:val="24"/>
              </w:rPr>
              <w:t>颗粒物</w:t>
            </w:r>
          </w:p>
        </w:tc>
        <w:tc>
          <w:tcPr>
            <w:tcW w:w="1486" w:type="dxa"/>
            <w:vAlign w:val="center"/>
          </w:tcPr>
          <w:p w14:paraId="19A5A2F1">
            <w:pPr>
              <w:pStyle w:val="34"/>
              <w:spacing w:before="31" w:after="31" w:line="240" w:lineRule="auto"/>
              <w:ind w:firstLine="0" w:firstLineChars="0"/>
              <w:rPr>
                <w:rFonts w:hint="eastAsia"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066" w:type="dxa"/>
            <w:vAlign w:val="center"/>
          </w:tcPr>
          <w:p w14:paraId="6F316714">
            <w:pPr>
              <w:pStyle w:val="34"/>
              <w:spacing w:before="31" w:after="31" w:line="240" w:lineRule="auto"/>
              <w:ind w:firstLine="0" w:firstLineChars="0"/>
              <w:rPr>
                <w:rFonts w:hint="eastAsia" w:ascii="Times New Roman" w:hAnsi="宋体" w:cs="宋体"/>
                <w:snapToGrid w:val="0"/>
                <w:color w:val="auto"/>
                <w:kern w:val="21"/>
                <w:sz w:val="24"/>
                <w:szCs w:val="24"/>
              </w:rPr>
            </w:pPr>
            <w:r>
              <w:rPr>
                <w:rFonts w:hint="eastAsia" w:ascii="Times New Roman" w:hAnsi="宋体" w:cs="宋体"/>
                <w:snapToGrid w:val="0"/>
                <w:color w:val="auto"/>
                <w:kern w:val="21"/>
                <w:sz w:val="24"/>
                <w:szCs w:val="24"/>
                <w:lang w:val="en-US" w:eastAsia="zh-CN"/>
              </w:rPr>
              <w:t>0</w:t>
            </w:r>
          </w:p>
        </w:tc>
        <w:tc>
          <w:tcPr>
            <w:tcW w:w="1567" w:type="dxa"/>
            <w:vAlign w:val="center"/>
          </w:tcPr>
          <w:p w14:paraId="19AF2289">
            <w:pPr>
              <w:pStyle w:val="34"/>
              <w:spacing w:before="31" w:after="31" w:line="240" w:lineRule="auto"/>
              <w:ind w:firstLine="0" w:firstLineChars="0"/>
              <w:rPr>
                <w:rFonts w:hint="eastAsia" w:ascii="Times New Roman" w:hAnsi="宋体" w:cs="宋体"/>
                <w:snapToGrid w:val="0"/>
                <w:color w:val="auto"/>
                <w:kern w:val="21"/>
                <w:sz w:val="24"/>
                <w:szCs w:val="24"/>
              </w:rPr>
            </w:pPr>
            <w:r>
              <w:rPr>
                <w:rFonts w:hint="eastAsia" w:ascii="Times New Roman" w:hAnsi="宋体" w:cs="宋体"/>
                <w:snapToGrid w:val="0"/>
                <w:color w:val="auto"/>
                <w:kern w:val="21"/>
                <w:sz w:val="24"/>
                <w:szCs w:val="24"/>
                <w:lang w:val="en-US" w:eastAsia="zh-CN"/>
              </w:rPr>
              <w:t>0</w:t>
            </w:r>
          </w:p>
        </w:tc>
        <w:tc>
          <w:tcPr>
            <w:tcW w:w="1750" w:type="dxa"/>
            <w:vAlign w:val="center"/>
          </w:tcPr>
          <w:p w14:paraId="40C7B7A2">
            <w:pPr>
              <w:pStyle w:val="31"/>
              <w:bidi w:val="0"/>
              <w:ind w:firstLine="0" w:firstLineChars="0"/>
              <w:rPr>
                <w:rFonts w:hint="eastAsia"/>
                <w:color w:val="auto"/>
                <w:sz w:val="24"/>
                <w:szCs w:val="24"/>
                <w:lang w:val="en-US" w:eastAsia="zh-CN"/>
              </w:rPr>
            </w:pPr>
            <w:r>
              <w:rPr>
                <w:rFonts w:hint="eastAsia"/>
                <w:color w:val="auto"/>
                <w:sz w:val="24"/>
                <w:szCs w:val="24"/>
                <w:lang w:val="en-US" w:eastAsia="zh-CN"/>
              </w:rPr>
              <w:t>0.044t/a</w:t>
            </w:r>
          </w:p>
        </w:tc>
        <w:tc>
          <w:tcPr>
            <w:tcW w:w="1350" w:type="dxa"/>
            <w:vAlign w:val="center"/>
          </w:tcPr>
          <w:p w14:paraId="552CED6F">
            <w:pPr>
              <w:pStyle w:val="34"/>
              <w:spacing w:before="31" w:after="31" w:line="240" w:lineRule="auto"/>
              <w:ind w:firstLine="0" w:firstLineChars="0"/>
              <w:rPr>
                <w:rFonts w:hint="eastAsia"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817" w:type="dxa"/>
            <w:vAlign w:val="center"/>
          </w:tcPr>
          <w:p w14:paraId="19176BA6">
            <w:pPr>
              <w:bidi w:val="0"/>
              <w:ind w:firstLine="480" w:firstLineChars="200"/>
              <w:rPr>
                <w:rFonts w:hint="eastAsia"/>
                <w:color w:val="auto"/>
                <w:sz w:val="24"/>
                <w:szCs w:val="24"/>
                <w:lang w:val="en-US" w:eastAsia="zh-CN"/>
              </w:rPr>
            </w:pPr>
            <w:r>
              <w:rPr>
                <w:rFonts w:hint="eastAsia"/>
                <w:color w:val="auto"/>
                <w:sz w:val="24"/>
                <w:szCs w:val="24"/>
                <w:lang w:val="en-US" w:eastAsia="zh-CN"/>
              </w:rPr>
              <w:t>0.044t/a</w:t>
            </w:r>
          </w:p>
        </w:tc>
        <w:tc>
          <w:tcPr>
            <w:tcW w:w="1856" w:type="dxa"/>
            <w:vAlign w:val="center"/>
          </w:tcPr>
          <w:p w14:paraId="209E47C3">
            <w:pPr>
              <w:bidi w:val="0"/>
              <w:ind w:firstLine="480" w:firstLineChars="200"/>
              <w:rPr>
                <w:rFonts w:hint="eastAsia"/>
                <w:color w:val="auto"/>
                <w:sz w:val="24"/>
                <w:szCs w:val="24"/>
                <w:lang w:val="en-US" w:eastAsia="zh-CN"/>
              </w:rPr>
            </w:pPr>
            <w:r>
              <w:rPr>
                <w:rFonts w:hint="eastAsia"/>
                <w:color w:val="auto"/>
                <w:sz w:val="24"/>
                <w:szCs w:val="24"/>
                <w:lang w:val="en-US" w:eastAsia="zh-CN"/>
              </w:rPr>
              <w:t>+0.044t/a</w:t>
            </w:r>
          </w:p>
        </w:tc>
      </w:tr>
      <w:tr w14:paraId="4B02AA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1" w:type="dxa"/>
            <w:vMerge w:val="continue"/>
            <w:vAlign w:val="center"/>
          </w:tcPr>
          <w:p w14:paraId="61D96AD6">
            <w:pPr>
              <w:pStyle w:val="34"/>
              <w:spacing w:before="31" w:after="31" w:line="240" w:lineRule="auto"/>
              <w:ind w:firstLine="0" w:firstLineChars="0"/>
              <w:rPr>
                <w:rFonts w:hint="eastAsia" w:ascii="Times New Roman" w:hAnsi="宋体" w:cs="宋体"/>
                <w:snapToGrid w:val="0"/>
                <w:color w:val="auto"/>
                <w:kern w:val="21"/>
                <w:sz w:val="24"/>
                <w:szCs w:val="24"/>
                <w:lang w:eastAsia="zh-CN"/>
              </w:rPr>
            </w:pPr>
          </w:p>
        </w:tc>
        <w:tc>
          <w:tcPr>
            <w:tcW w:w="1695" w:type="dxa"/>
            <w:vAlign w:val="center"/>
          </w:tcPr>
          <w:p w14:paraId="1BE4192B">
            <w:pPr>
              <w:pStyle w:val="34"/>
              <w:spacing w:before="31" w:after="31" w:line="240" w:lineRule="auto"/>
              <w:ind w:firstLine="0" w:firstLineChars="0"/>
              <w:rPr>
                <w:rFonts w:hint="default"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无组织颗粒物</w:t>
            </w:r>
          </w:p>
        </w:tc>
        <w:tc>
          <w:tcPr>
            <w:tcW w:w="1486" w:type="dxa"/>
            <w:vAlign w:val="center"/>
          </w:tcPr>
          <w:p w14:paraId="415EA0EF">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0.992t/a</w:t>
            </w:r>
          </w:p>
        </w:tc>
        <w:tc>
          <w:tcPr>
            <w:tcW w:w="1066" w:type="dxa"/>
            <w:vAlign w:val="center"/>
          </w:tcPr>
          <w:p w14:paraId="05ADAD0D">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567" w:type="dxa"/>
            <w:vAlign w:val="center"/>
          </w:tcPr>
          <w:p w14:paraId="381E6803">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750" w:type="dxa"/>
            <w:vAlign w:val="center"/>
          </w:tcPr>
          <w:p w14:paraId="77931471">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4"/>
                <w:szCs w:val="24"/>
                <w:lang w:val="en-US" w:eastAsia="zh-CN"/>
              </w:rPr>
            </w:pPr>
            <w:r>
              <w:rPr>
                <w:rFonts w:hint="eastAsia"/>
                <w:color w:val="auto"/>
                <w:sz w:val="24"/>
                <w:szCs w:val="24"/>
                <w:lang w:val="en-US" w:eastAsia="zh-CN"/>
              </w:rPr>
              <w:t>0.332t/a</w:t>
            </w:r>
          </w:p>
        </w:tc>
        <w:tc>
          <w:tcPr>
            <w:tcW w:w="1350" w:type="dxa"/>
            <w:vAlign w:val="center"/>
          </w:tcPr>
          <w:p w14:paraId="5B3DEC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宋体" w:cs="宋体"/>
                <w:snapToGrid w:val="0"/>
                <w:color w:val="auto"/>
                <w:kern w:val="21"/>
                <w:sz w:val="24"/>
                <w:szCs w:val="24"/>
                <w:lang w:val="en-US" w:eastAsia="zh-CN"/>
              </w:rPr>
            </w:pPr>
            <w:r>
              <w:rPr>
                <w:rFonts w:hint="default" w:ascii="Times New Roman" w:hAnsi="宋体" w:cs="宋体"/>
                <w:snapToGrid w:val="0"/>
                <w:color w:val="auto"/>
                <w:kern w:val="21"/>
                <w:sz w:val="24"/>
                <w:szCs w:val="24"/>
                <w:lang w:val="en-US" w:eastAsia="zh-CN"/>
              </w:rPr>
              <w:t>0.992t/a</w:t>
            </w:r>
          </w:p>
        </w:tc>
        <w:tc>
          <w:tcPr>
            <w:tcW w:w="1817" w:type="dxa"/>
            <w:vAlign w:val="center"/>
          </w:tcPr>
          <w:p w14:paraId="2D6171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4"/>
                <w:szCs w:val="24"/>
                <w:lang w:val="en-US" w:eastAsia="zh-CN"/>
              </w:rPr>
            </w:pPr>
            <w:r>
              <w:rPr>
                <w:rFonts w:hint="default"/>
                <w:color w:val="auto"/>
                <w:sz w:val="24"/>
                <w:szCs w:val="24"/>
                <w:lang w:val="en-US" w:eastAsia="zh-CN"/>
              </w:rPr>
              <w:t>0.33</w:t>
            </w:r>
            <w:r>
              <w:rPr>
                <w:rFonts w:hint="eastAsia"/>
                <w:color w:val="auto"/>
                <w:sz w:val="24"/>
                <w:szCs w:val="24"/>
                <w:lang w:val="en-US" w:eastAsia="zh-CN"/>
              </w:rPr>
              <w:t>2</w:t>
            </w:r>
            <w:r>
              <w:rPr>
                <w:rFonts w:hint="default"/>
                <w:color w:val="auto"/>
                <w:sz w:val="24"/>
                <w:szCs w:val="24"/>
                <w:lang w:val="en-US" w:eastAsia="zh-CN"/>
              </w:rPr>
              <w:t>t/a</w:t>
            </w:r>
          </w:p>
        </w:tc>
        <w:tc>
          <w:tcPr>
            <w:tcW w:w="1856" w:type="dxa"/>
            <w:vAlign w:val="center"/>
          </w:tcPr>
          <w:p w14:paraId="16DB7C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4"/>
                <w:szCs w:val="24"/>
                <w:lang w:val="en-US" w:eastAsia="zh-CN"/>
              </w:rPr>
            </w:pPr>
            <w:r>
              <w:rPr>
                <w:rFonts w:hint="eastAsia"/>
                <w:color w:val="auto"/>
                <w:sz w:val="24"/>
                <w:szCs w:val="24"/>
                <w:lang w:val="en-US" w:eastAsia="zh-CN"/>
              </w:rPr>
              <w:t>-0.66t/a</w:t>
            </w:r>
          </w:p>
        </w:tc>
      </w:tr>
      <w:tr w14:paraId="3CE7B7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1" w:type="dxa"/>
            <w:vMerge w:val="restart"/>
            <w:vAlign w:val="center"/>
          </w:tcPr>
          <w:p w14:paraId="26933320">
            <w:pPr>
              <w:pStyle w:val="34"/>
              <w:spacing w:before="31" w:after="31" w:line="240" w:lineRule="auto"/>
              <w:ind w:firstLine="0" w:firstLineChars="0"/>
              <w:rPr>
                <w:rFonts w:ascii="Times New Roman" w:hAnsi="宋体" w:cs="宋体"/>
                <w:snapToGrid w:val="0"/>
                <w:color w:val="auto"/>
                <w:kern w:val="21"/>
                <w:sz w:val="24"/>
                <w:szCs w:val="24"/>
              </w:rPr>
            </w:pPr>
            <w:r>
              <w:rPr>
                <w:rFonts w:hint="eastAsia" w:ascii="Times New Roman" w:hAnsi="宋体" w:cs="宋体"/>
                <w:snapToGrid w:val="0"/>
                <w:color w:val="auto"/>
                <w:kern w:val="21"/>
                <w:sz w:val="24"/>
                <w:szCs w:val="24"/>
              </w:rPr>
              <w:t>废水</w:t>
            </w:r>
          </w:p>
        </w:tc>
        <w:tc>
          <w:tcPr>
            <w:tcW w:w="1695" w:type="dxa"/>
            <w:vAlign w:val="center"/>
          </w:tcPr>
          <w:p w14:paraId="66A33F54">
            <w:pPr>
              <w:pStyle w:val="34"/>
              <w:spacing w:before="31" w:after="31" w:line="240" w:lineRule="auto"/>
              <w:ind w:firstLine="0" w:firstLineChars="0"/>
              <w:rPr>
                <w:rFonts w:hint="eastAsia" w:ascii="Times New Roman" w:hAnsi="宋体" w:eastAsia="宋体" w:cs="宋体"/>
                <w:snapToGrid w:val="0"/>
                <w:color w:val="auto"/>
                <w:kern w:val="21"/>
                <w:sz w:val="24"/>
                <w:szCs w:val="24"/>
                <w:lang w:eastAsia="zh-CN"/>
              </w:rPr>
            </w:pPr>
            <w:r>
              <w:rPr>
                <w:rFonts w:hint="eastAsia" w:ascii="Times New Roman" w:hAnsi="宋体" w:cs="宋体"/>
                <w:snapToGrid w:val="0"/>
                <w:color w:val="auto"/>
                <w:kern w:val="21"/>
                <w:sz w:val="24"/>
                <w:szCs w:val="24"/>
                <w:lang w:eastAsia="zh-CN"/>
              </w:rPr>
              <w:t>生活污水</w:t>
            </w:r>
          </w:p>
        </w:tc>
        <w:tc>
          <w:tcPr>
            <w:tcW w:w="1486" w:type="dxa"/>
            <w:vAlign w:val="center"/>
          </w:tcPr>
          <w:p w14:paraId="2F0B76AA">
            <w:pPr>
              <w:pStyle w:val="34"/>
              <w:spacing w:before="31" w:after="31" w:line="240" w:lineRule="auto"/>
              <w:ind w:firstLine="0" w:firstLineChars="0"/>
              <w:rPr>
                <w:rFonts w:hint="default"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912t/a</w:t>
            </w:r>
          </w:p>
        </w:tc>
        <w:tc>
          <w:tcPr>
            <w:tcW w:w="1066" w:type="dxa"/>
            <w:vAlign w:val="center"/>
          </w:tcPr>
          <w:p w14:paraId="39D6D2C7">
            <w:pPr>
              <w:pStyle w:val="34"/>
              <w:spacing w:before="31" w:after="31" w:line="240" w:lineRule="auto"/>
              <w:ind w:firstLine="0" w:firstLineChars="0"/>
              <w:rPr>
                <w:rFonts w:ascii="Times New Roman" w:hAnsi="宋体" w:cs="宋体"/>
                <w:snapToGrid w:val="0"/>
                <w:color w:val="auto"/>
                <w:kern w:val="21"/>
                <w:sz w:val="24"/>
                <w:szCs w:val="24"/>
              </w:rPr>
            </w:pPr>
            <w:r>
              <w:rPr>
                <w:rFonts w:hint="eastAsia" w:ascii="Times New Roman" w:hAnsi="宋体" w:cs="宋体"/>
                <w:snapToGrid w:val="0"/>
                <w:color w:val="auto"/>
                <w:kern w:val="21"/>
                <w:sz w:val="24"/>
                <w:szCs w:val="24"/>
                <w:lang w:val="en-US" w:eastAsia="zh-CN"/>
              </w:rPr>
              <w:t>0</w:t>
            </w:r>
          </w:p>
        </w:tc>
        <w:tc>
          <w:tcPr>
            <w:tcW w:w="1567" w:type="dxa"/>
            <w:vAlign w:val="center"/>
          </w:tcPr>
          <w:p w14:paraId="30CC6EEA">
            <w:pPr>
              <w:pStyle w:val="34"/>
              <w:spacing w:before="31" w:after="31" w:line="240" w:lineRule="auto"/>
              <w:ind w:firstLine="0" w:firstLineChars="0"/>
              <w:rPr>
                <w:rFonts w:ascii="Times New Roman" w:hAnsi="宋体" w:cs="宋体"/>
                <w:snapToGrid w:val="0"/>
                <w:color w:val="auto"/>
                <w:kern w:val="21"/>
                <w:sz w:val="24"/>
                <w:szCs w:val="24"/>
              </w:rPr>
            </w:pPr>
            <w:r>
              <w:rPr>
                <w:rFonts w:hint="eastAsia" w:ascii="Times New Roman" w:hAnsi="宋体" w:cs="宋体"/>
                <w:snapToGrid w:val="0"/>
                <w:color w:val="auto"/>
                <w:kern w:val="21"/>
                <w:sz w:val="24"/>
                <w:szCs w:val="24"/>
                <w:lang w:val="en-US" w:eastAsia="zh-CN"/>
              </w:rPr>
              <w:t>0</w:t>
            </w:r>
          </w:p>
        </w:tc>
        <w:tc>
          <w:tcPr>
            <w:tcW w:w="1750" w:type="dxa"/>
            <w:vAlign w:val="center"/>
          </w:tcPr>
          <w:p w14:paraId="07B943D2">
            <w:pPr>
              <w:pStyle w:val="34"/>
              <w:spacing w:before="31" w:after="31" w:line="240" w:lineRule="auto"/>
              <w:ind w:firstLine="0" w:firstLineChars="0"/>
              <w:rPr>
                <w:rFonts w:hint="default"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273.6t/a</w:t>
            </w:r>
          </w:p>
        </w:tc>
        <w:tc>
          <w:tcPr>
            <w:tcW w:w="1350" w:type="dxa"/>
            <w:vAlign w:val="center"/>
          </w:tcPr>
          <w:p w14:paraId="0BD07B7A">
            <w:pPr>
              <w:pStyle w:val="34"/>
              <w:spacing w:before="31" w:after="31" w:line="240" w:lineRule="auto"/>
              <w:ind w:firstLine="0" w:firstLineChars="0"/>
              <w:rPr>
                <w:rFonts w:hint="eastAsia" w:ascii="Times New Roman" w:hAnsi="宋体" w:eastAsia="宋体" w:cs="宋体"/>
                <w:snapToGrid w:val="0"/>
                <w:color w:val="auto"/>
                <w:kern w:val="21"/>
                <w:sz w:val="24"/>
                <w:szCs w:val="24"/>
                <w:lang w:val="en-US" w:eastAsia="zh-CN"/>
              </w:rPr>
            </w:pPr>
            <w:r>
              <w:rPr>
                <w:rFonts w:hint="eastAsia" w:ascii="Times New Roman" w:hAnsi="宋体" w:eastAsia="宋体" w:cs="宋体"/>
                <w:snapToGrid w:val="0"/>
                <w:color w:val="auto"/>
                <w:kern w:val="21"/>
                <w:sz w:val="24"/>
                <w:szCs w:val="24"/>
                <w:lang w:val="en-US" w:eastAsia="zh-CN"/>
              </w:rPr>
              <w:t>912t/a</w:t>
            </w:r>
          </w:p>
        </w:tc>
        <w:tc>
          <w:tcPr>
            <w:tcW w:w="1817" w:type="dxa"/>
            <w:vAlign w:val="center"/>
          </w:tcPr>
          <w:p w14:paraId="17863CB1">
            <w:pPr>
              <w:pStyle w:val="34"/>
              <w:spacing w:before="31" w:after="31" w:line="240" w:lineRule="auto"/>
              <w:ind w:firstLine="0" w:firstLineChars="0"/>
              <w:rPr>
                <w:rFonts w:hint="eastAsia" w:ascii="Times New Roman" w:hAnsi="宋体" w:eastAsia="宋体" w:cs="宋体"/>
                <w:snapToGrid w:val="0"/>
                <w:color w:val="auto"/>
                <w:kern w:val="21"/>
                <w:sz w:val="24"/>
                <w:szCs w:val="24"/>
                <w:lang w:eastAsia="zh-CN"/>
              </w:rPr>
            </w:pPr>
            <w:r>
              <w:rPr>
                <w:rFonts w:hint="eastAsia" w:ascii="Times New Roman" w:hAnsi="宋体" w:eastAsia="宋体" w:cs="宋体"/>
                <w:snapToGrid w:val="0"/>
                <w:color w:val="auto"/>
                <w:kern w:val="21"/>
                <w:sz w:val="24"/>
                <w:szCs w:val="24"/>
                <w:lang w:eastAsia="zh-CN"/>
              </w:rPr>
              <w:t>273.6t/a</w:t>
            </w:r>
          </w:p>
        </w:tc>
        <w:tc>
          <w:tcPr>
            <w:tcW w:w="1856" w:type="dxa"/>
            <w:vAlign w:val="center"/>
          </w:tcPr>
          <w:p w14:paraId="2E4CD057">
            <w:pPr>
              <w:pStyle w:val="34"/>
              <w:spacing w:before="31" w:after="31" w:line="240" w:lineRule="auto"/>
              <w:ind w:firstLine="0" w:firstLineChars="0"/>
              <w:rPr>
                <w:rFonts w:hint="default"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-638.4t/a</w:t>
            </w:r>
          </w:p>
        </w:tc>
      </w:tr>
      <w:tr w14:paraId="43A145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1" w:type="dxa"/>
            <w:vMerge w:val="continue"/>
            <w:vAlign w:val="center"/>
          </w:tcPr>
          <w:p w14:paraId="5218C2A6">
            <w:pPr>
              <w:pStyle w:val="34"/>
              <w:spacing w:before="31" w:after="31" w:line="240" w:lineRule="auto"/>
              <w:ind w:firstLine="0" w:firstLineChars="0"/>
              <w:rPr>
                <w:rFonts w:ascii="Times New Roman" w:hAnsi="宋体" w:cs="宋体"/>
                <w:snapToGrid w:val="0"/>
                <w:color w:val="auto"/>
                <w:kern w:val="21"/>
                <w:sz w:val="24"/>
                <w:szCs w:val="24"/>
              </w:rPr>
            </w:pPr>
          </w:p>
        </w:tc>
        <w:tc>
          <w:tcPr>
            <w:tcW w:w="1695" w:type="dxa"/>
            <w:vAlign w:val="center"/>
          </w:tcPr>
          <w:p w14:paraId="50653AA9">
            <w:pPr>
              <w:pStyle w:val="34"/>
              <w:spacing w:before="31" w:after="31" w:line="240" w:lineRule="auto"/>
              <w:ind w:firstLine="0" w:firstLineChars="0"/>
              <w:rPr>
                <w:rFonts w:hint="eastAsia" w:ascii="Times New Roman" w:hAnsi="宋体" w:eastAsia="宋体" w:cs="宋体"/>
                <w:snapToGrid w:val="0"/>
                <w:color w:val="auto"/>
                <w:kern w:val="21"/>
                <w:sz w:val="24"/>
                <w:szCs w:val="24"/>
                <w:lang w:eastAsia="zh-CN"/>
              </w:rPr>
            </w:pPr>
            <w:r>
              <w:rPr>
                <w:rFonts w:hint="eastAsia" w:ascii="Times New Roman" w:hAnsi="宋体" w:cs="宋体"/>
                <w:snapToGrid w:val="0"/>
                <w:color w:val="auto"/>
                <w:kern w:val="21"/>
                <w:sz w:val="24"/>
                <w:szCs w:val="24"/>
                <w:lang w:eastAsia="zh-CN"/>
              </w:rPr>
              <w:t>直接冷却水</w:t>
            </w:r>
          </w:p>
        </w:tc>
        <w:tc>
          <w:tcPr>
            <w:tcW w:w="1486" w:type="dxa"/>
            <w:vAlign w:val="center"/>
          </w:tcPr>
          <w:p w14:paraId="56C3D8DC">
            <w:pPr>
              <w:pStyle w:val="34"/>
              <w:spacing w:before="31" w:after="31" w:line="240" w:lineRule="auto"/>
              <w:ind w:firstLine="0" w:firstLineChars="0"/>
              <w:rPr>
                <w:rFonts w:hint="eastAsia"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066" w:type="dxa"/>
            <w:vAlign w:val="center"/>
          </w:tcPr>
          <w:p w14:paraId="65A95654">
            <w:pPr>
              <w:pStyle w:val="34"/>
              <w:spacing w:before="31" w:after="31" w:line="240" w:lineRule="auto"/>
              <w:ind w:firstLine="0" w:firstLineChars="0"/>
              <w:rPr>
                <w:rFonts w:ascii="Times New Roman" w:hAnsi="宋体" w:cs="宋体"/>
                <w:snapToGrid w:val="0"/>
                <w:color w:val="auto"/>
                <w:kern w:val="21"/>
                <w:sz w:val="24"/>
                <w:szCs w:val="24"/>
              </w:rPr>
            </w:pPr>
            <w:r>
              <w:rPr>
                <w:rFonts w:hint="eastAsia" w:ascii="Times New Roman" w:hAnsi="宋体" w:cs="宋体"/>
                <w:snapToGrid w:val="0"/>
                <w:color w:val="auto"/>
                <w:kern w:val="21"/>
                <w:sz w:val="24"/>
                <w:szCs w:val="24"/>
                <w:lang w:val="en-US" w:eastAsia="zh-CN"/>
              </w:rPr>
              <w:t>0</w:t>
            </w:r>
          </w:p>
        </w:tc>
        <w:tc>
          <w:tcPr>
            <w:tcW w:w="1567" w:type="dxa"/>
            <w:vAlign w:val="center"/>
          </w:tcPr>
          <w:p w14:paraId="35B1A577">
            <w:pPr>
              <w:pStyle w:val="34"/>
              <w:spacing w:before="31" w:after="31" w:line="240" w:lineRule="auto"/>
              <w:ind w:firstLine="0" w:firstLineChars="0"/>
              <w:rPr>
                <w:rFonts w:ascii="Times New Roman" w:hAnsi="宋体" w:cs="宋体"/>
                <w:snapToGrid w:val="0"/>
                <w:color w:val="auto"/>
                <w:kern w:val="21"/>
                <w:sz w:val="24"/>
                <w:szCs w:val="24"/>
              </w:rPr>
            </w:pPr>
            <w:r>
              <w:rPr>
                <w:rFonts w:hint="eastAsia" w:ascii="Times New Roman" w:hAnsi="宋体" w:cs="宋体"/>
                <w:snapToGrid w:val="0"/>
                <w:color w:val="auto"/>
                <w:kern w:val="21"/>
                <w:sz w:val="24"/>
                <w:szCs w:val="24"/>
                <w:lang w:val="en-US" w:eastAsia="zh-CN"/>
              </w:rPr>
              <w:t>0</w:t>
            </w:r>
          </w:p>
        </w:tc>
        <w:tc>
          <w:tcPr>
            <w:tcW w:w="1750" w:type="dxa"/>
            <w:vAlign w:val="center"/>
          </w:tcPr>
          <w:p w14:paraId="20DA7D99">
            <w:pPr>
              <w:pStyle w:val="34"/>
              <w:spacing w:before="31" w:after="31" w:line="240" w:lineRule="auto"/>
              <w:ind w:firstLine="0" w:firstLineChars="0"/>
              <w:rPr>
                <w:rFonts w:hint="eastAsia" w:ascii="Times New Roman" w:hAnsi="宋体" w:eastAsia="宋体" w:cs="宋体"/>
                <w:snapToGrid w:val="0"/>
                <w:color w:val="auto"/>
                <w:kern w:val="21"/>
                <w:sz w:val="24"/>
                <w:szCs w:val="24"/>
                <w:lang w:eastAsia="zh-CN"/>
              </w:rPr>
            </w:pPr>
            <w:r>
              <w:rPr>
                <w:rFonts w:hint="eastAsia" w:ascii="Times New Roman" w:hAnsi="宋体" w:cs="宋体"/>
                <w:snapToGrid w:val="0"/>
                <w:color w:val="auto"/>
                <w:kern w:val="21"/>
                <w:sz w:val="24"/>
                <w:szCs w:val="24"/>
                <w:lang w:val="en-US" w:eastAsia="zh-CN"/>
              </w:rPr>
              <w:t>0</w:t>
            </w:r>
          </w:p>
        </w:tc>
        <w:tc>
          <w:tcPr>
            <w:tcW w:w="1350" w:type="dxa"/>
            <w:vAlign w:val="center"/>
          </w:tcPr>
          <w:p w14:paraId="5A3D601F">
            <w:pPr>
              <w:pStyle w:val="34"/>
              <w:spacing w:before="31" w:after="31" w:line="240" w:lineRule="auto"/>
              <w:ind w:firstLine="0" w:firstLineChars="0"/>
              <w:rPr>
                <w:rFonts w:hint="eastAsia"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817" w:type="dxa"/>
            <w:vAlign w:val="center"/>
          </w:tcPr>
          <w:p w14:paraId="2306A464">
            <w:pPr>
              <w:pStyle w:val="34"/>
              <w:spacing w:before="31" w:after="31" w:line="240" w:lineRule="auto"/>
              <w:ind w:firstLine="0" w:firstLineChars="0"/>
              <w:rPr>
                <w:rFonts w:hint="eastAsia" w:ascii="Times New Roman" w:hAnsi="宋体" w:eastAsia="宋体" w:cs="宋体"/>
                <w:snapToGrid w:val="0"/>
                <w:color w:val="auto"/>
                <w:kern w:val="21"/>
                <w:sz w:val="24"/>
                <w:szCs w:val="24"/>
                <w:lang w:eastAsia="zh-CN"/>
              </w:rPr>
            </w:pPr>
            <w:r>
              <w:rPr>
                <w:rFonts w:hint="eastAsia" w:ascii="Times New Roman" w:hAnsi="宋体" w:cs="宋体"/>
                <w:snapToGrid w:val="0"/>
                <w:color w:val="auto"/>
                <w:kern w:val="21"/>
                <w:sz w:val="24"/>
                <w:szCs w:val="24"/>
                <w:lang w:val="en-US" w:eastAsia="zh-CN"/>
              </w:rPr>
              <w:t>0</w:t>
            </w:r>
          </w:p>
        </w:tc>
        <w:tc>
          <w:tcPr>
            <w:tcW w:w="1856" w:type="dxa"/>
            <w:vAlign w:val="center"/>
          </w:tcPr>
          <w:p w14:paraId="31F0FDE5">
            <w:pPr>
              <w:pStyle w:val="34"/>
              <w:spacing w:before="31" w:after="31" w:line="240" w:lineRule="auto"/>
              <w:ind w:firstLine="0" w:firstLineChars="0"/>
              <w:rPr>
                <w:rFonts w:hint="eastAsia"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r>
      <w:tr w14:paraId="519C64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1" w:type="dxa"/>
            <w:vMerge w:val="restart"/>
            <w:vAlign w:val="center"/>
          </w:tcPr>
          <w:p w14:paraId="23C41A72">
            <w:pPr>
              <w:pStyle w:val="34"/>
              <w:spacing w:before="31" w:after="31" w:line="240" w:lineRule="auto"/>
              <w:ind w:firstLine="0" w:firstLineChars="0"/>
              <w:rPr>
                <w:rFonts w:ascii="Times New Roman" w:hAnsi="宋体" w:cs="宋体"/>
                <w:snapToGrid w:val="0"/>
                <w:color w:val="auto"/>
                <w:kern w:val="21"/>
                <w:sz w:val="24"/>
                <w:szCs w:val="24"/>
              </w:rPr>
            </w:pPr>
            <w:r>
              <w:rPr>
                <w:rFonts w:hint="eastAsia" w:ascii="Times New Roman" w:hAnsi="宋体" w:cs="宋体"/>
                <w:snapToGrid w:val="0"/>
                <w:color w:val="auto"/>
                <w:kern w:val="21"/>
                <w:sz w:val="24"/>
                <w:szCs w:val="24"/>
              </w:rPr>
              <w:t>一般工业</w:t>
            </w:r>
          </w:p>
          <w:p w14:paraId="7603BE40">
            <w:pPr>
              <w:pStyle w:val="34"/>
              <w:spacing w:before="31" w:after="31" w:line="240" w:lineRule="auto"/>
              <w:ind w:firstLine="0" w:firstLineChars="0"/>
              <w:rPr>
                <w:rFonts w:ascii="Times New Roman" w:hAnsi="宋体" w:cs="宋体"/>
                <w:snapToGrid w:val="0"/>
                <w:color w:val="auto"/>
                <w:kern w:val="21"/>
                <w:sz w:val="24"/>
                <w:szCs w:val="24"/>
              </w:rPr>
            </w:pPr>
            <w:r>
              <w:rPr>
                <w:rFonts w:hint="eastAsia" w:ascii="Times New Roman" w:hAnsi="宋体" w:cs="宋体"/>
                <w:snapToGrid w:val="0"/>
                <w:color w:val="auto"/>
                <w:kern w:val="21"/>
                <w:sz w:val="24"/>
                <w:szCs w:val="24"/>
              </w:rPr>
              <w:t>固体废物</w:t>
            </w:r>
          </w:p>
        </w:tc>
        <w:tc>
          <w:tcPr>
            <w:tcW w:w="1695" w:type="dxa"/>
            <w:vAlign w:val="center"/>
          </w:tcPr>
          <w:p w14:paraId="51BAA655">
            <w:pPr>
              <w:pStyle w:val="34"/>
              <w:spacing w:before="31" w:after="31" w:line="240" w:lineRule="auto"/>
              <w:ind w:firstLine="0" w:firstLineChars="0"/>
              <w:rPr>
                <w:rFonts w:hint="eastAsia" w:ascii="Times New Roman" w:hAnsi="宋体" w:eastAsia="宋体" w:cs="宋体"/>
                <w:snapToGrid w:val="0"/>
                <w:color w:val="auto"/>
                <w:kern w:val="21"/>
                <w:sz w:val="24"/>
                <w:szCs w:val="24"/>
                <w:lang w:eastAsia="zh-CN"/>
              </w:rPr>
            </w:pPr>
            <w:r>
              <w:rPr>
                <w:rFonts w:hint="eastAsia" w:ascii="Times New Roman" w:hAnsi="宋体" w:cs="宋体"/>
                <w:snapToGrid w:val="0"/>
                <w:color w:val="auto"/>
                <w:kern w:val="21"/>
                <w:sz w:val="24"/>
                <w:szCs w:val="24"/>
                <w:lang w:eastAsia="zh-CN"/>
              </w:rPr>
              <w:t>生活垃圾</w:t>
            </w:r>
          </w:p>
        </w:tc>
        <w:tc>
          <w:tcPr>
            <w:tcW w:w="1486" w:type="dxa"/>
            <w:vAlign w:val="center"/>
          </w:tcPr>
          <w:p w14:paraId="289300F4">
            <w:pPr>
              <w:pStyle w:val="34"/>
              <w:spacing w:before="31" w:after="31" w:line="240" w:lineRule="auto"/>
              <w:ind w:firstLine="0" w:firstLineChars="0"/>
              <w:rPr>
                <w:rFonts w:hint="default"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17.1t/a</w:t>
            </w:r>
          </w:p>
        </w:tc>
        <w:tc>
          <w:tcPr>
            <w:tcW w:w="1066" w:type="dxa"/>
            <w:vAlign w:val="center"/>
          </w:tcPr>
          <w:p w14:paraId="4B2F644D">
            <w:pPr>
              <w:pStyle w:val="34"/>
              <w:spacing w:before="31" w:after="31" w:line="240" w:lineRule="auto"/>
              <w:ind w:firstLine="0" w:firstLineChars="0"/>
              <w:rPr>
                <w:rFonts w:ascii="Times New Roman" w:hAnsi="宋体" w:cs="宋体" w:eastAsiaTheme="minorEastAsia"/>
                <w:snapToGrid w:val="0"/>
                <w:color w:val="auto"/>
                <w:kern w:val="21"/>
                <w:sz w:val="24"/>
                <w:szCs w:val="24"/>
              </w:rPr>
            </w:pPr>
            <w:r>
              <w:rPr>
                <w:rFonts w:hint="eastAsia" w:ascii="Times New Roman" w:hAnsi="宋体" w:cs="宋体"/>
                <w:snapToGrid w:val="0"/>
                <w:color w:val="auto"/>
                <w:kern w:val="21"/>
                <w:sz w:val="24"/>
                <w:szCs w:val="24"/>
                <w:lang w:val="en-US" w:eastAsia="zh-CN"/>
              </w:rPr>
              <w:t>0</w:t>
            </w:r>
          </w:p>
        </w:tc>
        <w:tc>
          <w:tcPr>
            <w:tcW w:w="1567" w:type="dxa"/>
            <w:vAlign w:val="center"/>
          </w:tcPr>
          <w:p w14:paraId="737CA76A">
            <w:pPr>
              <w:pStyle w:val="34"/>
              <w:spacing w:before="31" w:after="31" w:line="240" w:lineRule="auto"/>
              <w:ind w:firstLine="0" w:firstLineChars="0"/>
              <w:rPr>
                <w:rFonts w:ascii="Times New Roman" w:hAnsi="宋体" w:cs="宋体"/>
                <w:snapToGrid w:val="0"/>
                <w:color w:val="auto"/>
                <w:kern w:val="21"/>
                <w:sz w:val="24"/>
                <w:szCs w:val="24"/>
              </w:rPr>
            </w:pPr>
            <w:r>
              <w:rPr>
                <w:rFonts w:hint="eastAsia" w:ascii="Times New Roman" w:hAnsi="宋体" w:cs="宋体"/>
                <w:snapToGrid w:val="0"/>
                <w:color w:val="auto"/>
                <w:kern w:val="21"/>
                <w:sz w:val="24"/>
                <w:szCs w:val="24"/>
                <w:lang w:val="en-US" w:eastAsia="zh-CN"/>
              </w:rPr>
              <w:t>0</w:t>
            </w:r>
          </w:p>
        </w:tc>
        <w:tc>
          <w:tcPr>
            <w:tcW w:w="1750" w:type="dxa"/>
            <w:vAlign w:val="center"/>
          </w:tcPr>
          <w:p w14:paraId="7A67C4B0">
            <w:pPr>
              <w:pStyle w:val="34"/>
              <w:spacing w:before="31" w:after="31" w:line="240" w:lineRule="auto"/>
              <w:ind w:firstLine="0" w:firstLineChars="0"/>
              <w:rPr>
                <w:rFonts w:ascii="Times New Roman" w:hAnsi="宋体" w:cs="宋体"/>
                <w:snapToGrid w:val="0"/>
                <w:color w:val="auto"/>
                <w:kern w:val="21"/>
                <w:sz w:val="24"/>
                <w:szCs w:val="24"/>
              </w:rPr>
            </w:pPr>
            <w:r>
              <w:rPr>
                <w:rFonts w:hint="eastAsia" w:ascii="Times New Roman" w:hAnsi="宋体" w:cs="宋体"/>
                <w:snapToGrid w:val="0"/>
                <w:color w:val="auto"/>
                <w:kern w:val="21"/>
                <w:sz w:val="24"/>
                <w:szCs w:val="24"/>
              </w:rPr>
              <w:t>11.4t/a</w:t>
            </w:r>
          </w:p>
        </w:tc>
        <w:tc>
          <w:tcPr>
            <w:tcW w:w="1350" w:type="dxa"/>
            <w:vAlign w:val="center"/>
          </w:tcPr>
          <w:p w14:paraId="04755EB8">
            <w:pPr>
              <w:pStyle w:val="34"/>
              <w:spacing w:before="31" w:after="31" w:line="240" w:lineRule="auto"/>
              <w:ind w:firstLine="0" w:firstLineChars="0"/>
              <w:rPr>
                <w:rFonts w:hint="default" w:ascii="Times New Roman" w:hAnsi="宋体" w:cs="宋体" w:eastAsiaTheme="minorEastAsia"/>
                <w:snapToGrid w:val="0"/>
                <w:color w:val="auto"/>
                <w:kern w:val="21"/>
                <w:sz w:val="24"/>
                <w:szCs w:val="24"/>
                <w:lang w:val="en-US" w:eastAsia="zh-CN"/>
              </w:rPr>
            </w:pPr>
            <w:r>
              <w:rPr>
                <w:rFonts w:hint="eastAsia" w:ascii="Times New Roman" w:hAnsi="宋体" w:cs="宋体" w:eastAsiaTheme="minorEastAsia"/>
                <w:snapToGrid w:val="0"/>
                <w:color w:val="auto"/>
                <w:kern w:val="21"/>
                <w:sz w:val="24"/>
                <w:szCs w:val="24"/>
                <w:lang w:val="en-US" w:eastAsia="zh-CN"/>
              </w:rPr>
              <w:t>17.1t/a</w:t>
            </w:r>
          </w:p>
        </w:tc>
        <w:tc>
          <w:tcPr>
            <w:tcW w:w="1817" w:type="dxa"/>
            <w:vAlign w:val="center"/>
          </w:tcPr>
          <w:p w14:paraId="51433DF3">
            <w:pPr>
              <w:spacing w:before="31" w:after="31" w:line="240" w:lineRule="auto"/>
              <w:ind w:firstLine="480" w:firstLineChars="200"/>
              <w:rPr>
                <w:rFonts w:ascii="Times New Roman" w:hAnsi="宋体" w:cs="宋体"/>
                <w:snapToGrid w:val="0"/>
                <w:color w:val="auto"/>
                <w:kern w:val="21"/>
                <w:sz w:val="24"/>
                <w:szCs w:val="24"/>
              </w:rPr>
            </w:pPr>
            <w:r>
              <w:rPr>
                <w:rFonts w:hint="eastAsia"/>
                <w:color w:val="auto"/>
                <w:lang w:val="en-US" w:eastAsia="zh-CN"/>
              </w:rPr>
              <w:t>11.4</w:t>
            </w:r>
            <w:r>
              <w:rPr>
                <w:rFonts w:hint="eastAsia"/>
                <w:color w:val="auto"/>
              </w:rPr>
              <w:t>t/a</w:t>
            </w:r>
          </w:p>
        </w:tc>
        <w:tc>
          <w:tcPr>
            <w:tcW w:w="1856" w:type="dxa"/>
            <w:vAlign w:val="center"/>
          </w:tcPr>
          <w:p w14:paraId="66244E5A">
            <w:pPr>
              <w:spacing w:before="31" w:after="31" w:line="240" w:lineRule="auto"/>
              <w:ind w:firstLine="480" w:firstLineChars="200"/>
              <w:rPr>
                <w:rFonts w:ascii="Times New Roman" w:hAnsi="宋体" w:cs="宋体"/>
                <w:snapToGrid w:val="0"/>
                <w:color w:val="auto"/>
                <w:kern w:val="21"/>
                <w:sz w:val="24"/>
                <w:szCs w:val="24"/>
              </w:rPr>
            </w:pPr>
            <w:r>
              <w:rPr>
                <w:rFonts w:hint="eastAsia"/>
                <w:color w:val="auto"/>
                <w:lang w:val="en-US" w:eastAsia="zh-CN"/>
              </w:rPr>
              <w:t>-5.7</w:t>
            </w:r>
            <w:r>
              <w:rPr>
                <w:rFonts w:hint="eastAsia"/>
                <w:color w:val="auto"/>
              </w:rPr>
              <w:t>t/a</w:t>
            </w:r>
          </w:p>
        </w:tc>
      </w:tr>
      <w:tr w14:paraId="610625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1" w:type="dxa"/>
            <w:vMerge w:val="continue"/>
            <w:vAlign w:val="center"/>
          </w:tcPr>
          <w:p w14:paraId="1D6AA613">
            <w:pPr>
              <w:pStyle w:val="34"/>
              <w:spacing w:before="31" w:after="31" w:line="240" w:lineRule="auto"/>
              <w:ind w:firstLine="0" w:firstLineChars="0"/>
              <w:rPr>
                <w:rFonts w:hint="eastAsia" w:ascii="Times New Roman" w:hAnsi="宋体" w:cs="宋体"/>
                <w:snapToGrid w:val="0"/>
                <w:color w:val="auto"/>
                <w:kern w:val="21"/>
                <w:sz w:val="24"/>
                <w:szCs w:val="24"/>
              </w:rPr>
            </w:pPr>
          </w:p>
        </w:tc>
        <w:tc>
          <w:tcPr>
            <w:tcW w:w="1695" w:type="dxa"/>
            <w:vAlign w:val="center"/>
          </w:tcPr>
          <w:p w14:paraId="5C6BDF2B">
            <w:pPr>
              <w:pStyle w:val="34"/>
              <w:spacing w:before="31" w:after="31" w:line="240" w:lineRule="auto"/>
              <w:ind w:firstLine="0" w:firstLineChars="0"/>
              <w:rPr>
                <w:rFonts w:hint="default"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化粪池污泥</w:t>
            </w:r>
          </w:p>
        </w:tc>
        <w:tc>
          <w:tcPr>
            <w:tcW w:w="1486" w:type="dxa"/>
            <w:vAlign w:val="center"/>
          </w:tcPr>
          <w:p w14:paraId="5008554F">
            <w:pPr>
              <w:pStyle w:val="34"/>
              <w:spacing w:before="31" w:after="31" w:line="240" w:lineRule="auto"/>
              <w:ind w:firstLine="0" w:firstLineChars="0"/>
              <w:rPr>
                <w:rFonts w:hint="default"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0.417</w:t>
            </w:r>
            <w:r>
              <w:rPr>
                <w:rFonts w:hint="eastAsia" w:ascii="Times New Roman" w:hAnsi="宋体" w:cs="宋体"/>
                <w:snapToGrid w:val="0"/>
                <w:color w:val="auto"/>
                <w:kern w:val="21"/>
                <w:sz w:val="24"/>
                <w:szCs w:val="24"/>
              </w:rPr>
              <w:t>t/a</w:t>
            </w:r>
          </w:p>
        </w:tc>
        <w:tc>
          <w:tcPr>
            <w:tcW w:w="1066" w:type="dxa"/>
            <w:vAlign w:val="center"/>
          </w:tcPr>
          <w:p w14:paraId="6672B85E">
            <w:pPr>
              <w:pStyle w:val="34"/>
              <w:spacing w:before="31" w:after="31" w:line="240" w:lineRule="auto"/>
              <w:ind w:firstLine="0" w:firstLineChars="0"/>
              <w:rPr>
                <w:rFonts w:hint="eastAsia"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567" w:type="dxa"/>
            <w:vAlign w:val="center"/>
          </w:tcPr>
          <w:p w14:paraId="4FE7F1AD">
            <w:pPr>
              <w:pStyle w:val="34"/>
              <w:spacing w:before="31" w:after="31" w:line="240" w:lineRule="auto"/>
              <w:ind w:firstLine="0" w:firstLineChars="0"/>
              <w:rPr>
                <w:rFonts w:hint="eastAsia"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750" w:type="dxa"/>
            <w:vAlign w:val="center"/>
          </w:tcPr>
          <w:p w14:paraId="1BCB36A8">
            <w:pPr>
              <w:pStyle w:val="34"/>
              <w:spacing w:before="31" w:after="31" w:line="240" w:lineRule="auto"/>
              <w:ind w:firstLine="0" w:firstLineChars="0"/>
              <w:rPr>
                <w:rFonts w:hint="default"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0.125</w:t>
            </w:r>
            <w:r>
              <w:rPr>
                <w:rFonts w:hint="eastAsia" w:ascii="Times New Roman" w:hAnsi="宋体" w:cs="宋体"/>
                <w:snapToGrid w:val="0"/>
                <w:color w:val="auto"/>
                <w:kern w:val="21"/>
                <w:sz w:val="24"/>
                <w:szCs w:val="24"/>
              </w:rPr>
              <w:t>t/a</w:t>
            </w:r>
          </w:p>
        </w:tc>
        <w:tc>
          <w:tcPr>
            <w:tcW w:w="1350" w:type="dxa"/>
            <w:vAlign w:val="center"/>
          </w:tcPr>
          <w:p w14:paraId="4953ED4D">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宋体" w:eastAsia="宋体" w:cs="宋体"/>
                <w:snapToGrid w:val="0"/>
                <w:color w:val="auto"/>
                <w:kern w:val="21"/>
                <w:sz w:val="24"/>
                <w:szCs w:val="24"/>
                <w:lang w:val="en-US" w:eastAsia="zh-CN"/>
              </w:rPr>
            </w:pPr>
            <w:r>
              <w:rPr>
                <w:rFonts w:hint="default" w:ascii="Times New Roman" w:hAnsi="宋体" w:eastAsia="宋体" w:cs="宋体"/>
                <w:snapToGrid w:val="0"/>
                <w:color w:val="auto"/>
                <w:kern w:val="21"/>
                <w:sz w:val="24"/>
                <w:szCs w:val="24"/>
                <w:lang w:val="en-US" w:eastAsia="zh-CN"/>
              </w:rPr>
              <w:t>0.417t/a</w:t>
            </w:r>
          </w:p>
        </w:tc>
        <w:tc>
          <w:tcPr>
            <w:tcW w:w="1817" w:type="dxa"/>
            <w:vAlign w:val="center"/>
          </w:tcPr>
          <w:p w14:paraId="2190EEF6">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宋体" w:eastAsia="宋体" w:cs="宋体"/>
                <w:snapToGrid w:val="0"/>
                <w:color w:val="auto"/>
                <w:kern w:val="21"/>
                <w:sz w:val="24"/>
                <w:szCs w:val="24"/>
                <w:lang w:val="en-US" w:eastAsia="zh-CN"/>
              </w:rPr>
            </w:pPr>
            <w:r>
              <w:rPr>
                <w:rFonts w:hint="default" w:ascii="Times New Roman" w:hAnsi="宋体" w:eastAsia="宋体" w:cs="宋体"/>
                <w:snapToGrid w:val="0"/>
                <w:color w:val="auto"/>
                <w:kern w:val="21"/>
                <w:sz w:val="24"/>
                <w:szCs w:val="24"/>
                <w:lang w:val="en-US" w:eastAsia="zh-CN"/>
              </w:rPr>
              <w:t>0.125t/a</w:t>
            </w:r>
          </w:p>
        </w:tc>
        <w:tc>
          <w:tcPr>
            <w:tcW w:w="1856" w:type="dxa"/>
            <w:vAlign w:val="center"/>
          </w:tcPr>
          <w:p w14:paraId="5A5BC2C7">
            <w:pPr>
              <w:pStyle w:val="34"/>
              <w:spacing w:before="31" w:after="31" w:line="240" w:lineRule="auto"/>
              <w:ind w:firstLine="0" w:firstLineChars="0"/>
              <w:rPr>
                <w:rFonts w:hint="default" w:ascii="Times New Roman" w:hAnsi="宋体" w:eastAsia="宋体" w:cs="宋体"/>
                <w:snapToGrid w:val="0"/>
                <w:color w:val="auto"/>
                <w:kern w:val="21"/>
                <w:sz w:val="24"/>
                <w:szCs w:val="24"/>
                <w:lang w:val="en-US" w:eastAsia="zh-CN"/>
              </w:rPr>
            </w:pPr>
            <w:r>
              <w:rPr>
                <w:rFonts w:hint="eastAsia" w:ascii="Times New Roman" w:hAnsi="宋体" w:eastAsia="宋体" w:cs="宋体"/>
                <w:snapToGrid w:val="0"/>
                <w:color w:val="auto"/>
                <w:kern w:val="21"/>
                <w:sz w:val="24"/>
                <w:szCs w:val="24"/>
                <w:lang w:val="en-US" w:eastAsia="zh-CN"/>
              </w:rPr>
              <w:t>-0.292</w:t>
            </w:r>
            <w:r>
              <w:rPr>
                <w:rFonts w:hint="eastAsia" w:ascii="Times New Roman" w:hAnsi="宋体" w:cs="宋体"/>
                <w:snapToGrid w:val="0"/>
                <w:color w:val="auto"/>
                <w:kern w:val="21"/>
                <w:sz w:val="24"/>
                <w:szCs w:val="24"/>
              </w:rPr>
              <w:t>t/a</w:t>
            </w:r>
          </w:p>
        </w:tc>
      </w:tr>
      <w:tr w14:paraId="7EB523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1" w:type="dxa"/>
            <w:vMerge w:val="continue"/>
            <w:vAlign w:val="center"/>
          </w:tcPr>
          <w:p w14:paraId="763CD3F5">
            <w:pPr>
              <w:pStyle w:val="34"/>
              <w:spacing w:before="31" w:after="31" w:line="240" w:lineRule="auto"/>
              <w:ind w:firstLine="0" w:firstLineChars="0"/>
              <w:rPr>
                <w:rFonts w:hint="eastAsia" w:ascii="Times New Roman" w:hAnsi="宋体" w:cs="宋体"/>
                <w:snapToGrid w:val="0"/>
                <w:color w:val="auto"/>
                <w:kern w:val="21"/>
                <w:sz w:val="24"/>
                <w:szCs w:val="24"/>
              </w:rPr>
            </w:pPr>
          </w:p>
        </w:tc>
        <w:tc>
          <w:tcPr>
            <w:tcW w:w="1695" w:type="dxa"/>
            <w:vAlign w:val="center"/>
          </w:tcPr>
          <w:p w14:paraId="51597ED1">
            <w:pPr>
              <w:pStyle w:val="34"/>
              <w:spacing w:before="31" w:after="31" w:line="240" w:lineRule="auto"/>
              <w:ind w:firstLine="0" w:firstLineChars="0"/>
              <w:rPr>
                <w:rFonts w:hint="default"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污水处理站污泥</w:t>
            </w:r>
          </w:p>
        </w:tc>
        <w:tc>
          <w:tcPr>
            <w:tcW w:w="1486" w:type="dxa"/>
            <w:vAlign w:val="center"/>
          </w:tcPr>
          <w:p w14:paraId="6AA9C748">
            <w:pPr>
              <w:pStyle w:val="34"/>
              <w:spacing w:before="31" w:after="31" w:line="240" w:lineRule="auto"/>
              <w:ind w:firstLine="0" w:firstLineChars="0"/>
              <w:rPr>
                <w:rFonts w:hint="default"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066" w:type="dxa"/>
            <w:vAlign w:val="center"/>
          </w:tcPr>
          <w:p w14:paraId="79DDBFC1">
            <w:pPr>
              <w:pStyle w:val="34"/>
              <w:spacing w:before="31" w:after="31" w:line="240" w:lineRule="auto"/>
              <w:ind w:firstLine="0" w:firstLineChars="0"/>
              <w:rPr>
                <w:rFonts w:hint="default"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567" w:type="dxa"/>
            <w:vAlign w:val="center"/>
          </w:tcPr>
          <w:p w14:paraId="45D93FB5">
            <w:pPr>
              <w:pStyle w:val="34"/>
              <w:spacing w:before="31" w:after="31" w:line="240" w:lineRule="auto"/>
              <w:ind w:firstLine="0" w:firstLineChars="0"/>
              <w:rPr>
                <w:rFonts w:hint="default"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750" w:type="dxa"/>
            <w:vAlign w:val="center"/>
          </w:tcPr>
          <w:p w14:paraId="3E5AECE2">
            <w:pPr>
              <w:pStyle w:val="34"/>
              <w:spacing w:before="31" w:after="31" w:line="240" w:lineRule="auto"/>
              <w:ind w:firstLine="0" w:firstLineChars="0"/>
              <w:rPr>
                <w:rFonts w:hint="default"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0.192</w:t>
            </w:r>
            <w:r>
              <w:rPr>
                <w:rFonts w:hint="eastAsia" w:ascii="Times New Roman" w:hAnsi="宋体" w:cs="宋体"/>
                <w:snapToGrid w:val="0"/>
                <w:color w:val="auto"/>
                <w:kern w:val="21"/>
                <w:sz w:val="24"/>
                <w:szCs w:val="24"/>
              </w:rPr>
              <w:t>t/a</w:t>
            </w:r>
          </w:p>
        </w:tc>
        <w:tc>
          <w:tcPr>
            <w:tcW w:w="1350" w:type="dxa"/>
            <w:vAlign w:val="center"/>
          </w:tcPr>
          <w:p w14:paraId="01995855">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817" w:type="dxa"/>
            <w:vAlign w:val="center"/>
          </w:tcPr>
          <w:p w14:paraId="3F37826A">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0.192</w:t>
            </w:r>
            <w:r>
              <w:rPr>
                <w:rFonts w:hint="eastAsia" w:ascii="Times New Roman" w:hAnsi="宋体" w:cs="宋体"/>
                <w:snapToGrid w:val="0"/>
                <w:color w:val="auto"/>
                <w:kern w:val="21"/>
                <w:sz w:val="24"/>
                <w:szCs w:val="24"/>
              </w:rPr>
              <w:t>t/a</w:t>
            </w:r>
          </w:p>
        </w:tc>
        <w:tc>
          <w:tcPr>
            <w:tcW w:w="1856" w:type="dxa"/>
            <w:vAlign w:val="center"/>
          </w:tcPr>
          <w:p w14:paraId="61B5686C">
            <w:pPr>
              <w:pStyle w:val="34"/>
              <w:spacing w:before="31" w:after="31" w:line="240" w:lineRule="auto"/>
              <w:ind w:firstLine="0" w:firstLineChars="0"/>
              <w:rPr>
                <w:rFonts w:hint="default"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+0.192</w:t>
            </w:r>
            <w:r>
              <w:rPr>
                <w:rFonts w:hint="eastAsia" w:ascii="Times New Roman" w:hAnsi="宋体" w:cs="宋体"/>
                <w:snapToGrid w:val="0"/>
                <w:color w:val="auto"/>
                <w:kern w:val="21"/>
                <w:sz w:val="24"/>
                <w:szCs w:val="24"/>
              </w:rPr>
              <w:t>t/a</w:t>
            </w:r>
          </w:p>
        </w:tc>
      </w:tr>
      <w:tr w14:paraId="71E515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1" w:type="dxa"/>
            <w:vMerge w:val="continue"/>
            <w:vAlign w:val="center"/>
          </w:tcPr>
          <w:p w14:paraId="5F2C3C8D">
            <w:pPr>
              <w:pStyle w:val="34"/>
              <w:spacing w:before="31" w:after="31" w:line="240" w:lineRule="auto"/>
              <w:ind w:firstLine="0" w:firstLineChars="0"/>
              <w:rPr>
                <w:rFonts w:ascii="Times New Roman" w:hAnsi="宋体" w:cs="宋体"/>
                <w:snapToGrid w:val="0"/>
                <w:color w:val="auto"/>
                <w:kern w:val="21"/>
                <w:sz w:val="24"/>
                <w:szCs w:val="24"/>
              </w:rPr>
            </w:pPr>
          </w:p>
        </w:tc>
        <w:tc>
          <w:tcPr>
            <w:tcW w:w="1695" w:type="dxa"/>
            <w:vAlign w:val="center"/>
          </w:tcPr>
          <w:p w14:paraId="3FC48AA1">
            <w:pPr>
              <w:pStyle w:val="34"/>
              <w:spacing w:before="31" w:after="31" w:line="240" w:lineRule="auto"/>
              <w:ind w:firstLine="0" w:firstLineChars="0"/>
              <w:rPr>
                <w:rFonts w:hint="eastAsia" w:ascii="Times New Roman" w:hAnsi="宋体" w:eastAsia="宋体" w:cs="宋体"/>
                <w:snapToGrid w:val="0"/>
                <w:color w:val="auto"/>
                <w:kern w:val="21"/>
                <w:sz w:val="24"/>
                <w:szCs w:val="24"/>
                <w:lang w:eastAsia="zh-CN"/>
              </w:rPr>
            </w:pPr>
            <w:r>
              <w:rPr>
                <w:rFonts w:hint="eastAsia" w:ascii="Times New Roman" w:hAnsi="宋体" w:eastAsia="宋体" w:cs="宋体"/>
                <w:snapToGrid w:val="0"/>
                <w:color w:val="auto"/>
                <w:kern w:val="21"/>
                <w:sz w:val="24"/>
                <w:szCs w:val="24"/>
                <w:lang w:eastAsia="zh-CN"/>
              </w:rPr>
              <w:t>焊渣</w:t>
            </w:r>
          </w:p>
        </w:tc>
        <w:tc>
          <w:tcPr>
            <w:tcW w:w="1486" w:type="dxa"/>
            <w:vAlign w:val="center"/>
          </w:tcPr>
          <w:p w14:paraId="4D2AEF7B">
            <w:pPr>
              <w:pStyle w:val="34"/>
              <w:spacing w:before="31" w:after="31" w:line="240" w:lineRule="auto"/>
              <w:ind w:firstLine="0" w:firstLineChars="0"/>
              <w:rPr>
                <w:rFonts w:hint="default"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35</w:t>
            </w:r>
            <w:r>
              <w:rPr>
                <w:rFonts w:hint="eastAsia" w:ascii="Times New Roman" w:hAnsi="宋体" w:cs="宋体"/>
                <w:snapToGrid w:val="0"/>
                <w:color w:val="auto"/>
                <w:kern w:val="21"/>
                <w:sz w:val="24"/>
                <w:szCs w:val="24"/>
              </w:rPr>
              <w:t>t/a</w:t>
            </w:r>
          </w:p>
        </w:tc>
        <w:tc>
          <w:tcPr>
            <w:tcW w:w="1066" w:type="dxa"/>
            <w:vAlign w:val="center"/>
          </w:tcPr>
          <w:p w14:paraId="37E91124">
            <w:pPr>
              <w:pStyle w:val="34"/>
              <w:spacing w:before="31" w:after="31" w:line="240" w:lineRule="auto"/>
              <w:ind w:firstLine="0" w:firstLineChars="0"/>
              <w:rPr>
                <w:rFonts w:ascii="Times New Roman" w:hAnsi="宋体" w:cs="宋体"/>
                <w:snapToGrid w:val="0"/>
                <w:color w:val="auto"/>
                <w:kern w:val="21"/>
                <w:sz w:val="24"/>
                <w:szCs w:val="24"/>
              </w:rPr>
            </w:pPr>
            <w:r>
              <w:rPr>
                <w:rFonts w:hint="eastAsia" w:ascii="Times New Roman" w:hAnsi="宋体" w:cs="宋体"/>
                <w:snapToGrid w:val="0"/>
                <w:color w:val="auto"/>
                <w:kern w:val="21"/>
                <w:sz w:val="24"/>
                <w:szCs w:val="24"/>
                <w:lang w:val="en-US" w:eastAsia="zh-CN"/>
              </w:rPr>
              <w:t>0</w:t>
            </w:r>
          </w:p>
        </w:tc>
        <w:tc>
          <w:tcPr>
            <w:tcW w:w="1567" w:type="dxa"/>
            <w:vAlign w:val="center"/>
          </w:tcPr>
          <w:p w14:paraId="6B2892D0">
            <w:pPr>
              <w:pStyle w:val="34"/>
              <w:spacing w:before="31" w:after="31" w:line="240" w:lineRule="auto"/>
              <w:ind w:firstLine="0" w:firstLineChars="0"/>
              <w:rPr>
                <w:rFonts w:ascii="Times New Roman" w:hAnsi="宋体" w:cs="宋体"/>
                <w:snapToGrid w:val="0"/>
                <w:color w:val="auto"/>
                <w:kern w:val="21"/>
                <w:sz w:val="24"/>
                <w:szCs w:val="24"/>
              </w:rPr>
            </w:pPr>
            <w:r>
              <w:rPr>
                <w:rFonts w:hint="eastAsia" w:ascii="Times New Roman" w:hAnsi="宋体" w:cs="宋体"/>
                <w:snapToGrid w:val="0"/>
                <w:color w:val="auto"/>
                <w:kern w:val="21"/>
                <w:sz w:val="24"/>
                <w:szCs w:val="24"/>
                <w:lang w:val="en-US" w:eastAsia="zh-CN"/>
              </w:rPr>
              <w:t>0</w:t>
            </w:r>
          </w:p>
        </w:tc>
        <w:tc>
          <w:tcPr>
            <w:tcW w:w="1750" w:type="dxa"/>
            <w:vAlign w:val="center"/>
          </w:tcPr>
          <w:p w14:paraId="64D2EE74">
            <w:pPr>
              <w:spacing w:before="31" w:after="31" w:line="240" w:lineRule="auto"/>
              <w:ind w:firstLine="480" w:firstLineChars="200"/>
              <w:rPr>
                <w:rFonts w:ascii="Times New Roman" w:hAnsi="宋体" w:cs="宋体"/>
                <w:snapToGrid w:val="0"/>
                <w:color w:val="auto"/>
                <w:kern w:val="21"/>
                <w:sz w:val="24"/>
                <w:szCs w:val="24"/>
              </w:rPr>
            </w:pPr>
            <w:r>
              <w:rPr>
                <w:rFonts w:hint="eastAsia"/>
                <w:color w:val="auto"/>
              </w:rPr>
              <w:t>50t/a</w:t>
            </w:r>
          </w:p>
        </w:tc>
        <w:tc>
          <w:tcPr>
            <w:tcW w:w="1350" w:type="dxa"/>
            <w:vAlign w:val="center"/>
          </w:tcPr>
          <w:p w14:paraId="57C43F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宋体" w:eastAsia="宋体" w:cs="宋体"/>
                <w:snapToGrid w:val="0"/>
                <w:color w:val="auto"/>
                <w:kern w:val="21"/>
                <w:sz w:val="24"/>
                <w:szCs w:val="24"/>
                <w:lang w:val="en-US" w:eastAsia="zh-CN"/>
              </w:rPr>
            </w:pPr>
            <w:r>
              <w:rPr>
                <w:rFonts w:hint="eastAsia" w:ascii="Times New Roman" w:hAnsi="宋体" w:eastAsia="宋体" w:cs="宋体"/>
                <w:snapToGrid w:val="0"/>
                <w:color w:val="auto"/>
                <w:kern w:val="21"/>
                <w:sz w:val="24"/>
                <w:szCs w:val="24"/>
                <w:lang w:val="en-US" w:eastAsia="zh-CN"/>
              </w:rPr>
              <w:t>35t/a</w:t>
            </w:r>
          </w:p>
        </w:tc>
        <w:tc>
          <w:tcPr>
            <w:tcW w:w="1817" w:type="dxa"/>
            <w:vAlign w:val="center"/>
          </w:tcPr>
          <w:p w14:paraId="0228CA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宋体" w:cs="宋体"/>
                <w:snapToGrid w:val="0"/>
                <w:color w:val="auto"/>
                <w:kern w:val="21"/>
                <w:sz w:val="24"/>
                <w:szCs w:val="24"/>
              </w:rPr>
            </w:pPr>
            <w:r>
              <w:rPr>
                <w:rFonts w:hint="eastAsia"/>
                <w:color w:val="auto"/>
                <w:lang w:val="en-US" w:eastAsia="zh-CN"/>
              </w:rPr>
              <w:t>50</w:t>
            </w:r>
            <w:r>
              <w:rPr>
                <w:rFonts w:hint="eastAsia"/>
                <w:color w:val="auto"/>
              </w:rPr>
              <w:t>t/a</w:t>
            </w:r>
          </w:p>
        </w:tc>
        <w:tc>
          <w:tcPr>
            <w:tcW w:w="1856" w:type="dxa"/>
            <w:vAlign w:val="center"/>
          </w:tcPr>
          <w:p w14:paraId="6019D986">
            <w:pPr>
              <w:spacing w:before="31" w:after="31" w:line="240" w:lineRule="auto"/>
              <w:ind w:firstLine="480" w:firstLineChars="200"/>
              <w:rPr>
                <w:rFonts w:ascii="Times New Roman" w:hAnsi="宋体" w:cs="宋体"/>
                <w:snapToGrid w:val="0"/>
                <w:color w:val="auto"/>
                <w:kern w:val="21"/>
                <w:sz w:val="24"/>
                <w:szCs w:val="24"/>
              </w:rPr>
            </w:pPr>
            <w:r>
              <w:rPr>
                <w:rFonts w:hint="eastAsia"/>
                <w:color w:val="auto"/>
                <w:lang w:val="en-US" w:eastAsia="zh-CN"/>
              </w:rPr>
              <w:t>+15</w:t>
            </w:r>
            <w:r>
              <w:rPr>
                <w:rFonts w:hint="eastAsia"/>
                <w:color w:val="auto"/>
              </w:rPr>
              <w:t>t/a</w:t>
            </w:r>
          </w:p>
        </w:tc>
      </w:tr>
      <w:tr w14:paraId="644C71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1" w:type="dxa"/>
            <w:vMerge w:val="continue"/>
            <w:vAlign w:val="center"/>
          </w:tcPr>
          <w:p w14:paraId="07E94AEB">
            <w:pPr>
              <w:pStyle w:val="34"/>
              <w:spacing w:before="31" w:after="31" w:line="240" w:lineRule="auto"/>
              <w:ind w:firstLine="0" w:firstLineChars="0"/>
              <w:rPr>
                <w:rFonts w:ascii="Times New Roman" w:hAnsi="宋体" w:cs="宋体"/>
                <w:snapToGrid w:val="0"/>
                <w:color w:val="auto"/>
                <w:kern w:val="21"/>
                <w:sz w:val="24"/>
                <w:szCs w:val="24"/>
              </w:rPr>
            </w:pPr>
          </w:p>
        </w:tc>
        <w:tc>
          <w:tcPr>
            <w:tcW w:w="1695" w:type="dxa"/>
            <w:vAlign w:val="center"/>
          </w:tcPr>
          <w:p w14:paraId="6306A6CE">
            <w:pPr>
              <w:pStyle w:val="34"/>
              <w:spacing w:before="31" w:after="31" w:line="240" w:lineRule="auto"/>
              <w:ind w:firstLine="0" w:firstLineChars="0"/>
              <w:rPr>
                <w:rFonts w:hint="default"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除尘灰</w:t>
            </w:r>
          </w:p>
        </w:tc>
        <w:tc>
          <w:tcPr>
            <w:tcW w:w="1486" w:type="dxa"/>
            <w:vAlign w:val="center"/>
          </w:tcPr>
          <w:p w14:paraId="40268420">
            <w:pPr>
              <w:pStyle w:val="34"/>
              <w:spacing w:before="31" w:after="31" w:line="240" w:lineRule="auto"/>
              <w:ind w:firstLine="0" w:firstLineChars="0"/>
              <w:rPr>
                <w:rFonts w:hint="default"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066" w:type="dxa"/>
            <w:vAlign w:val="center"/>
          </w:tcPr>
          <w:p w14:paraId="5B7FBD9B">
            <w:pPr>
              <w:pStyle w:val="34"/>
              <w:spacing w:before="31" w:after="31" w:line="240" w:lineRule="auto"/>
              <w:ind w:firstLine="0" w:firstLineChars="0"/>
              <w:rPr>
                <w:rFonts w:hint="default"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567" w:type="dxa"/>
            <w:vAlign w:val="center"/>
          </w:tcPr>
          <w:p w14:paraId="78220480">
            <w:pPr>
              <w:pStyle w:val="34"/>
              <w:spacing w:before="31" w:after="31" w:line="240" w:lineRule="auto"/>
              <w:ind w:firstLine="0" w:firstLineChars="0"/>
              <w:rPr>
                <w:rFonts w:hint="default"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750" w:type="dxa"/>
            <w:vAlign w:val="center"/>
          </w:tcPr>
          <w:p w14:paraId="33F0A2AE">
            <w:pPr>
              <w:pStyle w:val="34"/>
              <w:spacing w:before="31" w:after="31" w:line="240" w:lineRule="auto"/>
              <w:ind w:firstLine="0" w:firstLineChars="0"/>
              <w:rPr>
                <w:rFonts w:hint="default"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0.841t/a</w:t>
            </w:r>
          </w:p>
        </w:tc>
        <w:tc>
          <w:tcPr>
            <w:tcW w:w="1350" w:type="dxa"/>
            <w:vAlign w:val="center"/>
          </w:tcPr>
          <w:p w14:paraId="1C355F02">
            <w:pPr>
              <w:pStyle w:val="34"/>
              <w:spacing w:before="31" w:after="31" w:line="240" w:lineRule="auto"/>
              <w:ind w:firstLine="0" w:firstLineChars="0"/>
              <w:rPr>
                <w:rFonts w:hint="default"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817" w:type="dxa"/>
            <w:vAlign w:val="center"/>
          </w:tcPr>
          <w:p w14:paraId="5DD0D0C4">
            <w:pPr>
              <w:spacing w:before="31" w:after="31" w:line="240" w:lineRule="auto"/>
              <w:ind w:firstLine="480" w:firstLineChars="200"/>
              <w:rPr>
                <w:rFonts w:hint="eastAsia"/>
                <w:color w:val="auto"/>
                <w:lang w:val="en-US" w:eastAsia="zh-CN"/>
              </w:rPr>
            </w:pPr>
            <w:r>
              <w:rPr>
                <w:rFonts w:hint="eastAsia"/>
                <w:color w:val="auto"/>
                <w:lang w:val="en-US" w:eastAsia="zh-CN"/>
              </w:rPr>
              <w:t>0.841t/a</w:t>
            </w:r>
          </w:p>
        </w:tc>
        <w:tc>
          <w:tcPr>
            <w:tcW w:w="1856" w:type="dxa"/>
            <w:vAlign w:val="center"/>
          </w:tcPr>
          <w:p w14:paraId="241FD122">
            <w:pPr>
              <w:spacing w:before="31" w:after="31" w:line="240" w:lineRule="auto"/>
              <w:ind w:firstLine="480" w:firstLineChars="200"/>
              <w:rPr>
                <w:rFonts w:hint="default"/>
                <w:color w:val="auto"/>
                <w:lang w:val="en-US" w:eastAsia="zh-CN"/>
              </w:rPr>
            </w:pPr>
            <w:r>
              <w:rPr>
                <w:rFonts w:hint="eastAsia"/>
                <w:color w:val="auto"/>
                <w:lang w:val="en-US" w:eastAsia="zh-CN"/>
              </w:rPr>
              <w:t>+0.841t/a</w:t>
            </w:r>
          </w:p>
        </w:tc>
      </w:tr>
      <w:tr w14:paraId="268362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1" w:type="dxa"/>
            <w:vMerge w:val="continue"/>
            <w:vAlign w:val="center"/>
          </w:tcPr>
          <w:p w14:paraId="2B3F8B55">
            <w:pPr>
              <w:pStyle w:val="34"/>
              <w:spacing w:before="31" w:after="31" w:line="240" w:lineRule="auto"/>
              <w:ind w:firstLine="0" w:firstLineChars="0"/>
              <w:rPr>
                <w:rFonts w:ascii="Times New Roman" w:hAnsi="宋体" w:cs="宋体"/>
                <w:snapToGrid w:val="0"/>
                <w:color w:val="auto"/>
                <w:kern w:val="21"/>
                <w:sz w:val="24"/>
                <w:szCs w:val="24"/>
              </w:rPr>
            </w:pPr>
          </w:p>
        </w:tc>
        <w:tc>
          <w:tcPr>
            <w:tcW w:w="1695" w:type="dxa"/>
            <w:vAlign w:val="center"/>
          </w:tcPr>
          <w:p w14:paraId="780BB5D5">
            <w:pPr>
              <w:pStyle w:val="34"/>
              <w:spacing w:before="31" w:after="31" w:line="240" w:lineRule="auto"/>
              <w:ind w:firstLine="0" w:firstLineChars="0"/>
              <w:rPr>
                <w:rFonts w:hint="eastAsia" w:ascii="Times New Roman" w:hAnsi="宋体" w:eastAsia="宋体" w:cs="宋体"/>
                <w:snapToGrid w:val="0"/>
                <w:color w:val="auto"/>
                <w:kern w:val="21"/>
                <w:sz w:val="24"/>
                <w:szCs w:val="24"/>
                <w:lang w:eastAsia="zh-CN"/>
              </w:rPr>
            </w:pPr>
            <w:r>
              <w:rPr>
                <w:rFonts w:hint="eastAsia" w:ascii="Times New Roman" w:hAnsi="宋体" w:eastAsia="宋体" w:cs="宋体"/>
                <w:snapToGrid w:val="0"/>
                <w:color w:val="auto"/>
                <w:kern w:val="21"/>
                <w:sz w:val="24"/>
                <w:szCs w:val="24"/>
                <w:lang w:eastAsia="zh-CN"/>
              </w:rPr>
              <w:t>循环水池沉渣</w:t>
            </w:r>
          </w:p>
        </w:tc>
        <w:tc>
          <w:tcPr>
            <w:tcW w:w="1486" w:type="dxa"/>
            <w:vAlign w:val="center"/>
          </w:tcPr>
          <w:p w14:paraId="0760AFB1">
            <w:pPr>
              <w:pStyle w:val="34"/>
              <w:spacing w:before="31" w:after="31" w:line="240" w:lineRule="auto"/>
              <w:ind w:firstLine="0" w:firstLineChars="0"/>
              <w:rPr>
                <w:rFonts w:hint="eastAsia"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7</w:t>
            </w:r>
            <w:r>
              <w:rPr>
                <w:rFonts w:hint="eastAsia" w:ascii="Times New Roman" w:hAnsi="宋体" w:cs="宋体"/>
                <w:snapToGrid w:val="0"/>
                <w:color w:val="auto"/>
                <w:kern w:val="21"/>
                <w:sz w:val="24"/>
                <w:szCs w:val="24"/>
              </w:rPr>
              <w:t>t/a</w:t>
            </w:r>
          </w:p>
        </w:tc>
        <w:tc>
          <w:tcPr>
            <w:tcW w:w="1066" w:type="dxa"/>
            <w:vAlign w:val="center"/>
          </w:tcPr>
          <w:p w14:paraId="49C24B54">
            <w:pPr>
              <w:pStyle w:val="34"/>
              <w:spacing w:before="31" w:after="31" w:line="240" w:lineRule="auto"/>
              <w:ind w:firstLine="0" w:firstLineChars="0"/>
              <w:rPr>
                <w:rFonts w:ascii="Times New Roman" w:hAnsi="宋体" w:cs="宋体"/>
                <w:snapToGrid w:val="0"/>
                <w:color w:val="auto"/>
                <w:kern w:val="21"/>
                <w:sz w:val="24"/>
                <w:szCs w:val="24"/>
              </w:rPr>
            </w:pPr>
            <w:r>
              <w:rPr>
                <w:rFonts w:hint="eastAsia" w:ascii="Times New Roman" w:hAnsi="宋体" w:cs="宋体"/>
                <w:snapToGrid w:val="0"/>
                <w:color w:val="auto"/>
                <w:kern w:val="21"/>
                <w:sz w:val="24"/>
                <w:szCs w:val="24"/>
                <w:lang w:val="en-US" w:eastAsia="zh-CN"/>
              </w:rPr>
              <w:t>0</w:t>
            </w:r>
          </w:p>
        </w:tc>
        <w:tc>
          <w:tcPr>
            <w:tcW w:w="1567" w:type="dxa"/>
            <w:vAlign w:val="center"/>
          </w:tcPr>
          <w:p w14:paraId="74928E1A">
            <w:pPr>
              <w:pStyle w:val="34"/>
              <w:spacing w:before="31" w:after="31" w:line="240" w:lineRule="auto"/>
              <w:ind w:firstLine="0" w:firstLineChars="0"/>
              <w:rPr>
                <w:rFonts w:ascii="Times New Roman" w:hAnsi="宋体" w:cs="宋体"/>
                <w:snapToGrid w:val="0"/>
                <w:color w:val="auto"/>
                <w:kern w:val="21"/>
                <w:sz w:val="24"/>
                <w:szCs w:val="24"/>
              </w:rPr>
            </w:pPr>
            <w:r>
              <w:rPr>
                <w:rFonts w:hint="eastAsia" w:ascii="Times New Roman" w:hAnsi="宋体" w:cs="宋体"/>
                <w:snapToGrid w:val="0"/>
                <w:color w:val="auto"/>
                <w:kern w:val="21"/>
                <w:sz w:val="24"/>
                <w:szCs w:val="24"/>
                <w:lang w:val="en-US" w:eastAsia="zh-CN"/>
              </w:rPr>
              <w:t>0</w:t>
            </w:r>
          </w:p>
        </w:tc>
        <w:tc>
          <w:tcPr>
            <w:tcW w:w="1750" w:type="dxa"/>
            <w:vAlign w:val="center"/>
          </w:tcPr>
          <w:p w14:paraId="1059FAD1">
            <w:pPr>
              <w:pStyle w:val="34"/>
              <w:spacing w:before="31" w:after="31" w:line="240" w:lineRule="auto"/>
              <w:ind w:firstLine="0" w:firstLineChars="0"/>
              <w:rPr>
                <w:rFonts w:ascii="Times New Roman" w:hAnsi="宋体" w:cs="宋体"/>
                <w:snapToGrid w:val="0"/>
                <w:color w:val="auto"/>
                <w:kern w:val="21"/>
                <w:sz w:val="24"/>
                <w:szCs w:val="24"/>
              </w:rPr>
            </w:pPr>
            <w:r>
              <w:rPr>
                <w:rFonts w:hint="eastAsia" w:ascii="Times New Roman" w:hAnsi="宋体" w:eastAsia="宋体" w:cs="宋体"/>
                <w:snapToGrid w:val="0"/>
                <w:color w:val="auto"/>
                <w:kern w:val="21"/>
                <w:sz w:val="24"/>
                <w:szCs w:val="24"/>
                <w:lang w:val="en-US" w:eastAsia="zh-CN"/>
              </w:rPr>
              <w:t>10t/a</w:t>
            </w:r>
          </w:p>
        </w:tc>
        <w:tc>
          <w:tcPr>
            <w:tcW w:w="1350" w:type="dxa"/>
            <w:vAlign w:val="center"/>
          </w:tcPr>
          <w:p w14:paraId="01AF30C2">
            <w:pPr>
              <w:pStyle w:val="34"/>
              <w:spacing w:before="31" w:after="31" w:line="240" w:lineRule="auto"/>
              <w:ind w:firstLine="0" w:firstLineChars="0"/>
              <w:rPr>
                <w:rFonts w:hint="eastAsia" w:ascii="Times New Roman" w:hAnsi="宋体" w:eastAsia="宋体" w:cs="宋体"/>
                <w:snapToGrid w:val="0"/>
                <w:color w:val="auto"/>
                <w:kern w:val="21"/>
                <w:sz w:val="24"/>
                <w:szCs w:val="24"/>
                <w:lang w:val="en-US" w:eastAsia="zh-CN"/>
              </w:rPr>
            </w:pPr>
            <w:r>
              <w:rPr>
                <w:rFonts w:hint="eastAsia" w:ascii="Times New Roman" w:hAnsi="宋体" w:eastAsia="宋体" w:cs="宋体"/>
                <w:snapToGrid w:val="0"/>
                <w:color w:val="auto"/>
                <w:kern w:val="21"/>
                <w:sz w:val="24"/>
                <w:szCs w:val="24"/>
                <w:lang w:val="en-US" w:eastAsia="zh-CN"/>
              </w:rPr>
              <w:t>7t/a</w:t>
            </w:r>
          </w:p>
        </w:tc>
        <w:tc>
          <w:tcPr>
            <w:tcW w:w="1817" w:type="dxa"/>
            <w:vAlign w:val="center"/>
          </w:tcPr>
          <w:p w14:paraId="4B3867D8">
            <w:pPr>
              <w:spacing w:before="31" w:after="31" w:line="240" w:lineRule="auto"/>
              <w:ind w:firstLine="480" w:firstLineChars="200"/>
              <w:rPr>
                <w:rFonts w:ascii="Times New Roman" w:hAnsi="宋体" w:cs="宋体"/>
                <w:snapToGrid w:val="0"/>
                <w:color w:val="auto"/>
                <w:kern w:val="21"/>
                <w:sz w:val="24"/>
                <w:szCs w:val="24"/>
              </w:rPr>
            </w:pPr>
            <w:r>
              <w:rPr>
                <w:rFonts w:hint="eastAsia"/>
                <w:color w:val="auto"/>
                <w:lang w:val="en-US" w:eastAsia="zh-CN"/>
              </w:rPr>
              <w:t>10</w:t>
            </w:r>
            <w:r>
              <w:rPr>
                <w:rFonts w:hint="eastAsia"/>
                <w:color w:val="auto"/>
              </w:rPr>
              <w:t>t/a</w:t>
            </w:r>
          </w:p>
        </w:tc>
        <w:tc>
          <w:tcPr>
            <w:tcW w:w="1856" w:type="dxa"/>
            <w:vAlign w:val="center"/>
          </w:tcPr>
          <w:p w14:paraId="48671E34">
            <w:pPr>
              <w:spacing w:before="31" w:after="31" w:line="240" w:lineRule="auto"/>
              <w:ind w:firstLine="480" w:firstLineChars="200"/>
              <w:rPr>
                <w:rFonts w:ascii="Times New Roman" w:hAnsi="宋体" w:cs="宋体"/>
                <w:snapToGrid w:val="0"/>
                <w:color w:val="auto"/>
                <w:kern w:val="21"/>
                <w:sz w:val="24"/>
                <w:szCs w:val="24"/>
              </w:rPr>
            </w:pPr>
            <w:r>
              <w:rPr>
                <w:rFonts w:hint="eastAsia"/>
                <w:color w:val="auto"/>
                <w:lang w:val="en-US" w:eastAsia="zh-CN"/>
              </w:rPr>
              <w:t>+3</w:t>
            </w:r>
            <w:r>
              <w:rPr>
                <w:rFonts w:hint="eastAsia"/>
                <w:color w:val="auto"/>
              </w:rPr>
              <w:t>t/a</w:t>
            </w:r>
          </w:p>
        </w:tc>
      </w:tr>
      <w:tr w14:paraId="6744B7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1" w:type="dxa"/>
            <w:vMerge w:val="continue"/>
            <w:vAlign w:val="center"/>
          </w:tcPr>
          <w:p w14:paraId="06B8125D">
            <w:pPr>
              <w:pStyle w:val="34"/>
              <w:spacing w:before="31" w:after="31" w:line="240" w:lineRule="auto"/>
              <w:ind w:firstLine="0" w:firstLineChars="0"/>
              <w:rPr>
                <w:rFonts w:ascii="Times New Roman" w:hAnsi="宋体" w:cs="宋体"/>
                <w:snapToGrid w:val="0"/>
                <w:color w:val="auto"/>
                <w:kern w:val="21"/>
                <w:sz w:val="24"/>
                <w:szCs w:val="24"/>
              </w:rPr>
            </w:pPr>
          </w:p>
        </w:tc>
        <w:tc>
          <w:tcPr>
            <w:tcW w:w="1695" w:type="dxa"/>
            <w:vAlign w:val="center"/>
          </w:tcPr>
          <w:p w14:paraId="33B235E6">
            <w:pPr>
              <w:pStyle w:val="34"/>
              <w:spacing w:before="31" w:after="31" w:line="240" w:lineRule="auto"/>
              <w:ind w:firstLine="0" w:firstLineChars="0"/>
              <w:rPr>
                <w:rFonts w:hint="eastAsia" w:ascii="Times New Roman" w:hAnsi="宋体" w:eastAsia="宋体" w:cs="宋体"/>
                <w:snapToGrid w:val="0"/>
                <w:color w:val="auto"/>
                <w:kern w:val="21"/>
                <w:sz w:val="24"/>
                <w:szCs w:val="24"/>
                <w:lang w:eastAsia="zh-CN"/>
              </w:rPr>
            </w:pPr>
            <w:r>
              <w:rPr>
                <w:rFonts w:hint="eastAsia" w:ascii="Times New Roman" w:hAnsi="宋体" w:eastAsia="宋体" w:cs="宋体"/>
                <w:snapToGrid w:val="0"/>
                <w:color w:val="auto"/>
                <w:kern w:val="21"/>
                <w:sz w:val="24"/>
                <w:szCs w:val="24"/>
                <w:lang w:eastAsia="zh-CN"/>
              </w:rPr>
              <w:t>边角废料及切割碎屑</w:t>
            </w:r>
          </w:p>
        </w:tc>
        <w:tc>
          <w:tcPr>
            <w:tcW w:w="1486" w:type="dxa"/>
            <w:vAlign w:val="center"/>
          </w:tcPr>
          <w:p w14:paraId="7DDDB5BF">
            <w:pPr>
              <w:pStyle w:val="34"/>
              <w:spacing w:before="31" w:after="31" w:line="240" w:lineRule="auto"/>
              <w:ind w:firstLine="0" w:firstLineChars="0"/>
              <w:rPr>
                <w:rFonts w:hint="default"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312.608</w:t>
            </w:r>
            <w:r>
              <w:rPr>
                <w:rFonts w:hint="eastAsia" w:ascii="Times New Roman" w:hAnsi="宋体" w:cs="宋体"/>
                <w:snapToGrid w:val="0"/>
                <w:color w:val="auto"/>
                <w:kern w:val="21"/>
                <w:sz w:val="24"/>
                <w:szCs w:val="24"/>
              </w:rPr>
              <w:t>t/a</w:t>
            </w:r>
          </w:p>
        </w:tc>
        <w:tc>
          <w:tcPr>
            <w:tcW w:w="1066" w:type="dxa"/>
            <w:vAlign w:val="center"/>
          </w:tcPr>
          <w:p w14:paraId="68F3D9A7">
            <w:pPr>
              <w:pStyle w:val="34"/>
              <w:spacing w:before="31" w:after="31" w:line="240" w:lineRule="auto"/>
              <w:ind w:firstLine="0" w:firstLineChars="0"/>
              <w:rPr>
                <w:rFonts w:hint="default"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567" w:type="dxa"/>
            <w:vAlign w:val="center"/>
          </w:tcPr>
          <w:p w14:paraId="52F7E4D5">
            <w:pPr>
              <w:pStyle w:val="34"/>
              <w:spacing w:before="31" w:after="31" w:line="240" w:lineRule="auto"/>
              <w:ind w:firstLine="0" w:firstLineChars="0"/>
              <w:rPr>
                <w:rFonts w:hint="default" w:ascii="Times New Roman" w:hAnsi="宋体" w:eastAsia="宋体" w:cs="宋体"/>
                <w:snapToGrid w:val="0"/>
                <w:color w:val="auto"/>
                <w:kern w:val="21"/>
                <w:sz w:val="24"/>
                <w:szCs w:val="24"/>
                <w:lang w:val="en-US" w:eastAsia="zh-CN"/>
              </w:rPr>
            </w:pPr>
            <w:r>
              <w:rPr>
                <w:rFonts w:hint="eastAsia" w:ascii="Times New Roman" w:hAnsi="宋体" w:eastAsia="宋体" w:cs="宋体"/>
                <w:snapToGrid w:val="0"/>
                <w:color w:val="auto"/>
                <w:kern w:val="21"/>
                <w:sz w:val="24"/>
                <w:szCs w:val="24"/>
                <w:lang w:val="en-US" w:eastAsia="zh-CN"/>
              </w:rPr>
              <w:t>0</w:t>
            </w:r>
          </w:p>
        </w:tc>
        <w:tc>
          <w:tcPr>
            <w:tcW w:w="1750" w:type="dxa"/>
            <w:vAlign w:val="center"/>
          </w:tcPr>
          <w:p w14:paraId="7770B810">
            <w:pPr>
              <w:pStyle w:val="34"/>
              <w:spacing w:before="31" w:after="31" w:line="240" w:lineRule="auto"/>
              <w:ind w:firstLine="0" w:firstLineChars="0"/>
              <w:rPr>
                <w:rFonts w:hint="eastAsia" w:ascii="Times New Roman" w:hAnsi="宋体" w:eastAsia="宋体" w:cs="宋体"/>
                <w:snapToGrid w:val="0"/>
                <w:color w:val="auto"/>
                <w:kern w:val="21"/>
                <w:sz w:val="24"/>
                <w:szCs w:val="24"/>
                <w:lang w:val="en-US" w:eastAsia="zh-CN"/>
              </w:rPr>
            </w:pPr>
            <w:r>
              <w:rPr>
                <w:rFonts w:hint="eastAsia" w:ascii="Times New Roman" w:hAnsi="宋体" w:eastAsia="宋体" w:cs="宋体"/>
                <w:snapToGrid w:val="0"/>
                <w:color w:val="auto"/>
                <w:kern w:val="21"/>
                <w:sz w:val="24"/>
                <w:szCs w:val="24"/>
                <w:lang w:val="en-US" w:eastAsia="zh-CN"/>
              </w:rPr>
              <w:t>446.78</w:t>
            </w:r>
            <w:r>
              <w:rPr>
                <w:rFonts w:hint="eastAsia" w:ascii="Times New Roman" w:hAnsi="宋体" w:cs="宋体"/>
                <w:snapToGrid w:val="0"/>
                <w:color w:val="auto"/>
                <w:kern w:val="21"/>
                <w:sz w:val="24"/>
                <w:szCs w:val="24"/>
                <w:lang w:val="en-US" w:eastAsia="zh-CN"/>
              </w:rPr>
              <w:t>3</w:t>
            </w:r>
            <w:r>
              <w:rPr>
                <w:rFonts w:hint="eastAsia" w:ascii="Times New Roman" w:hAnsi="宋体" w:eastAsia="宋体" w:cs="宋体"/>
                <w:snapToGrid w:val="0"/>
                <w:color w:val="auto"/>
                <w:kern w:val="21"/>
                <w:sz w:val="24"/>
                <w:szCs w:val="24"/>
                <w:lang w:val="en-US" w:eastAsia="zh-CN"/>
              </w:rPr>
              <w:t>t/a</w:t>
            </w:r>
          </w:p>
        </w:tc>
        <w:tc>
          <w:tcPr>
            <w:tcW w:w="1350" w:type="dxa"/>
            <w:vAlign w:val="center"/>
          </w:tcPr>
          <w:p w14:paraId="662170E1">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宋体" w:eastAsia="宋体" w:cs="宋体"/>
                <w:snapToGrid w:val="0"/>
                <w:color w:val="auto"/>
                <w:kern w:val="21"/>
                <w:sz w:val="24"/>
                <w:szCs w:val="24"/>
                <w:lang w:val="en-US" w:eastAsia="zh-CN"/>
              </w:rPr>
            </w:pPr>
            <w:r>
              <w:rPr>
                <w:rFonts w:hint="eastAsia" w:ascii="Times New Roman" w:hAnsi="宋体" w:eastAsia="宋体" w:cs="宋体"/>
                <w:snapToGrid w:val="0"/>
                <w:color w:val="auto"/>
                <w:kern w:val="21"/>
                <w:sz w:val="24"/>
                <w:szCs w:val="24"/>
                <w:lang w:val="en-US" w:eastAsia="zh-CN"/>
              </w:rPr>
              <w:t>312.608t/a</w:t>
            </w:r>
          </w:p>
        </w:tc>
        <w:tc>
          <w:tcPr>
            <w:tcW w:w="1817" w:type="dxa"/>
            <w:vAlign w:val="center"/>
          </w:tcPr>
          <w:p w14:paraId="1C39CC39">
            <w:pPr>
              <w:pStyle w:val="34"/>
              <w:spacing w:before="31" w:after="31" w:line="240" w:lineRule="auto"/>
              <w:ind w:firstLine="0" w:firstLineChars="0"/>
              <w:rPr>
                <w:rFonts w:hint="eastAsia" w:ascii="Times New Roman" w:hAnsi="宋体" w:eastAsia="宋体" w:cs="宋体"/>
                <w:snapToGrid w:val="0"/>
                <w:color w:val="auto"/>
                <w:kern w:val="21"/>
                <w:sz w:val="24"/>
                <w:szCs w:val="24"/>
                <w:lang w:val="en-US" w:eastAsia="zh-CN"/>
              </w:rPr>
            </w:pPr>
            <w:r>
              <w:rPr>
                <w:rFonts w:hint="eastAsia" w:ascii="Times New Roman" w:hAnsi="宋体" w:eastAsia="宋体" w:cs="宋体"/>
                <w:snapToGrid w:val="0"/>
                <w:color w:val="auto"/>
                <w:kern w:val="21"/>
                <w:sz w:val="24"/>
                <w:szCs w:val="24"/>
                <w:lang w:val="en-US" w:eastAsia="zh-CN"/>
              </w:rPr>
              <w:t>446.78</w:t>
            </w:r>
            <w:r>
              <w:rPr>
                <w:rFonts w:hint="eastAsia" w:ascii="Times New Roman" w:hAnsi="宋体" w:cs="宋体"/>
                <w:snapToGrid w:val="0"/>
                <w:color w:val="auto"/>
                <w:kern w:val="21"/>
                <w:sz w:val="24"/>
                <w:szCs w:val="24"/>
                <w:lang w:val="en-US" w:eastAsia="zh-CN"/>
              </w:rPr>
              <w:t>3</w:t>
            </w:r>
            <w:r>
              <w:rPr>
                <w:rFonts w:hint="eastAsia" w:ascii="Times New Roman" w:hAnsi="宋体" w:eastAsia="宋体" w:cs="宋体"/>
                <w:snapToGrid w:val="0"/>
                <w:color w:val="auto"/>
                <w:kern w:val="21"/>
                <w:sz w:val="24"/>
                <w:szCs w:val="24"/>
                <w:lang w:val="en-US" w:eastAsia="zh-CN"/>
              </w:rPr>
              <w:t>t/a</w:t>
            </w:r>
          </w:p>
        </w:tc>
        <w:tc>
          <w:tcPr>
            <w:tcW w:w="1856" w:type="dxa"/>
            <w:vAlign w:val="center"/>
          </w:tcPr>
          <w:p w14:paraId="620109A5">
            <w:pPr>
              <w:pStyle w:val="34"/>
              <w:spacing w:before="31" w:after="31" w:line="240" w:lineRule="auto"/>
              <w:ind w:firstLine="0" w:firstLineChars="0"/>
              <w:rPr>
                <w:rFonts w:hint="eastAsia" w:ascii="Times New Roman" w:hAnsi="宋体" w:eastAsia="宋体" w:cs="宋体"/>
                <w:snapToGrid w:val="0"/>
                <w:color w:val="auto"/>
                <w:kern w:val="21"/>
                <w:sz w:val="24"/>
                <w:szCs w:val="24"/>
                <w:lang w:val="en-US" w:eastAsia="zh-CN"/>
              </w:rPr>
            </w:pPr>
            <w:r>
              <w:rPr>
                <w:rFonts w:hint="eastAsia" w:ascii="Times New Roman" w:hAnsi="宋体" w:eastAsia="宋体" w:cs="宋体"/>
                <w:snapToGrid w:val="0"/>
                <w:color w:val="auto"/>
                <w:kern w:val="21"/>
                <w:sz w:val="24"/>
                <w:szCs w:val="24"/>
                <w:lang w:val="en-US" w:eastAsia="zh-CN"/>
              </w:rPr>
              <w:t>+134.17</w:t>
            </w:r>
            <w:r>
              <w:rPr>
                <w:rFonts w:hint="eastAsia" w:ascii="Times New Roman" w:hAnsi="宋体" w:cs="宋体"/>
                <w:snapToGrid w:val="0"/>
                <w:color w:val="auto"/>
                <w:kern w:val="21"/>
                <w:sz w:val="24"/>
                <w:szCs w:val="24"/>
                <w:lang w:val="en-US" w:eastAsia="zh-CN"/>
              </w:rPr>
              <w:t>5</w:t>
            </w:r>
            <w:r>
              <w:rPr>
                <w:rFonts w:hint="eastAsia" w:ascii="Times New Roman" w:hAnsi="宋体" w:eastAsia="宋体" w:cs="宋体"/>
                <w:snapToGrid w:val="0"/>
                <w:color w:val="auto"/>
                <w:kern w:val="21"/>
                <w:sz w:val="24"/>
                <w:szCs w:val="24"/>
                <w:lang w:val="en-US" w:eastAsia="zh-CN"/>
              </w:rPr>
              <w:t>t/a</w:t>
            </w:r>
          </w:p>
        </w:tc>
      </w:tr>
      <w:tr w14:paraId="7B2306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1" w:type="dxa"/>
            <w:vMerge w:val="restart"/>
            <w:vAlign w:val="center"/>
          </w:tcPr>
          <w:p w14:paraId="1FCC3A89">
            <w:pPr>
              <w:pStyle w:val="34"/>
              <w:spacing w:before="31" w:after="31" w:line="240" w:lineRule="auto"/>
              <w:ind w:firstLine="0" w:firstLineChars="0"/>
              <w:rPr>
                <w:rFonts w:ascii="Times New Roman" w:hAnsi="宋体" w:cs="宋体"/>
                <w:snapToGrid w:val="0"/>
                <w:color w:val="auto"/>
                <w:kern w:val="21"/>
                <w:sz w:val="24"/>
                <w:szCs w:val="24"/>
              </w:rPr>
            </w:pPr>
            <w:r>
              <w:rPr>
                <w:rFonts w:hint="eastAsia" w:ascii="Times New Roman" w:hAnsi="宋体" w:cs="宋体"/>
                <w:snapToGrid w:val="0"/>
                <w:color w:val="auto"/>
                <w:kern w:val="21"/>
                <w:sz w:val="24"/>
                <w:szCs w:val="24"/>
              </w:rPr>
              <w:t>危险废物</w:t>
            </w:r>
          </w:p>
        </w:tc>
        <w:tc>
          <w:tcPr>
            <w:tcW w:w="1695" w:type="dxa"/>
            <w:vAlign w:val="center"/>
          </w:tcPr>
          <w:p w14:paraId="0AD55A66">
            <w:pPr>
              <w:pStyle w:val="34"/>
              <w:spacing w:before="31" w:after="31" w:line="240" w:lineRule="auto"/>
              <w:ind w:firstLine="0" w:firstLineChars="0"/>
              <w:rPr>
                <w:rFonts w:hint="eastAsia" w:ascii="Times New Roman" w:hAnsi="宋体" w:eastAsia="宋体" w:cs="宋体"/>
                <w:snapToGrid w:val="0"/>
                <w:color w:val="auto"/>
                <w:kern w:val="21"/>
                <w:sz w:val="24"/>
                <w:szCs w:val="24"/>
                <w:lang w:eastAsia="zh-CN"/>
              </w:rPr>
            </w:pPr>
            <w:r>
              <w:rPr>
                <w:rFonts w:hint="eastAsia" w:ascii="Times New Roman" w:hAnsi="宋体" w:eastAsia="宋体" w:cs="宋体"/>
                <w:snapToGrid w:val="0"/>
                <w:color w:val="auto"/>
                <w:kern w:val="21"/>
                <w:sz w:val="24"/>
                <w:szCs w:val="24"/>
                <w:lang w:eastAsia="zh-CN"/>
              </w:rPr>
              <w:t>废液压油</w:t>
            </w:r>
          </w:p>
        </w:tc>
        <w:tc>
          <w:tcPr>
            <w:tcW w:w="1486" w:type="dxa"/>
            <w:vAlign w:val="center"/>
          </w:tcPr>
          <w:p w14:paraId="3C1531AB">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宋体" w:eastAsia="宋体" w:cs="宋体"/>
                <w:snapToGrid w:val="0"/>
                <w:color w:val="auto"/>
                <w:kern w:val="21"/>
                <w:sz w:val="24"/>
                <w:szCs w:val="24"/>
                <w:lang w:val="en-US" w:eastAsia="zh-CN"/>
              </w:rPr>
            </w:pPr>
            <w:r>
              <w:rPr>
                <w:rFonts w:hint="eastAsia" w:ascii="Times New Roman" w:hAnsi="宋体" w:eastAsia="宋体" w:cs="宋体"/>
                <w:snapToGrid w:val="0"/>
                <w:color w:val="auto"/>
                <w:kern w:val="21"/>
                <w:sz w:val="24"/>
                <w:szCs w:val="24"/>
                <w:lang w:val="en-US" w:eastAsia="zh-CN"/>
              </w:rPr>
              <w:t>0.35t/a</w:t>
            </w:r>
          </w:p>
        </w:tc>
        <w:tc>
          <w:tcPr>
            <w:tcW w:w="1066" w:type="dxa"/>
            <w:vAlign w:val="center"/>
          </w:tcPr>
          <w:p w14:paraId="571F2C36">
            <w:pPr>
              <w:pStyle w:val="34"/>
              <w:spacing w:before="31" w:after="31" w:line="240" w:lineRule="auto"/>
              <w:ind w:firstLine="0" w:firstLineChars="0"/>
              <w:rPr>
                <w:rFonts w:hint="eastAsia"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567" w:type="dxa"/>
            <w:vAlign w:val="center"/>
          </w:tcPr>
          <w:p w14:paraId="00F48FDB">
            <w:pPr>
              <w:pStyle w:val="34"/>
              <w:spacing w:before="31" w:after="31" w:line="240" w:lineRule="auto"/>
              <w:ind w:firstLine="0" w:firstLineChars="0"/>
              <w:rPr>
                <w:rFonts w:hint="eastAsia"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750" w:type="dxa"/>
            <w:vAlign w:val="center"/>
          </w:tcPr>
          <w:p w14:paraId="5C7DB93D">
            <w:pPr>
              <w:pStyle w:val="34"/>
              <w:spacing w:before="31" w:after="31" w:line="240" w:lineRule="auto"/>
              <w:ind w:firstLine="0" w:firstLineChars="0"/>
              <w:rPr>
                <w:rFonts w:hint="default" w:ascii="Times New Roman" w:hAnsi="宋体" w:eastAsia="宋体" w:cs="宋体"/>
                <w:snapToGrid w:val="0"/>
                <w:color w:val="auto"/>
                <w:kern w:val="21"/>
                <w:sz w:val="24"/>
                <w:szCs w:val="24"/>
                <w:lang w:val="en-US" w:eastAsia="zh-CN"/>
              </w:rPr>
            </w:pPr>
            <w:r>
              <w:rPr>
                <w:rFonts w:hint="eastAsia" w:ascii="Times New Roman" w:hAnsi="宋体" w:eastAsia="宋体" w:cs="宋体"/>
                <w:snapToGrid w:val="0"/>
                <w:color w:val="auto"/>
                <w:kern w:val="21"/>
                <w:sz w:val="24"/>
                <w:szCs w:val="24"/>
                <w:lang w:val="en-US" w:eastAsia="zh-CN"/>
              </w:rPr>
              <w:t>0.5</w:t>
            </w:r>
            <w:r>
              <w:rPr>
                <w:rFonts w:ascii="Times New Roman" w:hAnsi="宋体" w:cs="宋体"/>
                <w:snapToGrid w:val="0"/>
                <w:color w:val="auto"/>
                <w:kern w:val="21"/>
                <w:sz w:val="24"/>
                <w:szCs w:val="24"/>
              </w:rPr>
              <w:t>t/a</w:t>
            </w:r>
          </w:p>
        </w:tc>
        <w:tc>
          <w:tcPr>
            <w:tcW w:w="1350" w:type="dxa"/>
            <w:vAlign w:val="center"/>
          </w:tcPr>
          <w:p w14:paraId="79CC05AE">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宋体" w:eastAsia="宋体" w:cs="宋体"/>
                <w:snapToGrid w:val="0"/>
                <w:color w:val="auto"/>
                <w:kern w:val="21"/>
                <w:sz w:val="24"/>
                <w:szCs w:val="24"/>
                <w:lang w:val="en-US" w:eastAsia="zh-CN"/>
              </w:rPr>
            </w:pPr>
            <w:r>
              <w:rPr>
                <w:rFonts w:hint="eastAsia" w:ascii="Times New Roman" w:hAnsi="宋体" w:eastAsia="宋体" w:cs="宋体"/>
                <w:snapToGrid w:val="0"/>
                <w:color w:val="auto"/>
                <w:kern w:val="21"/>
                <w:sz w:val="24"/>
                <w:szCs w:val="24"/>
                <w:lang w:val="en-US" w:eastAsia="zh-CN"/>
              </w:rPr>
              <w:t>0.35t/a</w:t>
            </w:r>
          </w:p>
        </w:tc>
        <w:tc>
          <w:tcPr>
            <w:tcW w:w="1817" w:type="dxa"/>
            <w:vAlign w:val="center"/>
          </w:tcPr>
          <w:p w14:paraId="3992CF55">
            <w:pPr>
              <w:pStyle w:val="34"/>
              <w:spacing w:before="31" w:after="31" w:line="240" w:lineRule="auto"/>
              <w:ind w:firstLine="0" w:firstLineChars="0"/>
              <w:rPr>
                <w:rFonts w:ascii="Times New Roman" w:hAnsi="宋体" w:cs="宋体"/>
                <w:snapToGrid w:val="0"/>
                <w:color w:val="auto"/>
                <w:kern w:val="21"/>
                <w:sz w:val="24"/>
                <w:szCs w:val="24"/>
              </w:rPr>
            </w:pPr>
            <w:r>
              <w:rPr>
                <w:rFonts w:hint="eastAsia" w:ascii="Times New Roman" w:hAnsi="宋体" w:eastAsia="宋体" w:cs="宋体"/>
                <w:snapToGrid w:val="0"/>
                <w:color w:val="auto"/>
                <w:kern w:val="21"/>
                <w:sz w:val="24"/>
                <w:szCs w:val="24"/>
                <w:lang w:val="en-US" w:eastAsia="zh-CN"/>
              </w:rPr>
              <w:t>0.5</w:t>
            </w:r>
            <w:r>
              <w:rPr>
                <w:rFonts w:ascii="Times New Roman" w:hAnsi="宋体" w:cs="宋体"/>
                <w:snapToGrid w:val="0"/>
                <w:color w:val="auto"/>
                <w:kern w:val="21"/>
                <w:sz w:val="24"/>
                <w:szCs w:val="24"/>
              </w:rPr>
              <w:t>t/a</w:t>
            </w:r>
          </w:p>
        </w:tc>
        <w:tc>
          <w:tcPr>
            <w:tcW w:w="1856" w:type="dxa"/>
            <w:vAlign w:val="center"/>
          </w:tcPr>
          <w:p w14:paraId="43981FC5">
            <w:pPr>
              <w:pStyle w:val="34"/>
              <w:spacing w:before="31" w:after="31" w:line="240" w:lineRule="auto"/>
              <w:ind w:firstLine="0" w:firstLineChars="0"/>
              <w:rPr>
                <w:rFonts w:ascii="Times New Roman" w:hAnsi="宋体" w:cs="宋体"/>
                <w:snapToGrid w:val="0"/>
                <w:color w:val="auto"/>
                <w:kern w:val="21"/>
                <w:sz w:val="24"/>
                <w:szCs w:val="24"/>
              </w:rPr>
            </w:pPr>
            <w:r>
              <w:rPr>
                <w:rFonts w:hint="eastAsia" w:ascii="Times New Roman" w:hAnsi="宋体" w:eastAsia="宋体" w:cs="宋体"/>
                <w:snapToGrid w:val="0"/>
                <w:color w:val="auto"/>
                <w:kern w:val="21"/>
                <w:sz w:val="24"/>
                <w:szCs w:val="24"/>
                <w:lang w:val="en-US" w:eastAsia="zh-CN"/>
              </w:rPr>
              <w:t>+0.</w:t>
            </w:r>
            <w:r>
              <w:rPr>
                <w:rFonts w:hint="eastAsia" w:ascii="Times New Roman" w:hAnsi="宋体" w:cs="宋体"/>
                <w:snapToGrid w:val="0"/>
                <w:color w:val="auto"/>
                <w:kern w:val="21"/>
                <w:sz w:val="24"/>
                <w:szCs w:val="24"/>
                <w:lang w:val="en-US" w:eastAsia="zh-CN"/>
              </w:rPr>
              <w:t>1</w:t>
            </w:r>
            <w:r>
              <w:rPr>
                <w:rFonts w:hint="eastAsia" w:ascii="Times New Roman" w:hAnsi="宋体" w:eastAsia="宋体" w:cs="宋体"/>
                <w:snapToGrid w:val="0"/>
                <w:color w:val="auto"/>
                <w:kern w:val="21"/>
                <w:sz w:val="24"/>
                <w:szCs w:val="24"/>
                <w:lang w:val="en-US" w:eastAsia="zh-CN"/>
              </w:rPr>
              <w:t>5</w:t>
            </w:r>
            <w:r>
              <w:rPr>
                <w:rFonts w:ascii="Times New Roman" w:hAnsi="宋体" w:cs="宋体"/>
                <w:snapToGrid w:val="0"/>
                <w:color w:val="auto"/>
                <w:kern w:val="21"/>
                <w:sz w:val="24"/>
                <w:szCs w:val="24"/>
              </w:rPr>
              <w:t>t/a</w:t>
            </w:r>
          </w:p>
        </w:tc>
      </w:tr>
      <w:tr w14:paraId="7E02CC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1" w:type="dxa"/>
            <w:vMerge w:val="continue"/>
            <w:vAlign w:val="center"/>
          </w:tcPr>
          <w:p w14:paraId="3B221292">
            <w:pPr>
              <w:pStyle w:val="34"/>
              <w:spacing w:before="31" w:after="31" w:line="240" w:lineRule="auto"/>
              <w:ind w:firstLine="0" w:firstLineChars="0"/>
              <w:rPr>
                <w:rFonts w:hint="eastAsia" w:ascii="Times New Roman" w:hAnsi="宋体" w:cs="宋体"/>
                <w:snapToGrid w:val="0"/>
                <w:color w:val="auto"/>
                <w:kern w:val="21"/>
                <w:sz w:val="24"/>
                <w:szCs w:val="24"/>
              </w:rPr>
            </w:pPr>
          </w:p>
        </w:tc>
        <w:tc>
          <w:tcPr>
            <w:tcW w:w="1695" w:type="dxa"/>
            <w:vAlign w:val="center"/>
          </w:tcPr>
          <w:p w14:paraId="0F16646F">
            <w:pPr>
              <w:pStyle w:val="34"/>
              <w:spacing w:before="31" w:after="31" w:line="240" w:lineRule="auto"/>
              <w:ind w:firstLine="0" w:firstLineChars="0"/>
              <w:rPr>
                <w:rFonts w:hint="default" w:ascii="Times New Roman" w:hAnsi="宋体" w:eastAsia="宋体" w:cs="宋体"/>
                <w:snapToGrid w:val="0"/>
                <w:color w:val="auto"/>
                <w:kern w:val="21"/>
                <w:sz w:val="24"/>
                <w:szCs w:val="24"/>
                <w:lang w:val="en-US" w:eastAsia="zh-CN"/>
              </w:rPr>
            </w:pPr>
            <w:r>
              <w:rPr>
                <w:rFonts w:hint="eastAsia" w:ascii="Times New Roman" w:hAnsi="宋体" w:eastAsia="宋体" w:cs="宋体"/>
                <w:snapToGrid w:val="0"/>
                <w:color w:val="auto"/>
                <w:kern w:val="21"/>
                <w:sz w:val="24"/>
                <w:szCs w:val="24"/>
                <w:lang w:eastAsia="zh-CN"/>
              </w:rPr>
              <w:t>废液压油</w:t>
            </w:r>
            <w:r>
              <w:rPr>
                <w:rFonts w:hint="eastAsia" w:ascii="Times New Roman" w:hAnsi="宋体" w:eastAsia="宋体" w:cs="宋体"/>
                <w:snapToGrid w:val="0"/>
                <w:color w:val="auto"/>
                <w:kern w:val="21"/>
                <w:sz w:val="24"/>
                <w:szCs w:val="24"/>
                <w:lang w:val="en-US" w:eastAsia="zh-CN"/>
              </w:rPr>
              <w:t>桶</w:t>
            </w:r>
          </w:p>
        </w:tc>
        <w:tc>
          <w:tcPr>
            <w:tcW w:w="1486" w:type="dxa"/>
            <w:vAlign w:val="center"/>
          </w:tcPr>
          <w:p w14:paraId="1F25510F">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宋体" w:cs="宋体"/>
                <w:snapToGrid w:val="0"/>
                <w:color w:val="auto"/>
                <w:kern w:val="21"/>
                <w:sz w:val="24"/>
                <w:szCs w:val="24"/>
                <w:lang w:val="en-US" w:eastAsia="zh-CN"/>
              </w:rPr>
            </w:pPr>
            <w:r>
              <w:rPr>
                <w:rFonts w:hint="eastAsia" w:ascii="Times New Roman" w:hAnsi="宋体" w:eastAsia="宋体" w:cs="宋体"/>
                <w:snapToGrid w:val="0"/>
                <w:color w:val="auto"/>
                <w:kern w:val="21"/>
                <w:sz w:val="24"/>
                <w:szCs w:val="24"/>
                <w:lang w:val="en-US" w:eastAsia="zh-CN"/>
              </w:rPr>
              <w:t>0.14t/a</w:t>
            </w:r>
          </w:p>
        </w:tc>
        <w:tc>
          <w:tcPr>
            <w:tcW w:w="1066" w:type="dxa"/>
            <w:vAlign w:val="center"/>
          </w:tcPr>
          <w:p w14:paraId="01EA7196">
            <w:pPr>
              <w:pStyle w:val="34"/>
              <w:spacing w:before="31" w:after="31" w:line="240" w:lineRule="auto"/>
              <w:ind w:firstLine="0" w:firstLineChars="0"/>
              <w:rPr>
                <w:rFonts w:hint="eastAsia"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567" w:type="dxa"/>
            <w:vAlign w:val="center"/>
          </w:tcPr>
          <w:p w14:paraId="5AC6F886">
            <w:pPr>
              <w:pStyle w:val="34"/>
              <w:spacing w:before="31" w:after="31" w:line="240" w:lineRule="auto"/>
              <w:ind w:firstLine="0" w:firstLineChars="0"/>
              <w:rPr>
                <w:rFonts w:hint="eastAsia"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750" w:type="dxa"/>
            <w:vAlign w:val="center"/>
          </w:tcPr>
          <w:p w14:paraId="05E16901">
            <w:pPr>
              <w:pStyle w:val="34"/>
              <w:spacing w:before="31" w:after="31" w:line="240" w:lineRule="auto"/>
              <w:ind w:firstLine="0" w:firstLineChars="0"/>
              <w:rPr>
                <w:rFonts w:hint="eastAsia" w:ascii="Times New Roman" w:hAnsi="宋体" w:eastAsia="宋体" w:cs="宋体"/>
                <w:snapToGrid w:val="0"/>
                <w:color w:val="auto"/>
                <w:kern w:val="21"/>
                <w:sz w:val="24"/>
                <w:szCs w:val="24"/>
                <w:lang w:val="en-US" w:eastAsia="zh-CN"/>
              </w:rPr>
            </w:pPr>
            <w:r>
              <w:rPr>
                <w:rFonts w:hint="eastAsia" w:ascii="Times New Roman" w:hAnsi="宋体" w:eastAsia="宋体" w:cs="宋体"/>
                <w:snapToGrid w:val="0"/>
                <w:color w:val="auto"/>
                <w:kern w:val="21"/>
                <w:sz w:val="24"/>
                <w:szCs w:val="24"/>
                <w:lang w:val="en-US" w:eastAsia="zh-CN"/>
              </w:rPr>
              <w:t>0.2t/a</w:t>
            </w:r>
          </w:p>
        </w:tc>
        <w:tc>
          <w:tcPr>
            <w:tcW w:w="1350" w:type="dxa"/>
            <w:vAlign w:val="center"/>
          </w:tcPr>
          <w:p w14:paraId="4CD25D5B">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宋体" w:eastAsia="宋体" w:cs="宋体"/>
                <w:snapToGrid w:val="0"/>
                <w:color w:val="auto"/>
                <w:kern w:val="21"/>
                <w:sz w:val="24"/>
                <w:szCs w:val="24"/>
                <w:lang w:val="en-US" w:eastAsia="zh-CN"/>
              </w:rPr>
            </w:pPr>
            <w:r>
              <w:rPr>
                <w:rFonts w:hint="eastAsia" w:ascii="Times New Roman" w:hAnsi="宋体" w:eastAsia="宋体" w:cs="宋体"/>
                <w:snapToGrid w:val="0"/>
                <w:color w:val="auto"/>
                <w:kern w:val="21"/>
                <w:sz w:val="24"/>
                <w:szCs w:val="24"/>
                <w:lang w:val="en-US" w:eastAsia="zh-CN"/>
              </w:rPr>
              <w:t>0.14t/a</w:t>
            </w:r>
          </w:p>
        </w:tc>
        <w:tc>
          <w:tcPr>
            <w:tcW w:w="1817" w:type="dxa"/>
            <w:vAlign w:val="center"/>
          </w:tcPr>
          <w:p w14:paraId="30388885">
            <w:pPr>
              <w:spacing w:before="31" w:after="31" w:line="240" w:lineRule="auto"/>
              <w:ind w:firstLine="480" w:firstLineChars="200"/>
              <w:rPr>
                <w:rFonts w:hint="eastAsia" w:ascii="Times New Roman" w:hAnsi="宋体" w:eastAsia="宋体" w:cs="宋体"/>
                <w:snapToGrid w:val="0"/>
                <w:color w:val="auto"/>
                <w:kern w:val="21"/>
                <w:sz w:val="24"/>
                <w:szCs w:val="24"/>
                <w:lang w:val="en-US" w:eastAsia="zh-CN"/>
              </w:rPr>
            </w:pPr>
            <w:r>
              <w:rPr>
                <w:rFonts w:hint="eastAsia"/>
                <w:color w:val="auto"/>
              </w:rPr>
              <w:t>0.2t/a</w:t>
            </w:r>
          </w:p>
        </w:tc>
        <w:tc>
          <w:tcPr>
            <w:tcW w:w="1856" w:type="dxa"/>
            <w:vAlign w:val="center"/>
          </w:tcPr>
          <w:p w14:paraId="4D0D10C0">
            <w:pPr>
              <w:spacing w:before="31" w:after="31" w:line="240" w:lineRule="auto"/>
              <w:ind w:firstLine="480" w:firstLineChars="200"/>
              <w:rPr>
                <w:rFonts w:hint="eastAsia" w:ascii="Times New Roman" w:hAnsi="宋体" w:eastAsia="宋体" w:cs="宋体"/>
                <w:snapToGrid w:val="0"/>
                <w:color w:val="auto"/>
                <w:kern w:val="21"/>
                <w:sz w:val="24"/>
                <w:szCs w:val="24"/>
                <w:lang w:val="en-US" w:eastAsia="zh-CN"/>
              </w:rPr>
            </w:pPr>
            <w:r>
              <w:rPr>
                <w:rFonts w:hint="eastAsia"/>
                <w:color w:val="auto"/>
                <w:lang w:val="en-US" w:eastAsia="zh-CN"/>
              </w:rPr>
              <w:t>+0.06</w:t>
            </w:r>
            <w:r>
              <w:rPr>
                <w:rFonts w:hint="eastAsia"/>
                <w:color w:val="auto"/>
              </w:rPr>
              <w:t>t/a</w:t>
            </w:r>
          </w:p>
        </w:tc>
      </w:tr>
      <w:tr w14:paraId="66FC64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1" w:type="dxa"/>
            <w:vMerge w:val="continue"/>
            <w:vAlign w:val="center"/>
          </w:tcPr>
          <w:p w14:paraId="6205A4F7">
            <w:pPr>
              <w:pStyle w:val="34"/>
              <w:spacing w:before="31" w:after="31" w:line="240" w:lineRule="auto"/>
              <w:ind w:firstLine="0" w:firstLineChars="0"/>
              <w:rPr>
                <w:rFonts w:hint="eastAsia" w:ascii="Times New Roman" w:hAnsi="宋体" w:cs="宋体"/>
                <w:snapToGrid w:val="0"/>
                <w:color w:val="auto"/>
                <w:kern w:val="21"/>
                <w:sz w:val="24"/>
                <w:szCs w:val="24"/>
              </w:rPr>
            </w:pPr>
          </w:p>
        </w:tc>
        <w:tc>
          <w:tcPr>
            <w:tcW w:w="1695" w:type="dxa"/>
            <w:vAlign w:val="center"/>
          </w:tcPr>
          <w:p w14:paraId="2F09001B">
            <w:pPr>
              <w:pStyle w:val="34"/>
              <w:spacing w:before="31" w:after="31" w:line="240" w:lineRule="auto"/>
              <w:ind w:firstLine="0" w:firstLineChars="0"/>
              <w:rPr>
                <w:rFonts w:hint="default"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废机油</w:t>
            </w:r>
          </w:p>
        </w:tc>
        <w:tc>
          <w:tcPr>
            <w:tcW w:w="1486" w:type="dxa"/>
            <w:vAlign w:val="center"/>
          </w:tcPr>
          <w:p w14:paraId="3E416919">
            <w:pPr>
              <w:pStyle w:val="34"/>
              <w:spacing w:before="31" w:after="31" w:line="240" w:lineRule="auto"/>
              <w:ind w:firstLine="0" w:firstLineChars="0"/>
              <w:rPr>
                <w:rFonts w:hint="default"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0.07</w:t>
            </w:r>
            <w:r>
              <w:rPr>
                <w:rFonts w:hint="eastAsia" w:ascii="Times New Roman" w:hAnsi="宋体" w:eastAsia="宋体" w:cs="宋体"/>
                <w:snapToGrid w:val="0"/>
                <w:color w:val="auto"/>
                <w:kern w:val="21"/>
                <w:sz w:val="24"/>
                <w:szCs w:val="24"/>
                <w:lang w:val="en-US" w:eastAsia="zh-CN"/>
              </w:rPr>
              <w:t>t/a</w:t>
            </w:r>
          </w:p>
        </w:tc>
        <w:tc>
          <w:tcPr>
            <w:tcW w:w="1066" w:type="dxa"/>
            <w:vAlign w:val="center"/>
          </w:tcPr>
          <w:p w14:paraId="22A5C12D">
            <w:pPr>
              <w:pStyle w:val="34"/>
              <w:spacing w:before="31" w:after="31" w:line="240" w:lineRule="auto"/>
              <w:ind w:firstLine="0" w:firstLineChars="0"/>
              <w:rPr>
                <w:rFonts w:hint="eastAsia"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567" w:type="dxa"/>
            <w:vAlign w:val="center"/>
          </w:tcPr>
          <w:p w14:paraId="7EF8FAED">
            <w:pPr>
              <w:pStyle w:val="34"/>
              <w:spacing w:before="31" w:after="31" w:line="240" w:lineRule="auto"/>
              <w:ind w:firstLine="0" w:firstLineChars="0"/>
              <w:rPr>
                <w:rFonts w:hint="eastAsia" w:ascii="Times New Roman" w:hAnsi="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w:t>
            </w:r>
          </w:p>
        </w:tc>
        <w:tc>
          <w:tcPr>
            <w:tcW w:w="1750" w:type="dxa"/>
            <w:vAlign w:val="center"/>
          </w:tcPr>
          <w:p w14:paraId="51893D36">
            <w:pPr>
              <w:pStyle w:val="34"/>
              <w:spacing w:before="31" w:after="31" w:line="240" w:lineRule="auto"/>
              <w:ind w:firstLine="0" w:firstLineChars="0"/>
              <w:rPr>
                <w:rFonts w:hint="default" w:ascii="Times New Roman" w:hAnsi="宋体" w:eastAsia="宋体" w:cs="宋体"/>
                <w:snapToGrid w:val="0"/>
                <w:color w:val="auto"/>
                <w:kern w:val="21"/>
                <w:sz w:val="24"/>
                <w:szCs w:val="24"/>
                <w:lang w:val="en-US" w:eastAsia="zh-CN"/>
              </w:rPr>
            </w:pPr>
            <w:r>
              <w:rPr>
                <w:rFonts w:hint="eastAsia" w:ascii="Times New Roman" w:hAnsi="宋体" w:cs="宋体"/>
                <w:snapToGrid w:val="0"/>
                <w:color w:val="auto"/>
                <w:kern w:val="21"/>
                <w:sz w:val="24"/>
                <w:szCs w:val="24"/>
                <w:lang w:val="en-US" w:eastAsia="zh-CN"/>
              </w:rPr>
              <w:t>0.1</w:t>
            </w:r>
            <w:r>
              <w:rPr>
                <w:rFonts w:hint="eastAsia" w:ascii="Times New Roman" w:hAnsi="宋体" w:eastAsia="宋体" w:cs="宋体"/>
                <w:snapToGrid w:val="0"/>
                <w:color w:val="auto"/>
                <w:kern w:val="21"/>
                <w:sz w:val="24"/>
                <w:szCs w:val="24"/>
                <w:lang w:val="en-US" w:eastAsia="zh-CN"/>
              </w:rPr>
              <w:t>t/a</w:t>
            </w:r>
          </w:p>
        </w:tc>
        <w:tc>
          <w:tcPr>
            <w:tcW w:w="1350" w:type="dxa"/>
            <w:vAlign w:val="center"/>
          </w:tcPr>
          <w:p w14:paraId="3DE05959">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宋体" w:eastAsia="宋体" w:cs="宋体"/>
                <w:snapToGrid w:val="0"/>
                <w:color w:val="auto"/>
                <w:kern w:val="21"/>
                <w:sz w:val="24"/>
                <w:szCs w:val="24"/>
                <w:lang w:val="en-US" w:eastAsia="zh-CN"/>
              </w:rPr>
            </w:pPr>
            <w:r>
              <w:rPr>
                <w:rFonts w:hint="eastAsia" w:ascii="Times New Roman" w:hAnsi="宋体" w:eastAsia="宋体" w:cs="宋体"/>
                <w:snapToGrid w:val="0"/>
                <w:color w:val="auto"/>
                <w:kern w:val="21"/>
                <w:sz w:val="24"/>
                <w:szCs w:val="24"/>
                <w:lang w:val="en-US" w:eastAsia="zh-CN"/>
              </w:rPr>
              <w:t>0.07t/a</w:t>
            </w:r>
          </w:p>
        </w:tc>
        <w:tc>
          <w:tcPr>
            <w:tcW w:w="1817" w:type="dxa"/>
            <w:vAlign w:val="center"/>
          </w:tcPr>
          <w:p w14:paraId="37339A6C">
            <w:pPr>
              <w:spacing w:before="31" w:after="31" w:line="240" w:lineRule="auto"/>
              <w:ind w:firstLine="480" w:firstLineChars="200"/>
              <w:rPr>
                <w:rFonts w:hint="eastAsia" w:ascii="Times New Roman" w:hAnsi="Times New Roman" w:eastAsia="宋体"/>
                <w:color w:val="auto"/>
              </w:rPr>
            </w:pPr>
            <w:r>
              <w:rPr>
                <w:rFonts w:hint="eastAsia" w:ascii="Times New Roman" w:hAnsi="Times New Roman" w:eastAsia="宋体"/>
                <w:color w:val="auto"/>
                <w:lang w:val="en-US" w:eastAsia="zh-CN"/>
              </w:rPr>
              <w:t>0.1t/a</w:t>
            </w:r>
          </w:p>
        </w:tc>
        <w:tc>
          <w:tcPr>
            <w:tcW w:w="1856" w:type="dxa"/>
            <w:vAlign w:val="center"/>
          </w:tcPr>
          <w:p w14:paraId="5226B2AC">
            <w:pPr>
              <w:spacing w:before="31" w:after="31" w:line="240" w:lineRule="auto"/>
              <w:ind w:firstLine="480" w:firstLineChars="20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+0.</w:t>
            </w:r>
            <w:r>
              <w:rPr>
                <w:rFonts w:hint="eastAsia"/>
                <w:color w:val="auto"/>
                <w:lang w:val="en-US" w:eastAsia="zh-CN"/>
              </w:rPr>
              <w:t>03</w:t>
            </w:r>
            <w:r>
              <w:rPr>
                <w:rFonts w:hint="eastAsia" w:ascii="Times New Roman" w:hAnsi="Times New Roman" w:eastAsia="宋体"/>
                <w:color w:val="auto"/>
                <w:lang w:val="en-US" w:eastAsia="zh-CN"/>
              </w:rPr>
              <w:t>t/a</w:t>
            </w:r>
          </w:p>
        </w:tc>
      </w:tr>
      <w:bookmarkEnd w:id="17"/>
    </w:tbl>
    <w:p w14:paraId="02C2A4BA">
      <w:pPr>
        <w:ind w:firstLine="0" w:firstLineChars="0"/>
        <w:jc w:val="left"/>
        <w:rPr>
          <w:color w:val="auto"/>
        </w:rPr>
      </w:pPr>
      <w:r>
        <w:rPr>
          <w:rFonts w:hint="eastAsia"/>
          <w:color w:val="auto"/>
        </w:rPr>
        <w:t>注：⑥=①+③+④-⑤；⑦=⑥-①</w:t>
      </w: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方正小标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7FFAEFF" w:usb1="F9DFFFFF" w:usb2="0000007F" w:usb3="00000000" w:csb0="203F01FF" w:csb1="DFFF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CD724">
    <w:pPr>
      <w:pStyle w:val="1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70674">
    <w:pPr>
      <w:pStyle w:val="1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CB91B">
    <w:pPr>
      <w:pStyle w:val="1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F443B">
    <w:pPr>
      <w:pStyle w:val="15"/>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4"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20757E80">
                          <w:pPr>
                            <w:pStyle w:val="15"/>
                            <w:ind w:firstLine="360"/>
                          </w:pPr>
                          <w:r>
                            <w:fldChar w:fldCharType="begin"/>
                          </w:r>
                          <w:r>
                            <w:instrText xml:space="preserve"> PAGE  \* MERGEFORMAT </w:instrText>
                          </w:r>
                          <w:r>
                            <w:fldChar w:fldCharType="separate"/>
                          </w:r>
                          <w:r>
                            <w:t>5</w:t>
                          </w:r>
                          <w:r>
                            <w:fldChar w:fldCharType="end"/>
                          </w:r>
                        </w:p>
                      </w:txbxContent>
                    </wps:txbx>
                    <wps:bodyPr wrap="none" lIns="0" tIns="0" rIns="0" bIns="0" upright="1">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lsxxbFAQAAkQMAAA4AAABkcnMvZTJvRG9jLnhtbK1TzY7TMBC+I/EO&#10;lu80aUGoRE1XSNUiJAQrLTyA6ziNJf9pxm3SF4A34MSFO8/V52DsJF1YLnvgksyMJ9983+fJ5maw&#10;hp0UoPau5stFyZly0jfaHWr+5fPtizVnGIVrhPFO1fyskN9snz/b9KFSK9950yhgBOKw6kPNuxhD&#10;VRQoO2UFLnxQjg5bD1ZESuFQNCB6QremWJXl66L30ATwUiFSdTce8gkRngLo21ZLtfPyaJWLIyoo&#10;IyJJwk4H5NvMtm2VjJ/aFlVkpuakNOYnDaF4n57FdiOqA4jQaTlREE+h8EiTFdrR0CvUTkTBjqD/&#10;gbJagkffxoX0thiFZEdIxbJ85M19J4LKWshqDFfT8f/Byo+nO2C6oU1484ozJyxd+eX7t8uPX5ef&#10;X9nLZFAfsKK++3AHU4YUJrVDCza9SQcbsqnnq6lqiExScblerdcl+S3pbE4Ip3j4PADGd8pbloKa&#10;A91aNlOcPmAcW+eWNM35W20M1UVl3F8FwkyVIjEeOaYoDvthIr73zZn09nThNXe035yZ9478TLsx&#10;BzAH+zk4BtCHjqgtMy8Mb4+RSGRuacIIOw2mm8rqpq1Kq/Bnnrse/qTt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l1uVLQAAAABQEAAA8AAAAAAAAAAQAgAAAAIgAAAGRycy9kb3ducmV2LnhtbFBL&#10;AQIUABQAAAAIAIdO4kDJbMcWxQEAAJEDAAAOAAAAAAAAAAEAIAAAAB8BAABkcnMvZTJvRG9jLnht&#10;bFBLBQYAAAAABgAGAFkBAABWBQAAAAA=&#10;">
              <v:fill on="f" focussize="0,0"/>
              <v:stroke on="f"/>
              <v:imagedata o:title=""/>
              <o:lock v:ext="edit" aspectratio="f"/>
              <v:textbox inset="0mm,0mm,0mm,0mm" style="mso-fit-shape-to-text:t;">
                <w:txbxContent>
                  <w:p w14:paraId="20757E80">
                    <w:pPr>
                      <w:pStyle w:val="15"/>
                      <w:ind w:firstLine="360"/>
                    </w:pPr>
                    <w:r>
                      <w:fldChar w:fldCharType="begin"/>
                    </w:r>
                    <w:r>
                      <w:instrText xml:space="preserve"> PAGE  \* MERGEFORMAT </w:instrText>
                    </w:r>
                    <w:r>
                      <w:fldChar w:fldCharType="separate"/>
                    </w:r>
                    <w:r>
                      <w:t>5</w:t>
                    </w:r>
                    <w: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7F305">
    <w:pPr>
      <w:pStyle w:val="1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7C2C8">
    <w:pPr>
      <w:pStyle w:val="1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2730E">
    <w:pPr>
      <w:pStyle w:val="1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97E44D"/>
    <w:multiLevelType w:val="singleLevel"/>
    <w:tmpl w:val="BD97E44D"/>
    <w:lvl w:ilvl="0" w:tentative="0">
      <w:start w:val="1"/>
      <w:numFmt w:val="chineseCounting"/>
      <w:suff w:val="nothing"/>
      <w:lvlText w:val="%1、"/>
      <w:lvlJc w:val="left"/>
      <w:rPr>
        <w:rFonts w:hint="eastAsia"/>
        <w:color w:val="auto"/>
      </w:rPr>
    </w:lvl>
  </w:abstractNum>
  <w:abstractNum w:abstractNumId="1">
    <w:nsid w:val="0323B34E"/>
    <w:multiLevelType w:val="singleLevel"/>
    <w:tmpl w:val="0323B34E"/>
    <w:lvl w:ilvl="0" w:tentative="0">
      <w:start w:val="21"/>
      <w:numFmt w:val="decimal"/>
      <w:lvlText w:val="%1."/>
      <w:lvlJc w:val="left"/>
      <w:pPr>
        <w:tabs>
          <w:tab w:val="left" w:pos="312"/>
        </w:tabs>
      </w:pPr>
    </w:lvl>
  </w:abstractNum>
  <w:abstractNum w:abstractNumId="2">
    <w:nsid w:val="5752E58A"/>
    <w:multiLevelType w:val="singleLevel"/>
    <w:tmpl w:val="5752E58A"/>
    <w:lvl w:ilvl="0" w:tentative="0">
      <w:start w:val="1"/>
      <w:numFmt w:val="bullet"/>
      <w:pStyle w:val="13"/>
      <w:lvlText w:val=""/>
      <w:lvlJc w:val="left"/>
      <w:pPr>
        <w:tabs>
          <w:tab w:val="left" w:pos="2040"/>
        </w:tabs>
        <w:ind w:left="2040" w:hanging="360"/>
      </w:pPr>
      <w:rPr>
        <w:rFonts w:hint="default" w:ascii="Wingdings" w:hAnsi="Wingdings"/>
      </w:rPr>
    </w:lvl>
  </w:abstractNum>
  <w:abstractNum w:abstractNumId="3">
    <w:nsid w:val="60E3D089"/>
    <w:multiLevelType w:val="singleLevel"/>
    <w:tmpl w:val="60E3D089"/>
    <w:lvl w:ilvl="0" w:tentative="0">
      <w:start w:val="6"/>
      <w:numFmt w:val="chineseCounting"/>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hYzY2MDU1MmE1ZThjN2Q0MzYyZjM3NGYwMjViMGIifQ=="/>
  </w:docVars>
  <w:rsids>
    <w:rsidRoot w:val="00172A27"/>
    <w:rsid w:val="00004260"/>
    <w:rsid w:val="00004EFD"/>
    <w:rsid w:val="00005AEA"/>
    <w:rsid w:val="000068CB"/>
    <w:rsid w:val="000114EB"/>
    <w:rsid w:val="00012C2F"/>
    <w:rsid w:val="00016EDC"/>
    <w:rsid w:val="00020881"/>
    <w:rsid w:val="00023A74"/>
    <w:rsid w:val="00025909"/>
    <w:rsid w:val="00031C24"/>
    <w:rsid w:val="000374FA"/>
    <w:rsid w:val="0003762E"/>
    <w:rsid w:val="00043583"/>
    <w:rsid w:val="00045009"/>
    <w:rsid w:val="00055DB6"/>
    <w:rsid w:val="00055E15"/>
    <w:rsid w:val="00062379"/>
    <w:rsid w:val="0006453B"/>
    <w:rsid w:val="00064E04"/>
    <w:rsid w:val="00072A1C"/>
    <w:rsid w:val="00076791"/>
    <w:rsid w:val="00076E87"/>
    <w:rsid w:val="00094096"/>
    <w:rsid w:val="00096A73"/>
    <w:rsid w:val="0009757D"/>
    <w:rsid w:val="000A61BE"/>
    <w:rsid w:val="000A6671"/>
    <w:rsid w:val="000B377E"/>
    <w:rsid w:val="000B781E"/>
    <w:rsid w:val="000C07C5"/>
    <w:rsid w:val="000C2620"/>
    <w:rsid w:val="000C4704"/>
    <w:rsid w:val="000C4EE1"/>
    <w:rsid w:val="000C549F"/>
    <w:rsid w:val="000D3BAC"/>
    <w:rsid w:val="000D69C1"/>
    <w:rsid w:val="000D7ADA"/>
    <w:rsid w:val="000E1C1A"/>
    <w:rsid w:val="000E446D"/>
    <w:rsid w:val="00105502"/>
    <w:rsid w:val="0011760F"/>
    <w:rsid w:val="00117C2B"/>
    <w:rsid w:val="0012380D"/>
    <w:rsid w:val="00125185"/>
    <w:rsid w:val="001261C0"/>
    <w:rsid w:val="00146008"/>
    <w:rsid w:val="0015166D"/>
    <w:rsid w:val="0015258A"/>
    <w:rsid w:val="00152E78"/>
    <w:rsid w:val="00153A0F"/>
    <w:rsid w:val="0015410C"/>
    <w:rsid w:val="00160341"/>
    <w:rsid w:val="00165437"/>
    <w:rsid w:val="001663DE"/>
    <w:rsid w:val="00170189"/>
    <w:rsid w:val="00172A27"/>
    <w:rsid w:val="00184398"/>
    <w:rsid w:val="00186A54"/>
    <w:rsid w:val="00195476"/>
    <w:rsid w:val="00196091"/>
    <w:rsid w:val="001A1DF6"/>
    <w:rsid w:val="001A4E1B"/>
    <w:rsid w:val="001D28F7"/>
    <w:rsid w:val="001E3045"/>
    <w:rsid w:val="001F1474"/>
    <w:rsid w:val="001F205A"/>
    <w:rsid w:val="0020619A"/>
    <w:rsid w:val="002071A2"/>
    <w:rsid w:val="00212AD0"/>
    <w:rsid w:val="002209B0"/>
    <w:rsid w:val="00220BBD"/>
    <w:rsid w:val="0022255D"/>
    <w:rsid w:val="00224653"/>
    <w:rsid w:val="002273A9"/>
    <w:rsid w:val="002303A1"/>
    <w:rsid w:val="00235B14"/>
    <w:rsid w:val="00236506"/>
    <w:rsid w:val="002367A3"/>
    <w:rsid w:val="002468FB"/>
    <w:rsid w:val="002514D3"/>
    <w:rsid w:val="002608B9"/>
    <w:rsid w:val="00261F12"/>
    <w:rsid w:val="00267219"/>
    <w:rsid w:val="0027297D"/>
    <w:rsid w:val="00275498"/>
    <w:rsid w:val="00293584"/>
    <w:rsid w:val="002A021C"/>
    <w:rsid w:val="002A1A7C"/>
    <w:rsid w:val="002A387A"/>
    <w:rsid w:val="002A69D8"/>
    <w:rsid w:val="002A6B61"/>
    <w:rsid w:val="002B3309"/>
    <w:rsid w:val="002B4227"/>
    <w:rsid w:val="002B5A91"/>
    <w:rsid w:val="002B625B"/>
    <w:rsid w:val="002C27EF"/>
    <w:rsid w:val="002C28BC"/>
    <w:rsid w:val="002C69CB"/>
    <w:rsid w:val="002D3B8F"/>
    <w:rsid w:val="002D4864"/>
    <w:rsid w:val="002D4EC0"/>
    <w:rsid w:val="002E6B74"/>
    <w:rsid w:val="002E70AE"/>
    <w:rsid w:val="002F28A6"/>
    <w:rsid w:val="0030310B"/>
    <w:rsid w:val="0030466C"/>
    <w:rsid w:val="0030546C"/>
    <w:rsid w:val="00310748"/>
    <w:rsid w:val="00315A08"/>
    <w:rsid w:val="003161EE"/>
    <w:rsid w:val="00317C70"/>
    <w:rsid w:val="00321D57"/>
    <w:rsid w:val="00323B63"/>
    <w:rsid w:val="00325D86"/>
    <w:rsid w:val="00327774"/>
    <w:rsid w:val="00333947"/>
    <w:rsid w:val="00334833"/>
    <w:rsid w:val="0034293A"/>
    <w:rsid w:val="0035353F"/>
    <w:rsid w:val="003536EF"/>
    <w:rsid w:val="003607D3"/>
    <w:rsid w:val="003673CE"/>
    <w:rsid w:val="0037387D"/>
    <w:rsid w:val="00385853"/>
    <w:rsid w:val="00386DBB"/>
    <w:rsid w:val="003904D3"/>
    <w:rsid w:val="00391CBD"/>
    <w:rsid w:val="00392189"/>
    <w:rsid w:val="003A23FD"/>
    <w:rsid w:val="003A3507"/>
    <w:rsid w:val="003A6943"/>
    <w:rsid w:val="003B1C31"/>
    <w:rsid w:val="003B7ECF"/>
    <w:rsid w:val="003C1521"/>
    <w:rsid w:val="003C5900"/>
    <w:rsid w:val="003C7498"/>
    <w:rsid w:val="003E5618"/>
    <w:rsid w:val="003F018C"/>
    <w:rsid w:val="003F18F0"/>
    <w:rsid w:val="003F7A16"/>
    <w:rsid w:val="004051AA"/>
    <w:rsid w:val="0040631E"/>
    <w:rsid w:val="00407790"/>
    <w:rsid w:val="00411CC0"/>
    <w:rsid w:val="00412AEE"/>
    <w:rsid w:val="0041455F"/>
    <w:rsid w:val="00414729"/>
    <w:rsid w:val="0042190F"/>
    <w:rsid w:val="004325F0"/>
    <w:rsid w:val="004348C9"/>
    <w:rsid w:val="00434CF0"/>
    <w:rsid w:val="0043535C"/>
    <w:rsid w:val="0044229D"/>
    <w:rsid w:val="0044263C"/>
    <w:rsid w:val="00445A96"/>
    <w:rsid w:val="00447CA3"/>
    <w:rsid w:val="0045557B"/>
    <w:rsid w:val="00460F55"/>
    <w:rsid w:val="00465601"/>
    <w:rsid w:val="004743D6"/>
    <w:rsid w:val="004766B1"/>
    <w:rsid w:val="0048707F"/>
    <w:rsid w:val="004874FC"/>
    <w:rsid w:val="00487880"/>
    <w:rsid w:val="004970E9"/>
    <w:rsid w:val="004B0302"/>
    <w:rsid w:val="004B7D60"/>
    <w:rsid w:val="004C279E"/>
    <w:rsid w:val="004D3CCA"/>
    <w:rsid w:val="004E0A29"/>
    <w:rsid w:val="004E4F08"/>
    <w:rsid w:val="004E616D"/>
    <w:rsid w:val="004F4270"/>
    <w:rsid w:val="00504691"/>
    <w:rsid w:val="0050686F"/>
    <w:rsid w:val="00513988"/>
    <w:rsid w:val="00515609"/>
    <w:rsid w:val="00526F72"/>
    <w:rsid w:val="00530A2F"/>
    <w:rsid w:val="00536E2E"/>
    <w:rsid w:val="00550ABB"/>
    <w:rsid w:val="005528F7"/>
    <w:rsid w:val="00561D81"/>
    <w:rsid w:val="00563063"/>
    <w:rsid w:val="00563652"/>
    <w:rsid w:val="0056731C"/>
    <w:rsid w:val="005679F7"/>
    <w:rsid w:val="005720BA"/>
    <w:rsid w:val="00575423"/>
    <w:rsid w:val="00575F35"/>
    <w:rsid w:val="0057701D"/>
    <w:rsid w:val="005835EC"/>
    <w:rsid w:val="00584FA6"/>
    <w:rsid w:val="00586FEC"/>
    <w:rsid w:val="005902BF"/>
    <w:rsid w:val="005966F0"/>
    <w:rsid w:val="0059775B"/>
    <w:rsid w:val="005A1ED9"/>
    <w:rsid w:val="005A4ECD"/>
    <w:rsid w:val="005A6B4B"/>
    <w:rsid w:val="005A7188"/>
    <w:rsid w:val="005C08C5"/>
    <w:rsid w:val="005C1271"/>
    <w:rsid w:val="005C79CD"/>
    <w:rsid w:val="005D33AB"/>
    <w:rsid w:val="005D4BBB"/>
    <w:rsid w:val="005F0A09"/>
    <w:rsid w:val="005F11F7"/>
    <w:rsid w:val="005F2EB2"/>
    <w:rsid w:val="005F4B3D"/>
    <w:rsid w:val="005F4BC5"/>
    <w:rsid w:val="005F6AAE"/>
    <w:rsid w:val="00610E3F"/>
    <w:rsid w:val="00612A61"/>
    <w:rsid w:val="006176E6"/>
    <w:rsid w:val="00617C1C"/>
    <w:rsid w:val="00620376"/>
    <w:rsid w:val="00622F2D"/>
    <w:rsid w:val="0063534C"/>
    <w:rsid w:val="00645EA5"/>
    <w:rsid w:val="00654F9A"/>
    <w:rsid w:val="00655D17"/>
    <w:rsid w:val="0065619B"/>
    <w:rsid w:val="00656426"/>
    <w:rsid w:val="0066635B"/>
    <w:rsid w:val="00670AB1"/>
    <w:rsid w:val="006768E2"/>
    <w:rsid w:val="00681274"/>
    <w:rsid w:val="006876D3"/>
    <w:rsid w:val="0069161B"/>
    <w:rsid w:val="006936C9"/>
    <w:rsid w:val="00693F70"/>
    <w:rsid w:val="006946C5"/>
    <w:rsid w:val="006975CA"/>
    <w:rsid w:val="006A0045"/>
    <w:rsid w:val="006A4D05"/>
    <w:rsid w:val="006A4F17"/>
    <w:rsid w:val="006A5442"/>
    <w:rsid w:val="006A7DA3"/>
    <w:rsid w:val="006B0D38"/>
    <w:rsid w:val="006B6CC3"/>
    <w:rsid w:val="006C04CD"/>
    <w:rsid w:val="006C171D"/>
    <w:rsid w:val="006C1C11"/>
    <w:rsid w:val="006D0179"/>
    <w:rsid w:val="006D141F"/>
    <w:rsid w:val="006D2A36"/>
    <w:rsid w:val="006D3AE3"/>
    <w:rsid w:val="006E4D58"/>
    <w:rsid w:val="006E535E"/>
    <w:rsid w:val="006E54FF"/>
    <w:rsid w:val="006F7F99"/>
    <w:rsid w:val="0070131F"/>
    <w:rsid w:val="0070194E"/>
    <w:rsid w:val="007023D7"/>
    <w:rsid w:val="00706802"/>
    <w:rsid w:val="00706FFA"/>
    <w:rsid w:val="00720A63"/>
    <w:rsid w:val="00727B4A"/>
    <w:rsid w:val="0073001F"/>
    <w:rsid w:val="00730EBD"/>
    <w:rsid w:val="0076053A"/>
    <w:rsid w:val="007664EA"/>
    <w:rsid w:val="007708C4"/>
    <w:rsid w:val="00771C4F"/>
    <w:rsid w:val="007725F4"/>
    <w:rsid w:val="00773316"/>
    <w:rsid w:val="0078391F"/>
    <w:rsid w:val="00783A8B"/>
    <w:rsid w:val="00786673"/>
    <w:rsid w:val="00793052"/>
    <w:rsid w:val="00793A9A"/>
    <w:rsid w:val="00793F91"/>
    <w:rsid w:val="007947FD"/>
    <w:rsid w:val="007A27F5"/>
    <w:rsid w:val="007A4F56"/>
    <w:rsid w:val="007B4C18"/>
    <w:rsid w:val="007B4D0D"/>
    <w:rsid w:val="007C287A"/>
    <w:rsid w:val="007C4077"/>
    <w:rsid w:val="007D737B"/>
    <w:rsid w:val="007E2D70"/>
    <w:rsid w:val="007E511A"/>
    <w:rsid w:val="007E6C4E"/>
    <w:rsid w:val="007F0240"/>
    <w:rsid w:val="007F5657"/>
    <w:rsid w:val="007F7875"/>
    <w:rsid w:val="008111A6"/>
    <w:rsid w:val="0082194A"/>
    <w:rsid w:val="00821DCF"/>
    <w:rsid w:val="00827811"/>
    <w:rsid w:val="008329A9"/>
    <w:rsid w:val="0084005F"/>
    <w:rsid w:val="00844FC9"/>
    <w:rsid w:val="00865A76"/>
    <w:rsid w:val="0087362D"/>
    <w:rsid w:val="00873725"/>
    <w:rsid w:val="0089102A"/>
    <w:rsid w:val="00893A67"/>
    <w:rsid w:val="008A41E9"/>
    <w:rsid w:val="008B2DE5"/>
    <w:rsid w:val="008B3385"/>
    <w:rsid w:val="008B3F71"/>
    <w:rsid w:val="008B5A07"/>
    <w:rsid w:val="008C046D"/>
    <w:rsid w:val="008C2503"/>
    <w:rsid w:val="008C5C78"/>
    <w:rsid w:val="008C5F4C"/>
    <w:rsid w:val="008D330C"/>
    <w:rsid w:val="008D669D"/>
    <w:rsid w:val="008E1608"/>
    <w:rsid w:val="008F1EF0"/>
    <w:rsid w:val="008F24CD"/>
    <w:rsid w:val="008F494D"/>
    <w:rsid w:val="00901AF0"/>
    <w:rsid w:val="00902DB1"/>
    <w:rsid w:val="00912A0E"/>
    <w:rsid w:val="009143AB"/>
    <w:rsid w:val="0092258F"/>
    <w:rsid w:val="00923789"/>
    <w:rsid w:val="00945914"/>
    <w:rsid w:val="00945B08"/>
    <w:rsid w:val="009601A6"/>
    <w:rsid w:val="009623BB"/>
    <w:rsid w:val="0097016F"/>
    <w:rsid w:val="00975C7E"/>
    <w:rsid w:val="00976855"/>
    <w:rsid w:val="0098188B"/>
    <w:rsid w:val="009850B1"/>
    <w:rsid w:val="009942CE"/>
    <w:rsid w:val="009A2912"/>
    <w:rsid w:val="009A3784"/>
    <w:rsid w:val="009B0213"/>
    <w:rsid w:val="009B1F95"/>
    <w:rsid w:val="009B3F8F"/>
    <w:rsid w:val="009B57FB"/>
    <w:rsid w:val="009C1DF6"/>
    <w:rsid w:val="009C2B38"/>
    <w:rsid w:val="009C3EF2"/>
    <w:rsid w:val="009C580F"/>
    <w:rsid w:val="009C6734"/>
    <w:rsid w:val="009D0EA3"/>
    <w:rsid w:val="009D3BCF"/>
    <w:rsid w:val="009D56ED"/>
    <w:rsid w:val="009E1410"/>
    <w:rsid w:val="009E151B"/>
    <w:rsid w:val="009E5635"/>
    <w:rsid w:val="009F53B9"/>
    <w:rsid w:val="009F6553"/>
    <w:rsid w:val="009F71DA"/>
    <w:rsid w:val="00A01707"/>
    <w:rsid w:val="00A03529"/>
    <w:rsid w:val="00A04A5C"/>
    <w:rsid w:val="00A06764"/>
    <w:rsid w:val="00A15042"/>
    <w:rsid w:val="00A160A4"/>
    <w:rsid w:val="00A20597"/>
    <w:rsid w:val="00A2405F"/>
    <w:rsid w:val="00A2606C"/>
    <w:rsid w:val="00A364B9"/>
    <w:rsid w:val="00A444C0"/>
    <w:rsid w:val="00A52A2D"/>
    <w:rsid w:val="00A53A2D"/>
    <w:rsid w:val="00A55434"/>
    <w:rsid w:val="00A659AF"/>
    <w:rsid w:val="00A74006"/>
    <w:rsid w:val="00A753E8"/>
    <w:rsid w:val="00A75E41"/>
    <w:rsid w:val="00A801B3"/>
    <w:rsid w:val="00A81F70"/>
    <w:rsid w:val="00A820E0"/>
    <w:rsid w:val="00A836AD"/>
    <w:rsid w:val="00A920DC"/>
    <w:rsid w:val="00AA26D0"/>
    <w:rsid w:val="00AA293A"/>
    <w:rsid w:val="00AB287D"/>
    <w:rsid w:val="00AB6123"/>
    <w:rsid w:val="00AC0198"/>
    <w:rsid w:val="00AC0969"/>
    <w:rsid w:val="00AC0B89"/>
    <w:rsid w:val="00AC1AD4"/>
    <w:rsid w:val="00AD2072"/>
    <w:rsid w:val="00AD3E78"/>
    <w:rsid w:val="00AE0F37"/>
    <w:rsid w:val="00AF04D2"/>
    <w:rsid w:val="00AF0726"/>
    <w:rsid w:val="00AF1779"/>
    <w:rsid w:val="00AF2086"/>
    <w:rsid w:val="00AF64B2"/>
    <w:rsid w:val="00B01B7C"/>
    <w:rsid w:val="00B07581"/>
    <w:rsid w:val="00B16F2D"/>
    <w:rsid w:val="00B223C3"/>
    <w:rsid w:val="00B22BF3"/>
    <w:rsid w:val="00B2638F"/>
    <w:rsid w:val="00B34626"/>
    <w:rsid w:val="00B34E4F"/>
    <w:rsid w:val="00B37FA3"/>
    <w:rsid w:val="00B52150"/>
    <w:rsid w:val="00B55B64"/>
    <w:rsid w:val="00B61098"/>
    <w:rsid w:val="00B616FD"/>
    <w:rsid w:val="00B618C8"/>
    <w:rsid w:val="00B63C64"/>
    <w:rsid w:val="00B713C3"/>
    <w:rsid w:val="00B713C6"/>
    <w:rsid w:val="00B7191D"/>
    <w:rsid w:val="00B72804"/>
    <w:rsid w:val="00B76DBB"/>
    <w:rsid w:val="00B76E83"/>
    <w:rsid w:val="00B84979"/>
    <w:rsid w:val="00B85AEE"/>
    <w:rsid w:val="00B91682"/>
    <w:rsid w:val="00B9596B"/>
    <w:rsid w:val="00BB1029"/>
    <w:rsid w:val="00BB1EF4"/>
    <w:rsid w:val="00BD2907"/>
    <w:rsid w:val="00BD294E"/>
    <w:rsid w:val="00BD7B11"/>
    <w:rsid w:val="00BE0030"/>
    <w:rsid w:val="00BE1E43"/>
    <w:rsid w:val="00BE5A81"/>
    <w:rsid w:val="00BE5D39"/>
    <w:rsid w:val="00BF1A42"/>
    <w:rsid w:val="00BF2379"/>
    <w:rsid w:val="00BF6FD4"/>
    <w:rsid w:val="00C012F3"/>
    <w:rsid w:val="00C056FB"/>
    <w:rsid w:val="00C05A5F"/>
    <w:rsid w:val="00C12707"/>
    <w:rsid w:val="00C15D32"/>
    <w:rsid w:val="00C164DA"/>
    <w:rsid w:val="00C3227C"/>
    <w:rsid w:val="00C323FC"/>
    <w:rsid w:val="00C350D6"/>
    <w:rsid w:val="00C358D5"/>
    <w:rsid w:val="00C420E0"/>
    <w:rsid w:val="00C44F71"/>
    <w:rsid w:val="00C471BF"/>
    <w:rsid w:val="00C57CB4"/>
    <w:rsid w:val="00C673C5"/>
    <w:rsid w:val="00C70582"/>
    <w:rsid w:val="00C728F3"/>
    <w:rsid w:val="00C741AC"/>
    <w:rsid w:val="00C75E56"/>
    <w:rsid w:val="00C80C87"/>
    <w:rsid w:val="00C81F25"/>
    <w:rsid w:val="00C87285"/>
    <w:rsid w:val="00C87689"/>
    <w:rsid w:val="00C96201"/>
    <w:rsid w:val="00CA0AE2"/>
    <w:rsid w:val="00CA21BE"/>
    <w:rsid w:val="00CA586E"/>
    <w:rsid w:val="00CA7EEA"/>
    <w:rsid w:val="00CB0AB0"/>
    <w:rsid w:val="00CB2428"/>
    <w:rsid w:val="00CC0DE5"/>
    <w:rsid w:val="00CC24D8"/>
    <w:rsid w:val="00CC4939"/>
    <w:rsid w:val="00CC5295"/>
    <w:rsid w:val="00CC55BA"/>
    <w:rsid w:val="00CD4CB1"/>
    <w:rsid w:val="00CE34B7"/>
    <w:rsid w:val="00CE6B02"/>
    <w:rsid w:val="00CE6F8C"/>
    <w:rsid w:val="00CF0B56"/>
    <w:rsid w:val="00D05CB4"/>
    <w:rsid w:val="00D07B59"/>
    <w:rsid w:val="00D12C59"/>
    <w:rsid w:val="00D13F33"/>
    <w:rsid w:val="00D17197"/>
    <w:rsid w:val="00D24F2E"/>
    <w:rsid w:val="00D279BE"/>
    <w:rsid w:val="00D27D2A"/>
    <w:rsid w:val="00D31D6C"/>
    <w:rsid w:val="00D34AC3"/>
    <w:rsid w:val="00D36367"/>
    <w:rsid w:val="00D50359"/>
    <w:rsid w:val="00D504BC"/>
    <w:rsid w:val="00D52964"/>
    <w:rsid w:val="00D531E1"/>
    <w:rsid w:val="00D53898"/>
    <w:rsid w:val="00D60192"/>
    <w:rsid w:val="00D62BC2"/>
    <w:rsid w:val="00D66347"/>
    <w:rsid w:val="00D823AD"/>
    <w:rsid w:val="00D8620F"/>
    <w:rsid w:val="00D862F4"/>
    <w:rsid w:val="00D91CD4"/>
    <w:rsid w:val="00D93AF0"/>
    <w:rsid w:val="00D97EA8"/>
    <w:rsid w:val="00DA4E08"/>
    <w:rsid w:val="00DA56B8"/>
    <w:rsid w:val="00DB108B"/>
    <w:rsid w:val="00DB2A0A"/>
    <w:rsid w:val="00DB717A"/>
    <w:rsid w:val="00DB76BD"/>
    <w:rsid w:val="00DC36BA"/>
    <w:rsid w:val="00DC5172"/>
    <w:rsid w:val="00DD5648"/>
    <w:rsid w:val="00DD5DA4"/>
    <w:rsid w:val="00DD7560"/>
    <w:rsid w:val="00DE44B9"/>
    <w:rsid w:val="00DF4BE6"/>
    <w:rsid w:val="00DF57AC"/>
    <w:rsid w:val="00E01805"/>
    <w:rsid w:val="00E1510D"/>
    <w:rsid w:val="00E22C7E"/>
    <w:rsid w:val="00E334C8"/>
    <w:rsid w:val="00E371FE"/>
    <w:rsid w:val="00E37B01"/>
    <w:rsid w:val="00E408D6"/>
    <w:rsid w:val="00E522B4"/>
    <w:rsid w:val="00E541F0"/>
    <w:rsid w:val="00E55BF5"/>
    <w:rsid w:val="00E618C1"/>
    <w:rsid w:val="00E71031"/>
    <w:rsid w:val="00E73843"/>
    <w:rsid w:val="00E76D50"/>
    <w:rsid w:val="00E801BB"/>
    <w:rsid w:val="00E822C5"/>
    <w:rsid w:val="00E862E7"/>
    <w:rsid w:val="00E86655"/>
    <w:rsid w:val="00E95E1F"/>
    <w:rsid w:val="00E970D5"/>
    <w:rsid w:val="00EA0D58"/>
    <w:rsid w:val="00EA2949"/>
    <w:rsid w:val="00EB2643"/>
    <w:rsid w:val="00EB4047"/>
    <w:rsid w:val="00EB7A8C"/>
    <w:rsid w:val="00EC1631"/>
    <w:rsid w:val="00EC2101"/>
    <w:rsid w:val="00EC23A8"/>
    <w:rsid w:val="00EC528F"/>
    <w:rsid w:val="00EC73F1"/>
    <w:rsid w:val="00ED12E6"/>
    <w:rsid w:val="00ED2251"/>
    <w:rsid w:val="00EE2BD5"/>
    <w:rsid w:val="00EE384B"/>
    <w:rsid w:val="00F02059"/>
    <w:rsid w:val="00F026DC"/>
    <w:rsid w:val="00F02A3E"/>
    <w:rsid w:val="00F04EDF"/>
    <w:rsid w:val="00F0635A"/>
    <w:rsid w:val="00F17AC9"/>
    <w:rsid w:val="00F32647"/>
    <w:rsid w:val="00F35F64"/>
    <w:rsid w:val="00F375F3"/>
    <w:rsid w:val="00F446BA"/>
    <w:rsid w:val="00F44C4F"/>
    <w:rsid w:val="00F45E66"/>
    <w:rsid w:val="00F50643"/>
    <w:rsid w:val="00F60D59"/>
    <w:rsid w:val="00F72175"/>
    <w:rsid w:val="00F752E8"/>
    <w:rsid w:val="00F85A6B"/>
    <w:rsid w:val="00FB155F"/>
    <w:rsid w:val="00FB27E1"/>
    <w:rsid w:val="00FC0E55"/>
    <w:rsid w:val="00FC2CCE"/>
    <w:rsid w:val="00FC6F2E"/>
    <w:rsid w:val="00FD2838"/>
    <w:rsid w:val="00FD3D2F"/>
    <w:rsid w:val="00FD3F8C"/>
    <w:rsid w:val="00FD7E6A"/>
    <w:rsid w:val="00FE196D"/>
    <w:rsid w:val="00FE2400"/>
    <w:rsid w:val="00FE6311"/>
    <w:rsid w:val="00FE7ABE"/>
    <w:rsid w:val="00FF00CC"/>
    <w:rsid w:val="00FF08A4"/>
    <w:rsid w:val="00FF0D56"/>
    <w:rsid w:val="00FF3ECE"/>
    <w:rsid w:val="01034FCD"/>
    <w:rsid w:val="01101675"/>
    <w:rsid w:val="011266DB"/>
    <w:rsid w:val="011F5623"/>
    <w:rsid w:val="012F7EBB"/>
    <w:rsid w:val="01511601"/>
    <w:rsid w:val="01545A05"/>
    <w:rsid w:val="01574DE0"/>
    <w:rsid w:val="015B6D94"/>
    <w:rsid w:val="01664D61"/>
    <w:rsid w:val="017007C4"/>
    <w:rsid w:val="01713BB8"/>
    <w:rsid w:val="0179546C"/>
    <w:rsid w:val="017B2F92"/>
    <w:rsid w:val="017B61A8"/>
    <w:rsid w:val="01995371"/>
    <w:rsid w:val="01A4073C"/>
    <w:rsid w:val="01A51BFA"/>
    <w:rsid w:val="01B00656"/>
    <w:rsid w:val="01C317C0"/>
    <w:rsid w:val="01C7267B"/>
    <w:rsid w:val="01CB289E"/>
    <w:rsid w:val="01CC7C92"/>
    <w:rsid w:val="01D03B74"/>
    <w:rsid w:val="01D33433"/>
    <w:rsid w:val="01F43F54"/>
    <w:rsid w:val="02074DA9"/>
    <w:rsid w:val="02147E5A"/>
    <w:rsid w:val="023042EC"/>
    <w:rsid w:val="02355837"/>
    <w:rsid w:val="024B744F"/>
    <w:rsid w:val="024C2B81"/>
    <w:rsid w:val="024F55E9"/>
    <w:rsid w:val="02555ED9"/>
    <w:rsid w:val="02557C87"/>
    <w:rsid w:val="02594F01"/>
    <w:rsid w:val="025B135B"/>
    <w:rsid w:val="025B1C52"/>
    <w:rsid w:val="02641C78"/>
    <w:rsid w:val="0273010D"/>
    <w:rsid w:val="027E2301"/>
    <w:rsid w:val="02953EA8"/>
    <w:rsid w:val="02A67CC1"/>
    <w:rsid w:val="02B10161"/>
    <w:rsid w:val="02B2215B"/>
    <w:rsid w:val="02B27948"/>
    <w:rsid w:val="02B80C49"/>
    <w:rsid w:val="02C47C8E"/>
    <w:rsid w:val="02CF2F6B"/>
    <w:rsid w:val="02D15B28"/>
    <w:rsid w:val="02D228D7"/>
    <w:rsid w:val="02ED1C6E"/>
    <w:rsid w:val="02F04089"/>
    <w:rsid w:val="02F15F64"/>
    <w:rsid w:val="02F6117F"/>
    <w:rsid w:val="02F70D3E"/>
    <w:rsid w:val="031C4710"/>
    <w:rsid w:val="03230A73"/>
    <w:rsid w:val="03253AFD"/>
    <w:rsid w:val="032B35F3"/>
    <w:rsid w:val="03345AEF"/>
    <w:rsid w:val="03373127"/>
    <w:rsid w:val="03391E1F"/>
    <w:rsid w:val="033D4698"/>
    <w:rsid w:val="034675D0"/>
    <w:rsid w:val="03490C11"/>
    <w:rsid w:val="03506E72"/>
    <w:rsid w:val="0367585D"/>
    <w:rsid w:val="036B0AC6"/>
    <w:rsid w:val="036D3D71"/>
    <w:rsid w:val="0377316D"/>
    <w:rsid w:val="037D0547"/>
    <w:rsid w:val="03957070"/>
    <w:rsid w:val="03962305"/>
    <w:rsid w:val="03A74512"/>
    <w:rsid w:val="03A876D0"/>
    <w:rsid w:val="03B67BF3"/>
    <w:rsid w:val="03BD0823"/>
    <w:rsid w:val="03BE15EF"/>
    <w:rsid w:val="03BE504C"/>
    <w:rsid w:val="03C34149"/>
    <w:rsid w:val="03C9798E"/>
    <w:rsid w:val="03CB384D"/>
    <w:rsid w:val="03D20366"/>
    <w:rsid w:val="03E07A24"/>
    <w:rsid w:val="03E2059E"/>
    <w:rsid w:val="03E2379C"/>
    <w:rsid w:val="03EA66E6"/>
    <w:rsid w:val="03EC63C9"/>
    <w:rsid w:val="03FD29A1"/>
    <w:rsid w:val="040000C7"/>
    <w:rsid w:val="04001E75"/>
    <w:rsid w:val="04131B03"/>
    <w:rsid w:val="04294F27"/>
    <w:rsid w:val="043428D7"/>
    <w:rsid w:val="04425680"/>
    <w:rsid w:val="0445358D"/>
    <w:rsid w:val="045673BB"/>
    <w:rsid w:val="046B3792"/>
    <w:rsid w:val="046C1BCE"/>
    <w:rsid w:val="047670F9"/>
    <w:rsid w:val="047D5273"/>
    <w:rsid w:val="04814D63"/>
    <w:rsid w:val="04853529"/>
    <w:rsid w:val="04893C18"/>
    <w:rsid w:val="049063E8"/>
    <w:rsid w:val="04A96068"/>
    <w:rsid w:val="04C3017D"/>
    <w:rsid w:val="04D52749"/>
    <w:rsid w:val="04D93B67"/>
    <w:rsid w:val="04E13A54"/>
    <w:rsid w:val="04E22489"/>
    <w:rsid w:val="04F4494A"/>
    <w:rsid w:val="04F80D9E"/>
    <w:rsid w:val="05015898"/>
    <w:rsid w:val="050167EC"/>
    <w:rsid w:val="050F05C1"/>
    <w:rsid w:val="051712F5"/>
    <w:rsid w:val="051F58E7"/>
    <w:rsid w:val="052E74EF"/>
    <w:rsid w:val="053729A2"/>
    <w:rsid w:val="053C035F"/>
    <w:rsid w:val="054733FB"/>
    <w:rsid w:val="054B711F"/>
    <w:rsid w:val="054D194C"/>
    <w:rsid w:val="055E62CD"/>
    <w:rsid w:val="0571317D"/>
    <w:rsid w:val="057A140F"/>
    <w:rsid w:val="057D3B69"/>
    <w:rsid w:val="05860158"/>
    <w:rsid w:val="059249F1"/>
    <w:rsid w:val="059630EB"/>
    <w:rsid w:val="05AB10D4"/>
    <w:rsid w:val="05B67395"/>
    <w:rsid w:val="05BC1CE6"/>
    <w:rsid w:val="05CE3604"/>
    <w:rsid w:val="05D32B59"/>
    <w:rsid w:val="05DE7F94"/>
    <w:rsid w:val="05E92DBF"/>
    <w:rsid w:val="05EE467B"/>
    <w:rsid w:val="05F257ED"/>
    <w:rsid w:val="05FB7017"/>
    <w:rsid w:val="05FD78CA"/>
    <w:rsid w:val="06112832"/>
    <w:rsid w:val="06127C3D"/>
    <w:rsid w:val="06224324"/>
    <w:rsid w:val="06253E14"/>
    <w:rsid w:val="064E336B"/>
    <w:rsid w:val="064F24AE"/>
    <w:rsid w:val="065169B7"/>
    <w:rsid w:val="06652CD7"/>
    <w:rsid w:val="06665B60"/>
    <w:rsid w:val="066E7382"/>
    <w:rsid w:val="06715BBD"/>
    <w:rsid w:val="06740F0F"/>
    <w:rsid w:val="067B4508"/>
    <w:rsid w:val="067F363A"/>
    <w:rsid w:val="068058FC"/>
    <w:rsid w:val="06837F3C"/>
    <w:rsid w:val="069074E0"/>
    <w:rsid w:val="0695400D"/>
    <w:rsid w:val="069F1EE1"/>
    <w:rsid w:val="069F7723"/>
    <w:rsid w:val="06B807E5"/>
    <w:rsid w:val="06B84D15"/>
    <w:rsid w:val="06BC4E2B"/>
    <w:rsid w:val="06C7621D"/>
    <w:rsid w:val="06D407CA"/>
    <w:rsid w:val="06E23642"/>
    <w:rsid w:val="06E47855"/>
    <w:rsid w:val="07047ECE"/>
    <w:rsid w:val="07097B2E"/>
    <w:rsid w:val="070A4FEC"/>
    <w:rsid w:val="071F6AB6"/>
    <w:rsid w:val="072308DB"/>
    <w:rsid w:val="072D6C12"/>
    <w:rsid w:val="074B78AB"/>
    <w:rsid w:val="0751512B"/>
    <w:rsid w:val="07531FBD"/>
    <w:rsid w:val="07534B15"/>
    <w:rsid w:val="075C0648"/>
    <w:rsid w:val="076E757C"/>
    <w:rsid w:val="07705EC8"/>
    <w:rsid w:val="07764AD3"/>
    <w:rsid w:val="077C5CB6"/>
    <w:rsid w:val="077D1BD7"/>
    <w:rsid w:val="077F0520"/>
    <w:rsid w:val="077F1E57"/>
    <w:rsid w:val="07846593"/>
    <w:rsid w:val="078F59E9"/>
    <w:rsid w:val="07A35EAD"/>
    <w:rsid w:val="07A82F09"/>
    <w:rsid w:val="07A95AF2"/>
    <w:rsid w:val="07AF7AB9"/>
    <w:rsid w:val="07BA4972"/>
    <w:rsid w:val="07BC4304"/>
    <w:rsid w:val="07C136C9"/>
    <w:rsid w:val="07D47F26"/>
    <w:rsid w:val="07D653C6"/>
    <w:rsid w:val="07D80009"/>
    <w:rsid w:val="07E32714"/>
    <w:rsid w:val="07F341DF"/>
    <w:rsid w:val="07F51064"/>
    <w:rsid w:val="07F85AE1"/>
    <w:rsid w:val="08017F69"/>
    <w:rsid w:val="080D19B4"/>
    <w:rsid w:val="08151E81"/>
    <w:rsid w:val="081A2700"/>
    <w:rsid w:val="081B610C"/>
    <w:rsid w:val="083D00D7"/>
    <w:rsid w:val="08413D4F"/>
    <w:rsid w:val="08434105"/>
    <w:rsid w:val="0846182C"/>
    <w:rsid w:val="08541602"/>
    <w:rsid w:val="08670714"/>
    <w:rsid w:val="08702DDF"/>
    <w:rsid w:val="087038AC"/>
    <w:rsid w:val="087D1F9E"/>
    <w:rsid w:val="08814094"/>
    <w:rsid w:val="088976F5"/>
    <w:rsid w:val="089F7EAE"/>
    <w:rsid w:val="08A4148F"/>
    <w:rsid w:val="08AD5A2D"/>
    <w:rsid w:val="08B62B42"/>
    <w:rsid w:val="08B701E4"/>
    <w:rsid w:val="08C336C9"/>
    <w:rsid w:val="08C3436E"/>
    <w:rsid w:val="08C37556"/>
    <w:rsid w:val="08C53D8B"/>
    <w:rsid w:val="08C6543B"/>
    <w:rsid w:val="08C96E73"/>
    <w:rsid w:val="08D5219F"/>
    <w:rsid w:val="08E01908"/>
    <w:rsid w:val="08E020AA"/>
    <w:rsid w:val="08E40EDE"/>
    <w:rsid w:val="08E55728"/>
    <w:rsid w:val="08E65ADD"/>
    <w:rsid w:val="08FA50E4"/>
    <w:rsid w:val="08FD410C"/>
    <w:rsid w:val="08FD4BD5"/>
    <w:rsid w:val="09015BB4"/>
    <w:rsid w:val="0903349D"/>
    <w:rsid w:val="09047D27"/>
    <w:rsid w:val="090D42B8"/>
    <w:rsid w:val="09151F1E"/>
    <w:rsid w:val="091A7535"/>
    <w:rsid w:val="092468CE"/>
    <w:rsid w:val="09254DB5"/>
    <w:rsid w:val="093C56FD"/>
    <w:rsid w:val="093C719E"/>
    <w:rsid w:val="093D6D39"/>
    <w:rsid w:val="094822F4"/>
    <w:rsid w:val="09517B54"/>
    <w:rsid w:val="095C261A"/>
    <w:rsid w:val="095C334C"/>
    <w:rsid w:val="09633BCC"/>
    <w:rsid w:val="096B2FA0"/>
    <w:rsid w:val="09752F4A"/>
    <w:rsid w:val="097672C3"/>
    <w:rsid w:val="09864BCA"/>
    <w:rsid w:val="098F1880"/>
    <w:rsid w:val="09942A25"/>
    <w:rsid w:val="099C092E"/>
    <w:rsid w:val="09A60DC8"/>
    <w:rsid w:val="09B94F9F"/>
    <w:rsid w:val="09C33728"/>
    <w:rsid w:val="09CD7424"/>
    <w:rsid w:val="09D00BBA"/>
    <w:rsid w:val="09D675C5"/>
    <w:rsid w:val="09EC7123"/>
    <w:rsid w:val="09F003F7"/>
    <w:rsid w:val="09F842AD"/>
    <w:rsid w:val="09F935EE"/>
    <w:rsid w:val="0A0F1E70"/>
    <w:rsid w:val="0A0F4281"/>
    <w:rsid w:val="0A1331A4"/>
    <w:rsid w:val="0A26621D"/>
    <w:rsid w:val="0A285C81"/>
    <w:rsid w:val="0A3877FD"/>
    <w:rsid w:val="0A492F5D"/>
    <w:rsid w:val="0A4E7788"/>
    <w:rsid w:val="0A4F76B2"/>
    <w:rsid w:val="0A5B05A8"/>
    <w:rsid w:val="0A7031F7"/>
    <w:rsid w:val="0A732765"/>
    <w:rsid w:val="0A747118"/>
    <w:rsid w:val="0A7B04A7"/>
    <w:rsid w:val="0A816856"/>
    <w:rsid w:val="0A825391"/>
    <w:rsid w:val="0A8A384D"/>
    <w:rsid w:val="0A8E475E"/>
    <w:rsid w:val="0A9805B5"/>
    <w:rsid w:val="0A9B28F7"/>
    <w:rsid w:val="0A9E08DE"/>
    <w:rsid w:val="0AA0712B"/>
    <w:rsid w:val="0AA62718"/>
    <w:rsid w:val="0AAC0660"/>
    <w:rsid w:val="0AAD01E0"/>
    <w:rsid w:val="0AB3379D"/>
    <w:rsid w:val="0AC37758"/>
    <w:rsid w:val="0AD61B81"/>
    <w:rsid w:val="0ADF3E8E"/>
    <w:rsid w:val="0ADF55FC"/>
    <w:rsid w:val="0AE526F6"/>
    <w:rsid w:val="0AE872BF"/>
    <w:rsid w:val="0AFF69E2"/>
    <w:rsid w:val="0B0E30C9"/>
    <w:rsid w:val="0B204BAA"/>
    <w:rsid w:val="0B244317"/>
    <w:rsid w:val="0B2D77F0"/>
    <w:rsid w:val="0B325009"/>
    <w:rsid w:val="0B36617C"/>
    <w:rsid w:val="0B3D304C"/>
    <w:rsid w:val="0B446AEB"/>
    <w:rsid w:val="0B464611"/>
    <w:rsid w:val="0B535ECE"/>
    <w:rsid w:val="0B6E17E5"/>
    <w:rsid w:val="0B73117E"/>
    <w:rsid w:val="0B791481"/>
    <w:rsid w:val="0B79156C"/>
    <w:rsid w:val="0B7C2DAB"/>
    <w:rsid w:val="0B8C21F5"/>
    <w:rsid w:val="0B8C64B6"/>
    <w:rsid w:val="0B927856"/>
    <w:rsid w:val="0B9A435D"/>
    <w:rsid w:val="0BC7144F"/>
    <w:rsid w:val="0BCB720C"/>
    <w:rsid w:val="0BD460C1"/>
    <w:rsid w:val="0BD54DED"/>
    <w:rsid w:val="0BD72358"/>
    <w:rsid w:val="0BDA34AE"/>
    <w:rsid w:val="0BEA5A57"/>
    <w:rsid w:val="0BF13228"/>
    <w:rsid w:val="0BFD75C1"/>
    <w:rsid w:val="0C0C6878"/>
    <w:rsid w:val="0C142961"/>
    <w:rsid w:val="0C303C69"/>
    <w:rsid w:val="0C34085D"/>
    <w:rsid w:val="0C3C0FDC"/>
    <w:rsid w:val="0C3D4BC9"/>
    <w:rsid w:val="0C474B07"/>
    <w:rsid w:val="0C5B74EB"/>
    <w:rsid w:val="0C603B85"/>
    <w:rsid w:val="0C6130A4"/>
    <w:rsid w:val="0C6A55CF"/>
    <w:rsid w:val="0C791AEF"/>
    <w:rsid w:val="0C7E602C"/>
    <w:rsid w:val="0C807FF6"/>
    <w:rsid w:val="0C844D7D"/>
    <w:rsid w:val="0C8714AC"/>
    <w:rsid w:val="0C882A07"/>
    <w:rsid w:val="0C8D626F"/>
    <w:rsid w:val="0CA25B35"/>
    <w:rsid w:val="0CB81796"/>
    <w:rsid w:val="0CC865FD"/>
    <w:rsid w:val="0CDF2F6F"/>
    <w:rsid w:val="0CE03EA1"/>
    <w:rsid w:val="0CE642FD"/>
    <w:rsid w:val="0CE80BA6"/>
    <w:rsid w:val="0CF24B34"/>
    <w:rsid w:val="0CF42A49"/>
    <w:rsid w:val="0D0522AA"/>
    <w:rsid w:val="0D077DD0"/>
    <w:rsid w:val="0D1411E7"/>
    <w:rsid w:val="0D17452C"/>
    <w:rsid w:val="0D1E6850"/>
    <w:rsid w:val="0D3328B3"/>
    <w:rsid w:val="0D3A1751"/>
    <w:rsid w:val="0D3B653D"/>
    <w:rsid w:val="0D3F22F5"/>
    <w:rsid w:val="0D5376B2"/>
    <w:rsid w:val="0D6D057B"/>
    <w:rsid w:val="0D7D2605"/>
    <w:rsid w:val="0D8458C4"/>
    <w:rsid w:val="0D845966"/>
    <w:rsid w:val="0D8A5342"/>
    <w:rsid w:val="0D914DE5"/>
    <w:rsid w:val="0D946F28"/>
    <w:rsid w:val="0D977DB4"/>
    <w:rsid w:val="0DA33F9D"/>
    <w:rsid w:val="0DAF3431"/>
    <w:rsid w:val="0DB27F8C"/>
    <w:rsid w:val="0DC16BB9"/>
    <w:rsid w:val="0DCC63D1"/>
    <w:rsid w:val="0DD24882"/>
    <w:rsid w:val="0DD66049"/>
    <w:rsid w:val="0DE25F13"/>
    <w:rsid w:val="0DE61DA1"/>
    <w:rsid w:val="0DF26AF3"/>
    <w:rsid w:val="0DF714CF"/>
    <w:rsid w:val="0E01177E"/>
    <w:rsid w:val="0E083E00"/>
    <w:rsid w:val="0E0B05B0"/>
    <w:rsid w:val="0E1A76BA"/>
    <w:rsid w:val="0E213113"/>
    <w:rsid w:val="0E2624D8"/>
    <w:rsid w:val="0E465D21"/>
    <w:rsid w:val="0E596DA0"/>
    <w:rsid w:val="0E663987"/>
    <w:rsid w:val="0E71771C"/>
    <w:rsid w:val="0E82269E"/>
    <w:rsid w:val="0E9D61D1"/>
    <w:rsid w:val="0EA36C04"/>
    <w:rsid w:val="0EBB3568"/>
    <w:rsid w:val="0EC41528"/>
    <w:rsid w:val="0EC600B9"/>
    <w:rsid w:val="0ECA53D4"/>
    <w:rsid w:val="0EDF3D8D"/>
    <w:rsid w:val="0EE479B2"/>
    <w:rsid w:val="0EED1247"/>
    <w:rsid w:val="0EF83E74"/>
    <w:rsid w:val="0F011BDE"/>
    <w:rsid w:val="0F0C77CF"/>
    <w:rsid w:val="0F115F27"/>
    <w:rsid w:val="0F121141"/>
    <w:rsid w:val="0F125B5E"/>
    <w:rsid w:val="0F213035"/>
    <w:rsid w:val="0F284331"/>
    <w:rsid w:val="0F2D4DF2"/>
    <w:rsid w:val="0F3670BA"/>
    <w:rsid w:val="0F3945F0"/>
    <w:rsid w:val="0F3D21CF"/>
    <w:rsid w:val="0F4365F2"/>
    <w:rsid w:val="0F44530B"/>
    <w:rsid w:val="0F494D6F"/>
    <w:rsid w:val="0F56370D"/>
    <w:rsid w:val="0F56503F"/>
    <w:rsid w:val="0F581507"/>
    <w:rsid w:val="0F5D7565"/>
    <w:rsid w:val="0F607C6B"/>
    <w:rsid w:val="0F6459AD"/>
    <w:rsid w:val="0F67724C"/>
    <w:rsid w:val="0F695C11"/>
    <w:rsid w:val="0F6B6695"/>
    <w:rsid w:val="0F6C0D47"/>
    <w:rsid w:val="0F7D0B61"/>
    <w:rsid w:val="0F7F00F1"/>
    <w:rsid w:val="0F8129E8"/>
    <w:rsid w:val="0F8B42CB"/>
    <w:rsid w:val="0F953DB9"/>
    <w:rsid w:val="0F9A49D3"/>
    <w:rsid w:val="0F9B4988"/>
    <w:rsid w:val="0F9F482E"/>
    <w:rsid w:val="0FA22032"/>
    <w:rsid w:val="0FA93E73"/>
    <w:rsid w:val="0FBD3EF0"/>
    <w:rsid w:val="0FC621C4"/>
    <w:rsid w:val="0FC7151E"/>
    <w:rsid w:val="0FCC54CD"/>
    <w:rsid w:val="0FD8646C"/>
    <w:rsid w:val="0FE20680"/>
    <w:rsid w:val="0FE34B24"/>
    <w:rsid w:val="0FF30ADF"/>
    <w:rsid w:val="0FF3288D"/>
    <w:rsid w:val="0FF860F6"/>
    <w:rsid w:val="0FFA420A"/>
    <w:rsid w:val="0FFD2D29"/>
    <w:rsid w:val="10013605"/>
    <w:rsid w:val="10036374"/>
    <w:rsid w:val="10041FA8"/>
    <w:rsid w:val="100658EF"/>
    <w:rsid w:val="10230022"/>
    <w:rsid w:val="1029003A"/>
    <w:rsid w:val="104355C3"/>
    <w:rsid w:val="10582B3B"/>
    <w:rsid w:val="10596222"/>
    <w:rsid w:val="105D0E20"/>
    <w:rsid w:val="106344DF"/>
    <w:rsid w:val="10671326"/>
    <w:rsid w:val="10685029"/>
    <w:rsid w:val="10711B5E"/>
    <w:rsid w:val="107E15F7"/>
    <w:rsid w:val="107E2A9F"/>
    <w:rsid w:val="108654B0"/>
    <w:rsid w:val="10872F90"/>
    <w:rsid w:val="109C7803"/>
    <w:rsid w:val="109D3C19"/>
    <w:rsid w:val="10B62375"/>
    <w:rsid w:val="10B73AAA"/>
    <w:rsid w:val="10C1193B"/>
    <w:rsid w:val="10C94BDB"/>
    <w:rsid w:val="10E81980"/>
    <w:rsid w:val="10E9304A"/>
    <w:rsid w:val="10E93FAE"/>
    <w:rsid w:val="10EC7D58"/>
    <w:rsid w:val="10FE598E"/>
    <w:rsid w:val="110612BC"/>
    <w:rsid w:val="110B4EE5"/>
    <w:rsid w:val="1117660C"/>
    <w:rsid w:val="112278CE"/>
    <w:rsid w:val="11274EE5"/>
    <w:rsid w:val="11333889"/>
    <w:rsid w:val="113B1F9E"/>
    <w:rsid w:val="11463750"/>
    <w:rsid w:val="114754DD"/>
    <w:rsid w:val="11487BD7"/>
    <w:rsid w:val="114E06C3"/>
    <w:rsid w:val="115E70F6"/>
    <w:rsid w:val="11625F71"/>
    <w:rsid w:val="116E06EB"/>
    <w:rsid w:val="11703D6F"/>
    <w:rsid w:val="11835012"/>
    <w:rsid w:val="118B6164"/>
    <w:rsid w:val="119E0BB1"/>
    <w:rsid w:val="11A92D01"/>
    <w:rsid w:val="11AF15DB"/>
    <w:rsid w:val="11B01737"/>
    <w:rsid w:val="11BA2E11"/>
    <w:rsid w:val="11C112A5"/>
    <w:rsid w:val="11C20769"/>
    <w:rsid w:val="11CD7E2D"/>
    <w:rsid w:val="11D009E8"/>
    <w:rsid w:val="11DD37F5"/>
    <w:rsid w:val="11E06E41"/>
    <w:rsid w:val="11E133FB"/>
    <w:rsid w:val="11E30B4A"/>
    <w:rsid w:val="11EB5F12"/>
    <w:rsid w:val="11EE1802"/>
    <w:rsid w:val="11F47E29"/>
    <w:rsid w:val="12017E37"/>
    <w:rsid w:val="121B2A72"/>
    <w:rsid w:val="12224AD3"/>
    <w:rsid w:val="123F0959"/>
    <w:rsid w:val="12415B32"/>
    <w:rsid w:val="12437AFC"/>
    <w:rsid w:val="12461AD4"/>
    <w:rsid w:val="12474E77"/>
    <w:rsid w:val="12530955"/>
    <w:rsid w:val="1254288C"/>
    <w:rsid w:val="12574893"/>
    <w:rsid w:val="12855B67"/>
    <w:rsid w:val="129F0AAB"/>
    <w:rsid w:val="12A50A2E"/>
    <w:rsid w:val="12B71611"/>
    <w:rsid w:val="12C02EFB"/>
    <w:rsid w:val="12C75FB1"/>
    <w:rsid w:val="12D1335A"/>
    <w:rsid w:val="12DC585B"/>
    <w:rsid w:val="12E45A87"/>
    <w:rsid w:val="12E77BDA"/>
    <w:rsid w:val="12EA54D9"/>
    <w:rsid w:val="12FA1332"/>
    <w:rsid w:val="12FB3F33"/>
    <w:rsid w:val="13130C89"/>
    <w:rsid w:val="13136C22"/>
    <w:rsid w:val="131C6382"/>
    <w:rsid w:val="131E5E73"/>
    <w:rsid w:val="13203999"/>
    <w:rsid w:val="13286CF2"/>
    <w:rsid w:val="132C3FFC"/>
    <w:rsid w:val="13315BA7"/>
    <w:rsid w:val="133C47E0"/>
    <w:rsid w:val="133D7026"/>
    <w:rsid w:val="134C0C4B"/>
    <w:rsid w:val="13507878"/>
    <w:rsid w:val="135277E2"/>
    <w:rsid w:val="135934FE"/>
    <w:rsid w:val="135D4BEE"/>
    <w:rsid w:val="136572CF"/>
    <w:rsid w:val="13695A69"/>
    <w:rsid w:val="136B6BBF"/>
    <w:rsid w:val="136E7B97"/>
    <w:rsid w:val="137A5111"/>
    <w:rsid w:val="137D7320"/>
    <w:rsid w:val="137E6912"/>
    <w:rsid w:val="137F2DB6"/>
    <w:rsid w:val="138165B6"/>
    <w:rsid w:val="13831E4D"/>
    <w:rsid w:val="1384599E"/>
    <w:rsid w:val="13926AE1"/>
    <w:rsid w:val="13937098"/>
    <w:rsid w:val="13990E68"/>
    <w:rsid w:val="13A24CF6"/>
    <w:rsid w:val="13A7230D"/>
    <w:rsid w:val="13AA62DD"/>
    <w:rsid w:val="13AA6D73"/>
    <w:rsid w:val="13AF7C71"/>
    <w:rsid w:val="13CA2A19"/>
    <w:rsid w:val="13D85AAA"/>
    <w:rsid w:val="13E16B52"/>
    <w:rsid w:val="13E7095B"/>
    <w:rsid w:val="13FD6DAC"/>
    <w:rsid w:val="14044A9A"/>
    <w:rsid w:val="140908D1"/>
    <w:rsid w:val="140B176E"/>
    <w:rsid w:val="14133BE3"/>
    <w:rsid w:val="141C6857"/>
    <w:rsid w:val="141F437D"/>
    <w:rsid w:val="14243519"/>
    <w:rsid w:val="144028DB"/>
    <w:rsid w:val="14427B6B"/>
    <w:rsid w:val="144B2C98"/>
    <w:rsid w:val="1452547A"/>
    <w:rsid w:val="14537925"/>
    <w:rsid w:val="14537D6D"/>
    <w:rsid w:val="145923FA"/>
    <w:rsid w:val="145A43FB"/>
    <w:rsid w:val="14640256"/>
    <w:rsid w:val="147274E3"/>
    <w:rsid w:val="148461AA"/>
    <w:rsid w:val="1489323A"/>
    <w:rsid w:val="148B578A"/>
    <w:rsid w:val="14940F57"/>
    <w:rsid w:val="14977C8B"/>
    <w:rsid w:val="149A3C1F"/>
    <w:rsid w:val="149E3239"/>
    <w:rsid w:val="14A30D26"/>
    <w:rsid w:val="14A82ECE"/>
    <w:rsid w:val="14C05929"/>
    <w:rsid w:val="14C448A3"/>
    <w:rsid w:val="14D61DAE"/>
    <w:rsid w:val="14D62EA9"/>
    <w:rsid w:val="14F07E96"/>
    <w:rsid w:val="14F670A8"/>
    <w:rsid w:val="14FD5FD9"/>
    <w:rsid w:val="15022068"/>
    <w:rsid w:val="15023C9F"/>
    <w:rsid w:val="150A1A72"/>
    <w:rsid w:val="150D2643"/>
    <w:rsid w:val="151069E9"/>
    <w:rsid w:val="151C1D1D"/>
    <w:rsid w:val="152440E5"/>
    <w:rsid w:val="152810BF"/>
    <w:rsid w:val="152A6D51"/>
    <w:rsid w:val="152B34AC"/>
    <w:rsid w:val="15457AC2"/>
    <w:rsid w:val="154663D9"/>
    <w:rsid w:val="15595889"/>
    <w:rsid w:val="155C2B33"/>
    <w:rsid w:val="1562473D"/>
    <w:rsid w:val="156D29B7"/>
    <w:rsid w:val="15720143"/>
    <w:rsid w:val="158F0BB8"/>
    <w:rsid w:val="15A85A2E"/>
    <w:rsid w:val="15BA53FF"/>
    <w:rsid w:val="15C26F8A"/>
    <w:rsid w:val="15CC1BB7"/>
    <w:rsid w:val="15CF6FE6"/>
    <w:rsid w:val="15D41839"/>
    <w:rsid w:val="15DE5438"/>
    <w:rsid w:val="15E04EED"/>
    <w:rsid w:val="15ED77C2"/>
    <w:rsid w:val="15F45EBE"/>
    <w:rsid w:val="16016255"/>
    <w:rsid w:val="16040ABB"/>
    <w:rsid w:val="1615355E"/>
    <w:rsid w:val="16197002"/>
    <w:rsid w:val="16217CF4"/>
    <w:rsid w:val="16247228"/>
    <w:rsid w:val="162734D9"/>
    <w:rsid w:val="1629525B"/>
    <w:rsid w:val="163526D5"/>
    <w:rsid w:val="163D6F7D"/>
    <w:rsid w:val="1651030E"/>
    <w:rsid w:val="16551BAC"/>
    <w:rsid w:val="16663DB9"/>
    <w:rsid w:val="166767E2"/>
    <w:rsid w:val="167364D6"/>
    <w:rsid w:val="167A09B1"/>
    <w:rsid w:val="16842491"/>
    <w:rsid w:val="168947F4"/>
    <w:rsid w:val="168A69BF"/>
    <w:rsid w:val="168C50BD"/>
    <w:rsid w:val="16957FC1"/>
    <w:rsid w:val="16976E4E"/>
    <w:rsid w:val="16A633BA"/>
    <w:rsid w:val="16A64802"/>
    <w:rsid w:val="16A82D9A"/>
    <w:rsid w:val="16AD19E8"/>
    <w:rsid w:val="16AE5760"/>
    <w:rsid w:val="16C441FC"/>
    <w:rsid w:val="16C74280"/>
    <w:rsid w:val="16D262DF"/>
    <w:rsid w:val="16DE6045"/>
    <w:rsid w:val="16EA3857"/>
    <w:rsid w:val="16EB0762"/>
    <w:rsid w:val="16EF4581"/>
    <w:rsid w:val="16F500DD"/>
    <w:rsid w:val="16F70EB5"/>
    <w:rsid w:val="17095016"/>
    <w:rsid w:val="1720665E"/>
    <w:rsid w:val="17282A80"/>
    <w:rsid w:val="172872C1"/>
    <w:rsid w:val="172B2D2E"/>
    <w:rsid w:val="172B3ABE"/>
    <w:rsid w:val="173B40E5"/>
    <w:rsid w:val="17631747"/>
    <w:rsid w:val="1767428D"/>
    <w:rsid w:val="177D585E"/>
    <w:rsid w:val="177E15D6"/>
    <w:rsid w:val="178C5AA1"/>
    <w:rsid w:val="17914E66"/>
    <w:rsid w:val="17A0154D"/>
    <w:rsid w:val="17A56B63"/>
    <w:rsid w:val="17A70813"/>
    <w:rsid w:val="17AC1CA0"/>
    <w:rsid w:val="17B30C01"/>
    <w:rsid w:val="17B659FA"/>
    <w:rsid w:val="17C16450"/>
    <w:rsid w:val="17C7145D"/>
    <w:rsid w:val="17D17655"/>
    <w:rsid w:val="17DD0CAF"/>
    <w:rsid w:val="17E51C4D"/>
    <w:rsid w:val="180B636A"/>
    <w:rsid w:val="181539A6"/>
    <w:rsid w:val="181B2FD1"/>
    <w:rsid w:val="18354F4C"/>
    <w:rsid w:val="183F08CC"/>
    <w:rsid w:val="18502F73"/>
    <w:rsid w:val="185150D7"/>
    <w:rsid w:val="18595F36"/>
    <w:rsid w:val="185C1289"/>
    <w:rsid w:val="185C633E"/>
    <w:rsid w:val="1870760C"/>
    <w:rsid w:val="18960F34"/>
    <w:rsid w:val="189B4B08"/>
    <w:rsid w:val="189E3CDE"/>
    <w:rsid w:val="18AB1F57"/>
    <w:rsid w:val="18B60A0F"/>
    <w:rsid w:val="18BB1FE4"/>
    <w:rsid w:val="18E84F59"/>
    <w:rsid w:val="18ED1CCF"/>
    <w:rsid w:val="18EF58E8"/>
    <w:rsid w:val="190F0738"/>
    <w:rsid w:val="190F2B7A"/>
    <w:rsid w:val="19153F14"/>
    <w:rsid w:val="192123F6"/>
    <w:rsid w:val="192D122F"/>
    <w:rsid w:val="193006AE"/>
    <w:rsid w:val="193B5E44"/>
    <w:rsid w:val="19415434"/>
    <w:rsid w:val="19540E77"/>
    <w:rsid w:val="19687ABC"/>
    <w:rsid w:val="1977008B"/>
    <w:rsid w:val="198033E4"/>
    <w:rsid w:val="198669B3"/>
    <w:rsid w:val="19927D75"/>
    <w:rsid w:val="19943426"/>
    <w:rsid w:val="19A84D5E"/>
    <w:rsid w:val="19B07EBB"/>
    <w:rsid w:val="19B906A4"/>
    <w:rsid w:val="19BB1758"/>
    <w:rsid w:val="19C01A32"/>
    <w:rsid w:val="19CA5FC0"/>
    <w:rsid w:val="19CE23A1"/>
    <w:rsid w:val="19D67DF8"/>
    <w:rsid w:val="19D76D7C"/>
    <w:rsid w:val="19DC3E19"/>
    <w:rsid w:val="19E9361C"/>
    <w:rsid w:val="19E971DB"/>
    <w:rsid w:val="19F94F44"/>
    <w:rsid w:val="19FB2A6A"/>
    <w:rsid w:val="19FE033C"/>
    <w:rsid w:val="1A1242FC"/>
    <w:rsid w:val="1A200A7A"/>
    <w:rsid w:val="1A383CBF"/>
    <w:rsid w:val="1A583B37"/>
    <w:rsid w:val="1A604FC3"/>
    <w:rsid w:val="1A613215"/>
    <w:rsid w:val="1A613806"/>
    <w:rsid w:val="1A620D3B"/>
    <w:rsid w:val="1A6830C5"/>
    <w:rsid w:val="1A6920CA"/>
    <w:rsid w:val="1A6D2E24"/>
    <w:rsid w:val="1A730A5D"/>
    <w:rsid w:val="1A7717A5"/>
    <w:rsid w:val="1A7F5449"/>
    <w:rsid w:val="1A835312"/>
    <w:rsid w:val="1A8E501A"/>
    <w:rsid w:val="1A8F5291"/>
    <w:rsid w:val="1A9C7D98"/>
    <w:rsid w:val="1AA11864"/>
    <w:rsid w:val="1AA413C1"/>
    <w:rsid w:val="1AA76B44"/>
    <w:rsid w:val="1AA90718"/>
    <w:rsid w:val="1AC35C7E"/>
    <w:rsid w:val="1AC5256D"/>
    <w:rsid w:val="1ACF04FA"/>
    <w:rsid w:val="1ADA56CE"/>
    <w:rsid w:val="1ADB4CBD"/>
    <w:rsid w:val="1ADD23F0"/>
    <w:rsid w:val="1B0D2F7B"/>
    <w:rsid w:val="1B0F62A2"/>
    <w:rsid w:val="1B10687A"/>
    <w:rsid w:val="1B150E39"/>
    <w:rsid w:val="1B173FCA"/>
    <w:rsid w:val="1B1D0E97"/>
    <w:rsid w:val="1B1D7A8F"/>
    <w:rsid w:val="1B291859"/>
    <w:rsid w:val="1B2D6A00"/>
    <w:rsid w:val="1B363135"/>
    <w:rsid w:val="1B444659"/>
    <w:rsid w:val="1B486183"/>
    <w:rsid w:val="1B604660"/>
    <w:rsid w:val="1B6310DF"/>
    <w:rsid w:val="1B7168FB"/>
    <w:rsid w:val="1B803B6F"/>
    <w:rsid w:val="1B813443"/>
    <w:rsid w:val="1B8B6826"/>
    <w:rsid w:val="1B922B95"/>
    <w:rsid w:val="1B9A1CDF"/>
    <w:rsid w:val="1B9B51B5"/>
    <w:rsid w:val="1B9F5E03"/>
    <w:rsid w:val="1BA15F46"/>
    <w:rsid w:val="1BB05833"/>
    <w:rsid w:val="1BB455C7"/>
    <w:rsid w:val="1BBC26CD"/>
    <w:rsid w:val="1BD72CAD"/>
    <w:rsid w:val="1BE44920"/>
    <w:rsid w:val="1BE9117B"/>
    <w:rsid w:val="1BE92CBC"/>
    <w:rsid w:val="1BF15562"/>
    <w:rsid w:val="1BF714E6"/>
    <w:rsid w:val="1C0D4B0B"/>
    <w:rsid w:val="1C0E2397"/>
    <w:rsid w:val="1C0F0A4F"/>
    <w:rsid w:val="1C1341D7"/>
    <w:rsid w:val="1C163F7C"/>
    <w:rsid w:val="1C1C6B6D"/>
    <w:rsid w:val="1C2655E9"/>
    <w:rsid w:val="1C2C5342"/>
    <w:rsid w:val="1C2C7853"/>
    <w:rsid w:val="1C38488B"/>
    <w:rsid w:val="1C4032FE"/>
    <w:rsid w:val="1C460D42"/>
    <w:rsid w:val="1C513BF3"/>
    <w:rsid w:val="1C572846"/>
    <w:rsid w:val="1C5E5533"/>
    <w:rsid w:val="1C662842"/>
    <w:rsid w:val="1C782A98"/>
    <w:rsid w:val="1C7A4EB6"/>
    <w:rsid w:val="1CBF069B"/>
    <w:rsid w:val="1CC250BC"/>
    <w:rsid w:val="1CC655B2"/>
    <w:rsid w:val="1CCE7376"/>
    <w:rsid w:val="1CD47871"/>
    <w:rsid w:val="1CD57D07"/>
    <w:rsid w:val="1CDF3AB9"/>
    <w:rsid w:val="1CE15FD3"/>
    <w:rsid w:val="1CEB326A"/>
    <w:rsid w:val="1D011ED5"/>
    <w:rsid w:val="1D082596"/>
    <w:rsid w:val="1D167BBB"/>
    <w:rsid w:val="1D1C3424"/>
    <w:rsid w:val="1D2408CC"/>
    <w:rsid w:val="1D341C4A"/>
    <w:rsid w:val="1D3777B9"/>
    <w:rsid w:val="1D390540"/>
    <w:rsid w:val="1D3A5FA0"/>
    <w:rsid w:val="1D3B68DA"/>
    <w:rsid w:val="1D3D69B0"/>
    <w:rsid w:val="1D4219C8"/>
    <w:rsid w:val="1D426885"/>
    <w:rsid w:val="1D46670B"/>
    <w:rsid w:val="1D4A04F6"/>
    <w:rsid w:val="1D4E7EE8"/>
    <w:rsid w:val="1D576A95"/>
    <w:rsid w:val="1D5E1C8E"/>
    <w:rsid w:val="1D5E391D"/>
    <w:rsid w:val="1D6A7826"/>
    <w:rsid w:val="1D787F7B"/>
    <w:rsid w:val="1D7E2B06"/>
    <w:rsid w:val="1D7F004F"/>
    <w:rsid w:val="1D8E6A35"/>
    <w:rsid w:val="1D98325B"/>
    <w:rsid w:val="1DA11B7B"/>
    <w:rsid w:val="1DAA05B9"/>
    <w:rsid w:val="1DAA5A48"/>
    <w:rsid w:val="1DAD6772"/>
    <w:rsid w:val="1DBC0763"/>
    <w:rsid w:val="1DC85359"/>
    <w:rsid w:val="1DCE052D"/>
    <w:rsid w:val="1DD4509E"/>
    <w:rsid w:val="1DDC7057"/>
    <w:rsid w:val="1DE8074D"/>
    <w:rsid w:val="1DF42A6E"/>
    <w:rsid w:val="1DF50A1A"/>
    <w:rsid w:val="1DFE099E"/>
    <w:rsid w:val="1E0068A1"/>
    <w:rsid w:val="1E043F4D"/>
    <w:rsid w:val="1E0D7210"/>
    <w:rsid w:val="1E1719F1"/>
    <w:rsid w:val="1E2A5B38"/>
    <w:rsid w:val="1E37428D"/>
    <w:rsid w:val="1E393C9A"/>
    <w:rsid w:val="1E3A7883"/>
    <w:rsid w:val="1E4075E6"/>
    <w:rsid w:val="1E4079F4"/>
    <w:rsid w:val="1E4C7E68"/>
    <w:rsid w:val="1E7F1517"/>
    <w:rsid w:val="1E82235E"/>
    <w:rsid w:val="1E847BF2"/>
    <w:rsid w:val="1E870D71"/>
    <w:rsid w:val="1E8B207D"/>
    <w:rsid w:val="1E902F77"/>
    <w:rsid w:val="1E91399D"/>
    <w:rsid w:val="1EB64EA7"/>
    <w:rsid w:val="1ED63AA6"/>
    <w:rsid w:val="1ED82230"/>
    <w:rsid w:val="1EE05BFB"/>
    <w:rsid w:val="1EE523BD"/>
    <w:rsid w:val="1EF327B8"/>
    <w:rsid w:val="1F135708"/>
    <w:rsid w:val="1F1A16D6"/>
    <w:rsid w:val="1F284AD0"/>
    <w:rsid w:val="1F386AC5"/>
    <w:rsid w:val="1F3B319A"/>
    <w:rsid w:val="1F3B4CBD"/>
    <w:rsid w:val="1F4530E0"/>
    <w:rsid w:val="1F467C6F"/>
    <w:rsid w:val="1F574BE7"/>
    <w:rsid w:val="1F5E41C7"/>
    <w:rsid w:val="1F612DD4"/>
    <w:rsid w:val="1F6E3CDF"/>
    <w:rsid w:val="1F890B18"/>
    <w:rsid w:val="1FA059B1"/>
    <w:rsid w:val="1FA61E0B"/>
    <w:rsid w:val="1FA6497D"/>
    <w:rsid w:val="1FAC051E"/>
    <w:rsid w:val="1FB54B30"/>
    <w:rsid w:val="1FB931AC"/>
    <w:rsid w:val="1FC41FA0"/>
    <w:rsid w:val="1FCA5217"/>
    <w:rsid w:val="1FCA72BF"/>
    <w:rsid w:val="1FFB1A16"/>
    <w:rsid w:val="20042B04"/>
    <w:rsid w:val="200C054C"/>
    <w:rsid w:val="201931F7"/>
    <w:rsid w:val="202076CF"/>
    <w:rsid w:val="20286583"/>
    <w:rsid w:val="202C3D0E"/>
    <w:rsid w:val="20363D57"/>
    <w:rsid w:val="20407429"/>
    <w:rsid w:val="204A6BAA"/>
    <w:rsid w:val="204B1861"/>
    <w:rsid w:val="205417B2"/>
    <w:rsid w:val="20592386"/>
    <w:rsid w:val="20735A50"/>
    <w:rsid w:val="20813E20"/>
    <w:rsid w:val="209E1737"/>
    <w:rsid w:val="20A93A90"/>
    <w:rsid w:val="20B06E41"/>
    <w:rsid w:val="20B51673"/>
    <w:rsid w:val="20C04A0E"/>
    <w:rsid w:val="20C2240A"/>
    <w:rsid w:val="20D12777"/>
    <w:rsid w:val="20D63882"/>
    <w:rsid w:val="20D86364"/>
    <w:rsid w:val="20D90075"/>
    <w:rsid w:val="20DB1848"/>
    <w:rsid w:val="20E06E5E"/>
    <w:rsid w:val="20E75741"/>
    <w:rsid w:val="20ED2C7B"/>
    <w:rsid w:val="20F47FE6"/>
    <w:rsid w:val="20FD17BE"/>
    <w:rsid w:val="210B3EDB"/>
    <w:rsid w:val="210B5C89"/>
    <w:rsid w:val="210F504D"/>
    <w:rsid w:val="211F02CF"/>
    <w:rsid w:val="212136FE"/>
    <w:rsid w:val="21363972"/>
    <w:rsid w:val="213A4823"/>
    <w:rsid w:val="213A656E"/>
    <w:rsid w:val="213D7C54"/>
    <w:rsid w:val="214D2FC1"/>
    <w:rsid w:val="215516E3"/>
    <w:rsid w:val="215D7928"/>
    <w:rsid w:val="216231F4"/>
    <w:rsid w:val="21653824"/>
    <w:rsid w:val="21691565"/>
    <w:rsid w:val="21704269"/>
    <w:rsid w:val="21791110"/>
    <w:rsid w:val="21830EFD"/>
    <w:rsid w:val="21984F31"/>
    <w:rsid w:val="219B3920"/>
    <w:rsid w:val="21A1780A"/>
    <w:rsid w:val="21A35EF5"/>
    <w:rsid w:val="21B005DE"/>
    <w:rsid w:val="21BC3427"/>
    <w:rsid w:val="21C10A3D"/>
    <w:rsid w:val="21CD554D"/>
    <w:rsid w:val="21CE1695"/>
    <w:rsid w:val="21D14F1F"/>
    <w:rsid w:val="21D23791"/>
    <w:rsid w:val="21FD48CC"/>
    <w:rsid w:val="21FF50C2"/>
    <w:rsid w:val="220D77DF"/>
    <w:rsid w:val="2215332E"/>
    <w:rsid w:val="222459CD"/>
    <w:rsid w:val="223231A4"/>
    <w:rsid w:val="22330330"/>
    <w:rsid w:val="22351829"/>
    <w:rsid w:val="22492E2E"/>
    <w:rsid w:val="224F7DF7"/>
    <w:rsid w:val="2254540E"/>
    <w:rsid w:val="2255060C"/>
    <w:rsid w:val="22576149"/>
    <w:rsid w:val="225876EC"/>
    <w:rsid w:val="225A5B4A"/>
    <w:rsid w:val="22600256"/>
    <w:rsid w:val="22780862"/>
    <w:rsid w:val="227D45F3"/>
    <w:rsid w:val="2289537B"/>
    <w:rsid w:val="2297109E"/>
    <w:rsid w:val="22A22E15"/>
    <w:rsid w:val="22C103A0"/>
    <w:rsid w:val="22CE1263"/>
    <w:rsid w:val="22D136E2"/>
    <w:rsid w:val="22D73397"/>
    <w:rsid w:val="22EC5646"/>
    <w:rsid w:val="22F46AFA"/>
    <w:rsid w:val="22FC1016"/>
    <w:rsid w:val="230D526C"/>
    <w:rsid w:val="23157A2F"/>
    <w:rsid w:val="231828DF"/>
    <w:rsid w:val="231936E1"/>
    <w:rsid w:val="23230790"/>
    <w:rsid w:val="232E7D9F"/>
    <w:rsid w:val="233429F8"/>
    <w:rsid w:val="233D2D8A"/>
    <w:rsid w:val="23476D20"/>
    <w:rsid w:val="235245B0"/>
    <w:rsid w:val="23571659"/>
    <w:rsid w:val="2358699C"/>
    <w:rsid w:val="236123D4"/>
    <w:rsid w:val="236F2694"/>
    <w:rsid w:val="23711FEF"/>
    <w:rsid w:val="23760A05"/>
    <w:rsid w:val="237956A4"/>
    <w:rsid w:val="237A06AA"/>
    <w:rsid w:val="23813D08"/>
    <w:rsid w:val="23976E11"/>
    <w:rsid w:val="239B0E1A"/>
    <w:rsid w:val="23A32805"/>
    <w:rsid w:val="23AE7191"/>
    <w:rsid w:val="23B006BF"/>
    <w:rsid w:val="23C937DC"/>
    <w:rsid w:val="23CE11F0"/>
    <w:rsid w:val="23D5257E"/>
    <w:rsid w:val="23DD258E"/>
    <w:rsid w:val="23E07FBD"/>
    <w:rsid w:val="23EB7FF4"/>
    <w:rsid w:val="23FA2DFB"/>
    <w:rsid w:val="23FF584D"/>
    <w:rsid w:val="240B5FC9"/>
    <w:rsid w:val="241D7C73"/>
    <w:rsid w:val="2456115F"/>
    <w:rsid w:val="245715E6"/>
    <w:rsid w:val="245C4768"/>
    <w:rsid w:val="24651B54"/>
    <w:rsid w:val="24681EC0"/>
    <w:rsid w:val="247E49C4"/>
    <w:rsid w:val="2480698E"/>
    <w:rsid w:val="249B40ED"/>
    <w:rsid w:val="249C309C"/>
    <w:rsid w:val="24A748CE"/>
    <w:rsid w:val="24AC155B"/>
    <w:rsid w:val="24AD0470"/>
    <w:rsid w:val="24AF7273"/>
    <w:rsid w:val="24B007D4"/>
    <w:rsid w:val="24B277C5"/>
    <w:rsid w:val="24B669F4"/>
    <w:rsid w:val="24C30629"/>
    <w:rsid w:val="24CC0FC3"/>
    <w:rsid w:val="24D34421"/>
    <w:rsid w:val="24E31D05"/>
    <w:rsid w:val="24EC7B7F"/>
    <w:rsid w:val="25087BBC"/>
    <w:rsid w:val="2512523E"/>
    <w:rsid w:val="25205A7B"/>
    <w:rsid w:val="25275510"/>
    <w:rsid w:val="25283964"/>
    <w:rsid w:val="252E37B2"/>
    <w:rsid w:val="253C2BAC"/>
    <w:rsid w:val="25550894"/>
    <w:rsid w:val="256325C9"/>
    <w:rsid w:val="25643BBA"/>
    <w:rsid w:val="25646689"/>
    <w:rsid w:val="256615C1"/>
    <w:rsid w:val="25734592"/>
    <w:rsid w:val="25761B3F"/>
    <w:rsid w:val="2581126F"/>
    <w:rsid w:val="25883CC1"/>
    <w:rsid w:val="258A71B9"/>
    <w:rsid w:val="25950217"/>
    <w:rsid w:val="25997001"/>
    <w:rsid w:val="25B32407"/>
    <w:rsid w:val="25B45B06"/>
    <w:rsid w:val="25CE54D7"/>
    <w:rsid w:val="25D6156E"/>
    <w:rsid w:val="25D77514"/>
    <w:rsid w:val="25DA20CE"/>
    <w:rsid w:val="25DF3CC9"/>
    <w:rsid w:val="25E168BA"/>
    <w:rsid w:val="25EF35C3"/>
    <w:rsid w:val="25F767DC"/>
    <w:rsid w:val="26020D78"/>
    <w:rsid w:val="26024AC3"/>
    <w:rsid w:val="26130466"/>
    <w:rsid w:val="26263565"/>
    <w:rsid w:val="262A5E92"/>
    <w:rsid w:val="262D1606"/>
    <w:rsid w:val="263F14EC"/>
    <w:rsid w:val="266A1336"/>
    <w:rsid w:val="266B0F78"/>
    <w:rsid w:val="266E719B"/>
    <w:rsid w:val="267047E0"/>
    <w:rsid w:val="26773DC1"/>
    <w:rsid w:val="2677540F"/>
    <w:rsid w:val="26793655"/>
    <w:rsid w:val="267D3132"/>
    <w:rsid w:val="26891294"/>
    <w:rsid w:val="26893BCD"/>
    <w:rsid w:val="268D1E5D"/>
    <w:rsid w:val="26A24F4F"/>
    <w:rsid w:val="26AA4C19"/>
    <w:rsid w:val="26B4291F"/>
    <w:rsid w:val="26BC727B"/>
    <w:rsid w:val="26C57ECF"/>
    <w:rsid w:val="26D66D39"/>
    <w:rsid w:val="26F97D29"/>
    <w:rsid w:val="270741B3"/>
    <w:rsid w:val="27075144"/>
    <w:rsid w:val="270F5DA7"/>
    <w:rsid w:val="2719146B"/>
    <w:rsid w:val="27196C26"/>
    <w:rsid w:val="271C7063"/>
    <w:rsid w:val="273677D8"/>
    <w:rsid w:val="27391076"/>
    <w:rsid w:val="276B27F4"/>
    <w:rsid w:val="2788313A"/>
    <w:rsid w:val="27936A2D"/>
    <w:rsid w:val="279A7D67"/>
    <w:rsid w:val="27AB1F74"/>
    <w:rsid w:val="27DB629D"/>
    <w:rsid w:val="27E43B0C"/>
    <w:rsid w:val="27EB3D36"/>
    <w:rsid w:val="27F16797"/>
    <w:rsid w:val="280478D6"/>
    <w:rsid w:val="281933EB"/>
    <w:rsid w:val="2826398B"/>
    <w:rsid w:val="282737C4"/>
    <w:rsid w:val="282B3D23"/>
    <w:rsid w:val="283F090E"/>
    <w:rsid w:val="28434A13"/>
    <w:rsid w:val="284D302B"/>
    <w:rsid w:val="28541FFF"/>
    <w:rsid w:val="285717B4"/>
    <w:rsid w:val="2859377E"/>
    <w:rsid w:val="28627A63"/>
    <w:rsid w:val="28660B49"/>
    <w:rsid w:val="28694794"/>
    <w:rsid w:val="286B34B1"/>
    <w:rsid w:val="287A6052"/>
    <w:rsid w:val="28896DF3"/>
    <w:rsid w:val="289C7B0E"/>
    <w:rsid w:val="28A64FDA"/>
    <w:rsid w:val="28AA6A66"/>
    <w:rsid w:val="28AF15F0"/>
    <w:rsid w:val="28B3043B"/>
    <w:rsid w:val="28C332ED"/>
    <w:rsid w:val="28C72DDD"/>
    <w:rsid w:val="28CB4154"/>
    <w:rsid w:val="28CF4911"/>
    <w:rsid w:val="28E40693"/>
    <w:rsid w:val="28E50DDE"/>
    <w:rsid w:val="28E54DC1"/>
    <w:rsid w:val="28F03135"/>
    <w:rsid w:val="28F3407F"/>
    <w:rsid w:val="28FA297B"/>
    <w:rsid w:val="28FD67FF"/>
    <w:rsid w:val="29015BC3"/>
    <w:rsid w:val="29016E1D"/>
    <w:rsid w:val="29182064"/>
    <w:rsid w:val="29194CBB"/>
    <w:rsid w:val="291B0A33"/>
    <w:rsid w:val="292A2E5F"/>
    <w:rsid w:val="293B3F64"/>
    <w:rsid w:val="2940220D"/>
    <w:rsid w:val="2947268A"/>
    <w:rsid w:val="29493DF8"/>
    <w:rsid w:val="29505346"/>
    <w:rsid w:val="29514087"/>
    <w:rsid w:val="295555D6"/>
    <w:rsid w:val="296A19BB"/>
    <w:rsid w:val="2971081A"/>
    <w:rsid w:val="29721BF2"/>
    <w:rsid w:val="29824F56"/>
    <w:rsid w:val="29843F44"/>
    <w:rsid w:val="299D24D0"/>
    <w:rsid w:val="29A2235A"/>
    <w:rsid w:val="29A70519"/>
    <w:rsid w:val="29C17ABA"/>
    <w:rsid w:val="29DE4D3F"/>
    <w:rsid w:val="29E51041"/>
    <w:rsid w:val="29EC5F30"/>
    <w:rsid w:val="2A0446CF"/>
    <w:rsid w:val="2A066AF3"/>
    <w:rsid w:val="2A1469FF"/>
    <w:rsid w:val="2A1A19DE"/>
    <w:rsid w:val="2A1D4C7F"/>
    <w:rsid w:val="2A213F61"/>
    <w:rsid w:val="2A273408"/>
    <w:rsid w:val="2A2B41AE"/>
    <w:rsid w:val="2A2E5B61"/>
    <w:rsid w:val="2A331DAD"/>
    <w:rsid w:val="2A36189D"/>
    <w:rsid w:val="2A3B6C66"/>
    <w:rsid w:val="2A4702DB"/>
    <w:rsid w:val="2A5E2741"/>
    <w:rsid w:val="2A677CA8"/>
    <w:rsid w:val="2A6A7EA4"/>
    <w:rsid w:val="2A6B7E7B"/>
    <w:rsid w:val="2A6E7CB5"/>
    <w:rsid w:val="2A710990"/>
    <w:rsid w:val="2A721C36"/>
    <w:rsid w:val="2A7511A4"/>
    <w:rsid w:val="2A7E78FE"/>
    <w:rsid w:val="2A814E7D"/>
    <w:rsid w:val="2A821A7A"/>
    <w:rsid w:val="2A9462CC"/>
    <w:rsid w:val="2A9B0650"/>
    <w:rsid w:val="2A9D1E28"/>
    <w:rsid w:val="2AA57F55"/>
    <w:rsid w:val="2AB4488A"/>
    <w:rsid w:val="2ABD7E2E"/>
    <w:rsid w:val="2ABE10F5"/>
    <w:rsid w:val="2ABE229F"/>
    <w:rsid w:val="2AD43590"/>
    <w:rsid w:val="2AE03DFF"/>
    <w:rsid w:val="2AE83DA6"/>
    <w:rsid w:val="2AEF0D40"/>
    <w:rsid w:val="2AF27EBA"/>
    <w:rsid w:val="2AFC2AE6"/>
    <w:rsid w:val="2B163BA8"/>
    <w:rsid w:val="2B2F4C6A"/>
    <w:rsid w:val="2B31595B"/>
    <w:rsid w:val="2B345DDC"/>
    <w:rsid w:val="2B3758CC"/>
    <w:rsid w:val="2B3F4BC7"/>
    <w:rsid w:val="2B421C83"/>
    <w:rsid w:val="2B436E50"/>
    <w:rsid w:val="2B4E574D"/>
    <w:rsid w:val="2B5058E7"/>
    <w:rsid w:val="2B580E36"/>
    <w:rsid w:val="2B69017C"/>
    <w:rsid w:val="2B7663F5"/>
    <w:rsid w:val="2B8C2BBB"/>
    <w:rsid w:val="2BA26D3B"/>
    <w:rsid w:val="2BAC4EA2"/>
    <w:rsid w:val="2BB1203C"/>
    <w:rsid w:val="2BB24CE7"/>
    <w:rsid w:val="2BC76C50"/>
    <w:rsid w:val="2BEE4512"/>
    <w:rsid w:val="2BF35EFB"/>
    <w:rsid w:val="2BFF68EB"/>
    <w:rsid w:val="2C064E10"/>
    <w:rsid w:val="2C0B29D4"/>
    <w:rsid w:val="2C1B7D01"/>
    <w:rsid w:val="2C1C0C66"/>
    <w:rsid w:val="2C204F7B"/>
    <w:rsid w:val="2C387B4E"/>
    <w:rsid w:val="2C5F3E3E"/>
    <w:rsid w:val="2C631FBB"/>
    <w:rsid w:val="2C6941A5"/>
    <w:rsid w:val="2C7E10B2"/>
    <w:rsid w:val="2C812FBA"/>
    <w:rsid w:val="2C8613F3"/>
    <w:rsid w:val="2C9C2A8D"/>
    <w:rsid w:val="2CA13FB6"/>
    <w:rsid w:val="2CAA36B0"/>
    <w:rsid w:val="2CB4503B"/>
    <w:rsid w:val="2CC051FE"/>
    <w:rsid w:val="2CCA6FE2"/>
    <w:rsid w:val="2CCE7751"/>
    <w:rsid w:val="2CDE4C68"/>
    <w:rsid w:val="2CE817F3"/>
    <w:rsid w:val="2CF4697D"/>
    <w:rsid w:val="2CF73565"/>
    <w:rsid w:val="2D031F0A"/>
    <w:rsid w:val="2D17601C"/>
    <w:rsid w:val="2D1944D2"/>
    <w:rsid w:val="2D1B668B"/>
    <w:rsid w:val="2D2D33C5"/>
    <w:rsid w:val="2D377E06"/>
    <w:rsid w:val="2D39592C"/>
    <w:rsid w:val="2D4B556B"/>
    <w:rsid w:val="2D4E7379"/>
    <w:rsid w:val="2D6A1F89"/>
    <w:rsid w:val="2D6A6FCC"/>
    <w:rsid w:val="2D731DD4"/>
    <w:rsid w:val="2D893CCC"/>
    <w:rsid w:val="2D8F19F0"/>
    <w:rsid w:val="2D9979E1"/>
    <w:rsid w:val="2DA136E7"/>
    <w:rsid w:val="2DB256DE"/>
    <w:rsid w:val="2DB55E32"/>
    <w:rsid w:val="2DCB370E"/>
    <w:rsid w:val="2DDD275B"/>
    <w:rsid w:val="2DDE613F"/>
    <w:rsid w:val="2DDF2BB2"/>
    <w:rsid w:val="2DE735DA"/>
    <w:rsid w:val="2DEA6F06"/>
    <w:rsid w:val="2DEC5380"/>
    <w:rsid w:val="2DF77A45"/>
    <w:rsid w:val="2E1001F4"/>
    <w:rsid w:val="2E13617D"/>
    <w:rsid w:val="2E2419B8"/>
    <w:rsid w:val="2E254102"/>
    <w:rsid w:val="2E2A2270"/>
    <w:rsid w:val="2E38378C"/>
    <w:rsid w:val="2E460F29"/>
    <w:rsid w:val="2E496043"/>
    <w:rsid w:val="2E4E3711"/>
    <w:rsid w:val="2E543333"/>
    <w:rsid w:val="2E5C7A18"/>
    <w:rsid w:val="2E6A6E6E"/>
    <w:rsid w:val="2E71553B"/>
    <w:rsid w:val="2E75050B"/>
    <w:rsid w:val="2E79583C"/>
    <w:rsid w:val="2E8B77F8"/>
    <w:rsid w:val="2EBF00B3"/>
    <w:rsid w:val="2EC30DBF"/>
    <w:rsid w:val="2ED036D5"/>
    <w:rsid w:val="2EDA6C9B"/>
    <w:rsid w:val="2EDB4A62"/>
    <w:rsid w:val="2EE91DEC"/>
    <w:rsid w:val="2EE93382"/>
    <w:rsid w:val="2EED10C4"/>
    <w:rsid w:val="2EF2255A"/>
    <w:rsid w:val="2F0748E1"/>
    <w:rsid w:val="2F086D29"/>
    <w:rsid w:val="2F215D35"/>
    <w:rsid w:val="2F387ADE"/>
    <w:rsid w:val="2F4275E7"/>
    <w:rsid w:val="2F4F7689"/>
    <w:rsid w:val="2F544C9F"/>
    <w:rsid w:val="2F546A4D"/>
    <w:rsid w:val="2F5E1655"/>
    <w:rsid w:val="2F6B463E"/>
    <w:rsid w:val="2F6D08F2"/>
    <w:rsid w:val="2F6D0F9D"/>
    <w:rsid w:val="2F7C41F6"/>
    <w:rsid w:val="2F7F338A"/>
    <w:rsid w:val="2F807ADA"/>
    <w:rsid w:val="2F882B9B"/>
    <w:rsid w:val="2F8C2B2C"/>
    <w:rsid w:val="2F9C184A"/>
    <w:rsid w:val="2FA36405"/>
    <w:rsid w:val="2FAF6A9C"/>
    <w:rsid w:val="2FB13E9F"/>
    <w:rsid w:val="2FD11297"/>
    <w:rsid w:val="2FE14059"/>
    <w:rsid w:val="2FE51D9B"/>
    <w:rsid w:val="2FE824C4"/>
    <w:rsid w:val="2FEC1B11"/>
    <w:rsid w:val="2FED05D5"/>
    <w:rsid w:val="2FF63FA8"/>
    <w:rsid w:val="2FF816B6"/>
    <w:rsid w:val="3002294D"/>
    <w:rsid w:val="300A7A53"/>
    <w:rsid w:val="302234FB"/>
    <w:rsid w:val="30332B06"/>
    <w:rsid w:val="303E3BA1"/>
    <w:rsid w:val="304E73F3"/>
    <w:rsid w:val="304F4953"/>
    <w:rsid w:val="305109F2"/>
    <w:rsid w:val="305457A4"/>
    <w:rsid w:val="30736BD1"/>
    <w:rsid w:val="30736DD2"/>
    <w:rsid w:val="30981B62"/>
    <w:rsid w:val="30AC56EC"/>
    <w:rsid w:val="30AD68B0"/>
    <w:rsid w:val="30BC0D4E"/>
    <w:rsid w:val="30C50DE9"/>
    <w:rsid w:val="30C85C8C"/>
    <w:rsid w:val="30C916BD"/>
    <w:rsid w:val="30CC6B4E"/>
    <w:rsid w:val="30D047F9"/>
    <w:rsid w:val="30E20FB6"/>
    <w:rsid w:val="30E3216D"/>
    <w:rsid w:val="30EA5537"/>
    <w:rsid w:val="30EF319B"/>
    <w:rsid w:val="30F10937"/>
    <w:rsid w:val="30F203F8"/>
    <w:rsid w:val="30F462BC"/>
    <w:rsid w:val="30F54260"/>
    <w:rsid w:val="3106021B"/>
    <w:rsid w:val="310D3357"/>
    <w:rsid w:val="31200204"/>
    <w:rsid w:val="3129447C"/>
    <w:rsid w:val="312B7C81"/>
    <w:rsid w:val="31340AA4"/>
    <w:rsid w:val="31370D9F"/>
    <w:rsid w:val="31465C10"/>
    <w:rsid w:val="314B0324"/>
    <w:rsid w:val="315D426A"/>
    <w:rsid w:val="315E3BB3"/>
    <w:rsid w:val="315F3990"/>
    <w:rsid w:val="316A2A61"/>
    <w:rsid w:val="316C78D7"/>
    <w:rsid w:val="31730F96"/>
    <w:rsid w:val="317D1952"/>
    <w:rsid w:val="318A2BFA"/>
    <w:rsid w:val="318E36BF"/>
    <w:rsid w:val="31902D07"/>
    <w:rsid w:val="31942D25"/>
    <w:rsid w:val="31945827"/>
    <w:rsid w:val="319C4394"/>
    <w:rsid w:val="31A3112A"/>
    <w:rsid w:val="31A425DC"/>
    <w:rsid w:val="31BD127D"/>
    <w:rsid w:val="31D420C7"/>
    <w:rsid w:val="31E87920"/>
    <w:rsid w:val="31F104FE"/>
    <w:rsid w:val="31F938DC"/>
    <w:rsid w:val="3208344C"/>
    <w:rsid w:val="32095C1F"/>
    <w:rsid w:val="321150C9"/>
    <w:rsid w:val="32137D4D"/>
    <w:rsid w:val="32187DD5"/>
    <w:rsid w:val="3225797F"/>
    <w:rsid w:val="322A14C3"/>
    <w:rsid w:val="323460BD"/>
    <w:rsid w:val="3250122B"/>
    <w:rsid w:val="32547966"/>
    <w:rsid w:val="32755658"/>
    <w:rsid w:val="32A10757"/>
    <w:rsid w:val="32A64B1D"/>
    <w:rsid w:val="32AF0C16"/>
    <w:rsid w:val="32B466A9"/>
    <w:rsid w:val="32BC1665"/>
    <w:rsid w:val="32C55C77"/>
    <w:rsid w:val="32C9102E"/>
    <w:rsid w:val="32CD4736"/>
    <w:rsid w:val="32DF6F75"/>
    <w:rsid w:val="33016091"/>
    <w:rsid w:val="33176C7E"/>
    <w:rsid w:val="33226AA6"/>
    <w:rsid w:val="335E2AFD"/>
    <w:rsid w:val="33792F26"/>
    <w:rsid w:val="337D7E69"/>
    <w:rsid w:val="3385661C"/>
    <w:rsid w:val="339C42B5"/>
    <w:rsid w:val="33B00A73"/>
    <w:rsid w:val="33B217C7"/>
    <w:rsid w:val="33B73A4E"/>
    <w:rsid w:val="33D644EA"/>
    <w:rsid w:val="33D8318A"/>
    <w:rsid w:val="33EA7980"/>
    <w:rsid w:val="33EB3F56"/>
    <w:rsid w:val="33F17962"/>
    <w:rsid w:val="34006E6F"/>
    <w:rsid w:val="34071441"/>
    <w:rsid w:val="340730CD"/>
    <w:rsid w:val="340C3D9A"/>
    <w:rsid w:val="34105FF9"/>
    <w:rsid w:val="34126ABF"/>
    <w:rsid w:val="3415709A"/>
    <w:rsid w:val="3426139A"/>
    <w:rsid w:val="34397759"/>
    <w:rsid w:val="343B4069"/>
    <w:rsid w:val="343B642D"/>
    <w:rsid w:val="34433534"/>
    <w:rsid w:val="34694A8B"/>
    <w:rsid w:val="347217C8"/>
    <w:rsid w:val="347D35A8"/>
    <w:rsid w:val="348002E4"/>
    <w:rsid w:val="3483652F"/>
    <w:rsid w:val="34962E80"/>
    <w:rsid w:val="34990D49"/>
    <w:rsid w:val="349A36DB"/>
    <w:rsid w:val="349B2E8A"/>
    <w:rsid w:val="34A2025B"/>
    <w:rsid w:val="34A35D81"/>
    <w:rsid w:val="34A76325"/>
    <w:rsid w:val="34CC6CA9"/>
    <w:rsid w:val="34E341E3"/>
    <w:rsid w:val="34E53BDA"/>
    <w:rsid w:val="34E66EFB"/>
    <w:rsid w:val="34E94521"/>
    <w:rsid w:val="34F11FEC"/>
    <w:rsid w:val="34F76B81"/>
    <w:rsid w:val="35011425"/>
    <w:rsid w:val="35026F4B"/>
    <w:rsid w:val="350D0C59"/>
    <w:rsid w:val="35243C37"/>
    <w:rsid w:val="352A7DE7"/>
    <w:rsid w:val="352B0250"/>
    <w:rsid w:val="352C39D7"/>
    <w:rsid w:val="35322A1B"/>
    <w:rsid w:val="35441418"/>
    <w:rsid w:val="354B1C12"/>
    <w:rsid w:val="355A399F"/>
    <w:rsid w:val="355C2AFF"/>
    <w:rsid w:val="355C48AD"/>
    <w:rsid w:val="35711B78"/>
    <w:rsid w:val="3572367B"/>
    <w:rsid w:val="357240D1"/>
    <w:rsid w:val="357D3DAC"/>
    <w:rsid w:val="35831E3A"/>
    <w:rsid w:val="3586192A"/>
    <w:rsid w:val="359679D1"/>
    <w:rsid w:val="3599165E"/>
    <w:rsid w:val="35AB75E3"/>
    <w:rsid w:val="35B33B91"/>
    <w:rsid w:val="35B35FB8"/>
    <w:rsid w:val="35B455CA"/>
    <w:rsid w:val="35B53D18"/>
    <w:rsid w:val="35C12620"/>
    <w:rsid w:val="35C6441D"/>
    <w:rsid w:val="35F2684B"/>
    <w:rsid w:val="35F5706B"/>
    <w:rsid w:val="35F66AB0"/>
    <w:rsid w:val="35F727E8"/>
    <w:rsid w:val="360325D9"/>
    <w:rsid w:val="36032843"/>
    <w:rsid w:val="362160F3"/>
    <w:rsid w:val="36382F15"/>
    <w:rsid w:val="363C398E"/>
    <w:rsid w:val="36566F19"/>
    <w:rsid w:val="365723A0"/>
    <w:rsid w:val="365F446B"/>
    <w:rsid w:val="36657792"/>
    <w:rsid w:val="3669708C"/>
    <w:rsid w:val="36710CAB"/>
    <w:rsid w:val="367479D5"/>
    <w:rsid w:val="367B6FB5"/>
    <w:rsid w:val="367C4ADB"/>
    <w:rsid w:val="368C5733"/>
    <w:rsid w:val="369B2B78"/>
    <w:rsid w:val="369F706C"/>
    <w:rsid w:val="36A07989"/>
    <w:rsid w:val="36A22794"/>
    <w:rsid w:val="36A5235A"/>
    <w:rsid w:val="36A55DE0"/>
    <w:rsid w:val="36A8416E"/>
    <w:rsid w:val="36AB58ED"/>
    <w:rsid w:val="36AC7CA8"/>
    <w:rsid w:val="36BA09A9"/>
    <w:rsid w:val="36D55BA7"/>
    <w:rsid w:val="36E60AB7"/>
    <w:rsid w:val="36E70025"/>
    <w:rsid w:val="36F151C8"/>
    <w:rsid w:val="37054AD1"/>
    <w:rsid w:val="370945C1"/>
    <w:rsid w:val="3709636F"/>
    <w:rsid w:val="370A6E2E"/>
    <w:rsid w:val="370B658B"/>
    <w:rsid w:val="370E4427"/>
    <w:rsid w:val="371019D7"/>
    <w:rsid w:val="37120797"/>
    <w:rsid w:val="37147F13"/>
    <w:rsid w:val="371951AA"/>
    <w:rsid w:val="372310A8"/>
    <w:rsid w:val="372B3318"/>
    <w:rsid w:val="37301088"/>
    <w:rsid w:val="37553B72"/>
    <w:rsid w:val="375F172C"/>
    <w:rsid w:val="37653AA5"/>
    <w:rsid w:val="37696A38"/>
    <w:rsid w:val="376D2E29"/>
    <w:rsid w:val="3778650E"/>
    <w:rsid w:val="37837952"/>
    <w:rsid w:val="37906C1F"/>
    <w:rsid w:val="37964A33"/>
    <w:rsid w:val="379F116E"/>
    <w:rsid w:val="37B62CF3"/>
    <w:rsid w:val="37BB1C92"/>
    <w:rsid w:val="37C04809"/>
    <w:rsid w:val="37CD44D8"/>
    <w:rsid w:val="37CE4F4C"/>
    <w:rsid w:val="37D37A51"/>
    <w:rsid w:val="37D72911"/>
    <w:rsid w:val="37E65FC8"/>
    <w:rsid w:val="37EA3071"/>
    <w:rsid w:val="37EB38AF"/>
    <w:rsid w:val="37ED4D98"/>
    <w:rsid w:val="37EE37B7"/>
    <w:rsid w:val="37EF1A09"/>
    <w:rsid w:val="37FE6209"/>
    <w:rsid w:val="38143A1D"/>
    <w:rsid w:val="381564BF"/>
    <w:rsid w:val="38163439"/>
    <w:rsid w:val="382409DC"/>
    <w:rsid w:val="382713AA"/>
    <w:rsid w:val="38390ED6"/>
    <w:rsid w:val="383E029A"/>
    <w:rsid w:val="384257A0"/>
    <w:rsid w:val="384B5836"/>
    <w:rsid w:val="385109EB"/>
    <w:rsid w:val="385901E4"/>
    <w:rsid w:val="385A1BC4"/>
    <w:rsid w:val="385F4DAA"/>
    <w:rsid w:val="38682391"/>
    <w:rsid w:val="386A5E12"/>
    <w:rsid w:val="386B2D45"/>
    <w:rsid w:val="386F21F2"/>
    <w:rsid w:val="387069EC"/>
    <w:rsid w:val="38710670"/>
    <w:rsid w:val="38773E1D"/>
    <w:rsid w:val="387A39BB"/>
    <w:rsid w:val="387E2D8D"/>
    <w:rsid w:val="387E3AA8"/>
    <w:rsid w:val="38802DBB"/>
    <w:rsid w:val="38824AD6"/>
    <w:rsid w:val="388B6BC4"/>
    <w:rsid w:val="388C36FB"/>
    <w:rsid w:val="38935F1E"/>
    <w:rsid w:val="389A7B22"/>
    <w:rsid w:val="38AA625B"/>
    <w:rsid w:val="38B3351B"/>
    <w:rsid w:val="38B73406"/>
    <w:rsid w:val="38B957A0"/>
    <w:rsid w:val="38BE13DB"/>
    <w:rsid w:val="38C01CD9"/>
    <w:rsid w:val="38CE2487"/>
    <w:rsid w:val="38D1425F"/>
    <w:rsid w:val="38D864E5"/>
    <w:rsid w:val="38DC2D7C"/>
    <w:rsid w:val="38E00A60"/>
    <w:rsid w:val="38EF42B1"/>
    <w:rsid w:val="38FA68B7"/>
    <w:rsid w:val="38FC1B67"/>
    <w:rsid w:val="390037A2"/>
    <w:rsid w:val="39006662"/>
    <w:rsid w:val="390E3061"/>
    <w:rsid w:val="391E3A5D"/>
    <w:rsid w:val="392B5C44"/>
    <w:rsid w:val="392B71B5"/>
    <w:rsid w:val="39307D6D"/>
    <w:rsid w:val="39310109"/>
    <w:rsid w:val="39327900"/>
    <w:rsid w:val="3934023E"/>
    <w:rsid w:val="393F42CA"/>
    <w:rsid w:val="39455658"/>
    <w:rsid w:val="39724FDB"/>
    <w:rsid w:val="397877DC"/>
    <w:rsid w:val="397B2592"/>
    <w:rsid w:val="398977F1"/>
    <w:rsid w:val="398B5761"/>
    <w:rsid w:val="398C3C89"/>
    <w:rsid w:val="39914846"/>
    <w:rsid w:val="399927A7"/>
    <w:rsid w:val="399D7242"/>
    <w:rsid w:val="39A277BB"/>
    <w:rsid w:val="39A41727"/>
    <w:rsid w:val="39A508FD"/>
    <w:rsid w:val="39A61222"/>
    <w:rsid w:val="39B42349"/>
    <w:rsid w:val="39BD1693"/>
    <w:rsid w:val="39D013C6"/>
    <w:rsid w:val="39D8107A"/>
    <w:rsid w:val="39E359A4"/>
    <w:rsid w:val="39E50B03"/>
    <w:rsid w:val="39EA1239"/>
    <w:rsid w:val="3A0472C2"/>
    <w:rsid w:val="3A115478"/>
    <w:rsid w:val="3A1A4F46"/>
    <w:rsid w:val="3A251124"/>
    <w:rsid w:val="3A2873EA"/>
    <w:rsid w:val="3A3A2CE3"/>
    <w:rsid w:val="3A492888"/>
    <w:rsid w:val="3A4F678F"/>
    <w:rsid w:val="3A551B66"/>
    <w:rsid w:val="3A5B4DC6"/>
    <w:rsid w:val="3A6534A4"/>
    <w:rsid w:val="3A655FB2"/>
    <w:rsid w:val="3A6D278B"/>
    <w:rsid w:val="3A6D30B9"/>
    <w:rsid w:val="3A734169"/>
    <w:rsid w:val="3A754CC7"/>
    <w:rsid w:val="3A7B7DBF"/>
    <w:rsid w:val="3A7D33B5"/>
    <w:rsid w:val="3A803AD0"/>
    <w:rsid w:val="3A815AC6"/>
    <w:rsid w:val="3A896F27"/>
    <w:rsid w:val="3AA202A8"/>
    <w:rsid w:val="3AAF0127"/>
    <w:rsid w:val="3AAF2F0D"/>
    <w:rsid w:val="3AB21ABD"/>
    <w:rsid w:val="3AC802EF"/>
    <w:rsid w:val="3ACD3B57"/>
    <w:rsid w:val="3AD13648"/>
    <w:rsid w:val="3AD4138A"/>
    <w:rsid w:val="3AD66EB0"/>
    <w:rsid w:val="3AE12680"/>
    <w:rsid w:val="3AE52F47"/>
    <w:rsid w:val="3AE822A2"/>
    <w:rsid w:val="3B0A5ABA"/>
    <w:rsid w:val="3B131EB2"/>
    <w:rsid w:val="3B1D117C"/>
    <w:rsid w:val="3B206765"/>
    <w:rsid w:val="3B2971C3"/>
    <w:rsid w:val="3B3D0CDD"/>
    <w:rsid w:val="3B401562"/>
    <w:rsid w:val="3B4B1968"/>
    <w:rsid w:val="3B5336BC"/>
    <w:rsid w:val="3B583D69"/>
    <w:rsid w:val="3B5B3817"/>
    <w:rsid w:val="3B6224F2"/>
    <w:rsid w:val="3B716921"/>
    <w:rsid w:val="3B726BE1"/>
    <w:rsid w:val="3B7B50D6"/>
    <w:rsid w:val="3B8E3FC3"/>
    <w:rsid w:val="3BA70B96"/>
    <w:rsid w:val="3BAC19BF"/>
    <w:rsid w:val="3BB14054"/>
    <w:rsid w:val="3BB30F9F"/>
    <w:rsid w:val="3BBD1209"/>
    <w:rsid w:val="3BC9431F"/>
    <w:rsid w:val="3BCB572D"/>
    <w:rsid w:val="3BD11425"/>
    <w:rsid w:val="3BD17677"/>
    <w:rsid w:val="3BD66A3C"/>
    <w:rsid w:val="3BE9676F"/>
    <w:rsid w:val="3BF07775"/>
    <w:rsid w:val="3BF61A5A"/>
    <w:rsid w:val="3BF667A0"/>
    <w:rsid w:val="3BFD046C"/>
    <w:rsid w:val="3BFF2436"/>
    <w:rsid w:val="3C023E0C"/>
    <w:rsid w:val="3C131A3E"/>
    <w:rsid w:val="3C171748"/>
    <w:rsid w:val="3C3A65C9"/>
    <w:rsid w:val="3C3D0B1C"/>
    <w:rsid w:val="3C5207B8"/>
    <w:rsid w:val="3C561473"/>
    <w:rsid w:val="3C636521"/>
    <w:rsid w:val="3C70445E"/>
    <w:rsid w:val="3C797AF3"/>
    <w:rsid w:val="3C7B276A"/>
    <w:rsid w:val="3C952875"/>
    <w:rsid w:val="3CA8662A"/>
    <w:rsid w:val="3CC40E6B"/>
    <w:rsid w:val="3CC879C8"/>
    <w:rsid w:val="3CE04016"/>
    <w:rsid w:val="3CE95450"/>
    <w:rsid w:val="3CF02302"/>
    <w:rsid w:val="3CFA153E"/>
    <w:rsid w:val="3D0B33B3"/>
    <w:rsid w:val="3D3879AE"/>
    <w:rsid w:val="3D43302F"/>
    <w:rsid w:val="3D453E79"/>
    <w:rsid w:val="3D4A148F"/>
    <w:rsid w:val="3D543F4B"/>
    <w:rsid w:val="3D707472"/>
    <w:rsid w:val="3D7B5AED"/>
    <w:rsid w:val="3D8665F5"/>
    <w:rsid w:val="3D8C7CFA"/>
    <w:rsid w:val="3D922BCE"/>
    <w:rsid w:val="3DAE7C70"/>
    <w:rsid w:val="3DBF1E7D"/>
    <w:rsid w:val="3DC079A3"/>
    <w:rsid w:val="3DCB7B4F"/>
    <w:rsid w:val="3DCD1FCE"/>
    <w:rsid w:val="3DD15478"/>
    <w:rsid w:val="3DDF42CD"/>
    <w:rsid w:val="3DE15D8D"/>
    <w:rsid w:val="3DE5682A"/>
    <w:rsid w:val="3DE928B4"/>
    <w:rsid w:val="3DED2861"/>
    <w:rsid w:val="3DF77869"/>
    <w:rsid w:val="3DFE0FD2"/>
    <w:rsid w:val="3DFF2953"/>
    <w:rsid w:val="3E0F766A"/>
    <w:rsid w:val="3E156C37"/>
    <w:rsid w:val="3E1F2B66"/>
    <w:rsid w:val="3E265A58"/>
    <w:rsid w:val="3E272CB6"/>
    <w:rsid w:val="3E3118A9"/>
    <w:rsid w:val="3E456322"/>
    <w:rsid w:val="3E491747"/>
    <w:rsid w:val="3E526339"/>
    <w:rsid w:val="3E6002E3"/>
    <w:rsid w:val="3E64681E"/>
    <w:rsid w:val="3E6F529C"/>
    <w:rsid w:val="3E735558"/>
    <w:rsid w:val="3E7F1A11"/>
    <w:rsid w:val="3E817364"/>
    <w:rsid w:val="3E886713"/>
    <w:rsid w:val="3E8C18E6"/>
    <w:rsid w:val="3E8C77D4"/>
    <w:rsid w:val="3E90381A"/>
    <w:rsid w:val="3E90490E"/>
    <w:rsid w:val="3E910A08"/>
    <w:rsid w:val="3E916BCC"/>
    <w:rsid w:val="3E921DC6"/>
    <w:rsid w:val="3E9723B9"/>
    <w:rsid w:val="3EBA7D6A"/>
    <w:rsid w:val="3EBC5B0F"/>
    <w:rsid w:val="3EBD7A0F"/>
    <w:rsid w:val="3EBE3EE3"/>
    <w:rsid w:val="3EC26394"/>
    <w:rsid w:val="3EC55271"/>
    <w:rsid w:val="3ED21928"/>
    <w:rsid w:val="3ED90D1D"/>
    <w:rsid w:val="3EDD7AB4"/>
    <w:rsid w:val="3EDF3E59"/>
    <w:rsid w:val="3EE37325"/>
    <w:rsid w:val="3EE95734"/>
    <w:rsid w:val="3EFC71C0"/>
    <w:rsid w:val="3F0044FB"/>
    <w:rsid w:val="3F034248"/>
    <w:rsid w:val="3F057D64"/>
    <w:rsid w:val="3F0A6427"/>
    <w:rsid w:val="3F0E0939"/>
    <w:rsid w:val="3F241476"/>
    <w:rsid w:val="3F310105"/>
    <w:rsid w:val="3F4261F6"/>
    <w:rsid w:val="3F431CD9"/>
    <w:rsid w:val="3F487C50"/>
    <w:rsid w:val="3F595D02"/>
    <w:rsid w:val="3F5A2EDA"/>
    <w:rsid w:val="3F5C2CD5"/>
    <w:rsid w:val="3F633AC0"/>
    <w:rsid w:val="3F7C74AF"/>
    <w:rsid w:val="3F847920"/>
    <w:rsid w:val="3F9966FE"/>
    <w:rsid w:val="3FB33829"/>
    <w:rsid w:val="3FB51302"/>
    <w:rsid w:val="3FBB6674"/>
    <w:rsid w:val="3FBE7F13"/>
    <w:rsid w:val="3FC3381A"/>
    <w:rsid w:val="3FDF70B3"/>
    <w:rsid w:val="3FE14530"/>
    <w:rsid w:val="3FEA0D08"/>
    <w:rsid w:val="3FF763D4"/>
    <w:rsid w:val="400258CF"/>
    <w:rsid w:val="4005033F"/>
    <w:rsid w:val="400B3158"/>
    <w:rsid w:val="40123FB5"/>
    <w:rsid w:val="401759C2"/>
    <w:rsid w:val="40187357"/>
    <w:rsid w:val="401D47AE"/>
    <w:rsid w:val="402834E0"/>
    <w:rsid w:val="403C777F"/>
    <w:rsid w:val="403E2C1B"/>
    <w:rsid w:val="40460634"/>
    <w:rsid w:val="40461F8D"/>
    <w:rsid w:val="40896F56"/>
    <w:rsid w:val="408B0B16"/>
    <w:rsid w:val="408E5B37"/>
    <w:rsid w:val="409A272E"/>
    <w:rsid w:val="40AB0497"/>
    <w:rsid w:val="40AB33C5"/>
    <w:rsid w:val="40BC5157"/>
    <w:rsid w:val="40C43FE0"/>
    <w:rsid w:val="40CF23B5"/>
    <w:rsid w:val="40D21EC7"/>
    <w:rsid w:val="40D23C76"/>
    <w:rsid w:val="40DA0D7C"/>
    <w:rsid w:val="40E1210B"/>
    <w:rsid w:val="40F736DC"/>
    <w:rsid w:val="4103111D"/>
    <w:rsid w:val="410B7187"/>
    <w:rsid w:val="410E4FFA"/>
    <w:rsid w:val="41166803"/>
    <w:rsid w:val="411D453C"/>
    <w:rsid w:val="4123002E"/>
    <w:rsid w:val="41232723"/>
    <w:rsid w:val="41265909"/>
    <w:rsid w:val="41272213"/>
    <w:rsid w:val="41352074"/>
    <w:rsid w:val="41395437"/>
    <w:rsid w:val="4150069E"/>
    <w:rsid w:val="41540B2E"/>
    <w:rsid w:val="41594397"/>
    <w:rsid w:val="415D0CD2"/>
    <w:rsid w:val="41634E05"/>
    <w:rsid w:val="41775E7D"/>
    <w:rsid w:val="4192528F"/>
    <w:rsid w:val="419B2786"/>
    <w:rsid w:val="41A40BCC"/>
    <w:rsid w:val="41B50AFC"/>
    <w:rsid w:val="41C45CB4"/>
    <w:rsid w:val="41D04098"/>
    <w:rsid w:val="41F06AA9"/>
    <w:rsid w:val="41F16EBE"/>
    <w:rsid w:val="41F2563E"/>
    <w:rsid w:val="41F7332E"/>
    <w:rsid w:val="42106C6C"/>
    <w:rsid w:val="42225BE8"/>
    <w:rsid w:val="423C3578"/>
    <w:rsid w:val="424B0183"/>
    <w:rsid w:val="424C52DB"/>
    <w:rsid w:val="424C6005"/>
    <w:rsid w:val="426B25D4"/>
    <w:rsid w:val="4280409A"/>
    <w:rsid w:val="42872742"/>
    <w:rsid w:val="428C3A09"/>
    <w:rsid w:val="42914090"/>
    <w:rsid w:val="429531AD"/>
    <w:rsid w:val="42B06238"/>
    <w:rsid w:val="42BF1020"/>
    <w:rsid w:val="42C910A8"/>
    <w:rsid w:val="42CD74D7"/>
    <w:rsid w:val="42D51BA7"/>
    <w:rsid w:val="42D9578F"/>
    <w:rsid w:val="42F57F39"/>
    <w:rsid w:val="42FA7C62"/>
    <w:rsid w:val="42FF0B1F"/>
    <w:rsid w:val="43001BC9"/>
    <w:rsid w:val="43016A94"/>
    <w:rsid w:val="43135037"/>
    <w:rsid w:val="43244531"/>
    <w:rsid w:val="43260371"/>
    <w:rsid w:val="4346094B"/>
    <w:rsid w:val="435059F8"/>
    <w:rsid w:val="43525542"/>
    <w:rsid w:val="435F365C"/>
    <w:rsid w:val="43615785"/>
    <w:rsid w:val="43956A3D"/>
    <w:rsid w:val="439671DC"/>
    <w:rsid w:val="43994F1E"/>
    <w:rsid w:val="439E5A90"/>
    <w:rsid w:val="439E6E16"/>
    <w:rsid w:val="43A7539B"/>
    <w:rsid w:val="43B32AFC"/>
    <w:rsid w:val="43B925A5"/>
    <w:rsid w:val="43BE79C2"/>
    <w:rsid w:val="43D127BF"/>
    <w:rsid w:val="43D26241"/>
    <w:rsid w:val="43F65ECD"/>
    <w:rsid w:val="44061D33"/>
    <w:rsid w:val="441805AF"/>
    <w:rsid w:val="441806A8"/>
    <w:rsid w:val="44194711"/>
    <w:rsid w:val="4419601C"/>
    <w:rsid w:val="442C5139"/>
    <w:rsid w:val="442E5DE9"/>
    <w:rsid w:val="44422B22"/>
    <w:rsid w:val="44537832"/>
    <w:rsid w:val="44755B02"/>
    <w:rsid w:val="44790F79"/>
    <w:rsid w:val="447B6822"/>
    <w:rsid w:val="447F498C"/>
    <w:rsid w:val="44823115"/>
    <w:rsid w:val="44880EFC"/>
    <w:rsid w:val="44954DB2"/>
    <w:rsid w:val="44A23DC4"/>
    <w:rsid w:val="44A34641"/>
    <w:rsid w:val="44AD6ED3"/>
    <w:rsid w:val="44B4326E"/>
    <w:rsid w:val="44BC0EC5"/>
    <w:rsid w:val="44C10289"/>
    <w:rsid w:val="44C16029"/>
    <w:rsid w:val="44C26949"/>
    <w:rsid w:val="44CF1A1E"/>
    <w:rsid w:val="44D2693A"/>
    <w:rsid w:val="44D426B2"/>
    <w:rsid w:val="44DC0ADE"/>
    <w:rsid w:val="44E16B7D"/>
    <w:rsid w:val="44E848EA"/>
    <w:rsid w:val="44EC733E"/>
    <w:rsid w:val="44F6362B"/>
    <w:rsid w:val="44FC7513"/>
    <w:rsid w:val="451C7BB5"/>
    <w:rsid w:val="451D7120"/>
    <w:rsid w:val="45251780"/>
    <w:rsid w:val="45251D72"/>
    <w:rsid w:val="45280308"/>
    <w:rsid w:val="45294080"/>
    <w:rsid w:val="45596D80"/>
    <w:rsid w:val="455E3D2A"/>
    <w:rsid w:val="45637874"/>
    <w:rsid w:val="45661CDA"/>
    <w:rsid w:val="456652D4"/>
    <w:rsid w:val="456B78E9"/>
    <w:rsid w:val="456F5F37"/>
    <w:rsid w:val="457572C5"/>
    <w:rsid w:val="45777164"/>
    <w:rsid w:val="45796DB6"/>
    <w:rsid w:val="458047F2"/>
    <w:rsid w:val="458103E8"/>
    <w:rsid w:val="45836F40"/>
    <w:rsid w:val="45994D33"/>
    <w:rsid w:val="459C2AA4"/>
    <w:rsid w:val="45AB70B7"/>
    <w:rsid w:val="45B278AF"/>
    <w:rsid w:val="45B610CE"/>
    <w:rsid w:val="45BE5EAB"/>
    <w:rsid w:val="45C51FFB"/>
    <w:rsid w:val="45DD0BC4"/>
    <w:rsid w:val="45ED4557"/>
    <w:rsid w:val="45F823D0"/>
    <w:rsid w:val="46054AED"/>
    <w:rsid w:val="460C7C2A"/>
    <w:rsid w:val="46146D10"/>
    <w:rsid w:val="4616453C"/>
    <w:rsid w:val="4618037D"/>
    <w:rsid w:val="461913B7"/>
    <w:rsid w:val="461E170B"/>
    <w:rsid w:val="46305C1E"/>
    <w:rsid w:val="463827CD"/>
    <w:rsid w:val="464657DF"/>
    <w:rsid w:val="46586047"/>
    <w:rsid w:val="46733805"/>
    <w:rsid w:val="46761547"/>
    <w:rsid w:val="46787EE8"/>
    <w:rsid w:val="46870619"/>
    <w:rsid w:val="468B7340"/>
    <w:rsid w:val="468D44FA"/>
    <w:rsid w:val="469562C7"/>
    <w:rsid w:val="469F3711"/>
    <w:rsid w:val="46A72415"/>
    <w:rsid w:val="46AD3BF5"/>
    <w:rsid w:val="46B02CAB"/>
    <w:rsid w:val="46BB4695"/>
    <w:rsid w:val="46DA0084"/>
    <w:rsid w:val="46E05632"/>
    <w:rsid w:val="46E5680B"/>
    <w:rsid w:val="46EA71E5"/>
    <w:rsid w:val="46F00EC4"/>
    <w:rsid w:val="46F10C9D"/>
    <w:rsid w:val="46F27D65"/>
    <w:rsid w:val="47013AF4"/>
    <w:rsid w:val="470A6686"/>
    <w:rsid w:val="470C42DA"/>
    <w:rsid w:val="470D1EAB"/>
    <w:rsid w:val="470D5A07"/>
    <w:rsid w:val="47116B02"/>
    <w:rsid w:val="47150D60"/>
    <w:rsid w:val="472369DE"/>
    <w:rsid w:val="47290367"/>
    <w:rsid w:val="472E1B49"/>
    <w:rsid w:val="4734067A"/>
    <w:rsid w:val="47394A4E"/>
    <w:rsid w:val="473C453F"/>
    <w:rsid w:val="474E4BB1"/>
    <w:rsid w:val="476D2780"/>
    <w:rsid w:val="477832BE"/>
    <w:rsid w:val="477912EF"/>
    <w:rsid w:val="47811F51"/>
    <w:rsid w:val="479608FA"/>
    <w:rsid w:val="479E40E1"/>
    <w:rsid w:val="47AD4E1D"/>
    <w:rsid w:val="47B61A12"/>
    <w:rsid w:val="47B61DE1"/>
    <w:rsid w:val="47CE46CA"/>
    <w:rsid w:val="47D604EF"/>
    <w:rsid w:val="47E446D4"/>
    <w:rsid w:val="47E84017"/>
    <w:rsid w:val="47EA0389"/>
    <w:rsid w:val="47F432B6"/>
    <w:rsid w:val="480272BB"/>
    <w:rsid w:val="481A355C"/>
    <w:rsid w:val="481C4831"/>
    <w:rsid w:val="481D3D5C"/>
    <w:rsid w:val="48294A41"/>
    <w:rsid w:val="482F7405"/>
    <w:rsid w:val="48374F5B"/>
    <w:rsid w:val="483B08B4"/>
    <w:rsid w:val="48435FA1"/>
    <w:rsid w:val="484C4505"/>
    <w:rsid w:val="484D4750"/>
    <w:rsid w:val="484E277B"/>
    <w:rsid w:val="485127AE"/>
    <w:rsid w:val="485A72D3"/>
    <w:rsid w:val="4860643A"/>
    <w:rsid w:val="48670250"/>
    <w:rsid w:val="487877F8"/>
    <w:rsid w:val="48842DBA"/>
    <w:rsid w:val="4892550D"/>
    <w:rsid w:val="48970568"/>
    <w:rsid w:val="489844B4"/>
    <w:rsid w:val="489B7043"/>
    <w:rsid w:val="489D100D"/>
    <w:rsid w:val="489D725F"/>
    <w:rsid w:val="48A71E8C"/>
    <w:rsid w:val="48B852D9"/>
    <w:rsid w:val="48C43598"/>
    <w:rsid w:val="48D0218E"/>
    <w:rsid w:val="48D451B8"/>
    <w:rsid w:val="48DC0EA7"/>
    <w:rsid w:val="48E46C3C"/>
    <w:rsid w:val="48F06C8F"/>
    <w:rsid w:val="48F603F1"/>
    <w:rsid w:val="48FC5119"/>
    <w:rsid w:val="490A2935"/>
    <w:rsid w:val="490D6193"/>
    <w:rsid w:val="4913585A"/>
    <w:rsid w:val="491A265E"/>
    <w:rsid w:val="491E50D5"/>
    <w:rsid w:val="4926300D"/>
    <w:rsid w:val="492B56A2"/>
    <w:rsid w:val="493C25D4"/>
    <w:rsid w:val="493E25FB"/>
    <w:rsid w:val="49624AA9"/>
    <w:rsid w:val="4968678F"/>
    <w:rsid w:val="496F0BFB"/>
    <w:rsid w:val="497C7C92"/>
    <w:rsid w:val="498D303B"/>
    <w:rsid w:val="49944971"/>
    <w:rsid w:val="49977B50"/>
    <w:rsid w:val="499A7EEC"/>
    <w:rsid w:val="49B96912"/>
    <w:rsid w:val="49BC70FA"/>
    <w:rsid w:val="49C86347"/>
    <w:rsid w:val="49C90BBB"/>
    <w:rsid w:val="49D65B2C"/>
    <w:rsid w:val="49D942C7"/>
    <w:rsid w:val="49F512CD"/>
    <w:rsid w:val="49FD624C"/>
    <w:rsid w:val="4A04096F"/>
    <w:rsid w:val="4A080708"/>
    <w:rsid w:val="4A11580F"/>
    <w:rsid w:val="4A183041"/>
    <w:rsid w:val="4A280725"/>
    <w:rsid w:val="4A2F3EE7"/>
    <w:rsid w:val="4A312CDA"/>
    <w:rsid w:val="4A38310D"/>
    <w:rsid w:val="4A4238F7"/>
    <w:rsid w:val="4A50688B"/>
    <w:rsid w:val="4A63584C"/>
    <w:rsid w:val="4A6A70A5"/>
    <w:rsid w:val="4A793678"/>
    <w:rsid w:val="4A7E749E"/>
    <w:rsid w:val="4A8521DC"/>
    <w:rsid w:val="4A874DDF"/>
    <w:rsid w:val="4A8E0D8A"/>
    <w:rsid w:val="4A8E54D9"/>
    <w:rsid w:val="4A9271D5"/>
    <w:rsid w:val="4AB72F48"/>
    <w:rsid w:val="4AC5484B"/>
    <w:rsid w:val="4ACA0915"/>
    <w:rsid w:val="4ACF1226"/>
    <w:rsid w:val="4ADC34C2"/>
    <w:rsid w:val="4AE10317"/>
    <w:rsid w:val="4AF018C8"/>
    <w:rsid w:val="4AF711F0"/>
    <w:rsid w:val="4B05663F"/>
    <w:rsid w:val="4B1939E4"/>
    <w:rsid w:val="4B1B54C0"/>
    <w:rsid w:val="4B1D4687"/>
    <w:rsid w:val="4B351274"/>
    <w:rsid w:val="4B3D4CA9"/>
    <w:rsid w:val="4B3E4598"/>
    <w:rsid w:val="4B400FA2"/>
    <w:rsid w:val="4B5733D7"/>
    <w:rsid w:val="4B58490C"/>
    <w:rsid w:val="4B615AE2"/>
    <w:rsid w:val="4B652B55"/>
    <w:rsid w:val="4B756967"/>
    <w:rsid w:val="4B7A49E2"/>
    <w:rsid w:val="4B7C2435"/>
    <w:rsid w:val="4B92472D"/>
    <w:rsid w:val="4BA139C3"/>
    <w:rsid w:val="4BB873E6"/>
    <w:rsid w:val="4BBE1953"/>
    <w:rsid w:val="4BCC07E0"/>
    <w:rsid w:val="4BCF5C16"/>
    <w:rsid w:val="4BD12B2B"/>
    <w:rsid w:val="4BD660E3"/>
    <w:rsid w:val="4BEB6533"/>
    <w:rsid w:val="4BEE0C7F"/>
    <w:rsid w:val="4BF426FD"/>
    <w:rsid w:val="4BFB0BB5"/>
    <w:rsid w:val="4C0575F5"/>
    <w:rsid w:val="4C084BE6"/>
    <w:rsid w:val="4C09267B"/>
    <w:rsid w:val="4C1A682D"/>
    <w:rsid w:val="4C1C79FF"/>
    <w:rsid w:val="4C1F5CB8"/>
    <w:rsid w:val="4C2555A1"/>
    <w:rsid w:val="4C2B4307"/>
    <w:rsid w:val="4C53468A"/>
    <w:rsid w:val="4C667968"/>
    <w:rsid w:val="4C6A7458"/>
    <w:rsid w:val="4C6B0A5D"/>
    <w:rsid w:val="4C7823AF"/>
    <w:rsid w:val="4C871C75"/>
    <w:rsid w:val="4C8D3147"/>
    <w:rsid w:val="4C960814"/>
    <w:rsid w:val="4C983483"/>
    <w:rsid w:val="4C9A596F"/>
    <w:rsid w:val="4CA3296A"/>
    <w:rsid w:val="4CB16E35"/>
    <w:rsid w:val="4CB84667"/>
    <w:rsid w:val="4CC4259C"/>
    <w:rsid w:val="4CC81064"/>
    <w:rsid w:val="4CD823BF"/>
    <w:rsid w:val="4CD8420D"/>
    <w:rsid w:val="4CDD5E7C"/>
    <w:rsid w:val="4CE26160"/>
    <w:rsid w:val="4CFB6302"/>
    <w:rsid w:val="4CFF2296"/>
    <w:rsid w:val="4D010093"/>
    <w:rsid w:val="4D053E6C"/>
    <w:rsid w:val="4D091D33"/>
    <w:rsid w:val="4D192613"/>
    <w:rsid w:val="4D296DFB"/>
    <w:rsid w:val="4D415F9D"/>
    <w:rsid w:val="4D460BDA"/>
    <w:rsid w:val="4D473669"/>
    <w:rsid w:val="4D552F82"/>
    <w:rsid w:val="4D5F3072"/>
    <w:rsid w:val="4D642196"/>
    <w:rsid w:val="4D663DA9"/>
    <w:rsid w:val="4D6719F6"/>
    <w:rsid w:val="4D704F42"/>
    <w:rsid w:val="4D726B94"/>
    <w:rsid w:val="4D873A58"/>
    <w:rsid w:val="4D8B412F"/>
    <w:rsid w:val="4D8E05A5"/>
    <w:rsid w:val="4D9572B8"/>
    <w:rsid w:val="4D971D36"/>
    <w:rsid w:val="4D9C428B"/>
    <w:rsid w:val="4DAE02DF"/>
    <w:rsid w:val="4DAE25BF"/>
    <w:rsid w:val="4DB1202E"/>
    <w:rsid w:val="4DB5785F"/>
    <w:rsid w:val="4DC1062B"/>
    <w:rsid w:val="4DC1754C"/>
    <w:rsid w:val="4DC25072"/>
    <w:rsid w:val="4DC62DB4"/>
    <w:rsid w:val="4DCA247B"/>
    <w:rsid w:val="4DD2475A"/>
    <w:rsid w:val="4DD51F9B"/>
    <w:rsid w:val="4DD86643"/>
    <w:rsid w:val="4DD94895"/>
    <w:rsid w:val="4DDC6134"/>
    <w:rsid w:val="4DF30EDE"/>
    <w:rsid w:val="4E065E6C"/>
    <w:rsid w:val="4E1C29D4"/>
    <w:rsid w:val="4E233D62"/>
    <w:rsid w:val="4E2D698F"/>
    <w:rsid w:val="4E3C05B9"/>
    <w:rsid w:val="4E5C529F"/>
    <w:rsid w:val="4E6323B1"/>
    <w:rsid w:val="4E667778"/>
    <w:rsid w:val="4E6A1991"/>
    <w:rsid w:val="4E720846"/>
    <w:rsid w:val="4E7403BB"/>
    <w:rsid w:val="4E790B8C"/>
    <w:rsid w:val="4E796078"/>
    <w:rsid w:val="4E851180"/>
    <w:rsid w:val="4E9E675A"/>
    <w:rsid w:val="4EAA6232"/>
    <w:rsid w:val="4EB16A91"/>
    <w:rsid w:val="4ED97B86"/>
    <w:rsid w:val="4EE20642"/>
    <w:rsid w:val="4EE8095E"/>
    <w:rsid w:val="4F043B94"/>
    <w:rsid w:val="4F07089C"/>
    <w:rsid w:val="4F2935FA"/>
    <w:rsid w:val="4F2C5E37"/>
    <w:rsid w:val="4F382666"/>
    <w:rsid w:val="4F3B49E9"/>
    <w:rsid w:val="4F3C5A35"/>
    <w:rsid w:val="4F3F4344"/>
    <w:rsid w:val="4F3F4BCC"/>
    <w:rsid w:val="4F443F90"/>
    <w:rsid w:val="4F451A12"/>
    <w:rsid w:val="4F5A029F"/>
    <w:rsid w:val="4F5D3EE2"/>
    <w:rsid w:val="4F6238A5"/>
    <w:rsid w:val="4F677ED2"/>
    <w:rsid w:val="4F6D2CEA"/>
    <w:rsid w:val="4F896270"/>
    <w:rsid w:val="4F910A51"/>
    <w:rsid w:val="4F9B0FCB"/>
    <w:rsid w:val="4FA33830"/>
    <w:rsid w:val="4FA60DE8"/>
    <w:rsid w:val="4FA81EEA"/>
    <w:rsid w:val="4FB447E3"/>
    <w:rsid w:val="4FBA5982"/>
    <w:rsid w:val="4FBA7C48"/>
    <w:rsid w:val="4FBC7E3A"/>
    <w:rsid w:val="4FD02DF6"/>
    <w:rsid w:val="4FE23E8E"/>
    <w:rsid w:val="4FF51861"/>
    <w:rsid w:val="4FF8133B"/>
    <w:rsid w:val="4FF97471"/>
    <w:rsid w:val="500663F0"/>
    <w:rsid w:val="500C7627"/>
    <w:rsid w:val="50115BCE"/>
    <w:rsid w:val="5023004A"/>
    <w:rsid w:val="502F376B"/>
    <w:rsid w:val="50371D47"/>
    <w:rsid w:val="503C14CC"/>
    <w:rsid w:val="50435874"/>
    <w:rsid w:val="504B75A0"/>
    <w:rsid w:val="50535FCD"/>
    <w:rsid w:val="50616DC4"/>
    <w:rsid w:val="50646F2B"/>
    <w:rsid w:val="50706B0F"/>
    <w:rsid w:val="50775257"/>
    <w:rsid w:val="50785BF8"/>
    <w:rsid w:val="508D293C"/>
    <w:rsid w:val="50987D5E"/>
    <w:rsid w:val="50991FF0"/>
    <w:rsid w:val="509C1BAA"/>
    <w:rsid w:val="50B21480"/>
    <w:rsid w:val="50B415EA"/>
    <w:rsid w:val="50B74372"/>
    <w:rsid w:val="50CC06E1"/>
    <w:rsid w:val="50CE15A5"/>
    <w:rsid w:val="50D70E34"/>
    <w:rsid w:val="50E257A4"/>
    <w:rsid w:val="50E67ADD"/>
    <w:rsid w:val="50F34FE8"/>
    <w:rsid w:val="50FC717D"/>
    <w:rsid w:val="50FE0CB7"/>
    <w:rsid w:val="51051E45"/>
    <w:rsid w:val="510B40A6"/>
    <w:rsid w:val="510C3B9A"/>
    <w:rsid w:val="510F6820"/>
    <w:rsid w:val="5114027D"/>
    <w:rsid w:val="51145BE4"/>
    <w:rsid w:val="51281353"/>
    <w:rsid w:val="51287D01"/>
    <w:rsid w:val="512A5408"/>
    <w:rsid w:val="51466E49"/>
    <w:rsid w:val="51505F79"/>
    <w:rsid w:val="51512DE2"/>
    <w:rsid w:val="515136BB"/>
    <w:rsid w:val="517438A6"/>
    <w:rsid w:val="51777A1C"/>
    <w:rsid w:val="51793BA9"/>
    <w:rsid w:val="51885E41"/>
    <w:rsid w:val="518F170F"/>
    <w:rsid w:val="519041BD"/>
    <w:rsid w:val="5197780F"/>
    <w:rsid w:val="519E1BC9"/>
    <w:rsid w:val="51AF43A3"/>
    <w:rsid w:val="51B11685"/>
    <w:rsid w:val="51B271B0"/>
    <w:rsid w:val="51BF4ED1"/>
    <w:rsid w:val="51C4760A"/>
    <w:rsid w:val="51C73EBE"/>
    <w:rsid w:val="51D75590"/>
    <w:rsid w:val="51E41A5B"/>
    <w:rsid w:val="51EA4AFF"/>
    <w:rsid w:val="51F37EF0"/>
    <w:rsid w:val="51FF6894"/>
    <w:rsid w:val="52072262"/>
    <w:rsid w:val="521A1920"/>
    <w:rsid w:val="52242534"/>
    <w:rsid w:val="522A4FEC"/>
    <w:rsid w:val="523D116B"/>
    <w:rsid w:val="52426781"/>
    <w:rsid w:val="524B6ED9"/>
    <w:rsid w:val="52500F7E"/>
    <w:rsid w:val="52511876"/>
    <w:rsid w:val="525231F8"/>
    <w:rsid w:val="52554706"/>
    <w:rsid w:val="525A0E83"/>
    <w:rsid w:val="526E5D52"/>
    <w:rsid w:val="526E610F"/>
    <w:rsid w:val="5276334B"/>
    <w:rsid w:val="52884ADC"/>
    <w:rsid w:val="52976ACD"/>
    <w:rsid w:val="529E64C5"/>
    <w:rsid w:val="52AD38C0"/>
    <w:rsid w:val="52BA2813"/>
    <w:rsid w:val="52BB7065"/>
    <w:rsid w:val="52BE67A2"/>
    <w:rsid w:val="52C5786F"/>
    <w:rsid w:val="52C75604"/>
    <w:rsid w:val="52CA0C50"/>
    <w:rsid w:val="52CE5D63"/>
    <w:rsid w:val="52DA2B5B"/>
    <w:rsid w:val="52F168A5"/>
    <w:rsid w:val="52FF50DA"/>
    <w:rsid w:val="5301525B"/>
    <w:rsid w:val="5302488E"/>
    <w:rsid w:val="53045D1C"/>
    <w:rsid w:val="53093C38"/>
    <w:rsid w:val="53125230"/>
    <w:rsid w:val="5313335E"/>
    <w:rsid w:val="53177BF8"/>
    <w:rsid w:val="531B0557"/>
    <w:rsid w:val="5322283B"/>
    <w:rsid w:val="53276500"/>
    <w:rsid w:val="532A16EF"/>
    <w:rsid w:val="53395758"/>
    <w:rsid w:val="533C1422"/>
    <w:rsid w:val="533E37CE"/>
    <w:rsid w:val="534239E1"/>
    <w:rsid w:val="534378E6"/>
    <w:rsid w:val="534A7DE3"/>
    <w:rsid w:val="534C78B7"/>
    <w:rsid w:val="53591FD4"/>
    <w:rsid w:val="537868FE"/>
    <w:rsid w:val="537F63E7"/>
    <w:rsid w:val="538C5F06"/>
    <w:rsid w:val="538E1C7E"/>
    <w:rsid w:val="53AA1731"/>
    <w:rsid w:val="53AC35C3"/>
    <w:rsid w:val="53B1077E"/>
    <w:rsid w:val="53B316E5"/>
    <w:rsid w:val="53B67427"/>
    <w:rsid w:val="53B72DC2"/>
    <w:rsid w:val="53B92A73"/>
    <w:rsid w:val="53B94C91"/>
    <w:rsid w:val="53BB67EB"/>
    <w:rsid w:val="53D61877"/>
    <w:rsid w:val="53DA7A10"/>
    <w:rsid w:val="53E021AF"/>
    <w:rsid w:val="53E144A4"/>
    <w:rsid w:val="53E756C6"/>
    <w:rsid w:val="53E76FC8"/>
    <w:rsid w:val="540F6034"/>
    <w:rsid w:val="541E10BE"/>
    <w:rsid w:val="54202270"/>
    <w:rsid w:val="543A0144"/>
    <w:rsid w:val="543A1962"/>
    <w:rsid w:val="544F7C55"/>
    <w:rsid w:val="546812C0"/>
    <w:rsid w:val="547277F2"/>
    <w:rsid w:val="547370C6"/>
    <w:rsid w:val="547846DC"/>
    <w:rsid w:val="548E7397"/>
    <w:rsid w:val="54A85DCD"/>
    <w:rsid w:val="54A9542E"/>
    <w:rsid w:val="54A963C3"/>
    <w:rsid w:val="54AA304A"/>
    <w:rsid w:val="54AB23F0"/>
    <w:rsid w:val="54AC63DB"/>
    <w:rsid w:val="54BE2A37"/>
    <w:rsid w:val="54BE6819"/>
    <w:rsid w:val="54C9793B"/>
    <w:rsid w:val="54CF4EE9"/>
    <w:rsid w:val="54CF76D9"/>
    <w:rsid w:val="54D23DEC"/>
    <w:rsid w:val="54D264E2"/>
    <w:rsid w:val="54D73AF9"/>
    <w:rsid w:val="54DF6509"/>
    <w:rsid w:val="54EA7388"/>
    <w:rsid w:val="55081F04"/>
    <w:rsid w:val="550A4C1F"/>
    <w:rsid w:val="55161DEE"/>
    <w:rsid w:val="55173EF5"/>
    <w:rsid w:val="552A2E58"/>
    <w:rsid w:val="552A4BC1"/>
    <w:rsid w:val="552D3719"/>
    <w:rsid w:val="553E2636"/>
    <w:rsid w:val="55461AA2"/>
    <w:rsid w:val="554E3DBB"/>
    <w:rsid w:val="554E41DC"/>
    <w:rsid w:val="55535546"/>
    <w:rsid w:val="555A19D8"/>
    <w:rsid w:val="555D024A"/>
    <w:rsid w:val="557D528F"/>
    <w:rsid w:val="55813AF3"/>
    <w:rsid w:val="55896BEB"/>
    <w:rsid w:val="55914E7B"/>
    <w:rsid w:val="559266D3"/>
    <w:rsid w:val="55A645C3"/>
    <w:rsid w:val="55CF6E70"/>
    <w:rsid w:val="55D0745A"/>
    <w:rsid w:val="55D34FBF"/>
    <w:rsid w:val="55DA38A0"/>
    <w:rsid w:val="55E27D4E"/>
    <w:rsid w:val="55F85AD5"/>
    <w:rsid w:val="561F1296"/>
    <w:rsid w:val="56213E4A"/>
    <w:rsid w:val="562465E2"/>
    <w:rsid w:val="56290384"/>
    <w:rsid w:val="56417941"/>
    <w:rsid w:val="56424FA2"/>
    <w:rsid w:val="566F2595"/>
    <w:rsid w:val="56786C15"/>
    <w:rsid w:val="56930A1A"/>
    <w:rsid w:val="56941FB1"/>
    <w:rsid w:val="569A32AE"/>
    <w:rsid w:val="56A26FA3"/>
    <w:rsid w:val="56AD4B11"/>
    <w:rsid w:val="56AF45EF"/>
    <w:rsid w:val="56BC4F1A"/>
    <w:rsid w:val="56BE0ACC"/>
    <w:rsid w:val="56CA4C43"/>
    <w:rsid w:val="56CA62F3"/>
    <w:rsid w:val="56D3714A"/>
    <w:rsid w:val="56EB4D1F"/>
    <w:rsid w:val="56EB73E7"/>
    <w:rsid w:val="570F1328"/>
    <w:rsid w:val="571D247A"/>
    <w:rsid w:val="57251F4D"/>
    <w:rsid w:val="572A6162"/>
    <w:rsid w:val="572F1107"/>
    <w:rsid w:val="57325016"/>
    <w:rsid w:val="57406F8E"/>
    <w:rsid w:val="574D1E50"/>
    <w:rsid w:val="574E3841"/>
    <w:rsid w:val="5755167A"/>
    <w:rsid w:val="57563055"/>
    <w:rsid w:val="57574A7D"/>
    <w:rsid w:val="57680A38"/>
    <w:rsid w:val="576855EC"/>
    <w:rsid w:val="576C3A52"/>
    <w:rsid w:val="5771628A"/>
    <w:rsid w:val="5782564F"/>
    <w:rsid w:val="57874BC1"/>
    <w:rsid w:val="57943FE9"/>
    <w:rsid w:val="57976C05"/>
    <w:rsid w:val="57A36D6D"/>
    <w:rsid w:val="57AC03CE"/>
    <w:rsid w:val="57AC39CF"/>
    <w:rsid w:val="57AC7CDF"/>
    <w:rsid w:val="57B8466C"/>
    <w:rsid w:val="57BE41EF"/>
    <w:rsid w:val="57D76E23"/>
    <w:rsid w:val="57DE4C14"/>
    <w:rsid w:val="57EF14A4"/>
    <w:rsid w:val="57F10A2D"/>
    <w:rsid w:val="57F14D08"/>
    <w:rsid w:val="57FA41A2"/>
    <w:rsid w:val="580F4FF1"/>
    <w:rsid w:val="581D20BA"/>
    <w:rsid w:val="58251DF4"/>
    <w:rsid w:val="582B019D"/>
    <w:rsid w:val="582E3656"/>
    <w:rsid w:val="584979A7"/>
    <w:rsid w:val="584C63C9"/>
    <w:rsid w:val="58516844"/>
    <w:rsid w:val="5854750B"/>
    <w:rsid w:val="586E6522"/>
    <w:rsid w:val="586E7B85"/>
    <w:rsid w:val="587A0B16"/>
    <w:rsid w:val="587F5D5C"/>
    <w:rsid w:val="58830A70"/>
    <w:rsid w:val="588D39C0"/>
    <w:rsid w:val="588D7146"/>
    <w:rsid w:val="588F7C9B"/>
    <w:rsid w:val="589221F7"/>
    <w:rsid w:val="58947820"/>
    <w:rsid w:val="589A40F8"/>
    <w:rsid w:val="58A0120D"/>
    <w:rsid w:val="58BF0B2C"/>
    <w:rsid w:val="58BF28DA"/>
    <w:rsid w:val="58C27C1C"/>
    <w:rsid w:val="58C3002E"/>
    <w:rsid w:val="58C817A8"/>
    <w:rsid w:val="58CC70C7"/>
    <w:rsid w:val="58D1489B"/>
    <w:rsid w:val="58D77C23"/>
    <w:rsid w:val="58D95C71"/>
    <w:rsid w:val="58F65767"/>
    <w:rsid w:val="58F668FF"/>
    <w:rsid w:val="58F9401C"/>
    <w:rsid w:val="59050331"/>
    <w:rsid w:val="590C314D"/>
    <w:rsid w:val="591C5F7E"/>
    <w:rsid w:val="59305585"/>
    <w:rsid w:val="59317111"/>
    <w:rsid w:val="593C217C"/>
    <w:rsid w:val="59442CEF"/>
    <w:rsid w:val="594469F5"/>
    <w:rsid w:val="59487400"/>
    <w:rsid w:val="59594148"/>
    <w:rsid w:val="595A75AF"/>
    <w:rsid w:val="59607C71"/>
    <w:rsid w:val="59695B70"/>
    <w:rsid w:val="597E33D8"/>
    <w:rsid w:val="59816C99"/>
    <w:rsid w:val="59861649"/>
    <w:rsid w:val="5988785F"/>
    <w:rsid w:val="5989655E"/>
    <w:rsid w:val="598D22EE"/>
    <w:rsid w:val="59900230"/>
    <w:rsid w:val="59905666"/>
    <w:rsid w:val="599E4D2F"/>
    <w:rsid w:val="599F7684"/>
    <w:rsid w:val="59A815C0"/>
    <w:rsid w:val="59AE3D80"/>
    <w:rsid w:val="59CC5DF4"/>
    <w:rsid w:val="59D32AE1"/>
    <w:rsid w:val="59D625D1"/>
    <w:rsid w:val="59DF7CF9"/>
    <w:rsid w:val="59E36A9C"/>
    <w:rsid w:val="59EC5A68"/>
    <w:rsid w:val="59EE0F39"/>
    <w:rsid w:val="5A032C9A"/>
    <w:rsid w:val="5A034070"/>
    <w:rsid w:val="5A1724DD"/>
    <w:rsid w:val="5A216F18"/>
    <w:rsid w:val="5A390069"/>
    <w:rsid w:val="5A3E6613"/>
    <w:rsid w:val="5A4C2893"/>
    <w:rsid w:val="5A582FE6"/>
    <w:rsid w:val="5A5C7BDF"/>
    <w:rsid w:val="5A5D00FC"/>
    <w:rsid w:val="5A67147B"/>
    <w:rsid w:val="5A76552B"/>
    <w:rsid w:val="5A802968"/>
    <w:rsid w:val="5A84202D"/>
    <w:rsid w:val="5A845986"/>
    <w:rsid w:val="5A855F30"/>
    <w:rsid w:val="5A8B33BB"/>
    <w:rsid w:val="5A8B7F24"/>
    <w:rsid w:val="5A8E25CC"/>
    <w:rsid w:val="5A9C1433"/>
    <w:rsid w:val="5A9D0C58"/>
    <w:rsid w:val="5AAB5AA6"/>
    <w:rsid w:val="5AAC7BF6"/>
    <w:rsid w:val="5AB741B0"/>
    <w:rsid w:val="5ABC1175"/>
    <w:rsid w:val="5ABC7EDA"/>
    <w:rsid w:val="5AC661A1"/>
    <w:rsid w:val="5ACA126E"/>
    <w:rsid w:val="5AD13226"/>
    <w:rsid w:val="5AD563E4"/>
    <w:rsid w:val="5AE232DD"/>
    <w:rsid w:val="5AEF3FBA"/>
    <w:rsid w:val="5AF34F75"/>
    <w:rsid w:val="5AFB6602"/>
    <w:rsid w:val="5B010362"/>
    <w:rsid w:val="5B050FC7"/>
    <w:rsid w:val="5B0D6E27"/>
    <w:rsid w:val="5B1E4C31"/>
    <w:rsid w:val="5B255308"/>
    <w:rsid w:val="5B2E01AC"/>
    <w:rsid w:val="5B3F4F3A"/>
    <w:rsid w:val="5B4669C9"/>
    <w:rsid w:val="5B47457A"/>
    <w:rsid w:val="5B4A1675"/>
    <w:rsid w:val="5B5F1012"/>
    <w:rsid w:val="5B6A2FD1"/>
    <w:rsid w:val="5B755A94"/>
    <w:rsid w:val="5B8030CE"/>
    <w:rsid w:val="5B8617F2"/>
    <w:rsid w:val="5BA4219D"/>
    <w:rsid w:val="5BBB382C"/>
    <w:rsid w:val="5BBD50FD"/>
    <w:rsid w:val="5BC85F49"/>
    <w:rsid w:val="5BCF552A"/>
    <w:rsid w:val="5BDB2749"/>
    <w:rsid w:val="5BDC3065"/>
    <w:rsid w:val="5BE508A9"/>
    <w:rsid w:val="5BFF4434"/>
    <w:rsid w:val="5C027250"/>
    <w:rsid w:val="5C0D6740"/>
    <w:rsid w:val="5C1546B1"/>
    <w:rsid w:val="5C2869E8"/>
    <w:rsid w:val="5C3C4F00"/>
    <w:rsid w:val="5C4427D0"/>
    <w:rsid w:val="5C4719F2"/>
    <w:rsid w:val="5C4F21C6"/>
    <w:rsid w:val="5C514AFD"/>
    <w:rsid w:val="5C701527"/>
    <w:rsid w:val="5C72036B"/>
    <w:rsid w:val="5C76341A"/>
    <w:rsid w:val="5C7957BD"/>
    <w:rsid w:val="5C8E2938"/>
    <w:rsid w:val="5C974299"/>
    <w:rsid w:val="5C9A5E2F"/>
    <w:rsid w:val="5CA00DFD"/>
    <w:rsid w:val="5CA568A6"/>
    <w:rsid w:val="5CAB1AF3"/>
    <w:rsid w:val="5CB12E81"/>
    <w:rsid w:val="5CB26C9D"/>
    <w:rsid w:val="5CB4771E"/>
    <w:rsid w:val="5CCC2CFB"/>
    <w:rsid w:val="5CD9094D"/>
    <w:rsid w:val="5CDB7E67"/>
    <w:rsid w:val="5CDD499C"/>
    <w:rsid w:val="5CE45005"/>
    <w:rsid w:val="5CEA4328"/>
    <w:rsid w:val="5CEB6B09"/>
    <w:rsid w:val="5D045593"/>
    <w:rsid w:val="5D055799"/>
    <w:rsid w:val="5D061443"/>
    <w:rsid w:val="5D1F7DEB"/>
    <w:rsid w:val="5D3178F8"/>
    <w:rsid w:val="5D472132"/>
    <w:rsid w:val="5D485594"/>
    <w:rsid w:val="5D5B1C65"/>
    <w:rsid w:val="5D681394"/>
    <w:rsid w:val="5D700646"/>
    <w:rsid w:val="5D722610"/>
    <w:rsid w:val="5D72616D"/>
    <w:rsid w:val="5D7905D9"/>
    <w:rsid w:val="5D9D6BE7"/>
    <w:rsid w:val="5D9E0B5D"/>
    <w:rsid w:val="5DA80DA7"/>
    <w:rsid w:val="5DB4309A"/>
    <w:rsid w:val="5DD136AD"/>
    <w:rsid w:val="5DD700A8"/>
    <w:rsid w:val="5DEC4171"/>
    <w:rsid w:val="5DED7F4E"/>
    <w:rsid w:val="5DF55EA5"/>
    <w:rsid w:val="5DFA3A6F"/>
    <w:rsid w:val="5DFB4712"/>
    <w:rsid w:val="5E031707"/>
    <w:rsid w:val="5E077684"/>
    <w:rsid w:val="5E0A2849"/>
    <w:rsid w:val="5E0F7E5F"/>
    <w:rsid w:val="5E1320A2"/>
    <w:rsid w:val="5E160F34"/>
    <w:rsid w:val="5E227B93"/>
    <w:rsid w:val="5E245062"/>
    <w:rsid w:val="5E24561C"/>
    <w:rsid w:val="5E361890"/>
    <w:rsid w:val="5E3C45EE"/>
    <w:rsid w:val="5E413D91"/>
    <w:rsid w:val="5E4E1D23"/>
    <w:rsid w:val="5E6E4274"/>
    <w:rsid w:val="5E79177D"/>
    <w:rsid w:val="5E8D5D61"/>
    <w:rsid w:val="5E9020F1"/>
    <w:rsid w:val="5E9D1817"/>
    <w:rsid w:val="5E9E5E84"/>
    <w:rsid w:val="5EA115BC"/>
    <w:rsid w:val="5EA54320"/>
    <w:rsid w:val="5EA81E4B"/>
    <w:rsid w:val="5EA93E10"/>
    <w:rsid w:val="5EAC4355"/>
    <w:rsid w:val="5EBC5DA7"/>
    <w:rsid w:val="5EC239AE"/>
    <w:rsid w:val="5EC618FB"/>
    <w:rsid w:val="5EE74938"/>
    <w:rsid w:val="5EED38B6"/>
    <w:rsid w:val="5EFD3359"/>
    <w:rsid w:val="5F0064D7"/>
    <w:rsid w:val="5F020FC9"/>
    <w:rsid w:val="5F0414D7"/>
    <w:rsid w:val="5F0874EF"/>
    <w:rsid w:val="5F0D4A61"/>
    <w:rsid w:val="5F19140C"/>
    <w:rsid w:val="5F2636B2"/>
    <w:rsid w:val="5F3C2ADF"/>
    <w:rsid w:val="5F406BAD"/>
    <w:rsid w:val="5F427DC1"/>
    <w:rsid w:val="5F4C4BEC"/>
    <w:rsid w:val="5F4E6972"/>
    <w:rsid w:val="5F5D0F2E"/>
    <w:rsid w:val="5F621EDE"/>
    <w:rsid w:val="5F735599"/>
    <w:rsid w:val="5F746FF7"/>
    <w:rsid w:val="5F770941"/>
    <w:rsid w:val="5F791FA5"/>
    <w:rsid w:val="5F7C1524"/>
    <w:rsid w:val="5FAF21C4"/>
    <w:rsid w:val="5FBD1AA0"/>
    <w:rsid w:val="5FBE1B3D"/>
    <w:rsid w:val="5FC04C82"/>
    <w:rsid w:val="5FCA04E2"/>
    <w:rsid w:val="5FCD7088"/>
    <w:rsid w:val="5FD01870"/>
    <w:rsid w:val="5FD72BFF"/>
    <w:rsid w:val="5FDD63BF"/>
    <w:rsid w:val="5FE628A6"/>
    <w:rsid w:val="5FE7394C"/>
    <w:rsid w:val="5FE80851"/>
    <w:rsid w:val="5FE83FAA"/>
    <w:rsid w:val="5FEA1AFC"/>
    <w:rsid w:val="5FF02A57"/>
    <w:rsid w:val="5FF4266D"/>
    <w:rsid w:val="5FFC4413"/>
    <w:rsid w:val="60111A9B"/>
    <w:rsid w:val="601479AF"/>
    <w:rsid w:val="6020045A"/>
    <w:rsid w:val="60285208"/>
    <w:rsid w:val="60400119"/>
    <w:rsid w:val="60432042"/>
    <w:rsid w:val="60487659"/>
    <w:rsid w:val="60564BC1"/>
    <w:rsid w:val="60607191"/>
    <w:rsid w:val="6065645C"/>
    <w:rsid w:val="60673F83"/>
    <w:rsid w:val="606C1599"/>
    <w:rsid w:val="606F065C"/>
    <w:rsid w:val="607E12CC"/>
    <w:rsid w:val="6083635C"/>
    <w:rsid w:val="6085265B"/>
    <w:rsid w:val="6092331B"/>
    <w:rsid w:val="60A24FBB"/>
    <w:rsid w:val="60A93344"/>
    <w:rsid w:val="60B259E3"/>
    <w:rsid w:val="60B3541A"/>
    <w:rsid w:val="60C5514D"/>
    <w:rsid w:val="60CC1EFF"/>
    <w:rsid w:val="60D05972"/>
    <w:rsid w:val="60E40258"/>
    <w:rsid w:val="60EB2496"/>
    <w:rsid w:val="61047A23"/>
    <w:rsid w:val="6106010F"/>
    <w:rsid w:val="61106BB7"/>
    <w:rsid w:val="611E60C9"/>
    <w:rsid w:val="61230BEF"/>
    <w:rsid w:val="61297F88"/>
    <w:rsid w:val="612A5B6E"/>
    <w:rsid w:val="613F280A"/>
    <w:rsid w:val="61532759"/>
    <w:rsid w:val="615F7A55"/>
    <w:rsid w:val="61695AD8"/>
    <w:rsid w:val="61707418"/>
    <w:rsid w:val="61824D3D"/>
    <w:rsid w:val="618632F3"/>
    <w:rsid w:val="61903E92"/>
    <w:rsid w:val="619D0329"/>
    <w:rsid w:val="61A52FC6"/>
    <w:rsid w:val="61A95F88"/>
    <w:rsid w:val="61AD14D0"/>
    <w:rsid w:val="61BB45D8"/>
    <w:rsid w:val="61C03F5A"/>
    <w:rsid w:val="61CE7843"/>
    <w:rsid w:val="61D52863"/>
    <w:rsid w:val="61EB580E"/>
    <w:rsid w:val="61F05680"/>
    <w:rsid w:val="61F555BE"/>
    <w:rsid w:val="62012F5B"/>
    <w:rsid w:val="6203438B"/>
    <w:rsid w:val="62092E18"/>
    <w:rsid w:val="620D2908"/>
    <w:rsid w:val="62121939"/>
    <w:rsid w:val="62210E2A"/>
    <w:rsid w:val="6232236E"/>
    <w:rsid w:val="623D24E4"/>
    <w:rsid w:val="624058E7"/>
    <w:rsid w:val="624E397C"/>
    <w:rsid w:val="625B18C5"/>
    <w:rsid w:val="625B6C39"/>
    <w:rsid w:val="625C605A"/>
    <w:rsid w:val="625F5A3A"/>
    <w:rsid w:val="62606359"/>
    <w:rsid w:val="62682234"/>
    <w:rsid w:val="626C3AD2"/>
    <w:rsid w:val="626D15F8"/>
    <w:rsid w:val="627027A8"/>
    <w:rsid w:val="6271733B"/>
    <w:rsid w:val="62726C0F"/>
    <w:rsid w:val="62990C9C"/>
    <w:rsid w:val="62A14DD7"/>
    <w:rsid w:val="62A32E1F"/>
    <w:rsid w:val="62A61B9D"/>
    <w:rsid w:val="62C82EE3"/>
    <w:rsid w:val="62CF7BBD"/>
    <w:rsid w:val="62D63E97"/>
    <w:rsid w:val="62DF14C8"/>
    <w:rsid w:val="62EA49F7"/>
    <w:rsid w:val="62F23158"/>
    <w:rsid w:val="6300246C"/>
    <w:rsid w:val="63071A4D"/>
    <w:rsid w:val="6313285D"/>
    <w:rsid w:val="6317281B"/>
    <w:rsid w:val="631F3800"/>
    <w:rsid w:val="63202AD3"/>
    <w:rsid w:val="6325502B"/>
    <w:rsid w:val="63265996"/>
    <w:rsid w:val="632B7FD0"/>
    <w:rsid w:val="633204C3"/>
    <w:rsid w:val="634A265D"/>
    <w:rsid w:val="635051A2"/>
    <w:rsid w:val="63512265"/>
    <w:rsid w:val="635F7193"/>
    <w:rsid w:val="63657B08"/>
    <w:rsid w:val="6376469E"/>
    <w:rsid w:val="637F173F"/>
    <w:rsid w:val="63864720"/>
    <w:rsid w:val="639A7AE8"/>
    <w:rsid w:val="639D6070"/>
    <w:rsid w:val="639E7CB7"/>
    <w:rsid w:val="63A2520E"/>
    <w:rsid w:val="63A43260"/>
    <w:rsid w:val="63A6011E"/>
    <w:rsid w:val="63C11BFC"/>
    <w:rsid w:val="63C20364"/>
    <w:rsid w:val="63CA503C"/>
    <w:rsid w:val="63D55E82"/>
    <w:rsid w:val="63DA0F0F"/>
    <w:rsid w:val="63ED479F"/>
    <w:rsid w:val="63EE0517"/>
    <w:rsid w:val="63F21DB5"/>
    <w:rsid w:val="63FB2B73"/>
    <w:rsid w:val="63FC5833"/>
    <w:rsid w:val="63FF38E0"/>
    <w:rsid w:val="6400187F"/>
    <w:rsid w:val="640A35A3"/>
    <w:rsid w:val="640F5A4A"/>
    <w:rsid w:val="641F5E76"/>
    <w:rsid w:val="6421480E"/>
    <w:rsid w:val="6425238E"/>
    <w:rsid w:val="642B4BAB"/>
    <w:rsid w:val="64356AB1"/>
    <w:rsid w:val="644250E9"/>
    <w:rsid w:val="64535FE7"/>
    <w:rsid w:val="64653442"/>
    <w:rsid w:val="646B0853"/>
    <w:rsid w:val="646F3D2B"/>
    <w:rsid w:val="647A1DAB"/>
    <w:rsid w:val="648D5F82"/>
    <w:rsid w:val="64974C0F"/>
    <w:rsid w:val="64AA29D0"/>
    <w:rsid w:val="64AA5E82"/>
    <w:rsid w:val="64AA6B34"/>
    <w:rsid w:val="64BD6867"/>
    <w:rsid w:val="64E92371"/>
    <w:rsid w:val="64EC2CA8"/>
    <w:rsid w:val="64EE25E7"/>
    <w:rsid w:val="64F105D3"/>
    <w:rsid w:val="64F2617E"/>
    <w:rsid w:val="64F41B5D"/>
    <w:rsid w:val="64F45853"/>
    <w:rsid w:val="64F810B6"/>
    <w:rsid w:val="64F96375"/>
    <w:rsid w:val="651902BD"/>
    <w:rsid w:val="651C670D"/>
    <w:rsid w:val="651F3BEF"/>
    <w:rsid w:val="65220C08"/>
    <w:rsid w:val="652675C7"/>
    <w:rsid w:val="652A0A68"/>
    <w:rsid w:val="652C1511"/>
    <w:rsid w:val="652D54BF"/>
    <w:rsid w:val="652F2B95"/>
    <w:rsid w:val="6534131C"/>
    <w:rsid w:val="653E2DAD"/>
    <w:rsid w:val="654725D5"/>
    <w:rsid w:val="654A6BF7"/>
    <w:rsid w:val="65534AD5"/>
    <w:rsid w:val="655B110E"/>
    <w:rsid w:val="65662D2C"/>
    <w:rsid w:val="656960A7"/>
    <w:rsid w:val="657038D9"/>
    <w:rsid w:val="657131AE"/>
    <w:rsid w:val="65744A4C"/>
    <w:rsid w:val="65753C10"/>
    <w:rsid w:val="65982856"/>
    <w:rsid w:val="65A92947"/>
    <w:rsid w:val="65AD100C"/>
    <w:rsid w:val="65AF3589"/>
    <w:rsid w:val="65B21414"/>
    <w:rsid w:val="65B5753E"/>
    <w:rsid w:val="65C260CB"/>
    <w:rsid w:val="65CB0B10"/>
    <w:rsid w:val="65CB7E2F"/>
    <w:rsid w:val="65D86558"/>
    <w:rsid w:val="65DC2D1D"/>
    <w:rsid w:val="65DD08C4"/>
    <w:rsid w:val="65DD332E"/>
    <w:rsid w:val="65E63B9C"/>
    <w:rsid w:val="65EA6112"/>
    <w:rsid w:val="65EC6D74"/>
    <w:rsid w:val="65F17570"/>
    <w:rsid w:val="66065FEC"/>
    <w:rsid w:val="660A4BCE"/>
    <w:rsid w:val="660F24F7"/>
    <w:rsid w:val="660F381F"/>
    <w:rsid w:val="66134265"/>
    <w:rsid w:val="6618187B"/>
    <w:rsid w:val="661B2B1D"/>
    <w:rsid w:val="66201ED4"/>
    <w:rsid w:val="66265EA4"/>
    <w:rsid w:val="662E2CC0"/>
    <w:rsid w:val="662E492E"/>
    <w:rsid w:val="66424DD4"/>
    <w:rsid w:val="66522FDF"/>
    <w:rsid w:val="665723A3"/>
    <w:rsid w:val="665A4663"/>
    <w:rsid w:val="665D0B44"/>
    <w:rsid w:val="66710629"/>
    <w:rsid w:val="6677666F"/>
    <w:rsid w:val="667967BE"/>
    <w:rsid w:val="668A09CB"/>
    <w:rsid w:val="668A4527"/>
    <w:rsid w:val="66903B07"/>
    <w:rsid w:val="66932CAD"/>
    <w:rsid w:val="669435F8"/>
    <w:rsid w:val="66990C0E"/>
    <w:rsid w:val="669B6D87"/>
    <w:rsid w:val="66A42547"/>
    <w:rsid w:val="66A64F6B"/>
    <w:rsid w:val="66AD264A"/>
    <w:rsid w:val="66B372E3"/>
    <w:rsid w:val="66BB4974"/>
    <w:rsid w:val="66BF0AAF"/>
    <w:rsid w:val="66C37A39"/>
    <w:rsid w:val="66D01156"/>
    <w:rsid w:val="66D12DBC"/>
    <w:rsid w:val="66D37E75"/>
    <w:rsid w:val="66D47E98"/>
    <w:rsid w:val="66DA61C5"/>
    <w:rsid w:val="66DC143B"/>
    <w:rsid w:val="66DC433D"/>
    <w:rsid w:val="66EB5CA0"/>
    <w:rsid w:val="670C7632"/>
    <w:rsid w:val="6717596D"/>
    <w:rsid w:val="671C62D3"/>
    <w:rsid w:val="67207643"/>
    <w:rsid w:val="67281559"/>
    <w:rsid w:val="672901E4"/>
    <w:rsid w:val="6734529F"/>
    <w:rsid w:val="674566A0"/>
    <w:rsid w:val="674648F8"/>
    <w:rsid w:val="67492BAC"/>
    <w:rsid w:val="674E307B"/>
    <w:rsid w:val="675863D3"/>
    <w:rsid w:val="67587896"/>
    <w:rsid w:val="67646731"/>
    <w:rsid w:val="67720125"/>
    <w:rsid w:val="677367B0"/>
    <w:rsid w:val="67745A50"/>
    <w:rsid w:val="67852F40"/>
    <w:rsid w:val="67862379"/>
    <w:rsid w:val="67890C82"/>
    <w:rsid w:val="678D1707"/>
    <w:rsid w:val="679F6C4F"/>
    <w:rsid w:val="67A7735B"/>
    <w:rsid w:val="67A82F7B"/>
    <w:rsid w:val="67AE0E25"/>
    <w:rsid w:val="67AF7B34"/>
    <w:rsid w:val="67B0620F"/>
    <w:rsid w:val="67B66297"/>
    <w:rsid w:val="67C04BAB"/>
    <w:rsid w:val="67C22E2B"/>
    <w:rsid w:val="67DD3F28"/>
    <w:rsid w:val="67E062C9"/>
    <w:rsid w:val="67EE4F89"/>
    <w:rsid w:val="67FC12C5"/>
    <w:rsid w:val="681216A1"/>
    <w:rsid w:val="681349F0"/>
    <w:rsid w:val="683055A2"/>
    <w:rsid w:val="68332DC4"/>
    <w:rsid w:val="68381B62"/>
    <w:rsid w:val="683A5723"/>
    <w:rsid w:val="683E1A6D"/>
    <w:rsid w:val="68455790"/>
    <w:rsid w:val="68484EAF"/>
    <w:rsid w:val="68564F08"/>
    <w:rsid w:val="685F15B5"/>
    <w:rsid w:val="686359E3"/>
    <w:rsid w:val="68646FFA"/>
    <w:rsid w:val="68763AF6"/>
    <w:rsid w:val="687C40B0"/>
    <w:rsid w:val="687F1385"/>
    <w:rsid w:val="687F3E33"/>
    <w:rsid w:val="68891D50"/>
    <w:rsid w:val="688A57A9"/>
    <w:rsid w:val="68925869"/>
    <w:rsid w:val="6898637F"/>
    <w:rsid w:val="689B6598"/>
    <w:rsid w:val="68B7537B"/>
    <w:rsid w:val="68B75A5D"/>
    <w:rsid w:val="68BC0BE4"/>
    <w:rsid w:val="68C55CEA"/>
    <w:rsid w:val="68CF0917"/>
    <w:rsid w:val="68D81335"/>
    <w:rsid w:val="68E220C5"/>
    <w:rsid w:val="690404C5"/>
    <w:rsid w:val="69067BD2"/>
    <w:rsid w:val="69110F2F"/>
    <w:rsid w:val="691E189E"/>
    <w:rsid w:val="69327FF3"/>
    <w:rsid w:val="69366BE8"/>
    <w:rsid w:val="69473DA1"/>
    <w:rsid w:val="69601EB7"/>
    <w:rsid w:val="69635503"/>
    <w:rsid w:val="69705998"/>
    <w:rsid w:val="697B4C69"/>
    <w:rsid w:val="697F058F"/>
    <w:rsid w:val="698338AD"/>
    <w:rsid w:val="69894F6A"/>
    <w:rsid w:val="699548CF"/>
    <w:rsid w:val="69A351C0"/>
    <w:rsid w:val="69A75DFA"/>
    <w:rsid w:val="69AB6231"/>
    <w:rsid w:val="69B55D5F"/>
    <w:rsid w:val="69C56DDC"/>
    <w:rsid w:val="69C75A92"/>
    <w:rsid w:val="69CA5B71"/>
    <w:rsid w:val="69D20350"/>
    <w:rsid w:val="69F755DF"/>
    <w:rsid w:val="69FA5E67"/>
    <w:rsid w:val="69FD01C7"/>
    <w:rsid w:val="6A02023E"/>
    <w:rsid w:val="6A177732"/>
    <w:rsid w:val="6A1F6BB3"/>
    <w:rsid w:val="6A292CE1"/>
    <w:rsid w:val="6A2D7B3A"/>
    <w:rsid w:val="6A2F79A8"/>
    <w:rsid w:val="6A35023A"/>
    <w:rsid w:val="6A3749C6"/>
    <w:rsid w:val="6A3A2708"/>
    <w:rsid w:val="6A3C1FDC"/>
    <w:rsid w:val="6A462E5B"/>
    <w:rsid w:val="6A4C5F97"/>
    <w:rsid w:val="6A527A52"/>
    <w:rsid w:val="6A57324E"/>
    <w:rsid w:val="6A591A93"/>
    <w:rsid w:val="6A6E6107"/>
    <w:rsid w:val="6A747336"/>
    <w:rsid w:val="6A800E76"/>
    <w:rsid w:val="6A8D0A8A"/>
    <w:rsid w:val="6A9442CF"/>
    <w:rsid w:val="6A997BEA"/>
    <w:rsid w:val="6AA47B81"/>
    <w:rsid w:val="6AAB2036"/>
    <w:rsid w:val="6AC37DBF"/>
    <w:rsid w:val="6AC823CA"/>
    <w:rsid w:val="6ACA3A8C"/>
    <w:rsid w:val="6ACB3360"/>
    <w:rsid w:val="6AD0702E"/>
    <w:rsid w:val="6AD8004E"/>
    <w:rsid w:val="6B012C59"/>
    <w:rsid w:val="6B014FD4"/>
    <w:rsid w:val="6B0A3E88"/>
    <w:rsid w:val="6B282560"/>
    <w:rsid w:val="6B2C008B"/>
    <w:rsid w:val="6B301415"/>
    <w:rsid w:val="6B39299B"/>
    <w:rsid w:val="6B4B4B6C"/>
    <w:rsid w:val="6B5E740A"/>
    <w:rsid w:val="6B775017"/>
    <w:rsid w:val="6B7B2FD8"/>
    <w:rsid w:val="6B7D4F86"/>
    <w:rsid w:val="6B7E2F58"/>
    <w:rsid w:val="6B80766C"/>
    <w:rsid w:val="6B83149A"/>
    <w:rsid w:val="6B8E2D0B"/>
    <w:rsid w:val="6B927B9D"/>
    <w:rsid w:val="6B99520C"/>
    <w:rsid w:val="6B9A0C58"/>
    <w:rsid w:val="6B9C1070"/>
    <w:rsid w:val="6BA34FB1"/>
    <w:rsid w:val="6BA669C8"/>
    <w:rsid w:val="6BB43DF4"/>
    <w:rsid w:val="6BB9765C"/>
    <w:rsid w:val="6BBB1626"/>
    <w:rsid w:val="6BC95CB9"/>
    <w:rsid w:val="6BCF6FAD"/>
    <w:rsid w:val="6BD12BF8"/>
    <w:rsid w:val="6BDE58CF"/>
    <w:rsid w:val="6BE96832"/>
    <w:rsid w:val="6BEF30AE"/>
    <w:rsid w:val="6BF1329A"/>
    <w:rsid w:val="6BF75B1B"/>
    <w:rsid w:val="6BFB7C75"/>
    <w:rsid w:val="6C06178D"/>
    <w:rsid w:val="6C126848"/>
    <w:rsid w:val="6C184383"/>
    <w:rsid w:val="6C270A6A"/>
    <w:rsid w:val="6C384A25"/>
    <w:rsid w:val="6C4460E5"/>
    <w:rsid w:val="6C6949D4"/>
    <w:rsid w:val="6C7517D5"/>
    <w:rsid w:val="6C7F4DAE"/>
    <w:rsid w:val="6CA0431B"/>
    <w:rsid w:val="6CA13DFE"/>
    <w:rsid w:val="6CA638B6"/>
    <w:rsid w:val="6CAE6A95"/>
    <w:rsid w:val="6CAF37FB"/>
    <w:rsid w:val="6CB95894"/>
    <w:rsid w:val="6CD34AAD"/>
    <w:rsid w:val="6CE0012B"/>
    <w:rsid w:val="6CE10822"/>
    <w:rsid w:val="6CEF77DA"/>
    <w:rsid w:val="6D0212F1"/>
    <w:rsid w:val="6D0668D1"/>
    <w:rsid w:val="6D0B2DF5"/>
    <w:rsid w:val="6D183E08"/>
    <w:rsid w:val="6D1E1370"/>
    <w:rsid w:val="6D397701"/>
    <w:rsid w:val="6D631F76"/>
    <w:rsid w:val="6D6E4881"/>
    <w:rsid w:val="6D711D6D"/>
    <w:rsid w:val="6D853E10"/>
    <w:rsid w:val="6D9221C7"/>
    <w:rsid w:val="6D9B526C"/>
    <w:rsid w:val="6D9E6B1D"/>
    <w:rsid w:val="6DA1700C"/>
    <w:rsid w:val="6DA714D3"/>
    <w:rsid w:val="6DA73C10"/>
    <w:rsid w:val="6DAE5815"/>
    <w:rsid w:val="6DB30807"/>
    <w:rsid w:val="6DC600D4"/>
    <w:rsid w:val="6DC825F2"/>
    <w:rsid w:val="6DCE473B"/>
    <w:rsid w:val="6DD95D94"/>
    <w:rsid w:val="6DDC3E22"/>
    <w:rsid w:val="6DEF2372"/>
    <w:rsid w:val="6DF11689"/>
    <w:rsid w:val="6DF64B98"/>
    <w:rsid w:val="6DF7266F"/>
    <w:rsid w:val="6E0077C5"/>
    <w:rsid w:val="6E0E1EE1"/>
    <w:rsid w:val="6E1F6683"/>
    <w:rsid w:val="6E231CDE"/>
    <w:rsid w:val="6E2402A1"/>
    <w:rsid w:val="6E2E7E8E"/>
    <w:rsid w:val="6E3F209B"/>
    <w:rsid w:val="6E47748C"/>
    <w:rsid w:val="6E585071"/>
    <w:rsid w:val="6E861715"/>
    <w:rsid w:val="6E881C94"/>
    <w:rsid w:val="6E895B0F"/>
    <w:rsid w:val="6E8E4DD0"/>
    <w:rsid w:val="6E9E67DF"/>
    <w:rsid w:val="6EA42CFF"/>
    <w:rsid w:val="6EAC1886"/>
    <w:rsid w:val="6EB34170"/>
    <w:rsid w:val="6EB83BFB"/>
    <w:rsid w:val="6EBE3907"/>
    <w:rsid w:val="6EBE7697"/>
    <w:rsid w:val="6EE51DB8"/>
    <w:rsid w:val="6EEC43E5"/>
    <w:rsid w:val="6EF349D9"/>
    <w:rsid w:val="6F0000A1"/>
    <w:rsid w:val="6F0D716C"/>
    <w:rsid w:val="6F0E31FF"/>
    <w:rsid w:val="6F312601"/>
    <w:rsid w:val="6F3301EA"/>
    <w:rsid w:val="6F3E2352"/>
    <w:rsid w:val="6F4638FD"/>
    <w:rsid w:val="6F4B4A6F"/>
    <w:rsid w:val="6F4E204B"/>
    <w:rsid w:val="6F5D0AEB"/>
    <w:rsid w:val="6F616B65"/>
    <w:rsid w:val="6F6B469B"/>
    <w:rsid w:val="6F772D63"/>
    <w:rsid w:val="6F800BBD"/>
    <w:rsid w:val="6FB46AB9"/>
    <w:rsid w:val="6FC0545D"/>
    <w:rsid w:val="6FCD0DBA"/>
    <w:rsid w:val="6FE35402"/>
    <w:rsid w:val="7007479D"/>
    <w:rsid w:val="7008217B"/>
    <w:rsid w:val="700A4D31"/>
    <w:rsid w:val="701D640C"/>
    <w:rsid w:val="7024596B"/>
    <w:rsid w:val="703A37E5"/>
    <w:rsid w:val="70410EE9"/>
    <w:rsid w:val="7044012B"/>
    <w:rsid w:val="70475AFB"/>
    <w:rsid w:val="704E0CBB"/>
    <w:rsid w:val="705465E1"/>
    <w:rsid w:val="705838E8"/>
    <w:rsid w:val="70637A77"/>
    <w:rsid w:val="706B0A4D"/>
    <w:rsid w:val="707454C9"/>
    <w:rsid w:val="7080699B"/>
    <w:rsid w:val="70941B1D"/>
    <w:rsid w:val="709F32C5"/>
    <w:rsid w:val="70A52EB9"/>
    <w:rsid w:val="70A667C6"/>
    <w:rsid w:val="70A730FA"/>
    <w:rsid w:val="70AA1D7B"/>
    <w:rsid w:val="70B705D8"/>
    <w:rsid w:val="70B84386"/>
    <w:rsid w:val="70BC3E77"/>
    <w:rsid w:val="70C571F7"/>
    <w:rsid w:val="70D249AE"/>
    <w:rsid w:val="70D80585"/>
    <w:rsid w:val="70F27898"/>
    <w:rsid w:val="70F3716D"/>
    <w:rsid w:val="70FA674D"/>
    <w:rsid w:val="70FC2C1E"/>
    <w:rsid w:val="710A43EC"/>
    <w:rsid w:val="71116DE2"/>
    <w:rsid w:val="71194723"/>
    <w:rsid w:val="711D6797"/>
    <w:rsid w:val="711F1C41"/>
    <w:rsid w:val="7124781C"/>
    <w:rsid w:val="71261251"/>
    <w:rsid w:val="71290DE0"/>
    <w:rsid w:val="713271FB"/>
    <w:rsid w:val="713619AF"/>
    <w:rsid w:val="713A4D9B"/>
    <w:rsid w:val="713E1E5F"/>
    <w:rsid w:val="714258B8"/>
    <w:rsid w:val="714972D2"/>
    <w:rsid w:val="71512C37"/>
    <w:rsid w:val="716138C9"/>
    <w:rsid w:val="716712E5"/>
    <w:rsid w:val="71787FD9"/>
    <w:rsid w:val="717A163C"/>
    <w:rsid w:val="7184462D"/>
    <w:rsid w:val="71891420"/>
    <w:rsid w:val="719A1E66"/>
    <w:rsid w:val="71A7174E"/>
    <w:rsid w:val="71BC3A02"/>
    <w:rsid w:val="71C07AE9"/>
    <w:rsid w:val="71C253E4"/>
    <w:rsid w:val="71CA611F"/>
    <w:rsid w:val="71CA65DC"/>
    <w:rsid w:val="71D4555E"/>
    <w:rsid w:val="71E54D48"/>
    <w:rsid w:val="71EC42E8"/>
    <w:rsid w:val="71EF6E24"/>
    <w:rsid w:val="71F118FE"/>
    <w:rsid w:val="71F77074"/>
    <w:rsid w:val="72001B41"/>
    <w:rsid w:val="7205184D"/>
    <w:rsid w:val="72074EB5"/>
    <w:rsid w:val="720D4038"/>
    <w:rsid w:val="720F7FD6"/>
    <w:rsid w:val="721D12D5"/>
    <w:rsid w:val="721E0666"/>
    <w:rsid w:val="722822C3"/>
    <w:rsid w:val="722A3062"/>
    <w:rsid w:val="722F4D16"/>
    <w:rsid w:val="7238577F"/>
    <w:rsid w:val="72517005"/>
    <w:rsid w:val="725B443C"/>
    <w:rsid w:val="72643F0C"/>
    <w:rsid w:val="72646574"/>
    <w:rsid w:val="727165AE"/>
    <w:rsid w:val="72871302"/>
    <w:rsid w:val="728F1117"/>
    <w:rsid w:val="728F12F7"/>
    <w:rsid w:val="72921A39"/>
    <w:rsid w:val="72933DE9"/>
    <w:rsid w:val="72B53BF7"/>
    <w:rsid w:val="72C67049"/>
    <w:rsid w:val="72DF209E"/>
    <w:rsid w:val="72E02F9B"/>
    <w:rsid w:val="72F654FA"/>
    <w:rsid w:val="72F922D3"/>
    <w:rsid w:val="72FA225C"/>
    <w:rsid w:val="72FC67AC"/>
    <w:rsid w:val="73015AD2"/>
    <w:rsid w:val="732C3312"/>
    <w:rsid w:val="732E0930"/>
    <w:rsid w:val="73317DD8"/>
    <w:rsid w:val="73345564"/>
    <w:rsid w:val="73356922"/>
    <w:rsid w:val="73380E0F"/>
    <w:rsid w:val="73412F53"/>
    <w:rsid w:val="734803D3"/>
    <w:rsid w:val="734860BC"/>
    <w:rsid w:val="73500851"/>
    <w:rsid w:val="735C549D"/>
    <w:rsid w:val="73697346"/>
    <w:rsid w:val="736F3422"/>
    <w:rsid w:val="738024A2"/>
    <w:rsid w:val="73816CB2"/>
    <w:rsid w:val="73873132"/>
    <w:rsid w:val="73A91424"/>
    <w:rsid w:val="73AB3D2F"/>
    <w:rsid w:val="73B0211F"/>
    <w:rsid w:val="73C97321"/>
    <w:rsid w:val="73CD28EF"/>
    <w:rsid w:val="73E566A8"/>
    <w:rsid w:val="73F536A0"/>
    <w:rsid w:val="740320A2"/>
    <w:rsid w:val="741D2E7E"/>
    <w:rsid w:val="74496532"/>
    <w:rsid w:val="74575C64"/>
    <w:rsid w:val="745F5087"/>
    <w:rsid w:val="74634609"/>
    <w:rsid w:val="746D60D4"/>
    <w:rsid w:val="746F2F74"/>
    <w:rsid w:val="747D42E6"/>
    <w:rsid w:val="748257F6"/>
    <w:rsid w:val="74867151"/>
    <w:rsid w:val="748C1559"/>
    <w:rsid w:val="74951061"/>
    <w:rsid w:val="749D3FBF"/>
    <w:rsid w:val="74A11147"/>
    <w:rsid w:val="74AB7DB7"/>
    <w:rsid w:val="74C245AA"/>
    <w:rsid w:val="74DD408E"/>
    <w:rsid w:val="74FA6D1C"/>
    <w:rsid w:val="75053E50"/>
    <w:rsid w:val="750A3E3C"/>
    <w:rsid w:val="75137DDD"/>
    <w:rsid w:val="75173D4D"/>
    <w:rsid w:val="751C1388"/>
    <w:rsid w:val="75276801"/>
    <w:rsid w:val="752C0E9F"/>
    <w:rsid w:val="7533222E"/>
    <w:rsid w:val="753D6D35"/>
    <w:rsid w:val="75545716"/>
    <w:rsid w:val="75657F46"/>
    <w:rsid w:val="757302BE"/>
    <w:rsid w:val="75752B63"/>
    <w:rsid w:val="757A1C0A"/>
    <w:rsid w:val="757B28A5"/>
    <w:rsid w:val="758A2381"/>
    <w:rsid w:val="758F4E1F"/>
    <w:rsid w:val="759938CF"/>
    <w:rsid w:val="759D637E"/>
    <w:rsid w:val="759F7A68"/>
    <w:rsid w:val="75BC33CC"/>
    <w:rsid w:val="75C35626"/>
    <w:rsid w:val="75C4732A"/>
    <w:rsid w:val="75DC4673"/>
    <w:rsid w:val="75DF4163"/>
    <w:rsid w:val="75E76DC1"/>
    <w:rsid w:val="75EC5219"/>
    <w:rsid w:val="75EE3D4D"/>
    <w:rsid w:val="75FE45EA"/>
    <w:rsid w:val="7600575E"/>
    <w:rsid w:val="761E53CE"/>
    <w:rsid w:val="7621652A"/>
    <w:rsid w:val="76304914"/>
    <w:rsid w:val="7645046A"/>
    <w:rsid w:val="766A1420"/>
    <w:rsid w:val="76734E49"/>
    <w:rsid w:val="767951DB"/>
    <w:rsid w:val="76967998"/>
    <w:rsid w:val="769E02D7"/>
    <w:rsid w:val="76BD44A5"/>
    <w:rsid w:val="76C1585E"/>
    <w:rsid w:val="76D57F0F"/>
    <w:rsid w:val="76DA1DA2"/>
    <w:rsid w:val="76DD5D4F"/>
    <w:rsid w:val="76F50BC7"/>
    <w:rsid w:val="76F53C3E"/>
    <w:rsid w:val="76F63A33"/>
    <w:rsid w:val="76FE2720"/>
    <w:rsid w:val="7715608F"/>
    <w:rsid w:val="773F135E"/>
    <w:rsid w:val="77427178"/>
    <w:rsid w:val="774353DC"/>
    <w:rsid w:val="774D2A13"/>
    <w:rsid w:val="77505319"/>
    <w:rsid w:val="77607266"/>
    <w:rsid w:val="776B56C0"/>
    <w:rsid w:val="776B5AB1"/>
    <w:rsid w:val="777C4360"/>
    <w:rsid w:val="777E33C9"/>
    <w:rsid w:val="77897C1A"/>
    <w:rsid w:val="778F2BBC"/>
    <w:rsid w:val="77935D45"/>
    <w:rsid w:val="779A2A2C"/>
    <w:rsid w:val="77A63981"/>
    <w:rsid w:val="77AE6F2F"/>
    <w:rsid w:val="77C20163"/>
    <w:rsid w:val="77DF044B"/>
    <w:rsid w:val="77E047BF"/>
    <w:rsid w:val="77E31CE9"/>
    <w:rsid w:val="77E36D4C"/>
    <w:rsid w:val="77E45708"/>
    <w:rsid w:val="77E460E8"/>
    <w:rsid w:val="77E95C91"/>
    <w:rsid w:val="77EA5890"/>
    <w:rsid w:val="77F02658"/>
    <w:rsid w:val="780E7102"/>
    <w:rsid w:val="78146346"/>
    <w:rsid w:val="78157D1A"/>
    <w:rsid w:val="781B0562"/>
    <w:rsid w:val="782068C9"/>
    <w:rsid w:val="78267A28"/>
    <w:rsid w:val="782B0D6B"/>
    <w:rsid w:val="783004D4"/>
    <w:rsid w:val="783074DF"/>
    <w:rsid w:val="78320A23"/>
    <w:rsid w:val="7833735C"/>
    <w:rsid w:val="78441DE8"/>
    <w:rsid w:val="7857564D"/>
    <w:rsid w:val="785B2E5C"/>
    <w:rsid w:val="786A1CE5"/>
    <w:rsid w:val="786D1F0E"/>
    <w:rsid w:val="786E191A"/>
    <w:rsid w:val="7890729A"/>
    <w:rsid w:val="789952BE"/>
    <w:rsid w:val="789B5A0C"/>
    <w:rsid w:val="78AF606F"/>
    <w:rsid w:val="78B813C8"/>
    <w:rsid w:val="78B95140"/>
    <w:rsid w:val="78C25DA2"/>
    <w:rsid w:val="78CF04BF"/>
    <w:rsid w:val="78DD3484"/>
    <w:rsid w:val="78E55F35"/>
    <w:rsid w:val="78FB5758"/>
    <w:rsid w:val="7927077C"/>
    <w:rsid w:val="792D72EF"/>
    <w:rsid w:val="79312F28"/>
    <w:rsid w:val="793330B3"/>
    <w:rsid w:val="79384C77"/>
    <w:rsid w:val="793F4F78"/>
    <w:rsid w:val="794E3974"/>
    <w:rsid w:val="79515432"/>
    <w:rsid w:val="79645F9C"/>
    <w:rsid w:val="796818ED"/>
    <w:rsid w:val="797352D2"/>
    <w:rsid w:val="79837AAE"/>
    <w:rsid w:val="7984574E"/>
    <w:rsid w:val="79865022"/>
    <w:rsid w:val="79987A77"/>
    <w:rsid w:val="79A003E8"/>
    <w:rsid w:val="79A61220"/>
    <w:rsid w:val="79A94CF0"/>
    <w:rsid w:val="79B1149F"/>
    <w:rsid w:val="79BF2EA8"/>
    <w:rsid w:val="79CA53DB"/>
    <w:rsid w:val="79DF0BD6"/>
    <w:rsid w:val="79E2140E"/>
    <w:rsid w:val="79EA0E03"/>
    <w:rsid w:val="7A0120B0"/>
    <w:rsid w:val="7A055F4B"/>
    <w:rsid w:val="7A097A01"/>
    <w:rsid w:val="7A0E29E4"/>
    <w:rsid w:val="7A17417A"/>
    <w:rsid w:val="7A183F51"/>
    <w:rsid w:val="7A3A4DF0"/>
    <w:rsid w:val="7A41150A"/>
    <w:rsid w:val="7A480258"/>
    <w:rsid w:val="7A654347"/>
    <w:rsid w:val="7A6A542B"/>
    <w:rsid w:val="7A71547A"/>
    <w:rsid w:val="7A752E76"/>
    <w:rsid w:val="7A7F16EB"/>
    <w:rsid w:val="7A845C6A"/>
    <w:rsid w:val="7A946066"/>
    <w:rsid w:val="7AA87536"/>
    <w:rsid w:val="7AAE5CB8"/>
    <w:rsid w:val="7AC774E0"/>
    <w:rsid w:val="7ACF47A6"/>
    <w:rsid w:val="7AD350B1"/>
    <w:rsid w:val="7AD500EE"/>
    <w:rsid w:val="7ADD5115"/>
    <w:rsid w:val="7ADE592F"/>
    <w:rsid w:val="7AE30DFA"/>
    <w:rsid w:val="7AF122E3"/>
    <w:rsid w:val="7AF1471D"/>
    <w:rsid w:val="7AF810EA"/>
    <w:rsid w:val="7AF83CFD"/>
    <w:rsid w:val="7B097F8E"/>
    <w:rsid w:val="7B0C5670"/>
    <w:rsid w:val="7B0D7266"/>
    <w:rsid w:val="7B1727AC"/>
    <w:rsid w:val="7B191E80"/>
    <w:rsid w:val="7B2014A6"/>
    <w:rsid w:val="7B234A23"/>
    <w:rsid w:val="7B317D92"/>
    <w:rsid w:val="7B38255B"/>
    <w:rsid w:val="7B38317E"/>
    <w:rsid w:val="7B391404"/>
    <w:rsid w:val="7B430CF1"/>
    <w:rsid w:val="7B49237C"/>
    <w:rsid w:val="7B494559"/>
    <w:rsid w:val="7B4D0CE4"/>
    <w:rsid w:val="7B4F79A5"/>
    <w:rsid w:val="7B5B79B7"/>
    <w:rsid w:val="7B605901"/>
    <w:rsid w:val="7B6152C7"/>
    <w:rsid w:val="7B6C2AB0"/>
    <w:rsid w:val="7B7D5239"/>
    <w:rsid w:val="7B7F26C2"/>
    <w:rsid w:val="7B7F7F7B"/>
    <w:rsid w:val="7B861E2C"/>
    <w:rsid w:val="7B9C6D7F"/>
    <w:rsid w:val="7B9E3DAD"/>
    <w:rsid w:val="7BAD6A7F"/>
    <w:rsid w:val="7BB302F8"/>
    <w:rsid w:val="7BBC0E75"/>
    <w:rsid w:val="7BBD2838"/>
    <w:rsid w:val="7BBD62BA"/>
    <w:rsid w:val="7BC368D1"/>
    <w:rsid w:val="7BCA6356"/>
    <w:rsid w:val="7BD31C08"/>
    <w:rsid w:val="7BDD1B33"/>
    <w:rsid w:val="7BF85F7F"/>
    <w:rsid w:val="7C005604"/>
    <w:rsid w:val="7C0404C1"/>
    <w:rsid w:val="7C052B70"/>
    <w:rsid w:val="7C176405"/>
    <w:rsid w:val="7C1A7CA3"/>
    <w:rsid w:val="7C267192"/>
    <w:rsid w:val="7C372603"/>
    <w:rsid w:val="7C4116D4"/>
    <w:rsid w:val="7C5533D1"/>
    <w:rsid w:val="7C6508C5"/>
    <w:rsid w:val="7C66113B"/>
    <w:rsid w:val="7C663103"/>
    <w:rsid w:val="7C6D67E0"/>
    <w:rsid w:val="7C745D26"/>
    <w:rsid w:val="7C7720AD"/>
    <w:rsid w:val="7C7A6994"/>
    <w:rsid w:val="7C7D2A53"/>
    <w:rsid w:val="7C962A89"/>
    <w:rsid w:val="7C9A381F"/>
    <w:rsid w:val="7C9E2682"/>
    <w:rsid w:val="7C9F63FA"/>
    <w:rsid w:val="7CA56FD7"/>
    <w:rsid w:val="7CA723AA"/>
    <w:rsid w:val="7CA95224"/>
    <w:rsid w:val="7CAC4753"/>
    <w:rsid w:val="7CB918D0"/>
    <w:rsid w:val="7CDD381C"/>
    <w:rsid w:val="7CDF547C"/>
    <w:rsid w:val="7CF019E5"/>
    <w:rsid w:val="7CF37D80"/>
    <w:rsid w:val="7CF46746"/>
    <w:rsid w:val="7D050D78"/>
    <w:rsid w:val="7D071A8C"/>
    <w:rsid w:val="7D073CFE"/>
    <w:rsid w:val="7D1233A5"/>
    <w:rsid w:val="7D1943FF"/>
    <w:rsid w:val="7D2C1823"/>
    <w:rsid w:val="7D3724F9"/>
    <w:rsid w:val="7D373AA5"/>
    <w:rsid w:val="7D3F22BE"/>
    <w:rsid w:val="7D4A280A"/>
    <w:rsid w:val="7D605B8A"/>
    <w:rsid w:val="7D62691A"/>
    <w:rsid w:val="7D692C90"/>
    <w:rsid w:val="7D7269B3"/>
    <w:rsid w:val="7D754289"/>
    <w:rsid w:val="7D784E37"/>
    <w:rsid w:val="7D787377"/>
    <w:rsid w:val="7D847ACA"/>
    <w:rsid w:val="7D876154"/>
    <w:rsid w:val="7D8F44D2"/>
    <w:rsid w:val="7D951CD7"/>
    <w:rsid w:val="7D9773DA"/>
    <w:rsid w:val="7D980D41"/>
    <w:rsid w:val="7DA02894"/>
    <w:rsid w:val="7DA4016C"/>
    <w:rsid w:val="7DAB0ECF"/>
    <w:rsid w:val="7DAC704B"/>
    <w:rsid w:val="7DB639FC"/>
    <w:rsid w:val="7DC17169"/>
    <w:rsid w:val="7DC41094"/>
    <w:rsid w:val="7DC50D53"/>
    <w:rsid w:val="7DCE6F97"/>
    <w:rsid w:val="7DE95B7F"/>
    <w:rsid w:val="7DEC0992"/>
    <w:rsid w:val="7DF41010"/>
    <w:rsid w:val="7DF417A8"/>
    <w:rsid w:val="7DF73C27"/>
    <w:rsid w:val="7DF87F2A"/>
    <w:rsid w:val="7E012B4E"/>
    <w:rsid w:val="7E0659F1"/>
    <w:rsid w:val="7E0D2455"/>
    <w:rsid w:val="7E0D6EBF"/>
    <w:rsid w:val="7E113AA3"/>
    <w:rsid w:val="7E195450"/>
    <w:rsid w:val="7E2E5F7E"/>
    <w:rsid w:val="7E5E7184"/>
    <w:rsid w:val="7E5F381F"/>
    <w:rsid w:val="7E5F7EEC"/>
    <w:rsid w:val="7E6611A7"/>
    <w:rsid w:val="7E7D1C3F"/>
    <w:rsid w:val="7E7D28AE"/>
    <w:rsid w:val="7E97639E"/>
    <w:rsid w:val="7EB10C4E"/>
    <w:rsid w:val="7EB22415"/>
    <w:rsid w:val="7EC928C7"/>
    <w:rsid w:val="7EE4618A"/>
    <w:rsid w:val="7EE87053"/>
    <w:rsid w:val="7F005876"/>
    <w:rsid w:val="7F0F52C3"/>
    <w:rsid w:val="7F194924"/>
    <w:rsid w:val="7F1C44CB"/>
    <w:rsid w:val="7F1E096B"/>
    <w:rsid w:val="7F1E666E"/>
    <w:rsid w:val="7F2A25F4"/>
    <w:rsid w:val="7F3D66CA"/>
    <w:rsid w:val="7F47533B"/>
    <w:rsid w:val="7F5659A9"/>
    <w:rsid w:val="7F591927"/>
    <w:rsid w:val="7F61335E"/>
    <w:rsid w:val="7F9B734D"/>
    <w:rsid w:val="7FA6323F"/>
    <w:rsid w:val="7FAD75B9"/>
    <w:rsid w:val="7FB265EA"/>
    <w:rsid w:val="7FC70624"/>
    <w:rsid w:val="7FC9408E"/>
    <w:rsid w:val="7FCC5758"/>
    <w:rsid w:val="7FD144BD"/>
    <w:rsid w:val="7FF32144"/>
    <w:rsid w:val="7FF5509D"/>
    <w:rsid w:val="7FFE0F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602" w:firstLineChars="200"/>
      <w:jc w:val="both"/>
    </w:pPr>
    <w:rPr>
      <w:rFonts w:ascii="Times New Roman" w:hAnsi="Times New Roman" w:eastAsia="宋体" w:cs="黑体"/>
      <w:kern w:val="2"/>
      <w:sz w:val="24"/>
      <w:szCs w:val="24"/>
      <w:lang w:val="en-US" w:eastAsia="zh-CN" w:bidi="ar-SA"/>
    </w:rPr>
  </w:style>
  <w:style w:type="paragraph" w:styleId="3">
    <w:name w:val="heading 1"/>
    <w:basedOn w:val="1"/>
    <w:next w:val="1"/>
    <w:qFormat/>
    <w:uiPriority w:val="0"/>
    <w:pPr>
      <w:keepNext/>
      <w:pageBreakBefore/>
      <w:ind w:firstLine="0" w:firstLineChars="0"/>
      <w:jc w:val="center"/>
      <w:outlineLvl w:val="0"/>
    </w:pPr>
    <w:rPr>
      <w:b/>
      <w:kern w:val="44"/>
      <w:sz w:val="30"/>
    </w:rPr>
  </w:style>
  <w:style w:type="paragraph" w:styleId="4">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paragraph" w:styleId="5">
    <w:name w:val="heading 3"/>
    <w:basedOn w:val="1"/>
    <w:next w:val="1"/>
    <w:unhideWhenUsed/>
    <w:qFormat/>
    <w:uiPriority w:val="0"/>
    <w:pPr>
      <w:keepNext/>
      <w:keepLines/>
      <w:spacing w:before="260" w:after="260" w:line="413" w:lineRule="auto"/>
      <w:outlineLvl w:val="2"/>
    </w:pPr>
    <w:rPr>
      <w:b/>
      <w:sz w:val="32"/>
    </w:rPr>
  </w:style>
  <w:style w:type="paragraph" w:styleId="6">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25">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9"/>
    <w:qFormat/>
    <w:uiPriority w:val="0"/>
    <w:pPr>
      <w:widowControl/>
      <w:snapToGrid w:val="0"/>
    </w:pPr>
    <w:rPr>
      <w:rFonts w:ascii="宋体" w:hAnsi="宋体"/>
      <w:i/>
    </w:rPr>
  </w:style>
  <w:style w:type="paragraph" w:styleId="7">
    <w:name w:val="index 8"/>
    <w:basedOn w:val="1"/>
    <w:next w:val="1"/>
    <w:qFormat/>
    <w:uiPriority w:val="0"/>
    <w:pPr>
      <w:shd w:val="clear" w:color="auto" w:fill="FFFFFF"/>
    </w:pPr>
  </w:style>
  <w:style w:type="paragraph" w:styleId="8">
    <w:name w:val="Normal Indent"/>
    <w:basedOn w:val="1"/>
    <w:qFormat/>
    <w:uiPriority w:val="0"/>
    <w:pPr>
      <w:ind w:firstLine="420"/>
    </w:pPr>
  </w:style>
  <w:style w:type="paragraph" w:styleId="9">
    <w:name w:val="annotation text"/>
    <w:basedOn w:val="1"/>
    <w:qFormat/>
    <w:uiPriority w:val="0"/>
    <w:pPr>
      <w:jc w:val="left"/>
    </w:pPr>
  </w:style>
  <w:style w:type="paragraph" w:styleId="10">
    <w:name w:val="Salutation"/>
    <w:basedOn w:val="1"/>
    <w:next w:val="1"/>
    <w:qFormat/>
    <w:uiPriority w:val="0"/>
    <w:pPr>
      <w:widowControl/>
    </w:pPr>
    <w:rPr>
      <w:kern w:val="0"/>
      <w:szCs w:val="20"/>
    </w:rPr>
  </w:style>
  <w:style w:type="paragraph" w:styleId="11">
    <w:name w:val="Body Text Indent"/>
    <w:basedOn w:val="1"/>
    <w:qFormat/>
    <w:uiPriority w:val="0"/>
    <w:pPr>
      <w:spacing w:after="120"/>
      <w:ind w:left="420" w:leftChars="200"/>
    </w:pPr>
  </w:style>
  <w:style w:type="paragraph" w:styleId="12">
    <w:name w:val="Plain Text"/>
    <w:basedOn w:val="1"/>
    <w:qFormat/>
    <w:uiPriority w:val="99"/>
    <w:pPr>
      <w:spacing w:line="240" w:lineRule="atLeast"/>
    </w:pPr>
    <w:rPr>
      <w:rFonts w:ascii="宋体" w:hAnsi="Courier New"/>
      <w:sz w:val="28"/>
      <w:szCs w:val="20"/>
    </w:rPr>
  </w:style>
  <w:style w:type="paragraph" w:styleId="13">
    <w:name w:val="List Bullet 5"/>
    <w:basedOn w:val="1"/>
    <w:qFormat/>
    <w:uiPriority w:val="0"/>
    <w:pPr>
      <w:numPr>
        <w:ilvl w:val="0"/>
        <w:numId w:val="1"/>
      </w:numPr>
    </w:pPr>
  </w:style>
  <w:style w:type="paragraph" w:styleId="14">
    <w:name w:val="Balloon Text"/>
    <w:basedOn w:val="1"/>
    <w:link w:val="42"/>
    <w:qFormat/>
    <w:uiPriority w:val="0"/>
    <w:pPr>
      <w:spacing w:line="240" w:lineRule="auto"/>
    </w:pPr>
    <w:rPr>
      <w:sz w:val="18"/>
      <w:szCs w:val="18"/>
    </w:r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7">
    <w:name w:val="toc 1"/>
    <w:basedOn w:val="1"/>
    <w:next w:val="1"/>
    <w:qFormat/>
    <w:uiPriority w:val="39"/>
  </w:style>
  <w:style w:type="paragraph" w:styleId="18">
    <w:name w:val="List"/>
    <w:basedOn w:val="1"/>
    <w:next w:val="1"/>
    <w:qFormat/>
    <w:uiPriority w:val="0"/>
    <w:pPr>
      <w:widowControl/>
      <w:spacing w:line="307" w:lineRule="auto"/>
      <w:ind w:left="420" w:hanging="420"/>
    </w:pPr>
    <w:rPr>
      <w:sz w:val="28"/>
      <w:szCs w:val="20"/>
    </w:rPr>
  </w:style>
  <w:style w:type="paragraph" w:styleId="19">
    <w:name w:val="Normal (Web)"/>
    <w:basedOn w:val="1"/>
    <w:qFormat/>
    <w:uiPriority w:val="99"/>
  </w:style>
  <w:style w:type="paragraph" w:styleId="20">
    <w:name w:val="Body Text First Indent"/>
    <w:basedOn w:val="2"/>
    <w:next w:val="1"/>
    <w:qFormat/>
    <w:uiPriority w:val="0"/>
    <w:pPr>
      <w:ind w:firstLine="420" w:firstLineChars="100"/>
    </w:pPr>
  </w:style>
  <w:style w:type="paragraph" w:styleId="21">
    <w:name w:val="Body Text First Indent 2"/>
    <w:basedOn w:val="11"/>
    <w:unhideWhenUsed/>
    <w:qFormat/>
    <w:uiPriority w:val="99"/>
    <w:pPr>
      <w:ind w:firstLine="420" w:firstLineChars="200"/>
    </w:pPr>
    <w:rPr>
      <w:rFonts w:ascii="宋体" w:hAnsi="宋体" w:cs="宋体"/>
      <w:sz w:val="24"/>
      <w:szCs w:val="24"/>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4">
    <w:name w:val="Table Theme"/>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rPr>
  </w:style>
  <w:style w:type="character" w:styleId="27">
    <w:name w:val="Hyperlink"/>
    <w:basedOn w:val="25"/>
    <w:unhideWhenUsed/>
    <w:qFormat/>
    <w:uiPriority w:val="99"/>
    <w:rPr>
      <w:color w:val="0000FF" w:themeColor="hyperlink"/>
      <w:u w:val="single"/>
      <w14:textFill>
        <w14:solidFill>
          <w14:schemeClr w14:val="hlink"/>
        </w14:solidFill>
      </w14:textFill>
    </w:rPr>
  </w:style>
  <w:style w:type="character" w:styleId="28">
    <w:name w:val="annotation reference"/>
    <w:basedOn w:val="25"/>
    <w:qFormat/>
    <w:uiPriority w:val="0"/>
    <w:rPr>
      <w:sz w:val="21"/>
      <w:szCs w:val="21"/>
    </w:rPr>
  </w:style>
  <w:style w:type="paragraph" w:customStyle="1" w:styleId="29">
    <w:name w:val="样式 正文文本缩进 + 行距: 1.5 倍行距"/>
    <w:basedOn w:val="11"/>
    <w:qFormat/>
    <w:uiPriority w:val="0"/>
    <w:pPr>
      <w:spacing w:line="360" w:lineRule="auto"/>
      <w:ind w:left="0" w:leftChars="0" w:firstLine="560" w:firstLineChars="200"/>
    </w:pPr>
    <w:rPr>
      <w:rFonts w:cs="宋体"/>
      <w:b/>
      <w:bCs/>
      <w:sz w:val="28"/>
      <w:szCs w:val="20"/>
    </w:rPr>
  </w:style>
  <w:style w:type="paragraph" w:customStyle="1" w:styleId="30">
    <w:name w:val="Normal Indent1"/>
    <w:basedOn w:val="1"/>
    <w:qFormat/>
    <w:uiPriority w:val="0"/>
    <w:pPr>
      <w:ind w:firstLine="420"/>
    </w:pPr>
  </w:style>
  <w:style w:type="paragraph" w:customStyle="1" w:styleId="31">
    <w:name w:val="表格内容"/>
    <w:basedOn w:val="32"/>
    <w:next w:val="1"/>
    <w:link w:val="33"/>
    <w:qFormat/>
    <w:uiPriority w:val="0"/>
    <w:pPr>
      <w:spacing w:line="240" w:lineRule="auto"/>
      <w:ind w:firstLine="0" w:firstLineChars="0"/>
      <w:jc w:val="center"/>
    </w:pPr>
    <w:rPr>
      <w:b w:val="0"/>
    </w:rPr>
  </w:style>
  <w:style w:type="paragraph" w:customStyle="1" w:styleId="32">
    <w:name w:val="表格标题"/>
    <w:basedOn w:val="1"/>
    <w:next w:val="1"/>
    <w:link w:val="35"/>
    <w:qFormat/>
    <w:uiPriority w:val="0"/>
    <w:pPr>
      <w:spacing w:line="240" w:lineRule="auto"/>
      <w:ind w:firstLine="0" w:firstLineChars="0"/>
      <w:jc w:val="center"/>
    </w:pPr>
    <w:rPr>
      <w:rFonts w:hint="eastAsia"/>
      <w:b/>
      <w:sz w:val="21"/>
    </w:rPr>
  </w:style>
  <w:style w:type="character" w:customStyle="1" w:styleId="33">
    <w:name w:val="表格内容 字符"/>
    <w:basedOn w:val="25"/>
    <w:link w:val="31"/>
    <w:qFormat/>
    <w:uiPriority w:val="0"/>
    <w:rPr>
      <w:rFonts w:ascii="Times New Roman" w:hAnsi="Times New Roman" w:eastAsia="宋体" w:cs="黑体"/>
      <w:kern w:val="2"/>
      <w:sz w:val="21"/>
      <w:szCs w:val="24"/>
    </w:rPr>
  </w:style>
  <w:style w:type="paragraph" w:customStyle="1" w:styleId="34">
    <w:name w:val="表格"/>
    <w:basedOn w:val="8"/>
    <w:next w:val="1"/>
    <w:link w:val="44"/>
    <w:qFormat/>
    <w:uiPriority w:val="0"/>
    <w:pPr>
      <w:adjustRightInd w:val="0"/>
      <w:snapToGrid w:val="0"/>
      <w:spacing w:beforeLines="10" w:afterLines="10" w:line="259" w:lineRule="auto"/>
      <w:jc w:val="center"/>
    </w:pPr>
    <w:rPr>
      <w:rFonts w:ascii="宋体"/>
      <w:kern w:val="0"/>
      <w:szCs w:val="20"/>
    </w:rPr>
  </w:style>
  <w:style w:type="character" w:customStyle="1" w:styleId="35">
    <w:name w:val="表格标题 Char"/>
    <w:link w:val="32"/>
    <w:qFormat/>
    <w:uiPriority w:val="0"/>
    <w:rPr>
      <w:rFonts w:hint="eastAsia"/>
      <w:b/>
      <w:sz w:val="21"/>
    </w:rPr>
  </w:style>
  <w:style w:type="paragraph" w:customStyle="1" w:styleId="36">
    <w:name w:val="Default"/>
    <w:basedOn w:val="37"/>
    <w:next w:val="18"/>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7">
    <w:name w:val="纯文本1"/>
    <w:basedOn w:val="1"/>
    <w:qFormat/>
    <w:uiPriority w:val="0"/>
    <w:pPr>
      <w:adjustRightInd w:val="0"/>
    </w:pPr>
    <w:rPr>
      <w:rFonts w:hAnsi="Courier New"/>
      <w:szCs w:val="20"/>
    </w:rPr>
  </w:style>
  <w:style w:type="paragraph" w:customStyle="1" w:styleId="38">
    <w:name w:val="明显引用1"/>
    <w:next w:val="1"/>
    <w:qFormat/>
    <w:uiPriority w:val="0"/>
    <w:pPr>
      <w:wordWrap w:val="0"/>
      <w:spacing w:before="360" w:after="360"/>
      <w:ind w:left="950" w:right="950"/>
      <w:jc w:val="center"/>
    </w:pPr>
    <w:rPr>
      <w:rFonts w:ascii="Calibri" w:hAnsi="Calibri" w:eastAsia="宋体" w:cs="Times New Roman"/>
      <w:i/>
      <w:sz w:val="21"/>
      <w:lang w:val="en-US" w:eastAsia="zh-CN" w:bidi="ar-SA"/>
    </w:rPr>
  </w:style>
  <w:style w:type="paragraph" w:customStyle="1" w:styleId="39">
    <w:name w:val="加粗标题"/>
    <w:basedOn w:val="1"/>
    <w:qFormat/>
    <w:uiPriority w:val="0"/>
    <w:pPr>
      <w:ind w:firstLine="0" w:firstLineChars="0"/>
      <w:jc w:val="left"/>
    </w:pPr>
    <w:rPr>
      <w:rFonts w:hint="eastAsia"/>
      <w:b/>
    </w:rPr>
  </w:style>
  <w:style w:type="paragraph" w:customStyle="1" w:styleId="40">
    <w:name w:val="小标题"/>
    <w:basedOn w:val="1"/>
    <w:qFormat/>
    <w:uiPriority w:val="0"/>
    <w:pPr>
      <w:ind w:firstLine="0" w:firstLineChars="0"/>
    </w:pPr>
    <w:rPr>
      <w:rFonts w:hint="eastAsia"/>
      <w:b/>
    </w:rPr>
  </w:style>
  <w:style w:type="paragraph" w:styleId="41">
    <w:name w:val="No Spacing"/>
    <w:qFormat/>
    <w:uiPriority w:val="1"/>
    <w:pPr>
      <w:widowControl w:val="0"/>
      <w:jc w:val="both"/>
    </w:pPr>
    <w:rPr>
      <w:rFonts w:ascii="Times New Roman" w:hAnsi="Times New Roman" w:eastAsia="楷体" w:cs="Times New Roman"/>
      <w:kern w:val="2"/>
      <w:sz w:val="24"/>
      <w:szCs w:val="24"/>
      <w:lang w:val="en-US" w:eastAsia="zh-CN" w:bidi="ar-SA"/>
    </w:rPr>
  </w:style>
  <w:style w:type="character" w:customStyle="1" w:styleId="42">
    <w:name w:val="批注框文本 Char"/>
    <w:basedOn w:val="25"/>
    <w:link w:val="14"/>
    <w:qFormat/>
    <w:uiPriority w:val="0"/>
    <w:rPr>
      <w:rFonts w:cs="黑体"/>
      <w:kern w:val="2"/>
      <w:sz w:val="18"/>
      <w:szCs w:val="18"/>
    </w:rPr>
  </w:style>
  <w:style w:type="paragraph" w:customStyle="1" w:styleId="43">
    <w:name w:val="表中文字"/>
    <w:basedOn w:val="1"/>
    <w:qFormat/>
    <w:uiPriority w:val="0"/>
    <w:pPr>
      <w:snapToGrid w:val="0"/>
      <w:spacing w:line="240" w:lineRule="auto"/>
      <w:ind w:firstLine="0" w:firstLineChars="0"/>
      <w:jc w:val="center"/>
    </w:pPr>
    <w:rPr>
      <w:rFonts w:cs="Times New Roman"/>
      <w:color w:val="000000"/>
      <w:sz w:val="21"/>
      <w:szCs w:val="20"/>
    </w:rPr>
  </w:style>
  <w:style w:type="character" w:customStyle="1" w:styleId="44">
    <w:name w:val="表格 Char"/>
    <w:link w:val="34"/>
    <w:qFormat/>
    <w:uiPriority w:val="0"/>
    <w:rPr>
      <w:rFonts w:ascii="宋体" w:cs="黑体"/>
      <w:sz w:val="24"/>
    </w:rPr>
  </w:style>
  <w:style w:type="paragraph" w:styleId="45">
    <w:name w:val="List Paragraph"/>
    <w:basedOn w:val="1"/>
    <w:unhideWhenUsed/>
    <w:qFormat/>
    <w:uiPriority w:val="99"/>
    <w:pPr>
      <w:ind w:firstLine="420"/>
    </w:pPr>
  </w:style>
  <w:style w:type="paragraph" w:customStyle="1" w:styleId="46">
    <w:name w:val="表头"/>
    <w:basedOn w:val="1"/>
    <w:link w:val="47"/>
    <w:qFormat/>
    <w:uiPriority w:val="99"/>
    <w:pPr>
      <w:spacing w:line="240" w:lineRule="auto"/>
      <w:ind w:firstLine="480"/>
      <w:jc w:val="center"/>
    </w:pPr>
    <w:rPr>
      <w:rFonts w:cs="Times New Roman"/>
      <w:b/>
      <w:sz w:val="21"/>
      <w:szCs w:val="22"/>
    </w:rPr>
  </w:style>
  <w:style w:type="character" w:customStyle="1" w:styleId="47">
    <w:name w:val="表头 Char"/>
    <w:link w:val="46"/>
    <w:qFormat/>
    <w:locked/>
    <w:uiPriority w:val="99"/>
    <w:rPr>
      <w:b/>
      <w:kern w:val="2"/>
      <w:sz w:val="21"/>
      <w:szCs w:val="22"/>
    </w:rPr>
  </w:style>
  <w:style w:type="character" w:customStyle="1" w:styleId="48">
    <w:name w:val="表格标题 字符"/>
    <w:basedOn w:val="25"/>
    <w:qFormat/>
    <w:uiPriority w:val="0"/>
    <w:rPr>
      <w:rFonts w:ascii="Times New Roman" w:hAnsi="Times New Roman" w:eastAsia="宋体"/>
      <w:b/>
    </w:rPr>
  </w:style>
  <w:style w:type="character" w:customStyle="1" w:styleId="49">
    <w:name w:val="正文文本 Char"/>
    <w:basedOn w:val="25"/>
    <w:link w:val="2"/>
    <w:qFormat/>
    <w:locked/>
    <w:uiPriority w:val="0"/>
    <w:rPr>
      <w:rFonts w:ascii="宋体" w:hAnsi="宋体"/>
      <w:i/>
    </w:rPr>
  </w:style>
  <w:style w:type="paragraph" w:customStyle="1" w:styleId="50">
    <w:name w:val=" Char Char Char Char"/>
    <w:basedOn w:val="1"/>
    <w:qFormat/>
    <w:uiPriority w:val="0"/>
    <w:pPr>
      <w:snapToGrid w:val="0"/>
      <w:spacing w:line="360" w:lineRule="auto"/>
      <w:ind w:firstLine="200" w:firstLineChars="200"/>
    </w:pPr>
    <w:rPr>
      <w:szCs w:val="20"/>
    </w:rPr>
  </w:style>
  <w:style w:type="paragraph" w:customStyle="1" w:styleId="51">
    <w:name w:val="样式 标题 1 + 四号 段前: 0 磅 段后: 0 磅 行距: 1.5 倍行距"/>
    <w:basedOn w:val="52"/>
    <w:next w:val="53"/>
    <w:qFormat/>
    <w:uiPriority w:val="0"/>
    <w:pPr>
      <w:spacing w:line="360" w:lineRule="auto"/>
      <w:ind w:firstLine="588" w:firstLineChars="196"/>
      <w:jc w:val="center"/>
    </w:pPr>
    <w:rPr>
      <w:rFonts w:eastAsia="楷体_GB2312"/>
      <w:color w:val="FF0000"/>
      <w:sz w:val="28"/>
      <w:szCs w:val="30"/>
    </w:rPr>
  </w:style>
  <w:style w:type="paragraph" w:customStyle="1" w:styleId="52">
    <w:name w:val="报告表正文"/>
    <w:basedOn w:val="1"/>
    <w:qFormat/>
    <w:uiPriority w:val="0"/>
    <w:pPr>
      <w:wordWrap w:val="0"/>
      <w:topLinePunct/>
      <w:adjustRightInd w:val="0"/>
      <w:spacing w:line="360" w:lineRule="auto"/>
      <w:ind w:left="0" w:right="0" w:firstLine="488"/>
      <w:jc w:val="left"/>
      <w:textAlignment w:val="baseline"/>
    </w:pPr>
    <w:rPr>
      <w:rFonts w:eastAsia="Times New Roman"/>
      <w:kern w:val="0"/>
      <w:sz w:val="20"/>
      <w:szCs w:val="20"/>
    </w:rPr>
  </w:style>
  <w:style w:type="paragraph" w:customStyle="1" w:styleId="53">
    <w:name w:val="文本正文"/>
    <w:basedOn w:val="1"/>
    <w:qFormat/>
    <w:uiPriority w:val="0"/>
    <w:pPr>
      <w:snapToGrid w:val="0"/>
      <w:spacing w:line="360" w:lineRule="auto"/>
      <w:ind w:firstLine="510"/>
      <w:jc w:val="left"/>
    </w:pPr>
    <w:rPr>
      <w:spacing w:val="4"/>
      <w:kern w:val="24"/>
      <w:szCs w:val="24"/>
      <w:lang w:val="zh-CN"/>
    </w:rPr>
  </w:style>
  <w:style w:type="paragraph" w:customStyle="1" w:styleId="54">
    <w:name w:val="1正文"/>
    <w:basedOn w:val="1"/>
    <w:qFormat/>
    <w:uiPriority w:val="0"/>
    <w:pPr>
      <w:spacing w:line="500" w:lineRule="exact"/>
      <w:ind w:firstLine="588" w:firstLineChars="196"/>
    </w:pPr>
    <w:rPr>
      <w:rFonts w:eastAsia="楷体_GB2312"/>
      <w:sz w:val="30"/>
      <w:szCs w:val="30"/>
    </w:rPr>
  </w:style>
  <w:style w:type="paragraph" w:customStyle="1" w:styleId="55">
    <w:name w:val="表格文字"/>
    <w:basedOn w:val="56"/>
    <w:next w:val="1"/>
    <w:qFormat/>
    <w:uiPriority w:val="0"/>
    <w:pPr>
      <w:widowControl w:val="0"/>
      <w:autoSpaceDE w:val="0"/>
      <w:autoSpaceDN w:val="0"/>
      <w:adjustRightInd w:val="0"/>
      <w:snapToGrid w:val="0"/>
      <w:spacing w:before="40" w:after="40"/>
      <w:ind w:firstLine="0" w:firstLineChars="0"/>
      <w:jc w:val="center"/>
      <w:textAlignment w:val="baseline"/>
    </w:pPr>
    <w:rPr>
      <w:rFonts w:hAnsi="宋体"/>
      <w:kern w:val="24"/>
      <w:szCs w:val="20"/>
    </w:rPr>
  </w:style>
  <w:style w:type="paragraph" w:customStyle="1" w:styleId="56">
    <w:name w:val="样式1"/>
    <w:basedOn w:val="1"/>
    <w:qFormat/>
    <w:uiPriority w:val="0"/>
    <w:pPr>
      <w:spacing w:after="40" w:line="300" w:lineRule="atLeast"/>
      <w:jc w:val="center"/>
      <w:outlineLvl w:val="2"/>
    </w:pPr>
    <w:rPr>
      <w:rFonts w:eastAsia="楷体_GB2312"/>
      <w:szCs w:val="20"/>
    </w:rPr>
  </w:style>
  <w:style w:type="paragraph" w:customStyle="1" w:styleId="57">
    <w:name w:val="表内容"/>
    <w:basedOn w:val="1"/>
    <w:autoRedefine/>
    <w:unhideWhenUsed/>
    <w:qFormat/>
    <w:uiPriority w:val="0"/>
    <w:pPr>
      <w:adjustRightInd w:val="0"/>
      <w:snapToGrid w:val="0"/>
    </w:pPr>
    <w:rPr>
      <w:rFonts w:ascii="宋体" w:hAnsi="宋体" w:cs="宋体"/>
      <w:snapToGrid w:val="0"/>
      <w:szCs w:val="21"/>
    </w:rPr>
  </w:style>
  <w:style w:type="paragraph" w:customStyle="1" w:styleId="58">
    <w:name w:val="GT表格格式"/>
    <w:basedOn w:val="1"/>
    <w:qFormat/>
    <w:uiPriority w:val="0"/>
    <w:pPr>
      <w:topLinePunct/>
      <w:adjustRightInd w:val="0"/>
      <w:snapToGrid w:val="0"/>
      <w:jc w:val="center"/>
    </w:pPr>
    <w:rPr>
      <w:rFonts w:ascii="Times New Roman" w:hAnsi="Times New Roman" w:eastAsia="宋体" w:cs="Times New Roman"/>
      <w:szCs w:val="21"/>
    </w:rPr>
  </w:style>
  <w:style w:type="character" w:customStyle="1" w:styleId="59">
    <w:name w:val="font41"/>
    <w:basedOn w:val="25"/>
    <w:qFormat/>
    <w:uiPriority w:val="0"/>
    <w:rPr>
      <w:rFonts w:hint="default" w:ascii="Times New Roman" w:hAnsi="Times New Roman" w:cs="Times New Roman"/>
      <w:color w:val="000000"/>
      <w:sz w:val="24"/>
      <w:szCs w:val="24"/>
      <w:u w:val="none"/>
    </w:rPr>
  </w:style>
  <w:style w:type="character" w:customStyle="1" w:styleId="60">
    <w:name w:val="font51"/>
    <w:basedOn w:val="25"/>
    <w:qFormat/>
    <w:uiPriority w:val="0"/>
    <w:rPr>
      <w:rFonts w:hint="eastAsia" w:ascii="宋体" w:hAnsi="宋体" w:eastAsia="宋体" w:cs="宋体"/>
      <w:color w:val="000000"/>
      <w:sz w:val="24"/>
      <w:szCs w:val="24"/>
      <w:u w:val="none"/>
    </w:rPr>
  </w:style>
  <w:style w:type="character" w:customStyle="1" w:styleId="61">
    <w:name w:val="font11"/>
    <w:basedOn w:val="25"/>
    <w:qFormat/>
    <w:uiPriority w:val="0"/>
    <w:rPr>
      <w:rFonts w:hint="eastAsia" w:ascii="宋体" w:hAnsi="宋体" w:eastAsia="宋体" w:cs="宋体"/>
      <w:color w:val="000000"/>
      <w:sz w:val="22"/>
      <w:szCs w:val="22"/>
      <w:u w:val="none"/>
    </w:rPr>
  </w:style>
  <w:style w:type="character" w:customStyle="1" w:styleId="62">
    <w:name w:val="font21"/>
    <w:basedOn w:val="25"/>
    <w:qFormat/>
    <w:uiPriority w:val="0"/>
    <w:rPr>
      <w:rFonts w:hint="default" w:ascii="Times New Roman" w:hAnsi="Times New Roman" w:cs="Times New Roman"/>
      <w:color w:val="000000"/>
      <w:sz w:val="21"/>
      <w:szCs w:val="21"/>
      <w:u w:val="none"/>
    </w:rPr>
  </w:style>
  <w:style w:type="paragraph" w:customStyle="1" w:styleId="63">
    <w:name w:val="123456"/>
    <w:basedOn w:val="1"/>
    <w:autoRedefine/>
    <w:qFormat/>
    <w:uiPriority w:val="0"/>
  </w:style>
  <w:style w:type="paragraph" w:customStyle="1" w:styleId="64">
    <w:name w:val="GT正文"/>
    <w:basedOn w:val="1"/>
    <w:qFormat/>
    <w:uiPriority w:val="0"/>
    <w:pPr>
      <w:topLinePunct/>
      <w:adjustRightInd w:val="0"/>
      <w:snapToGrid w:val="0"/>
      <w:spacing w:line="360" w:lineRule="auto"/>
      <w:ind w:firstLine="480" w:firstLineChars="200"/>
    </w:pPr>
    <w:rPr>
      <w:rFonts w:ascii="Times New Roman" w:hAnsi="Times New Roman" w:eastAsia="宋体" w:cs="Times New Roman"/>
      <w:sz w:val="24"/>
    </w:rPr>
  </w:style>
  <w:style w:type="paragraph" w:customStyle="1" w:styleId="65">
    <w:name w:val="正文1"/>
    <w:basedOn w:val="1"/>
    <w:next w:val="1"/>
    <w:qFormat/>
    <w:uiPriority w:val="0"/>
  </w:style>
  <w:style w:type="paragraph" w:customStyle="1" w:styleId="66">
    <w:name w:val="1jw正文"/>
    <w:qFormat/>
    <w:uiPriority w:val="0"/>
    <w:pPr>
      <w:spacing w:beforeLines="50" w:afterLines="50" w:line="360" w:lineRule="auto"/>
      <w:ind w:firstLine="200" w:firstLineChars="200"/>
    </w:pPr>
    <w:rPr>
      <w:rFonts w:ascii="Times New Roman" w:hAnsi="Times New Roman" w:eastAsia="宋体" w:cs="宋体"/>
      <w:sz w:val="24"/>
      <w:szCs w:val="24"/>
      <w:lang w:val="en-US" w:eastAsia="zh-CN" w:bidi="ar-SA"/>
    </w:rPr>
  </w:style>
  <w:style w:type="paragraph" w:customStyle="1" w:styleId="67">
    <w:name w:val="Table Paragraph"/>
    <w:basedOn w:val="1"/>
    <w:qFormat/>
    <w:uiPriority w:val="1"/>
    <w:pPr>
      <w:snapToGrid w:val="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4" Type="http://schemas.openxmlformats.org/officeDocument/2006/relationships/fontTable" Target="fontTable.xml"/><Relationship Id="rId43" Type="http://schemas.openxmlformats.org/officeDocument/2006/relationships/customXml" Target="../customXml/item2.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18.wmf"/><Relationship Id="rId4" Type="http://schemas.openxmlformats.org/officeDocument/2006/relationships/endnotes" Target="endnotes.xml"/><Relationship Id="rId39" Type="http://schemas.openxmlformats.org/officeDocument/2006/relationships/oleObject" Target="embeddings/oleObject10.bin"/><Relationship Id="rId38" Type="http://schemas.openxmlformats.org/officeDocument/2006/relationships/image" Target="media/image17.png"/><Relationship Id="rId37" Type="http://schemas.openxmlformats.org/officeDocument/2006/relationships/image" Target="media/image16.wmf"/><Relationship Id="rId36" Type="http://schemas.openxmlformats.org/officeDocument/2006/relationships/oleObject" Target="embeddings/oleObject9.bin"/><Relationship Id="rId35" Type="http://schemas.openxmlformats.org/officeDocument/2006/relationships/image" Target="media/image15.wmf"/><Relationship Id="rId34" Type="http://schemas.openxmlformats.org/officeDocument/2006/relationships/oleObject" Target="embeddings/oleObject8.bin"/><Relationship Id="rId33" Type="http://schemas.openxmlformats.org/officeDocument/2006/relationships/image" Target="media/image14.wmf"/><Relationship Id="rId32" Type="http://schemas.openxmlformats.org/officeDocument/2006/relationships/oleObject" Target="embeddings/oleObject7.bin"/><Relationship Id="rId31" Type="http://schemas.openxmlformats.org/officeDocument/2006/relationships/image" Target="media/image13.wmf"/><Relationship Id="rId30" Type="http://schemas.openxmlformats.org/officeDocument/2006/relationships/oleObject" Target="embeddings/oleObject6.bin"/><Relationship Id="rId3" Type="http://schemas.openxmlformats.org/officeDocument/2006/relationships/footnotes" Target="footnotes.xml"/><Relationship Id="rId29" Type="http://schemas.openxmlformats.org/officeDocument/2006/relationships/image" Target="media/image12.wmf"/><Relationship Id="rId28" Type="http://schemas.openxmlformats.org/officeDocument/2006/relationships/oleObject" Target="embeddings/oleObject5.bin"/><Relationship Id="rId27" Type="http://schemas.openxmlformats.org/officeDocument/2006/relationships/image" Target="media/image11.wmf"/><Relationship Id="rId26" Type="http://schemas.openxmlformats.org/officeDocument/2006/relationships/oleObject" Target="embeddings/oleObject4.bin"/><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wmf"/><Relationship Id="rId22" Type="http://schemas.openxmlformats.org/officeDocument/2006/relationships/oleObject" Target="embeddings/oleObject3.bin"/><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wmf"/><Relationship Id="rId15" Type="http://schemas.openxmlformats.org/officeDocument/2006/relationships/oleObject" Target="embeddings/oleObject2.bin"/><Relationship Id="rId14" Type="http://schemas.openxmlformats.org/officeDocument/2006/relationships/image" Target="media/image1.wmf"/><Relationship Id="rId13" Type="http://schemas.openxmlformats.org/officeDocument/2006/relationships/oleObject" Target="embeddings/oleObject1.bin"/><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19050">
          <a:solidFill>
            <a:schemeClr val="tx1"/>
          </a:solidFill>
        </a:ln>
      </a:spPr>
      <a:bodyPr rot="0" vertOverflow="overflow" horzOverflow="overflow" vert="horz" wrap="square" lIns="91440" tIns="45720" rIns="91440" bIns="45720" numCol="1" spcCol="0" rtlCol="0" fromWordArt="0" anchor="ctr" anchorCtr="0" forceAA="0" compatLnSpc="1">
        <a:noAutofit/>
      </a:bodyPr>
      <a:lstStyle/>
      <a:style>
        <a:lnRef idx="2">
          <a:schemeClr val="accent1">
            <a:shade val="50000"/>
          </a:schemeClr>
        </a:lnRef>
        <a:fillRef idx="1">
          <a:schemeClr val="accent1"/>
        </a:fillRef>
        <a:effectRef idx="0">
          <a:schemeClr val="accent1"/>
        </a:effectRef>
        <a:fontRef idx="minor">
          <a:schemeClr val="lt1"/>
        </a:fontRef>
      </a:style>
    </a:spDef>
    <a:lnDef>
      <a:spPr>
        <a:noFill/>
        <a:ln w="3175" cap="flat" cmpd="sng" algn="ctr">
          <a:solidFill>
            <a:sysClr val="windowText" lastClr="000000"/>
          </a:solidFill>
          <a:prstDash val="solid"/>
          <a:headEnd type="none" w="med" len="med"/>
          <a:tailEnd type="triangle" w="med" len="med"/>
        </a:ln>
      </a:spPr>
      <a:bodyPr/>
      <a:lstStyle/>
      <a:style>
        <a:lnRef idx="1">
          <a:schemeClr val="accent1"/>
        </a:lnRef>
        <a:fillRef idx="0">
          <a:schemeClr val="accent1"/>
        </a:fillRef>
        <a:effectRef idx="0">
          <a:schemeClr val="accent1"/>
        </a:effectRef>
        <a:fontRef idx="minor">
          <a:schemeClr val="tx1"/>
        </a:fontRef>
      </a:style>
    </a:lnDef>
    <a:txDef>
      <a:spPr>
        <a:noFill/>
        <a:ln w="6350">
          <a:solidFill>
            <a:prstClr val="black"/>
          </a:solidFill>
        </a:ln>
      </a:spPr>
      <a:bodyPr rot="0" spcFirstLastPara="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extobjs>
    <extobj name="F360BE8B-6686-4F3D-AEAF-501FE73E4058-1">
      <extobjdata type="F360BE8B-6686-4F3D-AEAF-501FE73E4058" data="ewoJIkZpbGVDb250ZW50IiA6ICJVRXNEQkJRQUFBQUlBTmhiKzF4UEcwcWpyUUVBQU9ZREFBQU1BQUFBWkc5amRXMWxiblF1ZUcxc2haUHRUNnN3Rk1hLzMrVCtEMDIvTTh2YllBdGNNNWx2eWJ3YWNmcTV3b0UxZzlhVTR0VVkvM2Ridk5sYzNTSWhKSnpmdzlQeW5OUGsrS1Z0MERQSWpnbWVZbmRFTUFKZWlKTHhPc1c5cXB3WUgvLzUvU3VaaTZKdmdTdDB2OUY2SXpLYVlIU2RwL2lCY1l5MDVMeG5aWXJmUEI5OGlDZUJFNFdQcmhQNElYSG91SXljeHpqMktzOGR1MzR3ZnNmYUZ1bkxXR2VDVjZ6K1h4aUt1V2g2cGRkQjl5a09pWXVQTEhoRnU3VmhaSmNzbjBxcTRJYlc4SmUyWUFSbnMwVithbjIrRXYvT0pTc052cnRkN3FHM2ZRUHlNRGEvQ1EzamNGaGl0bkFpZ2E3M1M2NWxQZXVWV05CWDBhdjlrcmI5V2JFUXhUcjdET2s3dnF5NWtEQ0hLdU1xVjYvTm9UZzJ1alBCMVFITmFRT0ZrcXlnVFNaRjEyM3N0dkVuUjNZZmsxenBVV0pOdDVQTlp3M2RVTFhTTXhSWXllM1E0SXU1NVpYTUNzV2VoMFpmOGhKZXJMMlllbWRxMjhGSjVrL01xdVNGQk9BUHJGU3JnVXc4WXNNTFlQVnFDTVVsOGRjRkdxb3FJVnREU3VqV1c1THBwaXNvNS9waG9FZThzVU44aDB5UUcwMzFIWWFXVmd5RE5zdVgrUlpjNlFOWU1kc2xjcndJdWU3VUo5TWcvaWJldFJuYU1aeFkvZklCVUVzREJCUUFBQUFJQU5oYisxemRTZEY2dXhZQUFCaU9BUUFQQUFBQWNHRm5aWE12Y0dGblpURXVlRzFzN1YxYmN4ekhkWDVQVmY3RDF2cUZzb0hCVFBkY2RxdkFxSEFuVWdTNEJwWVVrTGNoTUFSVzNOM1oyaDFRWko0czIyVW5NYVVvRmt1cEpFNGNWVEVWMmcrV2xDSWpsVngyL293QVVQOGkzVDMzbVo3cjdtSm5nVU05Q0R0OXVzL3AyK252bkQ3ZHZmenUwMTYzOXNRWWpqcG0vM1pkRXNSNnplZ2ZtY2VkL3NudCt2MzI1bUtqL3U1Zi9lVmZMTGYwRTZPMnZVNUlSRUxTZmpZd2J0ZnB0M3B0VisrUnY3Ly8vTTJpVksvOWpXbjJDRTI5ZHIvZnNXN1hlNzE2clRVMFd2ckFHTjZ1RXdKU1ZJMzhZOFcxaHVaZzVIeGdIOS9ySEZ1bnRRY2t2NFNRb0tENlVqRDFqdEU1T2JWb3N0YkVnaVpLNFdUSzBDc0FTV0k4MVM4QU5iVndNaFZuZFdqb2o5TkY4TWd5WkdtWlEydW9keGpCNXNyZC9ZMXc4c3FaWmU1My90YWd5ZTI5K3hzSlRPNGFqMWdKWWtKNjJ4eWtKZSs1SWthRmN3bFdUY3N5ZXh5Sy9hT2gyZTBlc01JRldlRWxIdHFKdUttcWFxUXR0NGFkNDFYanBOTS80RWpuSlI1eUV1OE5UOVk3UStQSUltTXhMTmJ5VW5UQUxOL1ZuNWxuVmpEN1g1LzFCanZtc2NHcEVVM2F0NTUxRFE1WGx1YjBoaHBPMmozclBieHJQREc2bkd5OTNvNyt2amxrd3ltZTFPbmJTZEZ4U0tyNHdCaXVkMFlXTHlOSnZXTm1wSzZNUmpTeEVaa2NnLzBqM2E2ZUlrYVR5QXc4SW1VNnJTb0tNUUxDMFdzNU1kRG9vVGFtL0RjN1J2ZVlVbmYxWjdYOVUvT0QxcWxwbWU0Z3IrMnlZZTM5WklrdGMwUUxyYkdaUlJxRTFLcG1UeC9TM0tKRGRMZlROMXpDdHZIVUltMWtkVWlGM0tJaXpjREVZUHlkQ1dSckpsY1huZi8zcCtlZmZHVC91bis3VHY5WHIyMTI5Uk83L0k3Vk5UZ0ZzOElmNk4wejFneEVnOTJ1NzdmM1FrM0ZTRGJOdmxYYjFIdWQ3clBiOVowT21RNGprMHpVUTUzVXFsNnpHNEIwZTIzTjdKcEU2ZjFBWnYvQ1RiN2tWaUpYeFpCWHNaZXYzMzcrd3FzWXE4bGMxMHoxbG8rZnZmcituMTk1TlZzM0J2clE2aGw5YXc2cjU0eCtXai9OcmQ5R1QrOTB2ZW81dithNVpnMXZUSDc5WDkvOTZUZVhMOTY4L2VMZnZRcStSMloxditwRDAvL2dhTFNvb2h0NW1uQ3owKzF1bXNPZWJqblFaNWRXejB0ZTNkb2NtcjMycWRHTExEN0xyV0duYiswYjF0bWd0dGtoeSszK3FXRllYa002YUVuMDFTTUZMcDU2cERBbEFLUW9IdGpSaDJUeHRPdktGdmpnQndJSWdqL3Q5VDN3eFpPSzZIV0MrSUp0dzc0NFBmcjJaODh2L3VVTFQ2ZHU5NTkwUnAySGZ2ZlY3cHBIajkxWnpDcm8vbGdoUy9jVG4yNVZQM3A4TWpUUCtzY3V3WDVmSC9Bd1Q1RDkrVmMvcFVqU1VYeEozTjBsaHNmZS9oWGs3bEJ6MkxORnptK01aYnNUS1hQc0s2ZWYvT3ZsaTFlaFJZaVJzY0hHRm1NY3JnNUwzWGowaUVBWm1veFZUakpkNWxnaUoyM043UGRKWHJ0d1JRNEl5NUxkWHpzN3ZyUXlIUkI2cC8rUXpsUFJsZnhCeDlLN0hldFppdXl5bGlxN0xLYkl6azNjUHlWb1A1SzZ2T1RJNnY2MmlleTV4UDUyaHB0SXVweDFpTGZxRVkxQWNOK1JNUnE1bGJwNDgrSGxxMStGcXpUVSs2TkhaSUpHOVlhUDUwVXhybFY4R0s5eVVsZjZKenpBeU5LMldnNitsUldabjhvQXJoU3hJT3pCYmg2NXVSWGFheFNTS2ZYYVRoUzFCb2haWVRoTXpDbDVzOXNaY0ZDM2w4WUQzVXU4dGx0bXFIZGR0L1NZUEoySDI4ZXM0aHdXUkFrbXBKTnB4aWx4ZWExbGt2azdpaFprZjNhNnUyVkpuaTZ5QjR3WVhVRllwb1NLczdTYzdiZGtNODRRQjNuS0tWT2N6UDcxcGVOMFdUNXhzQzBPemlFT1cybjJXRXRtU0RPcHRwSnQ0ZVRKdHBVYXJFWXUyZHhQb1VWdnB6TTZpbWE5OS9COW92bW9zTXdFaXd6aVNJN2xqU2NHWi9peXIrdEQxenl2YmNZblhTeWpyUkVkalBIanM4N1I0eDE5Uk5ZNVJZckJwUmdZMlRlN25XTnV3M3BhL2dlUG5IK2N4dkxMaTAvMnZzRk44VkxmTS9oZWhoRFJtczVhZ29CQks1bW9wVnVXTWV3N001MUx4aHdISzhPaCtRR2pFbDNnRjFkRmRqZjBqL01UczZxU2hzaHEwbGl6U3FMVWtPbms4MVpWMG1tRTJhbCtUTXBwMHBGcVBLS0lWRktVSTVYUGZNbmxIdXVieEI1WXRwZm81TjZoQXBDNlU3T2VyMXdTQ2xoZUNvekUwQnBMRnYzWVVHZElJR1I4dDhsZkcwOHRvMy9zc3VaSmw3Umdld1NoaFR0TFo3RWNvY1U4VFQxNE9WSVdlSTltSy9kU0hjcVNUNGw2V1NLUWdDZ00yckJDV3hKWU8veVFGcEdSMmVNWXlHdzNTWHJ1OWxQTE52SFM3QzlHeVVVS2ZqbUU1MnFYWVBQYWc1VnU1NFJZSEd0RXhSbEQyNkZqRHlkYnBWRkxSWCs0YjVrRWl6ZTR3NE1WR0pwa1RmcGZjaVhXVHZXaGZrUzQxYllQYkpYcm1JcnRUczhZMVhhTkQycDdaay92QjAxRjVnOWtvOFExR3JPNHRBaVRrNkUrT0hXNTdBL28vSFRHcUZOcnV1TDFqemM3dzVIRmFNZ1Bhcmk1ZisvWnBoM0xyQjhacXdacFQ4UC92ZkxJb3RnM1pVRGE5dHlvWmhjcU8yYWd2Y1RTRnBWZHd5OUoxWG05bFpERzBnZURXc3V1NDlwQndod08wVnNEbC9EOHo3Ky8vUGlMODE5OGZmN1I2NHV2L25ONXlScWtNVm9hSkNXVDhjWVgwazVnWXkybTFDSlo3QStoZFhiTE1IdUdOZXdZTVYzbXBEempzZHcxMmVLUWpEQjNtUTh6aFdDdGE0Nk00NVNWY3Rla1RwWlVGdFIrVFNsaHgzeGl0TTJrNXN5TkFCbDFIcHpGQ0pjU3ViSTFkYUx5SkRUTVVpS2pQQ0trekxYWk1jM1Y4bU5KTUlXUndPVzZ2TVNaVjk1SGZ4bzZ1Q1BUUVlEbnpFR0FlQzRBY0JDQWd3QWNCT0FnQUFjQk9BakFRUUFPQW5BUWdJUGdwamdJTG4vK0Q1ZC8rTngyRUlCM3dDRUE3OEQ0OG9CM1lISVN6SkYzd0FtV29NVzdQZ0taNHlNSWtkbElKUGdwWkhTYWZiN1o2WWUxWWhxb1FCYlNsZnZ0ZTZzYlc5dTdyZDMyTFpiYzFrOFdDTEFrLzNzbmpxbjgwRmRxK0pjb2dDVFlZUWUwams3MmpkMzEzSmxqdlBOa0pyWVJwMFZ5K1ZSc1JsVHFSYnZ4MG53c29rdDhhQk1mcHJwY0tPM1cvWlc5OVZzaXA2NGVMTU1LWnFSMkZROStSR1Y1aDR0NHdsNFpQODhoelhPWWtDY0l6S1FDdnBvaXJocS9waXlPaVZQYmdPOG1tOWp0YTN1dG9QUnNPa2tpRmc1WW4zSkhEaThENG1WSWNCaFJ5emhFbG1EUE5wdlo5bXdvK3M1djNma3dSakdmUEdTTXlobkU1WTFSRzhHR2pGSHFwMkpSZEpKcmlvb2NYeWdyYWk3czBIRXhYQ0lDeTQzaGtpSGE5REZjV2NBeUpsQkxzVjJMNDZTOHFJQjk5b0lsN2RNS1pBaDMyUjllblBsSm4xaFE5SlNISHdkcVczYSt6TVhnaFRKMWVFR2pDcW1lSlV2endTMWlWUkpEV2JoN2I0MnUxSjdxYmEzc2hYNDcva3ZoQUMzRXZoMmlkOTVKaHlNSXVRd1BwOGpRaFM5SVFSbjF3eEYybU1NTzUyQ1hzM2Jqc2lzTmtSYlJ2R0lrVkFZakxVcml2S01rTHVoeGgxdHVXQVVvS2RETWdKSUFKUVZLdUs0b0tZdnBvam9WWHc1YllxcktlUmE0MEQzR05oNHdERVdscUhNV2xTS2orRTZqdjdhanBpUTBNcHdkRUpnQ2dTa1FtQUtCS1JDWUFvRXBGWWU2RUpnQ2dTa1FtQUtCS1Z6NndNbVY1NTlkL3MvdjRjeUtUd0JSS2VQTEExRXBrNU5ndnFOU0d0UGZOdExVOGFKU0hNTi9qTUFVcFdCc2ladVp4MzZxc1NsT1U4MXkyMFdSNU1MYkxvRW1LcmJ6Z2h0enZ1K2lGdDEzMFdEZkJmWmRBZ25WTUVaaDM2VU1jQmtMc0dsODUwVTIxOG9IcDRUMklMUTUyNE5RT1p0RE4zTVBBdllZWUk4QjloajhnbUNQSVVvRWV3d1ZoM1d3eHdCN0RMREhBSHNNWEhwL2orRzdiMzd5M1o4K1BYLysyY1ZYbjE5OCtmcjg1Yzh2UC9uRjJ6LzgrZnpsTDJIWHdTR0FYWWZ4NVlGZGg4bEpNRWU3RHQ1MGQyeENTZUw0QlBZSXNOSHA0dTZDRXY5RE5Sd0REVG5OQTQ3VnBxQ2krRUkwRjU2QnlwdjBpYVpnSHUrNEpDblgzRDArQldPSzN4NWcyNEJ0QTdZTjJEWUJJYXB1MjV6LzIzOWN2bmoxM2JjZm4zLzgwL1BuMzM3LzRhZHZ2LzdpOG5mZm52L215NHMzdjd4NC9XdXdjQnlDYWxnNE16b3BQbk16NXFyd2ZGNTVabS9oVE5Td20wcndsTVM3OW5leXdWTnFNK1BNdll5RnJZMTdPM2UzZHpmb1IxR1FHN0lxWnh5c2Q2MlYxT1BuQlVwMjQ2eTBwcEl1clNTRmo3U1QzOTZSZG1raDl1MVFTajFCbjZzYVk3TWM0NklocVVnMGx5S29EUm5MeHFJVGdEWGh1QzVObGdXbGNHUlhzSWtMWGp6RWNHWnVleGNKRFJsSm1sMzdxb1Y1eVVVdklTSURDc0s4SU16TFQ2aUd6UXhoWGpPQWxsbFlMcWozcDRCbzJPZXJQSFl1OFM0NnJITElGMUk0UzlPTkRQbXlXY0N4ODRnNEVCSUdJV0VRRWphSHV4Z1FFZ2JiSm93R3RrMDhTdGcyZ1cyVEpQckFld2d2Zm52eCtvK1hMMTVkZkFudkliZ0UxZGdoZ1Jpd21BZ1FBMWIxR0RETzVnbnZkcnBKdjRjZ3pmcmtPUTRjZnEvMnlYTmw1aWZQTVc2VTJLRW9mL1pjSzdSQlVjSFQ1NUpjOVBRNTk3ZzZiRXNFbWhtMkpXQmJJbERDZGQyVzBGSnN5ZmsrZlI1SEd2Uk8rQ2tqRGZlKy9GSlBCMGljdS96NWdRL3hsNXBLUFI2UW42SDNOSUtEcEpJRE8rUklsSVhNaWJLUTh3WjJCTmIwNUxpT2NUbVdmeDJoVUZpSGhKdHVYU2FNbDBpbmxNRkxTQkthcUF4Z1dpd1cwYUUyS1I5VURkZ2tGbjFTU3N6RVdXUENKbFZSOFRVOW1KQUZoZ0E1QVhLYVcrUzBxRFJtNFczS1p1c3NOTlBnbmVWYUtzNjZVdEVyUWF6SUMra05nc1F5NkZDU09XRVdQcFpyY3RaUkYzaHhzL3BQWmtxUkZha2tvbEh0MWU3T1lldFdBTlVzQlBBS1oza05lb09TMFV6VExwcXQ4aitVR3VLUFZ0b3J1K2hXb09pRkFNczB1RU9ib3ZoN1VGSVp6MUNSZUo2clBLZHA5cTJoMlkwSDJ0amYzYTNicDFiTEhIblJOcnc1ZWVBN2h2THRVQzducWlxalhIL1dEeFR2aWl3NFVnbHhyT3ptQ3VDNldLNDRYcmJyc1dxYzZrODY1dG5RRHZPZ0c1L2J1KzJFS2hRaFh0UDdXOTJ6dENWdzVjenlsckFFa3ZYT1NIL1lkWGVNYU1XMk54L2MydDdmMkdrUm84WnArWGNXcU5tN2tBUmlsNXkyeU5QblhraFRZcDluam15N3BRcDNOdWIyR3lyVjIrZ2E5emFhWUc5N0VXT0p2YTNZY2Z0c2FpL2FBdURKVDNTSFM2UVhjYW0reDllNDczSHh2dmUrWlFhOHJSenJBeG80OFNBZXNobU5kcnQ1OW1naFQzNFdNZGlqS2Zab3llZ3kvb3FWUDdvTUJieEI3WTJEOW52YjYrMDczZ0libjJ0ZUNUNkdSVGhTeHAyTjdhMDc3VHlGZUZoMzBRRzdpK3hMY2dZZjBnWjR4cEZTQ3N1dEFQcE1Mb0dEMnIwU0FuQzNDQkFNNUxVQnR1dUNoR0MxY1lMVmFxdVAzUzhKQWI0ZTMrc1J2bFlnQU16cmFqZGUzOUVoNk9wMENKcUVEa2t0cEx3T3dTa3FBSTJ0UkZBWkpZTEdVeUlJbEFnb2tha3FFZXdwRVh4MVNnUlBRb21rRmxKZWlUZzJIRmNGNExHVkNDNmpSTElzMVVCZW5oTEJvRVJBaVV4WWlVd2hGQjAyNE1KSk9YYWpRbkhNRXcwM244SmRsNGgzR0hweWQxMmkxQlBSbUxNYmtldEV0TVM3eWRMVDlKeVhTNEpLWEMyeWUwS2p3SzlxK3dRdWpJUUxJNHY3cHNZKytZZ0tuM3pFYUFvbkh6T25aU2hMdnNucFpZbE0vL0x1SkJXY1NYRHljYVluSDM5OHV5bElNcHg1ZEFpcWNlWnhObGYzNU5YY1U3d1ZzcEFJT2RhTktaOTVuTDBFTXdmOHlsd0NmbzBUWnViakFGNFFHaUIrdTJhQStFTkVnUGdCOFFQaUI4UWZFS0xxaUw4QllOOGhBTEFQWU4rWEI4QitMUXZzOCs0d3FUell4MHJxa1FrQSt3RDJBZXdEMkE5a0FiQWZGd3pBUGxlSXFvTjlTUlVCN2pzRUFQY0I3dnZ5QU55djFiS3VFcUxCMXRPK1NrakRnb3d6WG4wU3NVQXJzalkwUjZPV2RVdGNrQlpFQVRYVXJGdURVUGF0UWZuTDllNDRGRG00M2oyajNnZ2ZveXA5UkIwMUJFVlZVWkdiZHhaeGN5clg3alEwUVpPMDRtZlJSU1NVdVhaSGtra1BZS21BMWJVb05TTTM5VlQ0M3AweHJUbE1ScWMyYi9aY2d2YUVDd2lkaXNFMU9sNEpjd25BMXM2RzJkZFlDdzFGRWxQTUdWdVZJU1JJRFk2cnl5TmJZV1NpSUNJUlN6amxrcHhWUnFnSkRTd1RqWkZzcTdubHlhS0swcTVKWExkVnJTS29hak5oMGkwbE4wUytOa0lDbHJTc2kzOFdzU3JJR2tvaFkyMkVCVTFHalJTY2FUY1FXV2pWcHBaQ3hocElFeFJaVlZLYTBXNGRqSVZHTStFRnJMRmJ4NFVFV2EyVE1zWlc3T0FIUVd5a0VLMDZ4UWlpd3ZHYytpSXptWkRRUUp3QWFZOXEzU3NNYWZ6bVMycVhLN3BrMCsrc0FvNXdDayttNkFnWE9SSG5BWDlhZlBibGRJVExDYWsyY20xbXZYQ0pDM25DQzBHeU1YM2hWL29pVjU2cUZYakxDWHo0NE1NUGxuSVZqeE9waFgzNGVCcVBFMlVwbEZDV3ZIUFB5eFJSWFdONDhlSE9CL0RqejlpUC8vYlgzNXovNHo5ZGZQVGI4NWRmUVFDUFMzQ1RQZnA1bGZnVVBmcUZSTWl4aEV6Ym96OXpDV1lkd0lONVR3TlVQNEFuMVc1Uk9NVkMvSTVkTThEK0lTTEEvaEMvQS9FN2dQc0RRbFFkOTBQOGprOXdrOUUreE85RTVZSDRuVm9XMnVjOTdqQXh0Sy9PNG1ndTBqVGV5eHVsWHpNQXdNOGpBc0IvZlFCLzN1dkRwb3ozYzczRTRHVXBqL2N4NEgyN1FNRDdYQ0Vxai9maE1oNmY0QVlEL3VuZCtqZ1ZDV1lQdG1jdlFRWEM5WG0zYjA0NFhGKzJ3L1ZqZU1pUHVrZHF5Z052U0VzSm5rY29uRGhtOUh3Vmd1ZVZjc0h6U0piR0NKNmZpOWg1Q0lUM3lDQVEzcWtZQk1KN0pjd2xzSUZBZUpzRUF1R25Id2lmMlRnUUIxL282ZUJ5Z2ZEVHZmNXhXb0h3VWxwQUNhTGpLeFZsUVNROFJNS0RjL3dhT01jaEVoNGk0Y0ZESGhhaTZoN3lZQ1M4S0pERkd0emxEc0VOZHBkRE5IeE1Ib2lHcjJVWkw0MDVqSS9CUEtzSDRtUEFCT0NJQUNZQXhNZlU0ck1mNG1NQS9jOHIraGVGcG9RQThUc0VOeGp4UTRCTVJCd0lrS2xsNGYzbUhPSjlSWUo0ZU1EN2dQY0I3d1BlQjd3UGVKOUhEbmpmTHdId1B1RDlpa2d3YTd3djgyNnZyenJlMTJRT1F2Y3dBRllVUVVYeFJXVXVBUDhWeHlaQlpCS1BDTXdVTUZQQVRBRXpCY3lVZVBvNFpvb0tab3BIQUdZS21DbGdwaVNaS2V4djEwVGhQU1RRR3BwSHhtamtRb3VMTng5ZXZ2cFY0YU1UcWVZSnozakp0eDJSK3BpdUxNWVBJNFdpajR1WUpoSHNNVlhUNUs3eHhPaXU2NVllaCtZUHQ1a200K3pDYkE3TlhrSTZHVDJjRXEvV0FzcHV2N2dGeEJNSDFaMnpxOW5pWlBhdkx4MFBtK2NTQjl2aTRCemlNSVNTb1FzbjIxWnkzVDJVTzhtMkNxbjA4U3paYU5aN0Q5OG41aEFWbG0wblJnWnhKTWZ5eGhPRE0zeloxL1doT2JEN2xXTHg2S1NMWlV5eW9oVXAyNGhPUE1NY1FzLzJQMDVqK2VXQkhWN2lXTGdvTldRY1BoWk9SakMxdTBrNVRkRTlHQzVMaW5MRVB4QTVIMmZEWjNZa3FiRGxuNkVldkJ6RmppUVZ0L3d6bGFpWEpRSUpTbHYrRWJjQldQNWcrVisxNVgvNXgvODdmLzdaNVl0WEYxKytCZ2VBUTFBTkIwQnVWWm9IWkRIQ2NROHB6ZHc1TUZGYmVGSk1jN1g4bUdlekpqNFNydTVXTDVsM2plOWtiL1ZTRmUraDdJUUh1RFdodGJJWCt1MFlHTUlCWG9oOU84UVpMM09qSnIwR0p1Tng3b253ZEM4ZVUwVWx2WXF5RkdaSGZzZllCYjRscy9NOElhbTFHNXRkNmN2UkZtV3R5TTFva3FRS2tqS055OUZVZHRGRzBhdlJzTndVbXFqTTVXaUxDRWZPektjN29KU0dJR3BWZkZoYzR6MHM3ZzQvSjRNVXlFREcwZVJmSW04MnIvbDJOOXkrRmk0VGJsOExFc3puOXBTYzlYejBWQUJnSmxkbmpaa0NhN3JZVFpyM1ZkM0k1YmRha2FBMzNoMndWUTk2VStXMFErMHk0cFFMQVc5K0dnUzh6WTJqSFFMZXdnUVE4QVlCYitEMmpndFJkYmUzS0dEd2Rqc0UxZkIyUTdnYmhMdFZNZHlONDlEbVhSbzhXWWUyZ3BBZ2lxblBWT0NHS0VpOG96U3V4MWhSeUlvYXR4NDlGeStXcFZnQjgvOWloWUpWQVRXS3YxaUJWWkdkVElJM0s1SXRKbml6QXJ5bVk5dG40RFdkTE1xQk55dHNFbml6QXQ2c0NGTmQwemNyWkhXR2IxWW9wUTllTkJwY05CcllGOWN5ajRZWGVyZ0NYZGRuSzdJckJwNXk4SlJuSTdINWViUkNtVXFFZVBGSEt6Sm5ucGRsVWs5V0lIaXdBbHpsczNXVlg3ejg2UEx2ZjNmK3lUY1hMLzczNHU4K0M3OWZBVjUwbCtBR2U5SG43dldLSE92SmxMM1lzNWZnS3Z6b2ptbkVNNWRxOVBReEk2YWRSM1FjL1UzME1YVjBJZnVYRFQrb0Z2VG9xRFBNdEtub0dUN1RJVmtxeHFDWldENHVXNzZTci95QS9NNFAvNVJ5UVNZcHJZVEg0dExJeVVVcjIxYU5mRzJsbGl5ZlJSZmtxY0JrR0NSV1FKSkxsbzlRNGNFcWlWS3dtNldpVEpKYktWaUw0bHhZbUVpeHFpZytDL0ZkNlYxUlFBMDFteEU5WkpLSGtSYXNEUTdXQmhkbGt0eG1zalFPRnlsZlZlUzBOcE0xdVNpamxDRWdKUXlCZ1BjcW9PbVhsMXI2Q1YwQy9oOVFTd01FRkFBQUFBZ0EyRnY3WENUdzIvZzZBQUFBT2dBQUFBNEFBQUJ5Wld4ekwxOXlaV3h6TG5odGJMT3hyOGpOVVNoTExTck96TSt6VlRMVU0xQlNTTTFMemsvSnpFdTNWU290U2RPMVVMSzM0K1d5Q1VyTlNTd0JxaW5PeUN3bzFnZUtBQUJRU3dNRUZBQUFBQWdBMkZ2N1hDVHcyL2c2QUFBQU9nQUFBQk1BQUFCeVpXeHpMM0JoWjJVeFgzSmxiSE11ZUcxc3M3R3Z5TTFSS0VzdEtzN016N05WTXRRelVGSkl6VXZPVDhuTVM3ZFZLaTFKMDdWUXNyZmo1YklKU3MxSkxBR3FLYzdJTENqV0I0b0FBRkJMQXdRVUFBQUFDQURZVy90Y2xlbndlTGdEQUFCakh3QUFDUUFBQUhSb1pXMWxMbmh0Yk8xWnpXN1RRQkMrSS9FT3ErMjVUUnpIZGl6RlZHMXBSS1VHbFNZcWNEVDJPckhxckNQSHBUOG5MandBRXVvQmJvZ0RGd29IYmdqZXBwUzhCZnZuT0U3V1VTcEMvL0R1WlhjOHV6TTczOHpzWmxKZlBlb0Y0Q1dLQm42SUxhaXNsQ0ZBMkFsZEgzY3NlQkI3eXpXNCt1RCt2WHE3aTNwb1FFYUFORDREaiswZXN1RHcxYnVMdDU4ZzJIcG9RVldIZ2lWbDJ3aURNQks4djA2L0RqK2NjdDZhQ2tHcmE3dmhvUVdYS2txWnRmSGxiQXUydXVVd2VXdU9nM0NzRUhiUHF5TFhjRFFvYURxajFWeW43SGtKVGVWOGlxWTVla0tyTXBybkdjZ3dFNXJCYUlacEt1bmFHdWREcHFzWUNVMFRheDFIVXhOYWhjdlFEZGREc0RTdjdwNm4xM1ExcTN0V0oxVnl4dXE0ckl6dVdaMXFrdk5vRWx0dzNjdGwxVFRkak83MVVvcmJGSnFieENwT0xPREU2QkF3cWlLRG55MGlDUGRSSTR4NmRneWVIUGpPZnRNZTdGdHdXWm5rWk53TlB3Z0VjL3U0VHlTMHdzQjNaYXlwZ2NHZU1BSnRFS1M2RTNlZXdvU2ZMeFVqKzd6dFk1VDdkY1R4RlBtZGJreUZLeXM2YVlaVTFvaDl3KzVUM2taZ3g3TVpkK3c0UmhGbTlwVHJ6MWpYVWNmSGExRVVIakpPRXJZdC80UVlySnEvWkJPN2wxdkFERUZNTlE4V2JNRTRIanJyRU93aWo4eE4xbmpBazYyMGNoWW9MVitKVXFLRkZNbVpXTlc1czg3R2txY2cwQXlwWHVVY2g1bXhVYjAwNXVMWDV2Mkk5VWxyWjAwTTJqNk9TZDdOTytTQ282S0lod3hDY2t3S3Q3OWpicThXYnI5Z2hOaVdSVGhjNGcxVXBIZHc1WDZ1Vm1qUGVlNll4WE5uc1k3dUl0cm55aXI2MWVUOXlvcEtXeEVWR1p3MGcvYWNxRENLcUZoc1ZGUU4ybk9zWFp2TDJzVTE4VzhEWWdFUXNUMXZkVUEwUWh4UFZwZWsxbEpNMnVYU2J4UGZySGZaQXVXUzRKVllWcFR6T0ZpUzZpekdoRDZxMFBKcTdzWFo1L09QMzRBbzYybFZTVmxXTE9QbHpUdVVLbVpjNFpsVVVaMWp3VitsQ2dHeVNCVzBOcDVKRHBYa2dUUGpqRGMvUytUNzBhZ0tMUmltUExlTmpwSTY5UG5Qczk4L3ZnemZ2eDUrZnlNcTBjUTY1RHVYeXU5YllyKzl0Y0R2WUF0dUlFeGNoTERZTDFweDJHZVpkOXJEVXlqRWZ4UFRCZjZ1SGRrTzJRb0lVSmFTS2pSM0RZWEkzSHJHUkRmc25oOGNXN0RwTzFFNENMMFlQTGNmSVg5Nnp4MnlaU2V5KzEyd2hkMXQ1TVZzT1JrMy9HZ3dtdXpTcU9FVHZuK3JUK0drSXNsRUhIUDZFcXMzN1lpNC9RQzA2YW1KQzYrSGNSejIyRkJzU1VaY3FtUTFUUzhjcU8yQjFHbFNCc0NHSXl2UUdjZHEwZ0NBUkhTSEhtR2VGMDRPRU54ZlV1R0Zhb1ZxTjA4MVpRN1ZwTDhKL211clhiZHE0NSt5V1UvY1VQU2VFVlJCSVRNeG9uK1kvd0ZRU3dNRUZBQUFBQWdBMkZ2N1hIWHdRWkFBRmdBQTFSY0FBQTRBQUFCMGFIVnRZbTVoYVd3dWFuQmxaNzFYQ1ZCVFdaY09BaTRnUmpaQmJFZ3JLZ0pxV2dXUkxXbEVRS0FoelM2Z1JOdW1NZENRUmtCQ0cwaXJiQUlocmFMWUlLUVJJcHNoTFVsQTJRS0VwZFhHSUZza0NHUlJrZjA5bGZBazI2Um5wdjZwbXZxbmFtcitxcm12VHRWN2RXL2RkNzl6N25mT2QxU3ZWRUxZVmg5UGIwK1lob1lHN0t6Nmdha21ZTzUvZi8xTDQrOU4vdFU5TkZTZE1QMk5zRmpZSFUyTlhiQjEraHFhK2hxcUhoZ0NCdFBRL284RnNQOGNHdXMwdGJUWGI5aTRTVWRYdllDOUZiWk9RMU56blphbXRyYVdsbm8yWFQwUDA5TFhOdGg1eUcyOVljQzVEYnNTalE1ZnVWR3gwZkw0b3k3andKZkE3aVBmWGJ5NlNXZWJpZWwyc3oxN3JmWloyOWpaSDNVNDV1amtmc0xEMCt1a3QwOVFjRWhvMktud2lQUGZSLzhRY3dFWG01U2NjaW1Wa1BienRjeXM3SnpjNjNrM2J4WGR2bE44OTdlUys1VlZ0QWZWTmJWMWpVd1d1Nm41OFpPV2JtNVBiMS8vbjArZkRRMlBqSTd4WDQwTFJHTEptN2Z2WnQ3UHpvRWZQbjVha2E1Q245Zit4cVVCMC93SDlIK0tTMStOYTUyV2xxYldocjl4YWF4TC9YdUJ2cGIyemtQckRkd0NOcHhMTk54MStNcEdvK00zS2g1MWJiSThFZ2dZZjNmeHBjNjIzWGFpUGVEZjBQNGQyZjhPMk5YL0U3Si9BUHN2WEFMWVprME5kZkEwOVdGb21GSzU3MzVqU3Z2aDlQUGZQQjVlWkpkRmNqLytOYlpVMHBTYkxLb1ZsRjYrbTNDeVdUazJ6STUzb1hmbVRwdyswSnZWM2M0YTNyWHhUZlFOK08wVjMrcXd1TG14L05TeHArTU8zM01qOGo2VFJNVUZ0RWVLKzhwRDhuWHRJS1dIWVRaWHJnblpBM0NKNnhSRGdrTWhqdVlkeUhDRVpOSzdRSG9oVlFTNVdBb3BPckZOeFFLaUNzWmNvdTFsYktsSVNhdlExZlBpemxiZ0JDbHZJbGI2YUN2YXdUZjluL240VEZTTnRTZmpuTEV4bytHc01uR3g0R2JUamR0RkhYK04zbnBIRVFTMEpySWttNUk4WkcxdGpUZE9qN1ZLa0RxRUgxUXc5eUc1dTlqY3luT0U2SmM4Rm1YUk9JTGYyZlJrYk5uZ3NtM2FBYnZIMzBkZm5yaExEV0NsbmYzRjVVWmtXL0ZGRzhIRTZ3RVRNWW9wYzFJT1VDMDRGMGpRUGpOb1ZaaXprQWJhU2xiSjZBU3FCdEVJc2djUjB0OGhYU0JPSW9aOCt0MVVzS3RZNVZPU2FRSVJpUlB4TENCdVo1UXI2SlVqb1hRalRCSStxV0RhUkNTNGpWRUhrWG9qbXE5bjdKcUwwdTBBVW5OUVZuTWxxUStwMEY0VnJOdmNYandjcHR4MFJBWFR1Z3hXWFVKV3ZlSkpqZ2luTnhNUGtReXJmaUpjUEpEYUF4S1BJQjRoZTNzQjI4blhBK0w1UmF0T0JoZ2ozamY4K3pEUmtSWkY5QmpkUGNaMmpmbTZTRnhWVkZUU2ZNUm5EZ3pNakFoOFd4UmNXdEtJNndpeC92QTRxSlM4cjZrMGROSXRLc0RQUDlaSHI1ZjFldGZvbk8vSjNuRC81TStWbGxLRFBQa01SRklmNGJraUN5bTNySW9pQnF1UlhTQjFPY3F0SlUrSFpsZFVNRGdSclNoWHdvbGZBNFhGTzl1ZmJBc1ZlQlVRdllBZG9nZE14cTdaN29FR0JvT29LMnFLRzN0eWt2WHB5cTdVRDVUcktsZ2pmT0UzbVdQRzhEVGdSekZSOHJDTnF3dUxBS0szZktmaWp3NUx5QUVMZW5WUnIxTDFNa3lnL05OQUZsOXV5SkIrQk0zNVdTbGtmSmZGOXNHVkF4aHVLbW9ud010ZUdmL2tQUEhicDZkc0t2ejl6MVYzNk9sVnJ6RDR3UHlDZTFqYnhIaUg3WjZKTFl2SEhEMTltZm00cGRJVDFSa3lkbDFjVEVMVHNKL0ZRR3hEU2N4OHVsRkE0RmYzOC9iQi9vbHBmb2dUcjM4a0M1Z2xBUUVZUVFaOFBGWFUzRWxCeEpVVUw1akxOcnVKOWR3bDFINk1oZHowRVpBdUppYXAvVkpVZlMzRmZGMS9KNGRKV2x5dlJQcytieTI3aE44NjIwTHY1L1lPN1hyNWljQ1NxV0JiRWZwWWgyeGlJRmVZd0paOXF4U29ZT3czS2xoVDhZS0hURThlQWpHQUNlbGhSZTVieUJpWTcxTWV1U1hOZ1REUmVERWxud1I4NnpuS3RvTnFRVitwOTBzWERQQk1CZXRybWNsZVpIRzJNN0pSRytLV2tobnJDY2ZuMGx5K2xUWmRFcVJPWXVFcTJOczlIRFpEY1pjbk4rU3FZR0hMY2lObE8wa0NYOGlSV1dVTXJyMHJGcE1vYW9wdFdBQkJYay9MM2lJNzh4MDlhTk1NSGZsUnFMUUJaMmJhOW1Sa1BaazJOMlVQakRXVHp0RjBaUlBQUmRVUnB6MStRQjVjU2ppQlN2N1F1aUt5bFcySVhIMVY0RXozR3JlQm9yZUgzbGZRYmU0TkZzejRPZGNsNk5uOENqRU9FcXI5azNhWFBwaDBTZ2x4L05pUzRsaTB0K3hXd2VzRFIxbWh6TGIwSlcrM3AzOUNHQzRXOEdkY1dZM29vTUFMME1KZnNjREpBVjAzYXVSV1FrNGdNRnFkU1F5cm55My9ZckkrZTVTVmJ2ajNEVXduSE9hZEdldDIrLzJHU0xhOGxYQ3BxelJ3ZEJENnpmUDY5OG92UDJKZVlmclJRT0RFTW1TVnVvQkJjTkhqTXVuK2tRUFJpbC9SMFo5ZGRrbzR1V3AvOC9zSjlwT3BKekNaS00xeTdtbXcrWmRQK0ZjYklxNzU4b2tlbFYrV1JnMG1NNjRydjh3L01XcXZlM2MvTVpwQks0cWdMMWRDMDFLOCt1L3VjaFNVbFFMd290VHYwZks5SXk0ZU9FWDI3aEVYUFRWUmZnV0xleEZhajBEdFAxb2JEOGs5b0dqWmZvalQ2VGxsR2g0VU9MS2p4L2NCcnJnK2pSWTF4YTIvc0RaWitOc3F1bnVaek5tOGttN3BEWEM0Nkd6MDlqYWtDS0ViRHRsMkMxQy8xV2Y4aFRETDJFUzR6STN3cEZYakxpbk5odXpRVytUZVVBcXdKbmJWNUpaNHZDaUxxL01TdFcrYjhRSmNqdkxOVUN5QjY5TDEydGsxa2g4eGtKNU4rRGtsa1ZCcjh3azBLQ040WDk3SGVyK3ZSb0Uzb2dleUNiVGR0WTdCTnd2ZWhyd293c1dZSGdzbWU1a2xEMVZ2ck9sN2Nmaml2U2Q3UDlmMkxTWGNtNjE2WGJISGN6QXoycXhOQlN1aE5yRlhGOWtTL0JYc1pxVjV4cEQ2NG9RdFhPUnNJT0prVWFRdTV6WTRXQm9FcEM0R2dRNFM4K1hjdGdOaXpFU3JOSDZRVFY4L0k1d3BWTUhPTFdkR0dZRElMSGxhWWhvOGkzanU5emowVmhLVGtzbFd4RnAvYXM5NDVmM2c5S1diS2xpWHM5SW9hNndBRFhpaEljc2VNajZwRHBtajFWeSs0M3FLNzhtZ1VHVXZOU0phN1hYOE44bTZaVzZpUVg0dyt3K3NRVy9sZzhwNmU5cTd4OGx4Si9pY2tJd3Y1VTVRT2hqWEpaamhjdkk2dEFCOER5OUh1ZmVxTHRhQXNFTU16N2JEYkllY2U0Nk9OVGNKeVBTT0p5S3EvcXU1aUlOMDdhYUttQmlTbG9QVVFaOTdHUmVmWXZZUThOaEZMRlhCdHFpNWN6VldCUnR5VWFQZ3lFL3dmcUhLTzRNRGVvOE5rcEdNZDZhb2lORzV4MmRuWHlZL21QZmFYQ1NRdmtyenBEbTQxZFEvbys2L1hibXRBV3Zqcit3bW43R20yVFRXOG93M09IZlpKMHRReVcrbU9RUGF1TjF2U1RxS2ZPVVdDQ25FTGxiS01BVGJMb1FHU2p0ajRLczU2cU5VdWFHYTRWT0hJSXpNQWJmbVY5d2RoOHd0NGZkUklPc3QxeG56TFNGTE40Qmg0UWRDZGRDSUhWNFhPbit5RGN5b0JTUmNwM2YxTk9peSt4L3RqWVY4cjJGUnpzb1BiVUZDL2dKZjVxaDhFU3BRRkMrc0FodUUxWjM1YUdOZTlTVGgvckNRMzgxWkowYzJnWHRlM0RKL0hSSFN4OWx3MWM1OHk0SHYwZy9ieXQ2elByT05udHg4NWp6QmFyb3dKajZyNUllZkJ3LzFpcXVqWEpZT1Z4L2ZOUEp1SnFNZjdwT1BMNkduaGJmRU44U09Sai9qMjcyMWJiWTdPenRjc0tPVnZLU1lqTHlWU3Z5amVrZnI1SWR1L2ZiUDU0Mi9Od3J3U0N6Sk1ncjRXdnUvR2VJbTFVQUZpOFgrd21ua3lJMk9TTy93VVk3RWM1QXo4QUMvWGRtRCtDT0V3VlU0aTFmN2tOblk5UnpSMlRPRVNPbFZkV2pJcE83ejhTSzlJREVsejhXMmFqN1ZZaXNUVE0yeGgrdHp6NmM1ejM0VjEySTI5ZEJndmlSd2NuQ1FrMEF4eVJpbG1paHQzMU1mVlM4R3lBd2dqSkRUU1JwWHdhVHBVQ1Y0Ukd4VktEZmlzTFBJeFlVZFJ5R3VsRExFcG1yT2RUaER4ckk0T1FJNkkzeUsyZ0VsQ1NrNTlxN2ZIV3R6bDR5TUpMaWt6Qng4VkgxcWRxdzZTUEV6STZmRFV2bUN5cklqc1ZMSm5BdVU4WDRKdFF1ZUhhYUNHWFpzSnBwQ2FNbXlIdkVIeFc5dGllQUwzY2ZLOWRDd1pEcGZiaVhHNk0wcHRSUjE2QmhyVm1TN0cra0NmT3VzeFplTll3L2JUalVmblVJQWIwcmkzeFh0N0xqNmtibkpLVkg2TEpBYldEY2JsZldqbjg3ZHZNVGFSZXVvd3pUVDBXdVVSbW5UeFFxSDFPaDl6ZHY3OXBZSkZ3TURBbGRGL29uWGlsSmJTcGwrZGplWjdOSzI2RWNmaWpzcDI1V0RUZzMwR3FJRjVLSFdJdjVxSjRZUXc4RFJLUTZZSk01VTZnSFloY1NrV3NLWUx0S1lHQW5HNUxaaEx4Sk5nR0tsVHZ6dm4xdXNNb25ueGE3dVhhdmwxaHpnTGYvNmlybTd2d25IeUNWU2dyZ3V5TWtqUmpJaUZlVWNJUlB4YUxxSGNoWExwQlNpck5TVi9oSGxpcHdFb2tWV1hMaXAvTlNnbGFLQkU4UFE0UUxOZlZIV1VLcVFZMGpvNS81TXlTU2VBVThTVm4ycDNDbGJQdEZQRkFLOG81MUxFWnNmbnVuKzBNVndiZU1mK21zYW8xWkhHdXBqMjZoZ2xVeEZ0Z29HUnBFc1ZMQzFtTnZMYUNhMnF4NC8vbHlhQkduS1hNUGpQa0lOUEtGWEZ5YUx0Sjd1RXBCUzNWLzFHcm81SVNKZFNVWm91VEZlNHdMT1RQYyt3RHowcUhoUWVaUnF2TEp3S2ZBMHUvSE02LzNmeFV6ckIrWnorMVorU3BtdjdkMlR6ZlhkOGlUYWJDNkorTmdGd1NVZXp0emp0RnFyYyt0UzV1VGhMNnZxdkd0ZTJFMStEcDdoN2FaamJqc3M3cVh0SHZWOFUra1hUbnNtZUZjOHc4Z2l4VTNuVDdPeUsyWGh4RkJGR2ZwSC9DdVRUblFqZW1FYVRQS0h3cXVKcDBCK0YyV2JuQWh3Y2hlU1ZiQnhudENxajdTRGVId2s0eGpCUWZwR0xTb25NSU4yZUNQaU9iN0xWdW1kS1l2eTU5NFliZS9MbDhXWDUvTS8wMWxMVEZGMXo3U2dWT0pQcDE5QWJFQUxhVmpBRjUvdnRKeE56NXJKWldHenFZMG1QVmp6T1lGMnhjZ3l5eTJGanB2YXBvNzR3OWpta3BCSFk4a0R2aWNOcDkyMXZJS0dHUTgxMCt1R3hQc1VCMG5qVEdtOVdwQk5DeXo3cDVuVmk4WXlSMmhITjRJVjFvdUdFOCtEOEdzZFgyWDhTZFZYZmhXM0JpZmJVYThnMXFNMFk2MnJDTHpPNlNaUzU0SEQ2WnBoTHpzMlhiQ3czT1l3cFYwY3l1S3p5OUtyK2V3ZDRROHJHdFdLSjFOVHFST2lnbm5GeU5RbFU5eW1kRlhCUHZGc293TnZ2bm5URzUxSVcvblJKY1R4N1ZCS3habHZIOVE3c1dQdWlOTnA5VWxKRVppeTJtUEJBZmVDUFJucmJ6dk5OVGZGajBpZkRpV244VnZOYkdpT25nbldId1pHM3BKSDN6OGJ3THlELzRJQXdpbXZsc1ZXWFl6eCtqNlNBUW0zL0txL2Erb1lWQXM0aXpDVURpVHVzSktQWlU1bjBwWDZjZzhRZnkzWk5hbmZZdDJveTNZSk9zOGExT24rMk4weVZWRXpHMGVMd3ZGYjZFVmpTTnA4MGtUc3RvOS9qaVJQVDJBbG1INUZxdlFHZEUxMlVQbVN4SFNkWHVBRFNaS1piSlFHWVVkUDFIckZkVFFPRGUzYndnWU5BOXJVVnhFbER3VVJCZkh5Y05tQmpGSFV4dUVKOStHMkdMRHlGT0FDNHFod2hoMFZIa25ZTzM5cXJPM000ZFBZZzdmWExBRXJVZmx0bVpWU0xmTFdLN2VnbUEwUXoxMVJ3b2xaenFGdW51NHh3MmFta0lONnBteUhPdlRramkvbCt3VXZ5b1RvVGU1aS9OWllwNlZXbkVoZHdFU0l6Uk5RenFuV2tZT1ZMMWtYVXVMR0Q5eVVnTS9XMUltT0JmTElLbGhDSE9jcW11bVYxOTlKSlhOWUpybVVYazRPbXMxYlFBSU8vVTdJM0xaemdFU1l3OFdNOC9xYVVRWWpiVEZxd3NVcjd0amhyMVBYdGVHcU1uZ2R4dnhQU01PbkFDTUU0T1hhWTgyeHZuaUpPZDZmQlc2TzBwdko4dEhWSndkSFoxYkxXb2E2ZUNiSDZUNkdUYWlDeWswa3ByanlPRjdQTWFqYThkdzdpWTlCS1MyMHlzWjdYaWVvMXV6MGk1ZEJsVHF2MlRYZFZXbTEvaDhMWXZtL3orMnhTVWhpbitTV0IyUlcrd1UvS09TS1p4WnBNcHdjQ1JtQzF5VFpaV0MrS0NjdnB4dC9qV09vUlBZS1ZUQVR0WDVRRjAzaEF6UnNvUzNJaEl2TW1kN2E4ZVZ6RVRsU2pPbFJ3UVJQaU01QXU3ME1uNzNXb1JhK20xTHo3ZklIMEZ4K1JIUDJ3UVFXT1pCa1RIRDNCcEd6L1Z6NFJMSFVDcHFVbUtORjAxMmtDYmcwQW1vRk5VT3ZLdWQ5QUNRWEx0QVZJU2x0NTJzbmNLRkJzUkcwUHFxSW9rTm9EUjFiUGp1Y1BCK1hML3RNZi9oOTRZdG5teG9hekk3dFNqUDVrTlRGYVdRc0ZvUE9JcTkrelBoRm5vaTAwQzh6azMraHFFQWgxR29PQ2FMVnZDSUp5eERhS0F1eWUzZHFoMmFwS0V4YVNIYm9uSWIyei9UaEZ1WEhYYXpxcHQ5ajlaYUpma0IvVHlMQlAxNGpuaGdtU25md1lUT0hWdEJEU0FGZjZic3NOOVJVOGtyRkc1U3R2a29kUk1RUEJseW5VL2p6a2ZDSUtscGcxVnQzK0JmT1dkYURYUitDNmszUC9RRmV6TjUxckNOc1gxM0hRTmRJdGZkVEQ0bVBmNGdOVzRjMVM5dllaeHh0L2RUL1kxRkovZDdiSnovNEZLVlYrT3NuRlV4T0pCZ3AzOTJ2N2EyWi9maDZ4MG44dzNldCtqeHJkdDdjcG9OYW9Yek0rYVNkV1YvOGFkbmNYdWpyT0ozd3F1SEc0aHRibXlJVDIrYzQrbkNFVlVPSmZiTENETmN3Ky9yMXZ2dDVYNnMxQU95ZldVWm94dUFIYUZXY3V1Z09QaGYxVmNzOGlPbVFHeEFuSlNydXFtRG5PWlNtREgxMXU2a2wxNFpteFNSRHVTZVVCVXFrcmRra2c5ZVF1emgxb1V3V1RQd2F0SGdpbk9lTk40c3ltSURNSDRxdW1HMHB2Tkx3YXM1aVY2RmF0Z1pGNms1YTlxcGJWSGdYbXJYVUxzUm9FUDNWeFVoWWhUWTYrS1BMdC9ZcW1DYWNnZ0MrUVk1ZmFkc2hRbXliOWVxNTlDdWhCRzVLUEtmT21zZkNJWk5PSjNvTGREbkVEOTNUa3QxYTRiMm5mU2xyVDJIRkhrNisvT0FhZjVwanhQbCtJS3dmc1gyRldzaUJvMk9SQW9RMEVXek82ekNWTzBPK2twTWRjQnlKYVpWcmh6YUJJa1ZlZWNyOWhQN093Tmc3Q0JaeVlSS2Nrbnd6bW53Z1VvTHY4WERJTU9vQUZweG81WXo0TFV4Y0RlcjJnNEc0QVJXTXU1ZDRXUVdyS3M5NFRZVytKblhaazlhaVVoYU8wNDJkUW5ibVBwODlidlRUUGRhY01LMSt1UGZjYk5lelZycWlMRCsvZU94K2ZYZGlNWXNWTXJQOW9rMjRjMTJLcFdtWWRDamxmbDJkQ3ZZa2VXNlBoWGRBaUxWL3dFOUpXU2RscC9vU2I1RnZ2a3RCblZIY1FRc3JVQnVCSEM3V21BQ1hGRXl6VTN2d3VkTjZhTnl5UUNaVXA1QWU3RVpTRjVxRDR5SGVLMTFaVUpEc0ZQRUNsQ2gwalNLWktKK1JHdHM0R2luVFpuUGw2d0JPTnJXUEEvd1NjV0h3cWVUWWlycmpKU1I1Y21SK21ZY3lCcVBzb1ZSWktqRkNrZDFoUXZEdFZIZG15bHUvRTJ5bE5EQzFGM2xkYVZNcVZhTzltcTNrTmhMUW5RTDhBa1oyRGtKZ3hnNlFMcHlKRWZFV1ZtdWdTK251WWl5bHc0SVF3TUxvRUwwYitmS0FlTEV2ZWR1TTcyamJnU1J4Wk9JYUFqZ2lUUVZJbmN0WkxWN2Q3OW1VcmZKdjh6R2crdnpMZVlJY01zbzZBckw5RmlUbFp1d2hub1dZRWhLNTNBa3NyNFJmSTVvTHFkcTRpSVlLVUZOc2NwMXRxNHZmQURsd3pWQTV1Q1Q4Zy9lQ2FETHRZUUNGeUhBMlBoYmNJN2JDRkkrL2FBOFBlcFBEekdFbUpYeFJ0SEQ3V0EycjBtOTNoZEY5ZXB4TnRZbnA4YU9qeDEzNHFjUWxPWjhVdStiTlMvTUpiQWx0NDZEc09OQmVrd1ZHeFZ4SjA1UDc4NGltZ3hSNjNJZlBhMHNNbWpxYmVaT0VsVDluMUtxRkJlb1N2U1lpWS9UWHlibkF0OEdmaTI5OTh6bkVVZmpkakxxWEZhcDdGT1pNYmpKVisvMnFDY3BoekJLSXlXTXpERDNxNWVmYmdKekZheExYN3liT2pOaTV4czUzcmFLM3FqTS9WbHM1M0lFR1pxNVdnSWdzdWIyNE5kNVFOSE5kYnZSY1BMQ0Yxek1jaGFINzFVUk5LVlk5a21pNGx6V3Njb3VmYW8vN2V2a2tpMFdiM0JnNWQvUjY5OXpQZjh0bTJRY1ZwUzJvWVBrNnY5WW0wM2htdFhWNXA1OU9QbHY4U1BRSnZSZHgwNCtvcVk2Y0ZnUTQ1TW94SW5LUzJLRVhhU3dQZitsaVhhK0M0WEJLRFlnQ3dLVmFZOFRkMHZNOUY2RmFPNDJrYW1YZnoxN2taUG9lKzFiUzV1a3E1UTR3TzRlaHErWWpGQlRxTkQ2MnVISUdFeVpieTdQNS9IWkI0cTk4RXhONFB6UXN4YWJHNXJhVmJaSS9EUk96SlczZ1dXQmlhM3lUb0hTbVpzNnU2TjVPLzVjRjU3UjFFaEwweWNmMkRWK2xzRzZlZmhTMXZCOWw2bmJpZnA3TmlmOHBDZjEvR0VrMS9tOVFTd0VDRkFNVUFBQUFDQURZVy90Y1R4dEtvNjBCQUFEbUF3QUFEQUFKQUFBQUFBQUFBQUFBdG9FQUFBQUFaRzlqZFcxbGJuUXVlRzFzVlZRRkFBZm8wR1pxVUVzQkFoUURGQUFBQUFnQTJGdjdYTjFKMFhxN0ZnQUFHSTRCQUE4QUNRQUFBQUFBQUFBQUFMYUIxd0VBQUhCaFoyVnpMM0JoWjJVeExuaHRiRlZVQlFBSDZOQm1hbEJMQVFJVUF4UUFBQUFJQU5oYisxd2s4TnY0T2dBQUFEb0FBQUFPQUFrQUFBQUFBQUFBQUFDMmdiOFlBQUJ5Wld4ekwxOXlaV3h6TG5odGJGVlVCUUFINk5CbWFsQkxBUUlVQXhRQUFBQUlBTmhiKzF3azhOdjRPZ0FBQURvQUFBQVRBQWtBQUFBQUFBQUFBQUMyZ1NVWkFBQnlaV3h6TDNCaFoyVXhYM0psYkhNdWVHMXNWVlFGQUFmbzBHWnFVRXNCQWhRREZBQUFBQWdBMkZ2N1hKWHA4SGk0QXdBQVl4OEFBQWtBQ1FBQUFBQUFBQUFBQUxhQmtCa0FBSFJvWlcxbExuaHRiRlZVQlFBSDZOQm1hbEJMQVFJVUF4UUFBQUFJQU5oYisxeDE4RUdRQUJZQUFOVVhBQUFPQUFrQUFBQUFBQUFBQUFDMmdXOGRBQUIwYUhWdFltNWhhV3d1YW5CbFoxVlVCUUFINk5CbWFsQkxCUVlBQUFBQUJnQUdBSjBCQUFDYk13QUFBQUE9IiwKCSJGaWxlTmFtZSIgOiAi57uY5Zu+MSg4KS5lZGR4Igp9Cg=="/>
    </extobj>
    <extobj name="F360BE8B-6686-4F3D-AEAF-501FE73E4058-2">
      <extobjdata type="F360BE8B-6686-4F3D-AEAF-501FE73E4058" data="ewoJIkZpbGVDb250ZW50IiA6ICJVRXNEQkJRQUFBQUlBT3VJY1Z5VHI1MVNxZ0VBQU9ZREFBQU1BQUFBWkc5amRXMWxiblF1ZUcxc2haUHRUNnN3Rk1hLzMrVCtENlRmbWVWdE1BUFhUT1piTXE5R25INnU5TUNhUVd0SzhXcU0vN3N0M215dTJ5SWhKSnpmMDRmeW5OUDA1TFZ0bkJlUUhSTThROTRJSXdkNEtTampkWVo2VmJrSk92bnorMWM2RTJYZkFsZk9UWkdoUjhhUjg3QmU1SS93YUlJY0xibm9HYzNRdXg5QUFNa2tkT1BveVhQRElNSXVHZFBZZlVvU3YvSzlzUmVFNHcra2JSMTlHZXRjOElyVi93dERzUkJOcjdTOTg1Q2hDSHZveUlMWHBGc1pocmZKNHBrU0JiZWtocitrQlNNNG44NkxNMnY1VXZ5N2tJd2FmSCszMkVQditnYmtZV3grRXhyRzRiREViT0ZVQWxudGw5eklldG9yTVNkdm9sZjdKVzM3czJJdXlsWCtGZEl1dnFxNWtEQ0RLdWVxVUcvTm9Uald1blBCMVFITldRT2xrcXdrVFM1RjE2M3ROdkduUjNZZjAwTHBVV0pOdDVYTlY4MjVKV3FwUnllMGt0dWk0VGR6eXl1ZGxvcTlESTIrNGhSZXJiMlllbWRxbThGSlo4L01xaFNsQk9DUGpLcmxRQ1krdHVFbHNIbzVoT0xoNVBzSEdxSXFJVnRES0hTckRjbDEweFhRbVg0WTZHTi83T0xBeFJQSGk0LzFIVVdXVmd5RE5pMFd4UVpjNndOWXNWMFhMell1T0Q3Mmd4M3h0czNRanVIRTZwZFBVRXNEQkJRQUFBQUlBT3VJY1Z3ZGdmRlNUaFlBQU9hTUFRQVBBQUFBY0dGblpYTXZjR0ZuWlRFdWVHMXM3VjFiYnh6SGxYNWZZUC9EWVBJaUpXS3o3ek1Ea0d2d0xnWWlOUkZITXJsdkxiSkZ0alV6UFpocHl0SSt4VTdnTEJKWnlkcENFcStkT0FhMFdDVVBzYlNRMW9HQ0pIOUdRMHIvSW5YcGUxZGY1OVpESGZuQm5LNVRkVTdkVG4zbjFLbXFwZmZ1ZDlxVmUzcC9ZSmpkNWFyQThkV0szajAwajR6dThYTDFabXR6b1Y1OTc5Lys5VitXbXRxeFh0bGVSeVE4SW1rOTZPbkxWZnl0V3RuVk91anZ0OSs4WEJDcWxYODN6YzV5bGVmcVNyVnlzMnRZeTlWT3AxcHA5dldtMXRQN3kxVkVnMHFyb0gra3hHYmY3QTNzRCtUais4YVJkVks1aGRnSW9zZ3BZblhSbjNwVk40NVBMSnhjYTBoY2pSZUN5WmloVzRBbzhORlVyd0N4VVFzbVkzRlcrN3AyTjFrRWx5eEZscWJadC9xYVFRZzJWNjd0YlFTVFYwNHRjOC80RHgwbnQyN2MzSWhoY2syL1EwcmdZOUpiWmk4cCtZWWpZbGc0aDJEVnRDeXp3NkRZTyt5YjdmWStLWnlUSmFWV2I3QUlEbXdDQmYxVGd3UmJmZU5vVlQ4MnV2c01DZDNFQTBiaTlmN3h1dEhYRHkwMEpJT2lMUzJHQjgzU05lMkJlV3I1cy8vd3ROUGJNWTkwUnExdzBwNzFvSzB6dUpJMHUwZENWZGs5N2R5K3B0L1QyNHhzbmM2TzlvSFpKME1xbW1SMGFWSjRMS0lxM3RMNzY4YkFZbVZFcVZmTmxOU1Z3UUFuMWtNVHBMZDNxTkhxS1h3NENjM0NRMVNtM2FvOEZ5RkFITjJXNDMyTkhtaGp6SC9UME50SG1McXRQYWpzblpnZk5rOU15M1FHZW1XWERHMzNKMGxzbWdOY2FJWE1MdFFncUZZVk9vVlFjL00yMFRXanF6dUVMZjIraGRySU1sQ0ZuS0pDelVERUlQenRTVVFWbEtPU2h2LzcrZkJYbjlKZk41ZXIrSC9WeW1aYk82YmxHMVpiWnhSTUNyK2x0VTlKTXlBdHRsemRhOTBJTkJVaDJUUzdWbVZUNnhqdEI4dlZIUU5OaDRHSkp1dUJobXBWcmRBR1FOMWVXVFBiSmxKODM1UEp2MkNUTHpxVnlGUXgwYTNZa3hkdnZubnNWb3pVWks1cnBycXJ5RStldnYzTlU3ZG02M3BQNjFzZHZXdk5ZZlhzMFkvclYzUHF0OUhSakxaYlBmdlhQTmVzN283SjcvN245ZCsrT24vODhzMjN2M01yK0Q2YTFkMnlEMDN2ZzYzUndvcHU0R3JDVGFQZDNqVDdIYzJ5RWRBdXJwNmJ2THExMlRjN3JSTzlFMXA4bHBwOW8ydnQ2ZFpwcjdKcG9DVjM3MFRYTGJjaEtXZ2l3TXBXanhpOHVPb1JReFVmbU1LWVlFZnJvOFdUMXBVczh2NFBDQlQ0ZjlJMTN2ZkZsUXJwZFFUOC9HMUR2dGc5K3VZbkQ4KysrTmJWcWR2ZGU4YkF1TzExWCtXYWVYalhtY1drZ3M2UEZiUjAzL1BvVnJYRHU4ZDk4N1I3NUJEc2RiVWVDL2Y0MlErZmY0d0JwYTM0NHJnN1N3eUxQZjNsNTI1VE05aVRSYzVyakNYYWlaaTU1Q21uSC8vMytlT25nVVdJa0pIQlJoWmpLVmdka3JweDV3NkNNamhaVWhuSmVKa2ppWXkwTmJQYlJYbHA0WXJzRTVZa083OTJkanhwWlR3Z05LTjdHODlUM3BIOGxtRnBiY042a0NDN1hFdVVYZVlUWkdjbTdwMGd4QjlLWFZxMFpYVitVeUk2bDhqZjluRGpVWmVURG5GWFBhUVJFTzQ3MUFjRHAxSm5Mejg2Zi9xTFlKWDZXbmR3QjAzUXNON3dNRDNQUjdXS0IrVlZSdXBLOTVnRkdFbmFWdFBHdDdJaXMxTUp3QlZDVmdRZDdPYWhrMXZCdllZaEdiS2Fkc0tvMVVkTUNwT0N4SXlTTjl0R2o0RzYzVFFXNkY1a3RkMFNRYjNybXFWRjVERnVieCtSaWpOWUlDVVlrNDZtR2FQRXBiV21pZWJ2SUZ3US9XeDNkOU1TWEYxRUJ3d2ZYa0ZJcHBpS2s3U003YmRJR2FlSUk3cktLVldjMVA3MXBHTjBXVFp4SkNxT2xFRWNzdExjSUMyWklzMjQya3Ftd3NuamJTdlZYNDFNc2ptZkFvdmVqakU0REdlOWZ2c0RwUG13c01RRUN3M2lVSTZsalhzNlkvaVNyK3Q5eDBTdmJFWW5YU1FqMVlnMnh2alJxWEY0ZDBjYm9IVk9FU0p3S1FKRzlzeTJjY1JzV0ZmTGYrK08vWS9SV0Y1NTBjbmUxWmtwYnVyN090dlRFQ0JhMDBoTElEQm94Uk0xTmN2UysxMTdwalBKaU9OZ3BkODNQeVJVdkFQOG9xcUlka1AzS0RzeHFTcHFpTFFtalRTcndBdDFHVTgrZDFWRm5ZYVluV2hIcUp3R0hxbjZIWXhJQlVVNVZObk1GeDN1a2I2SjdZRWx1a1RIOXc0V0FOVWRtL1ZzNVJKVHdOS2lieVFHMWxpMDZFZUdPa0VDQWVPN2hmN2F1Ry9wM1NPSE5VdTZ1QVhiSlFnczNHazZpK1FJTE9aSjZzSE5rYkRBdXpSYm1aZnFRSlpzU3RUTkVvSUVTR0hnaHVWYUFrZmE0ZnU0aUpUTUxrZGZadG9reWJsYjl5MXE0aVhaWDRTU2lSUzhjaERQMVRiQzVwVmJLMjNqR0ZrY2EwakY2WDNxMEtIRGlhbzBiS2xvdC9jc0UySHhPbk40a0FJRGs2eUIvNHV2eE5xSjF0Y09FYmZLOWo1VnViYXAyREk2K3FDeXEzOVl1V0YydEs3ZlZDVCtRREpLSEtNeGpVc1RNVG51YTcwVGg4dGVEODlQZTR6YXRjWXJYdmRvMCtnUExFS0RmbUREemZuN0JqWHRTR2J0VUYvVlVYdnEzdStWT3hiR3Zna0RrdHB6Z3dvdFZMYk5RTHJFNGhhVkhjTXZUdFc1dlJXVFJ0Sjd2VXFUMW5GdFAyWU9CK2l0bmtNNC9QdWZ6aDk5Ty96a3UrR25MODZlLzJGcDBlb2xNVnJzeFNXajhjWVdraWFRc1JaUmFxRXM5RU5nbmQzU3pZNXU5UTA5b3N2c2xBY3NscnNtV1J6aUVlWXU4V0VtRUt5MXpZRitsTEJTN3ByWXlaTElBdHV2Q1NYc21QZjBsaG5YbkprUklLSE9nck1JNFdJc1Y3S21qbFdlbUlaWmpHV1VSWVNFdVRZN3BwbGFmaVFKSmpBU21GeVhGaG56eXYzb1RVTWJkNlE2Q0tRNWN4Q0lMQmNBT0FqQVFRQU9BbkFRZ0lNQUhBVGdJQUFIQVRnSXdFSHdyamdJem4vNjgvTS9mME1kQk9BZHNBbkFPekM2UE9BZEdKOEVjK1Fkc0lNbGNQR09qMEJtK0FnQ1pCU0orRDhGakU2enl6WTd2YkJXQ1FjcW9JVjA1V2JyK3VyRzF2WnVjN2QxaVNTM3RPTXJDRmlpLzEyT1lpb3Y5QlViL2dVS1FBazA3QURYMGM2K3NidWVPWE9FZDViTXlEWml0RWdtbndwbGhLVmVvSTJYNUdQaEhlSURTbnlRNkhMQnRGczNWMjZzWCtJWmRYVmhtYVJJaEpSV2NmOEhXSmJMVE1RVDlNcDRlUTV3bm9PWVBINWdKdVR3MWVSeDFYZzFKWEZNak5yNmZEZnB4RTVmMDdVQzA1UHBKUEFTdDAvNmxEbHlXQmxFVm9ZWWh4RzJqQU5rTWZac281RnV6d2FpNzd6V25ROWpWR0tUQjR4Uk9ZVzR1REZLRVd6QUdNVitLaEpGSnppbUtNL3doWktpNXNJT0hSWER4U0t3ekJndUhxSk5Ic01WQlN3akFyVUUyelUvVHNxS0NzaG5OMWlTbmxaQVE3aE4vbkRqekkrN3lJTENwenk4T0ZCcTJYa3k1NE1YeXNUaEJZNHF4SG9XTGMzN2w1QlZpUXhsN3RyMU5ieFN1NnEzdVhJajhOdjJYM0w3NHBYSXR3UHg4dVZrT0NLS0RzT0RDVEowNEl1b2lDbjFrMExzSkFZN0tRTzdqTFVibFYxaGlMUWd6aXRHRW90Z3BBV0JuM2VVeEFROXpuRExES3NBSmZtYUdWQVNvQ1JmQ1JjVkphVXhYVkFuNHNzaFMweFpPYzhDRnpySDJFWURob0dvRkhYT29sSmtNYnJUNkszdFlrUEFCL2tUblIwUW1BS0JLUkNZQW9FcEVKZ0NnU2tsaDdvUW1BS0JLUkNZQW9FcFRIcmZ5WldIdno3L3Z6L0JtUldQQUtKU1JwY0hvbExHSjhGOFI2WFVKNzl0VkZOSGkwcXhEZjhSQWxPVW5MRWxUbVlXKzRuR3B0aE5OY3R0RjBXUWMyKzcrSm9vMzg2TFZKL3pmUmMxNzc1TERmWmRZTi9GbDFBT1l4VDJYWW9BbDVFQVc0M3R2RWpuV3ZyZ2xNQWVSRzNPOWlCVXh1YlF1N2tIQVhzTXNNY0Fld3hlUWJESEVDYUNQWWFTd3pyWVk0QTlCdGhqZ0QwR0pyMjN4L0Q2THo5Ky9iZlBodzkvZmZiOG03Tm5MNFpQZm5yK3EwL2UvUG52d3ljL2cxMEhtd0IySFVhWEIzWWR4aWZCSE8wNnVOUGR0Z2tGZ2VFVHVJR0FqWVlYZHdlVWVCOXlPZ2JFeVRnR2FvME1IdkFreDRCYVZzZEE2UzM2V0Vzd2kzTmNFSlFMN2gyZmdDM0ZiZzh3YmVoTFFTVXdiVktWU1NCTGNkTkdCZE9HRmdpbURWT0lzcHMyd3k5L2YvNzQ2ZXRYajRhUFBoNCtmSFgrMTM4Z00yZjR5NSsvL2Vqek45OTllLzdIVjhPdm5wMjkvTm5aaTgvQTByRUp5bUhwek9iRWVGYnRQam5MSXA4SWs3Y3pabS9wak5YQW0wZ1FsY0M2L25lOFFWUnFzWnQ1eGhsRVZaUHlCVUU1bWFjZVJGV1haaDVFcFRZa1RwbGVHSlVzWUc1ekhVakZqSXR5aGhBamd5QkFJQlVFVXZrU3ltR1dRaURWMUVGYm5UMU8wN25PVlNDVndMbytzTXlCVktMQ1dJVGV5VUFxeWdJT2M0ZkVnVUFyQ0xTQ1FLczUzQnlBUUt2UzdFWkFvQlhzUnNCdWhDdEUyWGNqemg5L2ZmYmlyK2VQbjU0OWcxY0dISUp5N0RkQVpGVkVCSWlzS250a0ZXTXJnblhuMjdoZkdSQm12UlVoK1k2VWwzb3JvcWJNZkN0Q2t1clQzSXFRYXZPK0ZTSEllYzkwTXcrQncxYUVyNWxoS3dLMklud2xYTlN0aUZxQ0xUbmZXeEZScElGdldwOHcwbkJ1b1M5MEliL0F1Q0ZmU0h0d1FCbmhTdjdzRE4wSEIyd2tGVnMvdEJRRjJLSGZFWGErYi9Ic3dtdDZiQVZINWxqOHpRRWhEMVFTcElaVGx6SGpKZFFwUmZDU0tIQU5zUWhnV3VCekFTYTFnZm1JNVlCTmZONkhtdmhVbkRVaWJGSVZWYnFnOGY1cFlBaVFFeUNudVVWT0MwcDlGdDZtZExiMlFqTUozbW11cGZ5c1MvVVVnUjhyc2dKay9TQ3hDRG9VWkVhWWhZZmxHb3gxMUFGZXpLemVRNVJDYUVVcWlHanNzek5YRDVxWGZLam1pZyt2TUpaWHZ6Y29IczAwYU5Ga2xmKytVT2Qvc05KYTJSVXYrWXErNG1PWkJIZHdVK1IvWlVrbzRobktFODh6emVPUFp0ZnFtKzFvb0EzOTdtemQzcmVhNXNDTnRtSE55WDNQTVpSdGgzSXBVMVVKNWZxRHJxOTRSMlRPbG9xTFltVW5sdy9YUlhKRjhUS3R4NnArb3QwenpOTStEZlBBRzUvYnU2MllLdVFoWHRPNlcrM1RwQ1Z3NWRSeWw3QVlrblZqb04xdU96dEd1R0xibTdjdWJlOXQ3RFNSVVdPMy9PVXIyT3k5RWdkaUYrMjJ5TkxuYmtoVGJKK25qbXphVXJrN1cyTDJtMWlvdDhVTDNOdmlHSHZialJpTDdXMmxRY1FnVTN1QkNpQ05mNkxiWEVLOUtCWHFlK2tDOTcyVXYrL2RiNmtCYnl0SFdnOEhUdHlLaG15R285M2VQWHMwbHljL2pSanMwUVI3dEdCMEdYdkZ5aDVkSnZxOFFhMk4vZGI3Mit1dHErNENHNTFyYmdrZWhoV2xVQmxYTjdhM3JyYXlGT0ppM1FVYjdDNlFML0VaUEVqcjR4bEZTZ2tzdDN6b003NEVCbXAzUy9EQjNUeEEwSmVYQW16SEJRbkJhcU1FcTFWVzd6cGZZZ0o4WGI0WEkzd3RSd0NZMjlWT3ZMNnRROFRwNlJCeEhEb2tzWkRpT2tSS1VBSGl5RXBFTEtKRXhOR1VpQWhLQkpUSVJKV0k1Q29SYVhwS1JCcUhFa2tzcExnU3NXMDRwZ3FRUmxZaVVoRWxrbWFwK3ZLeWxJZ0VTZ1NVeUppVnlBUkMwV0VETHBpVVlUY3FFTWM4MW5EekNkd2dLYklPUTAvckJrbUpzUnVSNlVTMElFYlZqYWZwR2UrQkZMNDlFa2VCVDJ2N0JPNWhoSHNZOC91bVpuQVBveVNXNHg3RzFNbnBaaG5YUFl5Q0NzNGtPUGs0MDVPUFAxcHVjSUlNWng1dGduS2NlWVE3RnJPSWtHSGRtUENaeDlsTE1IUEFyOHdsNEs4eHdzdzhITUFLUWdQRVQyc0dpRDlBQklnZkVEOGdma0Q4UGlIS2p2anJBUFp0QWdEN0FQWTllUURzVjlMQVB1c09rOUtEZlVsSlBESUJZQi9BUG9COUFQdStMQUQybzRJQjJHY0tVWGF3TDZnOHdIMmJBT0Erd0gxUEhvRDdsVXJhVlVJNDJIclNWd25WSkU2VzVOVHJoSEJGMXZybVlOQzBMdkZYaENzOEo5YlZ0RnVEeFBSYmc3S1g2OTV4eUROd3ZYTkdQZlRtUmVFajZtS2RVMVJWekhQenpvTFVtTWkxTy9VYVZ4TnErYytpOHlKWDVOb2RRVVk5SUFrNXJLNEZvUkc2cWFmRTkrNk1hTTFKYUhUVzVzMmVpOUdlY0FHaFhURzRSc2N0WVM0QjJOcHBQLzBhYTY2dUNIeUNPVU5WbVNoeVFwM2g2bkxKVmdnWnovRWlMd2xTd2lVNXE0U3d4dFVsR1dtTWVGdk5LVS9tVlRIcG1zUjFxbW9WVGxVYk1aTnVNYjRoc3JXUnlFbENMZTNpbndWSjVlU2FtRUJHMmtqaWFySllUOENadElIUVFxczJhZ2xrcElGcW5DS3JTa0l6MHRhUkpLN2U0R09HNXFpdDQwQ0N0TlpKR0dNck5QaUI0K3NKUkt0Mk1SeXZNRHlubnNoRUpwR3JpNHdBYVpkcTNTMU1yTEdiTDY1ZHBuVEpwdGRaT1J6aEdKNU0wQkhPTXlMT2ZmNjA2T3pMNkFpWFkxSXBjbTJrQURORnl1VUp6d1hKUnZTRlQvVkZyaXhWeS9HV0Uvand3WWZ2TDJVYWp4T3B1WDM0MGlRZUowcFRLSUVzV2VlZW15bWt1a2J3NHNPZEQrREhuN0VmLzgxbmZ4bis4ci9PUHYxNitPUTVCUEE0Qk8reVJ6K3JFcCtnUnorWENCbVdrRWw3OUdjdXdhd0RlQ1RXMHdEbEQrQkp0RnNVUnJFUXYwTnJCdGcvUUFUWUgrSjNJSDRIY0w5UGlMTGpmb2pmOFFqZVpiUVA4VHRoZVNCK3A1S0c5bG1QTzR3TjdhdXpPSm9yMW1xc2x6Y0t2MllBZ0o5RkJJRC80Z0Qrck5lSFRSanZaM3FKd2MxU0hPOUxnUGRwZ1lEM21VS1VIdS9EWlR3ZXdUc00rQ2QzNitORUpKZzkySjY5QkNVSTEyZmR2am5tY0gyWmh1dEg4SkFYZFMrcUNRKzhpYldFNEhsUkRDYU9HRDFmaHVCNXBWand2Q2dMSXdUUHowWHNQQVRDdTJRUUNHOVhEQUxoM1JMbUV0aEFJRHdsZ1VENHlRZkNwellPeE1IbmVqcTRXQ0Q4Wks5L25GUWd2SkFVVUNMaThaV0lzaUFTSGlMaHdUbCtBWnpqRUFrUGtmRGdJUThLVVhZUHVUOFNudWZRWWczdWNwdmdIWGFYUXpSOFJCNklocStrR1MvMU9ZeVBrVmhXRDhUSGdBbkFFQUZNQUlpUHFVUm5QOFRIQVBxZlYvVFBjdzFCQk1SdkU3ekRpQjhDWkVMaVFJQk1KUTN2TitZUTd5c0N4TU1EM2dlOEQzZ2Y4RDdnZmNEN0xITEErMTRKZ1BjQjc1ZEVnbG5qZlpsMWUzM1o4Yjdha0pJand3SHhBK0wzcWdxSUh4QS9JSDZtWUlENG1VSUE0Z2ZFSHlBQXhEOFdDV2FQdDJjdndiUVJQL25iUWZ1c08vbWJmZk5RSHd3Y2FISDI4cVB6cDcvSWZRb2hFZW16N0lCc045MDBrano3c2hBOUpoSUk1TTBEOGtQWVk2SWcvNXArVDIrdmE1WVdoZWEzdDRrbVkxUjdzMjkyWXRMUjZHR1VPTjJERHVudEZ6M213QkpIck5ySFFOUEZTZTFmVHpvV05zOGtqa1RGa1RLSVF4QktpaTRjYjF2SlZlZDg2empiS3FEU1J6dXVFczU2L2ZZSHlCekN3aEk3UFRTSVF6bVdOdTdwak9GTHZxNzN6Ujd0VjR6Rnc1TXVrakhPaWxhRWRDTTY5amh3QUQzVGY0ekc4c29ETzd6QUNXdGVxTXRTOElRMUdzSFk3a2JsTkhqbmpMVXNLTW9oKzJ6aGZCeXpudG5wbnR5V2Y0cDZjSFBrTzkyVDMvSlBWYUp1bGhBa0tHejVoOXdHWVBtRDVUOXR5My80bjc4NysrcnJ0MTgrUFh2MkFod0FOa0U1SEFDWlZXa1drRVVJUnozdk0zUG53Rmh0NFhFeHpkVHlJeDV6R3Z0SW1ONEZXVExyUnR4eFg1QkYzN0pldWRtNnZycXh0YjJMWDV0Mm5naStnb0FsK2wvaW85V3lmVjFVemdLODE2azkvaHU3NjVrelIzaG55Vno0Z2k3N1d2Nk1sM1B4RTdtYXF5Ym52cFpMRGx6bGxmVlNybHo3c1hrOE5STjh5RnJ3UFdRdEM2eUhySjJCdzhvZ1R1RGw2MGJqZ3U4SncyMWZ3VExodGk4L3dkenU0Y3hneDRCOEx2NGtzS2QwczI0OXNKN1ZLdlBXZzZUQTFnTXBCcllXWUdzQnRoYWNnbUJySVV3RVd3c2x4M1N3dFFCYkM3QzFBRnNMVEhyMjFzTFo0LzkvKytVblo4Ly9BSHNNTmdIc01Zd3VEK3d4akUrQ09kcGppSnc1VW1mNHdyWlMxQitncUFJbk11NWF6dXdTeVBYS3RuaFI3ME5PcnhqY2hqeDdLd29PU2dVSlJua2JYSm1FVVZQZ2JmRFVtZWRtR2RmYjRDTGNoQXhHeld5Tm1yTXZYZ3lmL0hINDVlL1BIejk5L2VyUjhOSEh3NGV2emw1OGhteWN0MTk4T256Mld6QndiSUp5R0RpenVSbDUzbDRPejdDa1ROakFtYjBFMHo1SHhZaVVZdDJOUE41SUtabWZiYVNVd2hPanAvekJVbzJhSStjczQ2VmtSZVJVYVVvaFUzS2Q4SnJycUNsbUVKUXpnbGdaVklpYWdxZ3BYMEk1akZHSW1wbzZabXNrdks4M2YxRlRkcEVzTmhWODdwY1FZOHNPd3dIMEc5bCtlUGFJOUJlRkdkamljdW53RERNcEZkN2lObTJTeFh3TUdySGxTMFhMVjdLVjc1UGYvdUVGOGVSa2t0Qkswa2hjNmhtNTFJcTJWVDFiVzZrRnl4ZWtiQlVRaExFd2lLOUEwUVlpTi9GazZZSENMYVJtcW9BZ0Z5eGZGSFBQTm9FWC9PTlV5TXNrb1p2bFViaVFBSVo4VlZFOEZ2eDd3bnM4SjliVmRFWnl4bEVyRjFXQmNyWlJLeGVkRlhKR3ZTRVhIYlZ5TnIyUjFrREVGbk5XcGFYRnBuYU1sNnQvQWxCTEF3UVVBQUFBQ0FEcmlIRmNKUERiK0RvQUFBQTZBQUFBRGdBQUFISmxiSE12WDNKbGJITXVlRzFzczdHdnlNMVJLRXN0S3M3TXo3TlZNdFF6VUZKSXpVdk9UOG5NUzdkVktpMUowN1ZRc3JmajViSUpTczFKTEFHcUtjN0lMQ2pXQjRvQUFGQkxBd1FVQUFBQUNBRHJpSEZjSlBEYitEb0FBQUE2QUFBQUV3QUFBSEpsYkhNdmNHRm5aVEZmY21Wc2N5NTRiV3l6c2EvSXpWRW9TeTBxenN6UHMxVXkxRE5RVWtqTlM4NVB5Y3hMdDFVcUxVblR0VkN5dCtQbHNnbEt6VWtzQWFvcHpzZ3NLTllIaWdBQVVFc0RCQlFBQUFBSUFPdUljVndQbXJtVnN3TUFBR01mQUFBSkFBQUFkR2hsYldVdWVHMXM3Vm5OYnROQUVMNGo4UTZyN2JsTkhNZDJMTVZVYldsRXBRYVZKdUxuYU94MVlqV3hJOGVsTFNjdVBBQVM2Z0Z1aUFNWENnZHVDTjZtbEx3RnN6K080MlFkcFdwbzFjcTdsL1Y0ZG1aMnZwbXhQYTZ2SC9kNzZCV0pobjRZV0ZoWksyTkVBaWQwL2FCajRjUFlXNjNoOVFmMzc5WGJYZEluUTFnaEdQd0tQYmI3eE1Lak54OHUzbi9CYU9laGhWVWRDNWFVYlN2c2haSGcvWFA2ZmZUcGxQUFdWSXhhWGRzTmp5eThVbEhLYkV4dVp5TFk3cGJEOUcwNERnbGlIZGc5citZNlpjL0RnbFpqTkkrWXJtSWtOSTNUUE1mUjFJUldZYlNxYnJnZVNXZ0dveG1tcWFUeUZNNUhYTVBSRXByS2FZcW1PWHBDcXdvZEJqRk1YRnJVZHNHZnNUMnJYNVBvNHJhWHk2cHB1bG5iczJkVUJFMnY2ZXFVN1puelZDZDlNV2w3dlpUaU5vUG1ObmpaaVFXY0FUbENqS3JJNEdlYkFPRUJhWVJSMzQ3UmswUGZPV2phd3dNTHJ5clRuSXk3NGZkNmdybDlNZ0FOcmJEbnV6TFcxTUhvcVRnd0hSaWx0a000ejJEQ3o1ZXFrZDNlOVFPU2UzZk04WXo0blc1TWxTdHJPZ3hEcW12TXZtVVBLRytqWjhmekdmZnNPQ1pSd1B3cHQ1K3hicEtPSDJ4RVVYakVPQ0Z0Vy81cmNGZzFmOHQyNEY1dUEzTUV1R29STE5nR2pnZE5hbURYUU1VKzhRQWNrdzBzZ05MWnpBS2w1UnRSU3F5UUlqa1hxem9QMXZsWThoS0VtaUcxdVp3VE1ITUUxVXNUSVg0RDBTOXpNV0VUWE93SE1SVGE4aUxPWG5wV0ZQbVFxVThKUWtYWVQ2dTVVMkd2Rm1HL1pJU1l5Q0lkTHZFT1ZKUjNkUDJ2TzJiTzY0NWFvYk1JOVA5WTkxMUNaMUpWOUJ1cCs1VTFsWTRpSzdKWlllUmtoV2JRV1dURmtySkNlTHVXNCsycVFXZnhGU0RiY3MwSmNYV0ltTXhiblJDTk1JaW51MHRUM3VKT1VVdzY1ZHB2RTkrODk3SWw2b1hrbFhoV3RQTTRXSkx1YkJBQWZkeWg1ZDNjaTdPdjU1OS9JTkhXMDZxU3Rxell4dHViZDZoVXpIbUVaMHBGZFlFTlYvcHlvdDN3TE43aUJVZkpWb25LYmE0UytYRTA3a0lMaHBuSWJaUGpwQTk5L3Z2czc2OXZvNDl2UnovZmdjODJlbjRuc1BBV0NTQVFSR2NhZkdhL2JNWGhRSHgyd21adUVuOFk1L3g0RVA0WC95Wm1HL3hkTzdJZFVJSjJuaytFa0FJckFjNUswcFp1MkgyL2QyTGhwdTlFNFREMFl2VENma1Q4V1psN0lMSVQyWU51SWxPY0J1SnRKM0IzaVJjektxejNhZVlrRncwL0d2S0wxb0FDUzYyUVdOeTBJd2o3SWRvTTR6anNNNmxjSkN5RVBGaTFxWnRtSDRHc2NIT2dkb2ZTb0VrWkVGMXlkS2FQekc2bG5vS003a2dBdUF3UVBGNVM1WVZwaFdtM3lqUWxNVTM2VFZCNDdRWk5tN3lWclhyaUNVVWZKWUlxS0hBbFZ2U0grVDlRU3dNRUZBQUFBQWdBNjRoeFhLYVVKd2lmR1FBQWhCc0FBQTRBQUFCMGFIVnRZbTVoYVd3dWFuQmxaOFYzYVZRVDJiOXRFQVdSeG9oTUNpM3BGcGtGV2dHUndhUWRBQlVCQVFFWjA3U05FUkRTYWtEVWtEUU9nQ0NrRllFMkFwRlpKaU9Rb0NBbVFoaitnb2dNWVFoQ0poV0JSQ29Lc1NUVExlKzk2OTYxM3JvZjNucjN3NnRhNTBPdGMyclkrL3hxLy9aV1RhcDRzRTFIdlk1NHdkVFUxR0MvUVNkTU5RMDcrUDNxZjNWOGY4ai85aGxxcWhjdzNmV3dlRmlodXRwMjJCcGROWFZkTlZVM0RBR0RxYTM3andXdy96elUxcWl2WGFlaHVWNXJnemEwZ0w0SnRrWk5YWDNOV3ZWMTY5YXVoV2JUb0huWVd0MTFtMy9ldFY5REx5QkdjL3M1L2QzcHQ4dldteDFvNmpRSUhBWjJPUDUrL3FyV0JrT2pMVnVOelMwc3JheHRuSnozdU94MWRUdDR5TlBMKy9DUm8wRW5na05DVDRhRm4vb2o5alRtVEZ6OEJWeHl5c1hVUzVldlhiK1JrWmwxTS90Ty90MkN3cUovN3BITEt5cXJxbXNlMXRZMXQ5RG9yVStldHJWM3NicDdldnYrOWJKL1pIU01QVDR4T2NYaEM0VHYzbitZK3ppL0lQbjhaWGxGK2hYOHR2b2RseHBNL2IrZy80KzRkQ0ZjYTlhdVZWK3IrUjJYMnBxTDN4Zm9ybDMzOHk2Tnpmc0ROR1BPNlczZm5iNWUvOER0c3FaT0xUUEhRTURnOS9QREd3eDNPUEhOSmQraC9UdXkvenRnVi8rZmtQMFhzUC9HeFlIOW9LNEdiWjY2TGd3RlV5cXR5cHRXRkRiQ2lKRkh1T21vaTJIQTJ5L1BXL29hUG1vZWl3cDVNeDIxSCtmWk5JNGJ4UGhhbjM5OFA2S2diZlJSc0JoVHNzbmJiTWZEMGhJVHRwMGR1M0syOFV3aHRURy9PZWxsUm8vQjU3NnVJY09oYXNJd2NTdEREUTNPQ1VoNUsvNXI1Q2FncHFSNktVVHlscmt4NHBBUE5xOFVxYWoyUU1UV2dDbHdEVkM3eTdpeFJFcEJpV1MxUitxbkY0d3V0cStaWDgzTUhQMTFGRGN3U1pmbCtpeGNidHRSVW1FZkc5dElucWhyR1orWVdnbEo5SHlpenhoajAyNDFWTlhzWk9mUGtUZ0J6ODdSaEZvWHZLS1hISFpXaHRvSzREK0NxQzV5Um5vbFdOUk5SbWJXZ25WaWtZZHpURzAwS3lHWml2WStGNU5nVjFyd1F3TTFMVm1mWEpJL3VPN3BuWk9KbFlWU3p3ajNpRnErL05nNEVZT2VhaEZPaU9FcTJEcDF0S2w4azRLRU5NY1RKRFhpVVo3RFZZb0d3MHc1aGxBajZPRHhhSzJUSDFHQWp3bzI1U0RVR2JvaDluQVZjcmVrYXZjeHJBRDVPZkNnUUR4TDRWRnZLTGV6VjlCd3NENUU0dEFkNWRONWNYWWpNTmV0Q1BKYnNWVEJydjRwdHhrMXovRWxLYldncTdVNFNjTWV1NnJKUWFFM1FNMUVHZzBJcm1mRDRUMk5JTmtodzFhbUk0LzJYK01zZnNXd1lZeklONmhnaGtvem5kM2FjUGk4QzFIWCtaSnptay9Zc1BuZVduTnppOFpYWTBsVUE2dWVLdnN3YzRzUERlU2svcUNBYzlmZnhnLzIwQlBIRERqdHhXTnRPNFRKbG41MjBaVUZaUWF4cnFOenQwaVQ3YlpmOHZsemNqMUg2UlltUUxoOVNYSktxVVdCUHVrZFFDSFZHSkdvcVZmNGN5SVpRQlFZWFZ0dWRmbDYwTDkxeENOVzRQOFg1WWZreGxTZG5XSE83OFZMNlI1N3doV1A3bWl2ZTNLNFJFNFZFRVhYWkJhRTEyamFWN25lcVI0VnJHVkM5RnptanRlVVlMS0laeDJ5bERvVDhnQUF3NnRob1NHT0pqeCtUb1pldDZqb2tIc244Nk5PUlFEZUdiaDlQa0hBekZBVzNwSC9QQ1Z0by9SRDJ1NUVER3ZWdE5hOEhoMjNSMjk2ckZ4b2FkVC9Oc0szTjZBNDZabmZ4b0E3SWdIblN2V3c5VXdVT29YdXU4OGt3cW1FTml4aWs5dmpLSTNMQVo2SHU3S3RIcXo1SHdiOEpTa3JuQ24ycVNaMkhpTEcyeEtuc1B5K0Y4UnRpNnNVMFZhWlRzUWlwNmpQUDQrd0QzU080VTIvQjk5RGhXSGpyeEYvV1lQQ1EwK3hwT25FckYwejBaR0xMV0RPTVhZU1lkdWpmRU5TQlN2bVllcGZZUFkzdWFPZ0VLMU9IK0pjazdJVlZFc0ZEZlU3WWpKQndPd2haWENiaWtTZURpK1ltY2k5a2tvbXpiSXJ3UmFyTDQrRXFpSzlCQjNrbjgzVUovNlJadEtEK0lFcVQyZ0V6M09QU2JKVFQvR3dXZHRvVEkxVTVBY0JWbTlmWTZVeGRvWUNWZXA3Y3lhZHF2aG5TSzdIVXNGQ2wrVDZ5dWRFSVZ5VUtiTWt2Rm45VUNRZ2tpRCtOVVVTeVZCM3U4VmRwMjBtM2FndGhBM3lQZUQ5UjNIR1d6cmF4alJ5cXhabW5ZSHhKOFNZS20zWjlBQy9KanpTODdTRC9hZWtRMGpjNTJjck1iWXlUZlRYeVZ2dWpkNVRPNzIySGdoK1NBOHA4ZHpyZGI2NmhPMWlXSEFZZmMvMVFxOTljZlVSRjkrbkI4cHJrRmhNd01zRGNWTjdCN3RHRWp3VHNZZ3J0enRmQnlLMUFlZ0xXM2lENDAwVm5VSUVhRFluMzZ5M0g1Q3ZjdllMdHZtenJQbG93MFZqVEtiMndsWGZVTzgzZERSb1NiemFRSjlKTk1zODlNY2JodzVQL3ZSV3hIRzJHWFp6Yi91K1N2SmNzYkpMdVJlaTZ4K3VDdGJwcG9MOW5zVXdrcXNwc3FrL0YwbC9WUlJWQVVRU3daekFVY0ZNOVNJbW5BNHJkY0VOVjdaaGU1V3dZZVp2dnRIYkhLTWtGdG1scDU4L21FZnAwejh1N3dzS2FNdGc5VjVlbmV5cG0xMUY1VEV4RHVBT0J4WTF5NGlvZzk4UDFlWUFHUEF3TmVQVm1kS2tNaDQwaGNrbDJJRFdlY3hFNlRNelJEZnFCcmVaZVF1L1lSem82aWZuUGNBZmFEOTkvL0lUY3JCWTVOWkthcHljcC93cGR3REZRRi9JQ0kyMEFiOGJESk13V1VoZDRIbk5WYnh0WlJ5SEtxSktudkdLTWowY0t4ZFMzR0lwR2NzbGVpenVacVdKM0tPTnhGS2FqR0JHRzFlQ2dmR2J5ZVdnNmZoc21tMTRtdW1pMTFqRFRyZDZRY0ZaUjlab2ZVN1B5OUNhckx1TFhUNVRYcSt2a2h6R213TGUxNGJUQXUva1d0cmtCeFRYdFkzazdoUnErbFhHTy91UlQvRFhHZlFMTGVic3cvT1crUmRSR0xlVXBPUHh1V1hyblVNcFg3RFMwZWVLSng0SkFJSlBZbEU0R09sWlJaNS9GM3lyY29JSStISFY4V2ZZZUJOWmtOd1g3THdrOE5jR1NWS3g0ajdPRG52Z0tlZ3NwRTRTK1piWDhVZjRSTk8zTXl3K2Vrc3FNUXk4amxzQ0Q5RVY4VnVYaHpaRmFJN2F1ODBUZWFXb0gvcWtRL2tRcVluUS91MDkvRnZiV0JGck5xbit3VUZGVGR6bWVNcmtsMFYzRkk5OFFRV0xpZVI2aE85ZUNHbEZBYmM5cXl6SzZ2WTFmbWpHNVJ4ZVliSzVXYWlOREFRK0hFaHBBNVlFMUhRUEU0a2pYd1c3K2VEcVJIZXBCbmlObjZ2WFM5Z28wYUUzaWxzckVyQ1BVakhkS1c2Rk9mWDdFeCtHVFhFN2RSUzUzWC9PY2lLaXZPbzlkQTlUTEZRdzFtTVZqRWRtTHBOUWsxZ1ZUTmVSQjJueUx3YjY1L3ljREJ5b1FpQ2xNYm8rWTJPSmtWY1M3YytYdnRURXpMdnhRVGlFVFVmdCthZWZ1K3oyTEJaWXlqYzQ0NnJ2MXZYWGVKeHdYVEo1RkdzMVZPTHFla1grSnVTT1h5aEFtWHpDVzdwRzBDQndVTFN2VnpzTUFEalBXelJrV0NzelVyNHczU01oZFdHbm12dU8wa0NmV0FrOEhCeUZSR2I3c1BQTWxhT01FY0pXL0k5by9RVnkzazArVm52ZWhXSFBScHFrWWlMSGxybndqK1RrOTJUT0dRN3VIS0V4TkJ0dnJDQ3JZQmpVVlA4MHVsbFJxb1RKOVVGZGpLQnRXVWJWRDhjYmc2RTg5QTNwN0k2MmtWUFBjbzQrbmVBQlh0ZktlaHI4cXoySmFZYVVQZVZGdThPOHI2UVVEaHEvUFliZ0xPNGtXT3p0T0xIWVY5Sjc0dU4rdCtLM1M1UDgrWURFTDhGVVd4ZGYrbUI0UTF2NGgrS3FGUFlXTjV4UTQ1UHdDdk5peUxzWjdrN3IzazlmOFkrdll3a25lOExXNlFkRW5pN3oxRCt1OW44TXpYZWtiaFdNVXdFUlVBL2gxRkpVT3kvbHFtQkdCRGplL3Fta1NMUmZ0cFlqUjQ0dzdQR3hZQXdRS2QvZkRqd1JhMElydDVydWFnVXlHaVZCUFVqOVlYbzlTWE1xbGNraWsyNyszUHo4M25KOTJvV0RQajBaaVJlTytMUWJHNG1uQkZ4T3ZXQ3VKODFNNnFxb1EvM3VyeUUzQU9FeXBIS0lvcyt3bEI4QzAzbi9Jc1l2Ym5QdlE1dDB4TWk4NTkyRzBsZElwbkl0UlN0aGs5d1dpS1RvZExnRDNpeHlZZlBmWUg3ZjhJS0xxZHVYMExEUkJwd3NxRmJKbUdCeGRTR3UvVG5HS0k1N0w1Zm1MUkpLaG5pWkxGdW9BcmtheUIvd0NNblhESVlqNGRYc1huQnUzVnVpT2o1T3N0U2oxSk5ZWnF3UTF4RFlpSmE3SEx2WkIweWFaaGFPdENrc0lTUjZaOFI5TEJ3ODc3dm55OUZOM1AyWHBxNlg3SzNyRDJRRjFzMmpZdEI2QjZvdGl1TmxSOFA5YnAwSzJZZ2M0RXoxWDUrWnVWditGck9lZlBHYTR0MkRxcVd1NGdwTnE2VmtsOVBrT1BPNDhNRXZYcGZOM25IL1lyaUNYeHNXT0ptZFM5ZTRRTEEvYU83U3c5d1duZkRkUDFnTzhyaHJsWDM1QzZYT0dRTTlSRU9QTUFIV0tKTFlaUVNRbEJ1d0Q3NXhISzUzUkFnZ2Y2TVZuVm9PL1I1RkJNc3hLbTZGQ1pZSnVGdmt4OGJ3UVFMeDVTSFJOMmhqaWhWL0U4endob3I3OGdTSm83UlFjVXV1Snh6S1JtZ3B0NEFzd2ZoTkYzR2F6RDAxa01zUHZlVVJBTXgxbWxwS1NKbDBoQ2JJRlB3RHBsY1A4WmNNRTJhdEFISnFRc0RvSTdsbmRWUnE0RW5ucjYyRm42eW5GN0RncnloZUZYbzVoZmlZcTdRZEVrSmlmK3p6OHpscEF1aWNLSE1sdkNiQ2lKaDZPd0xSWUVxK0hyUUdxRHgyVGJZOURWeStUOWtjZ1hjQTdLL3hzcHhsdVRhMnowRGF5NVVzbXRQWTZWRUI0M2xldjA5aHE4K3pHN2VPeVFRMkFUaXp5MC9kVnNaR2ZIUXlDazA5bW5PVFhWLzJhVjRqaUlHM2Y5OWRqSzYwOGVVVXoreitxYkx1Q09kYzlWSi9EZkowUWUzbmFrV2pwN1ZGbll1emNmeWdkd0Y5MEdISVgxczVBVlV4Nm96NG9MUVpiSks1RXlaVnNNZVdVRWVlTXBGaXdiWnF1ZTJvY2lmNGhUZVVBNW1KaU82VUVGUkx6UXZVclZsbjhNWkQrVG5nb25nQTBPTzNVaDdFbVZxRGtPM2IxaUR1MkxldjlLNkg0ZGNpaGlYajZaZ0ZmYlNka29IUVY4SGk0Ym50RFBvRC9CWklQb3VnN3JlVFlKOHdhMEkzbXQwK2pOeEMrQmQzVTBkYS9VZEQzOXJvTXdPWEd1TVkwQjFYR3hZbXlNRzE0MDR5aFZVayt1QmE3OENtamlhNHRENnUzTitmQW9sOG5WeFRjbEdhSmZrcW1wZDVFbDRUTklCTXNZSEVud1h0OUVIZTBpMUVzMlUzOFpheDhwclExNUxuM1VuNmk1TWRaK29JdUlncGdQWXh5cS9zWmV6VmNNMnNudHl2NmJIc1JtY3hCaDIzSXZZYVQ3QTYyOHJrdzZDM0Z4Q0hwNVFzSWtoRmtZZ0t4MzcyaWVwaTExMWhrWEZwRVhBRXhxUGRqN1pydzNVRFRFakQ1N2YrTkhwQ203bmwwSURMaG16SDdPeDRJQzdvVVozczlJeDNtSnNmeWUzcnFhUE9jZjJPNS93TGsxSnkyUi83Qi8zZlUvOGlBbUZEVTVvQ28wNkk2ZnU5Q0YxbUhIRnlxQ3ZhQ2F3SDNQbmVKTVl2ODU4SkU5d1c1blU3d2lhOHB3UjdqZWFMN1VPdVllUDFoUDdaUnlURy9WKzZ5R3hsV2JWOVFYSTFONzd3UWhpeW9IRW84V0hFMjZOeGs0UnA0bGJsdmtVbUxiTWJNVVdVWml2SVM2alR6R3RNVTdrakFIOHh1eDFBUUhKMWpOaTVQNW1aUmM3bGlsUXdHUXAvVW1KNTZ6Y0pSdFFvQzBxMTlWZDJqM2JFU2lwT0FrNlA1NW53cE9YR05mQzFieGM0ZlRtWWlKekpaZW9JZFFvcTJpZWk5ekpYeUwyVU50Qy95VU14Z0JtdnBvdDVMYVRVcW4xVU9KS0VQNUlJTUYrMHc2LytOUEhKNmVHakpjR281ZmoyTjZNQjkvMnpWNlh1MXZiaFUvYWZESGM1eW04TFNaTnp3cG0rWEZSOEdNRVlINjNJSCtwa2NrWUZHaVNKcmNDN2M0bmpMYldVVU1RNkNmWnRDWUFScisvRnZvdGVsTUEzcUxQb2RLWEJSSWVKWUpzMnJ6Q2RPbFNXd04xSXhacE5PRGNTeGVUWHRaaDlkdzFQSHNDWlJSaC9ITkR5dFdLdkZqZmhiTmdWQVIzSmJuL25rQjczdE85T0RYVTdYZ2V3RGR6TytlRVdRaExIbnUyQjh1bk5hSEs5aUh3aCs4UzNXUFBCd0NMM3VjaFB5Qkdid0VUTDlXSGVRaFVzaDlMYUo2NEFXRHgwTHp5WGcrMUZaREJzVkxBYnZzQVZBYkhuWXdkQ0NBZTNlOHYxaFR5RHpPeFRZQ3dnRTJoMmI4WHZxc2NmQTh0a3daWVpES05xWmlLd0dEeXNndkVkSktjTEx0V2tYbDRNQm1ZR3gvUHIvQVhZRFhGSU01bmVTYWo0bWdndkRKRTdoNTMyT1VoZktiSlhodUR4djFTMjErU1dLZWpFMkFFZFI5WklXbFVGZWZiTFlTWllZWlJGclRJc1MycWNQakt5OU51OXllbEI1MXIwTDJCcEUyUlY1aFhsU1VvTi9EbEZzZnhuU1pCU2F3aEE4VWxpSTJDZ0I2R0Z0UGFXZVJBN2YvRzRBSkM2UXlHVlIvOUZSMlNFR2wwTy9uUVBra2ZOTVR6SzZHWUhpamZqbCtiUzJVN0o2ckFUNUxyOHVrZXFpOHg4T0I4eVZPVXZNd2pOS3pVWVpjbHNubDVlMFpkc3JLL0lXSzA3TVpmUjFWdHNZeFh6dUs2aTZ1YnEyUHlKbktTalRvb0dNeU9iSURKZXZtSnl2Y3d2b09ibDFrRjI4WTRhVjkrNll2SFJaVVdKeStYam9kTDgwUE9rbG04SVAwVTdNVllGMC90WUdHMEZucEtvaDRNS3Z1M2lqSStQLzFiQ0FFVWI2VUJnbDJxM2pEdmxldjg2U3RlQmgwa3lSVndlS2p0Nks2QjhyaWJ4eXF6TGhVZXhjZUp3NGcvUnFCeXg2RDBBQmZhV3hBbVFLeTBERXdEbEp4TzdLeXdVelZjK09nL0VuMUd1Vi94TlRFRGRMTXhKUEllcDVYcnJRMnFvbzlRQ0gvVk9IeitKdTE5Sk9meTBMU2U0dGFQbzJPaW5zK1hNY1ZvQzFJWU9nUVVBNUJwN2lacG92RHZJQXA3d2gzcUltYXNsWWtaVmJhcUpJUFNxaDZPUXFobHZuRnNsWWRzbGF5LzlBRlljWXp0RlBKdE9QRnppTmJ0d1phdGxCbmovNmJ1SWF4OUNieTJpSHBORUtJR3JXVkUzcW9rcXFxSDZHSlpnS2owdFdtUWUrTzNzSGFRam93MHIyOXo5UjgydUxLMzNlMWx6Y242MXQvRVU1by9LaUlpd0JYSXViZGNPb3dscmh3TFRKQjlmODREZnpaZDZubWpGUk9wZGxTWmEvbmdvL3NLQlFHbExqWlY1c05mbXBGdVhoU0tIUysxMXlQNjNUY2NUUTROL1hycXdKNzl5L29Lc0kvdGM3Yi9hM3B1MHpIcG9DV2ZnQXZzY0pKTXZReGpIU2Zlc011ckxqMmptS1gvRUh3UWpHcDAva1hEakZ5L3M1ek52TWd3QlV0WWozTTJxd05YUUxEdGFHMjVieWxpajlHWnR2S0Zma2M3VWVNcnR5amdrWW9RMm83MS9aRm1zZDJoWWxJZ2JOUE1lMmRsSW03RTlPbm8yeGlmQkR1VTdLaEpralBUMnZwN2R5NlBUNkJtMlYxSlBIUzdQMVEzMnlvMzg1a3BwK2ZCdTJOTDlndnVPWW5MZTdROFg0NjBIQ3B4TkwwMlg4RGNTVG53b3I1eE8raVVwSUR2eGFlZVJoMjFQdllhVFhhMWxYc1ZzbTZQUnI4MzFBd0tQQjNqcXc2Q2hKakhxcG5LTXBMY1FOTXd0RklZNk5jRkRkZnJmZEtGc0pHeUF2T1dBa0tpUGoxTlVkU1FETmh4M2JKNnBtK0tCaHk3ZlY3MnJQVFNkR1l2bDdJNjZuT2FHbmhMMkdKT3lrbldpWlYxTm5MN0dNM3M0aWRWMWd3OEhUMm5LSWJjTkJGSlhuWWErdTIvRHJaSWxGYXdxTTlLaHp5RWRUZE9aZzVyUk5VRW8xRXZUdWMwVU1RS29FSEpGb3pLa2ZJTmtqa1hpK0FoRGN3bUc0V0ZSZUIwd0h4TGRFZjRjb0x3SnBkL1JhQk9KQ3BZaGo2bFJEaGVHM0FsZnRHU2Rqek1pNkQyRnh6YnNyL2UwcDd5YmhTdUtDVTV5RDBrSVJVaUZFVHN0bWJ5L2xSb1NSbjd0bnBhcTFBR29wOUQ2Y2p3Y0JZMk9KM0VUWm9taC9wS05PWkFha0p2Wm9oVUxVcmZTM0l2UjJwRTNuOS90SnJoM2RHRkNJSnpJZFV2c3k5Y3VmRTE2ektLSFBJcXgrdDB5YXFScUpZdGQ1c0hhVUdzMW5uektzQ0xPMDZLaWYrelZIMkl0NThBbnJYTWx0VEw5aDU4ZCtNeEU0K1RZaStWM3BPZmYrdzdjb3drUkhhaFlhbTc3bkhnZGNCV1ZoYlFHUWdxQUx6MWtUUGNTaWJzZUg4WGZwdDdyUXRtRTMxY05NcVdYd0crUTlTSktndnN5NUhFUFFSZitoeW9CU21jUitSTjRxamFoRkRGR1I2bW4rZ2ZsUTZFeEtQQU5UVFpXT29OeWV3UUZudHBaeS9ZSmZOVEcyeERyYTltQTM3VktlVHc0QUdDN0NoRTBrdHhBK3pob0lFbm9NVUtzSjdqaGo0T2FpQ3dIaGhGSDJVUFJGUzM3RUxPUUZxQ1BJQmZ6WXR3WW05Y1JaTkhJWDJwKzllVFVjVkxBcUdpZkE4OUl2bmxhR28xZXN3aUZjSEdjYkl1eUc2SEhQSU8raVRCV3dlTFF1V2pkanJBTFFBSi9ydmZldW9rK0xNZFJVTk1MV2VCZ2dpM2VCMFR4SFV6QXovRE0yYzJTMlhTZU5uclRJc01BR0NzcW5OMlNLUXJmZUx2YXZKQ0NIWlRiSzBwUloxRlQwN3dKS0VERW9xOXpXL3BFOXhyazZ2a0NwdGhaZ01wMFk2VExVcFREM09haVhDZUhETW8yMUJsU050SEV3NDV2aC9BRW5XV2JRR1lnNlBzUTcvR0dzSDBxMWJCWHlGL3FXV3pOUTIzMHJqdkRLUzB3ZUhjNU5pK3B4Q2oweDhkamo1MS8zSld3c054MGtuejNvY2YyUXN0N2dkU1ZEdmVrUlowdFk4V1N6Y2Z2MW9qcXJvejR3WS9HMXpjYTJJUmNxRnIvK25qZGpMc2ZydGk0VnIvRWE5NEw1MXBTMUZwZDJERkRsUnZZOXFSRS93Umk0aG80eE00OUhuRVYrRi9CVHNDTWY0eU1FVUgyZHQydll3dzNmSFNlUTU0S3RnVnBnRGNka1lmeEhXNFVFWnZRckN2K1crY1orczlCRmgrK0piVlVRektVV2NqdERQS3BqK0Q2MnZYZVMzaEllRFh4M3JKMzZhb0sxa29VaHdJVFhaUVdhaTkxNm9uVTdnMWpmWlFjcmZnSEh5WngrenduN1FhSFpaNExsNWRZeEwrZ0NuZnBJdVVpcllDa01tQk80Q0F5QUw0Y0FlODVkRWVwOHh1NTZjNTdQUklsSnI0dEhmNmIzeTYwSzJhYi81NkpheTlxLzU2WG9ZeU9YaWJCSnpGUVhMYmxHYWxnN3F2RnVEOGxOeEN4UjIvWWRLeXdQUS9xcldTOXZvT2JOVDFQeHgrejlxMEozRjFkL3pweStIejhycnViYWwyZnRWMEk2NzEvMU9ma1VOSFgyNEc0aCsyM1A0enZ4cFY5b2h1Wm5ubkpUQVZ6WmNlVWd5cVlab2RuT1lnU2ZQOEx2UG1ZSFB4aE0rUTI0RWszTmx1cERuaG4wZm5PNG93U3JXR2N2MTRDNTNSTm5WYXlUdEN4eDdjbU9hOU52d1k4cGtjT1hjTCtlRmV1S3p1aGZJWFFNMXhobUNnaHY2QkcrT25SZllPQzN2TFo5UkR6WDNzU2FqcHJ6MGpBVEQveThrZmtkcVpoRS9yajVwNUhZVWRRaFVYaEhyY1gvblFxOUd1NWoxN0hQTzAveFpKaU03c0xWYkNXb1JjSWlPWTFpUjB4NTZEQVVqZkJXMkxCMStHZDZKSWZWbmU2L0hsbXFTRWNkUEVjZnNBMGpyeWNVWWxiZnBwM1dQU2U3UndtSG5kZGNmOW1iNTJLbFo0RkwvTFJoaStGVVk3ZGFFUVMvWjdEK3pIeVFEZUZqaFY3Q3gyMHRHOG1sL2hFcFFvQnpSemxyb1RTdGRrdm9oZWVIUGVzOHVUVFJ2akQ1YU40ZDUxaUFtS1lscnU3NzNWTlIwRW9qaC9naFdNWFc4eGQ5anZ4amt1L1d2TnBMTHZlc3oraGRQZjFXSkdReHREZ1VRTk9WSnc1OHJuclJHUDhQUHVvbjRIRFVnQ2h2L0xzTjR2bnM1ZVMwVHBJVjdrZU9OSStqZjhSNnNNdGduNHdQc3FOMjUwSWpBcmcxenRTR0FoSzZPT2M0SkdZOGFFYjlMUVRjWUVMNUVoZ0lSeDNVWGx3ZHRMWDRIM3pBSGI3NFRTL2JPdUJJcjhUSSsrejhTT0JIWGNpQjUyM2NPeER6K1g0OWpnYldUdS9ldDBzbW40ZmRRTFhuTS94di9MU3kzcitVMzA4MUZ2K3NpclBodjMvSHFxcGZ3TlFTd0VDRkFNVUFBQUFDQURyaUhGY2s2K2RVcW9CQUFEbUF3QUFEQUFKQUFBQUFBQUFBQUFBdG9FQUFBQUFaRzlqZFcxbGJuUXVlRzFzVlZRRkFBZkxHYmxwVUVzQkFoUURGQUFBQUFnQTY0aHhYQjJCOFZKT0ZnQUE1b3dCQUE4QUNRQUFBQUFBQUFBQUFMYUIxQUVBQUhCaFoyVnpMM0JoWjJVeExuaHRiRlZVQlFBSHl4bTVhVkJMQVFJVUF4UUFBQUFJQU91SWNWd2s4TnY0T2dBQUFEb0FBQUFPQUFrQUFBQUFBQUFBQUFDMmdVOFlBQUJ5Wld4ekwxOXlaV3h6TG5odGJGVlVCUUFIeXhtNWFWQkxBUUlVQXhRQUFBQUlBT3VJY1Z3azhOdjRPZ0FBQURvQUFBQVRBQWtBQUFBQUFBQUFBQUMyZ2JVWUFBQnlaV3h6TDNCaFoyVXhYM0psYkhNdWVHMXNWVlFGQUFmTEdibHBVRXNCQWhRREZBQUFBQWdBNjRoeFhBK2F1Wld6QXdBQVl4OEFBQWtBQ1FBQUFBQUFBQUFBQUxhQklCa0FBSFJvWlcxbExuaHRiRlZVQlFBSHl4bTVhVkJMQVFJVUF4UUFBQUFJQU91SWNWeW1sQ2NJbnhrQUFJUWJBQUFPQUFrQUFBQUFBQUFBQUFDMmdmb2NBQUIwYUhWdFltNWhhV3d1YW5CbFoxVlVCUUFIeXhtNWFWQkxCUVlBQUFBQUJnQUdBSjBCQUFERk5nQUFBQUE9IiwKCSJGaWxlTmFtZSIgOiAi57uY5Zu+MSg4KS5lZGR4Igp9Cg=="/>
    </extobj>
    <extobj name="F360BE8B-6686-4F3D-AEAF-501FE73E4058-3">
      <extobjdata type="F360BE8B-6686-4F3D-AEAF-501FE73E4058" data="ewoJIkZpbGVDb250ZW50IiA6ICJVRXNEQkJRQUFBQUlBSHhWYWx5b3J5Rklwd0VBQU9ZREFBQU1BQUFBWkc5amRXMWxiblF1ZUcxc2haTlJUOXN3RklYZkorMC9XSDVQY2RLa3RGVXkxS1hBa01wQWhNS3paOStrVmhNYk9RNERUZnZ2c3dOcXFXbTBQRVRKL1k2UHJYT3YwN09YcGtiUG9GdWhaSWJERWNFSUpGTmN5Q3JEblNtREtUNzc5dlZMdWxTc2EwQWFaRDh1TzhFei9HZGN4cHllY2hhUUtEa05ZajRMZzErVGtnZEpPVTNDYUR6bElhTi9NYm9wTXZ3b0pFWVB1MTJpRVJuTnNMVkY5bkhXdVpLbHFONExmYkZRZFdlc0dqMWtPQ0VoUHZIZ05XMjNqcEZEc243aTFNQXRyZUFuYmNBSkxoYXI0dHhidmxHL0w3WGdEdC9mclkvUXU2NEdQWXhkQUZBTENjTVNkNFR2R3VqMnVPUkdWNHZPcUJWOVZaMDVMbW1hL3l0V2ltM3p0NUErNDZ0S0tnMUxLSE5wQ3ZOYUQ4V3gwMTBvYVFZMDV6VXdvd1dqZGE1VjIrN3M5dkduSjM0ZjA4TFlVUkoxZTVETld3M2RVck94a3hCN3lSM1ErSU81NTVVdW1CSFBmYU92SkljWDd5eXUzcnJhZm5EUzVaUHdLZ1hUQVBKUmNMUHB5U3dpUHZ3Qm90cjBvWVJrK25HRG1wcFM2Y1lSRHUxMlQzTGJkQU44YVY4T1JpU2FCR1FjaEFTRlpCNlRlUko3V3RVUDJxSllGM3R3YlM5Z0tRWmR4dk5rOGtsOGFOTzNvNyt4OXVjZlVFc0RCQlFBQUFBSUFIeFZhbHhVeEd2T0tRc0FBT1o1QUFBUEFBQUFjR0ZuWlhNdmNHRm5aVEV1ZUcxczdSMVpiK1BHK2IxQS93T2h2Q1J0YlpFU2RRRnlBL21RNDhMU3FwYnN0ZnRHUzJPSldZb2pVTFIzM2FjY0NOcjBRb0Z1MGFZSGlpQUphaFRGSmdXNktCQTAzUi9UMWRyNUY1bURIRjVEaXJLdHRiUVorOEVpdjIvbU8yYm11MlkwcnI3NWFHaElaOEFhNjlCY3l5aXJja1lDWmhmMmRMTy9sdG52MUZmS21UZC8rTjN2VkZ0YUgwZzdtd2hGUmlpZDh4Rll5K0IzR2FtcERkSG5yejkrdXFKa3BKOUFPRVE0R1duZjFPMjF6SENZa1ZvV2FHa2pZS0hYK1F6cVNrSS9wTHVXQlVkajV3VjVlVi92MlFQcEFDRXF1ZHhxSVpmSitxRnZBYjAvc0RHNFZNbXZsbVFsQ01ZRVdRYzVSWTVDdlE1eWxWSVFqTmxadDREMklKa0ZoamFGbHhhMGJFdlRDVUs5dHR2ZUNvSnJwelpzNno4RkdOeloyOStLSWJJTFRrZ1BjZ3k4QTBkSjREMlh4VEJ6THNJNnRHMDQ1R0MwdXhZMGpFUFMrYXBhcVpTTEJSN0NFVVVJd2JZdHZiY08rcnA1eUdHT0FZODR3SHRXZjFPM1FOZEdVekhJVlRVYm5pL1ZYZTBjbnRyKzVqODZIWTRhc0FjNEFtRlEyejQzQUljcWdUbURVUXlDbXFmRDQxMXdCZ3hPcytHd29iME5MVEtib2lEZHBLRHdORVFpSGdCclV4L2J2SVlJK2hhY0FxMk54eGhZRHEyTlVidXJVZkVLY2hpRUZtQVg5ZWxvVlY2TklDQ0tUSE95VCtrQkhXUDZkUjBZUFl4dGFPZFNld0FmdGdiUWh1NGNsNXBrVnJOSEFtekJNZTVVSWdzTEtRUkpKZEhWZzlRdE8waTd1Z2xjeEE1NFpDTWQyVG9TeU8wcXBBYkNCcUh2ckI5cW1GeFROUG43N3lhLy9UVjkybC9MNEQ4WnFXNW9mZHEvYmh1QTB6SHAvRUF6VG9rYWtBRmJ5N1E3ZXdGVkVaUTZORzJwcmcxMTQzd3QwOURSU2hoRHRFNlBOQ1JWUnFJS1FNTXViVUFESXB2M21rcCtnaXJQdWtLa0VpekhCUHYwMzFjZlAyYUNFVW1XV3JJaTh4N3ZYM3o5aHdzbTJTWVlhWlk5QkthOWhPSTVzeC9MVjNMbDJ4cHF1c0hFYzU2V1diSXltNVAvK2V6NVYzKzVmUHowNnZPL01nSHZvMVZ0THZyVTlGNDRGaTFzNk1iTUV0WjF3NmhEYTZqWlR1VFR4T0l4OFBwMjNZTER6Z0FNUTg2bjJySjAwMjREKzNRazFYWGtiZHNEQUd5bVNDZFlrajN6aU9NV1poNXhsT0tMbzNBNDBOQXM1RHlwck1TLysxK2dlTUQvU04yNzd3M2pDdGwxRlBENWRVUGVPQ042OWY2dlhuejBPYk9wTythWlB0YVB2ZUdUZG1IM2didUtpWUR1UXcyNTdqTVBiMTNyUHVoYjhOVHN1UWh0VXh2eFFoNC8rY20vM3NPQnBHUDQ0cWk3TG9aSG5qNzVxVHZZSFBMRXlYbktxTkpCeE1Uem5uRjY1MCtYank4Q1RvaWdrY2xHbkhFK0tBNkJicDJjb0ZBR2cvTkZEaGk3T1FMa3dEYWdhYUsydFBPQzZtT1dnTjJuUnNQalZzVVRRdFBOWTd4T1paZnpBOTNXRE4wK1QrQmRMU1h5cnNvSnZIT0I3UUVLOWtQUWF0YmgxWDJtU0hRdGtjL09kSk5WTk1CNFFKalhReFlCeFgxZE1CNjdRcjE0K3U3bHhTK0RJbG1hT1Q1QkN6UnNON3h3WHBhalZzV0w0b3NjYU0zczh3SkdBdHR1T2ZHdFVzenpvVWMwaE9PMFJSUFliVjNBbzBaamFLa1JqbHA5eUtTemZCQTV4N0dTaGo3aVJOME14Z3U2c3p6ZFZVblV1Nm5aV29RZi9YaW5SMFkzMUEydlJYV2pCZEg2SEljN29hK2Q0V3paQ3JNMWRFTElZUTlCR3NVSVJtQXA5Wk9saEtld2syUEdaeW83VThmUDQ0NHpKT25ZeVZOMjhpbllJWjVrajJoeUNqZTNwU3VWTXFmZXJxNktmakZTOGVhK0NqaTFoajd1aHB2ZU8zNGJXVGJNTEZtZm9Va2NhbEhkT2dPYzZVdmVibHB1OWkzVm80c3EwcEJhUENlRytQR3AzbjNRME1iSWp4V1VTRGdVQ1RiYTBOQjdYTVV5Sy83YWlmUERVWmJYWDNReG00QUxZZEQ3Z0Y5RUNDQnRhRVFUS05pejQ1RmFtbTBEeTNSV09oZU5GQVpxbGdVZkVpelpEZXhVUHZxVzJVdVBURVJGaXBpbTBvaGFGVmtwcTNqeE1hK0pCZzBSRzJnOTFFOEZ6MVJ3Z2lOT3BWRG9Gdm5Fc3k3MXlOakVqa0NWdXVENDBjRU1JTmx4MnM0M0xqRWRWTE8rbVJqd29jaXBSNlk2OGZTQjVMcURQbTA5c29IWmMwbnp1SXR6eUF3aDRKaW4yU3pTSXVDc2s4d0RhNUhnd0JuT2RtcFhIR2lTem9peUppR1hqd3dHVnV4cVIxa2xldmhldUlqR2Fjd28raHBUbFNTMzdqeXlhUXFYbEY4UlRHNGs0UFdEYUs0YktQYVdEbXFHM2tjWnhRWXljY0NpQlJzNm5haEp5eFZRNU56Ump0czJSTkYybVR0QlNKZUJaVmJCdi9GaWJBdzBTK3NpZXRMT0lUVzZUakxZMFlkZ0xEWEJRMmtQRGpXVEpZUElKWkdLSDVrbmJsbzRqVW9MRWVsYjJtamdVbW1QOEFwMVpxa2pOL1o1WnErdVcyT2I0S0FIbkpxNW4vZG84a1lhYTEyd0RwQkdnZmRjTzdGeGRKc3dKV25HTnBab3A2cVQ2RkVuaXpXcXVxbGRuTEZqNHhVREkvRFJTR3BSR1RjT1kxWnhBTjhldVlpVDM3ejM0dWZQbmo5N2N2bmZKOVdzUFVxaWtoM0ZnZEYwNDNOSUFXU3FSV3hhcUFsOUVYQ3oyd0FPZ1czcElHTEtITWc1ajJRVEV0OFFIMkEyU1lreUFXSERnR1BRUzNDVVRZaHJLSWtrY0hxYTBFTURub0VPakZObjZnQ1FZS2NKc3doaU5wWXFjYW0zeWsrTVlyS3hoTkt3a0xEUTdvNW9LczNmaUlNNXpBUXUxV3FXczY3WVMyOFpPbUVITC85M3FoMjRlN2NLVU9KVUFRSm9OQmJ4dndxa25kRGtKNTdldmxST3lSTlhXdHZ2M0Z2ZjJ0NXB0cHFkMXdtNG8vVi9nRUpMOU9lTmFGVGw3VjNoMVA0YUhTQUFwVi95Nkc4MU4xTTNqdEJPMHhobFJ4eU5wS2lhRkNrZHpQUUsxVjFTRVlVaEgxSGtvOFNhQ3NiZDNxL3RiYjR1YzBSbGNWbE9wWXFpRWg1K0gvUHlCamZrQ1paZHZEWkh1TTFSVEJ0ZlpKYWZGZ0g2STdGWmFqR2VwS1FPeVpIV1Y1eVpqdXdPTlhVVkdKK3NKa1ZXVncvSmtISW5EcTlCa2RjZ3BpS0VVK1BnSGpBL29hMVVwaWUwZ2VxNXA5M2x5RWFqOVQ1WHhSNnlPZ1g1K3Rrb0RXQUQyU2d1VkpFcXVPTG1vaktuN0VpNldvcEU5S1loWEd3QWxqcUVpNC9RNWgvQ1hUZGV1VkdjeGlsL3A2TjZvNWlBdkdaN0hmU3dBWnJCQnZuQXRvbjdKc3FmOENFTmJ4dUg1bldlMFUwSUxnS2JDOFVsMjF6STU4VG1BdWxHYkM2SXpRV3h1ZUIySkRZWHdraGljMkhCWXpxeHVTQTJGOFRtZ3RoY2lNSDNOaGV1bnZ4djh1blBKazgrdlBya0E3RzU0Q0NJellXYjh5TTJGMjZQZ3lYYVhHREwzYTBCbERrMWdEMFV5MmpZbjd0eGlQZGl4a0pBTHJrUUVBM2gwcDR5akJwakwxU29jSUMrb0tBNFV4MGcvL0xxQUxlZXdFK1ZsS0FlT1VOeFcxbGdtcXE0b2hSZThiTDRIUElvdmo1RVdrTy9SRFZqV3BNODMxbUxtZEthVk91Tk5VbG5YMWlUa0FXN2ZscVRGMm1OU0d2dU9LMTU4ZUUvSjEvODhmL3Z2RHY1NkIrVFQ3N0FILzc4NWVUTHY0a1V4MEZZakJUblRqYmZVbHZ6K2FVVXM3R1F3cGZNTzhXNWN3N21zaUU2MHlFcGZJQnB6b2VrOEplYmJuUklTaW5kNkpBVVRudXVmVWhLeVpWZXppRXBaWll6VWl2T2NhWmJQaVdGUmdwSFZET2VrMUxVY3FCVjJwTlNKSHBMblZLdTVKUVEvcDBkbDVKdmRGeXFQSWZqVXZsY3VWaGF0dFF3eHVLS0UxT09ZT0xFRk92aFZRM2FwaEhGZG40T0VRSjVQZWNqVStHU3FjTDdUdmJDbDB6emVZNlhFU1ZUWHlOUk1oVWxVMUV5RGJjUUpWTlJNaFVsVTFFeWpXa2lTcVllVkpSTVJjbDBCZzRXb0dSYW1IdkpsSnQyQkF1aXNlVk8zSGJ4eTUwemZTVjBUdVZPVjFNdnBkaTVQS1ZPZnQxUzRSWTZSZDJTb1ltNnBTT1lxRnV5SGw3VnlHa3g2NWJ1eGJJM0sxeHlIUDc4TDVMSWwrNzJJZ2sxTHk2U1NCVXpxTEs0U0lJekIzazdvOXg3SWR5SncybWdpSXNreEVVU2ZvQUlMNzZsNGNXMzR5SUpaZGt1a2xETDRpSUowbzI0U0VKY0pIRmJ1aElYU1lpTEpPYTdteTh1a2xpWTR3UGlJZ2x4a1lRNFB1QmpZdUdQRC96aTk1TVBQbnYrMWJQTHh4Zml5SUNEc0JoSEJzUkZFaEVXeEVVU2kzaVJoRk5TNEpVWkpQd2Yzd2p5R3IydkdqOGp3NHlyWnpuNlJDTVJiQTRaSG5ZNWtHTGhZQTA2S05uWkNGUmkrMWV2MlQrNUREdU5BT1ZiSVRBSEFRcnBCRkN1VFNEbEVDdlhIV0lsNVJCUDZaL3MwTGlUbHY3YlhQVGhHMUJMQXdRVUFBQUFDQUI4VldwY0pQRGIrRG9BQUFBNkFBQUFEZ0FBQUhKbGJITXZYM0psYkhNdWVHMXNzN0d2eU0xUktFc3RLczdNejdOVk10UXpVRkpJelV2T1Q4bk1TN2RWS2kxSjA3VlFzcmZqNWJJSlNzMUpMQUdxS2M3SUxDaldCNG9BQUZCTEF3UVVBQUFBQ0FCOFZXcGNKUERiK0RvQUFBQTZBQUFBRXdBQUFISmxiSE12Y0dGblpURmZjbVZzY3k1NGJXeXpzYS9JelZFb1N5MHF6c3pQczFVeTFETlFVa2pOUzg1UHljeEx0MVVxTFVuVHRWQ3l0K1Bsc2dsS3pVa3NBYW9wenNnc0tOWUhpZ0FBVUVzREJCUUFBQUFJQUh4VmFseUpWQ3hFdmdNQUFHTWZBQUFKQUFBQWRHaGxiV1V1ZUcxczdWbk5idE5BRUw0ajhRNnI3YmxOSE1kMkxNVlViV2xFcFFhVkp1TG5hT3gxWWpXeEk4ZlFsaE1YSGdBSjlRQTN4SUVMaFFNM0JHOVRTdDZDMlI4N2NiS0pVclVwS2ZYdUlkN3g3TTdzZkRPem0zRjEvYWpiUVM5SjFQZkR3TUxLV2hFakVqaWg2d2N0QzcrSXZkVUtYcjkzOTA2MTJTWmQwb2NuQkkyUDBFTzdTeXc4ZVAzKy9OMW5qSGJ1VzFqVnNXQVpzbTJGblRBU3ZMOVB2ZzArbm5EZWlvcFJvMjI3NGFHRlYwcEtrYlhSNld3Sk5ydmhNSGtiamtPQ3VBenNIalNER0NZV05KWFJ5b3FtT1hwQzB4bXQ0anBGejB0b0pjNm5HNjVIRXByQ2FjUTFIQzJoR1l4bW1LWXluRnZoY29ucEtrWkMwNFF1anFPcHVEQ3Y3bG41cWtTK0x0a2oxNzFZVkUzVHplcnVlWHBGVjdPNkM1MHl1bWYzbzQzYWJGVDNhbUdJMndTYTIyQUJKeFp3QnVRUU1hb2lnNTlOQW9SN3BCWkdYVHRHajE3NHprSGQ3aDlZZUZVWjUyVGNOYi9URWN6TjR4NUlhSVFkMzVXeERnMk1Ib3NOMDRiUlVIZHc1d2xNK1A2R1ltU3ZkLzJBVEgyYmNqd2hmcXNkVStIS21nN05rTXBLMmJmc0h1V3RkZXg0TnVPZUhjY2tDcGc5NWZvejFrM1M4b09OS0FvUFVjTi9CWllxY3dpSzA2ZHNCKzdGSmpCRGdLbm13WUpONEhqUW9BWjJEVklKaDBabkhhTjk0c0hZWkMwTGxEWmRpVUtpaFJUSm1WaFZ1YlBPeHBLbklGUVBxYzV5WTFRTE14YXFGa1pjL0o5NVAyRjl0b2xSMHc5aXlMdlRObm5GVVpISFF3YWgzTzF2aGR0UFhnTXlqTGZPN1MrUEVGc3lENGNMM0lIeTlJNnUvN3BqcHRjZHRVUjdmdDFab0tPN2hQYTVzb3ArUFhtL3RLYlNsa2RGTmlxTU5DbzBnL1k4S2hZU0ZjTGFsZFRhWllQMmkxczdQeVlXSEJDWGg0aXRlYU1Eb2hZRzhYaDFhY3hhM0VTS1NidGMrazNpbTNVdnUwSzVFTHdTeTRweUhnZExVcDBOQXFDbkZWcGV6VDAvL1hMMjZUc1NaVDJ0TENuTGltbTh2UGsvcEFyMW9xbENUQ2d2NkorVEFGbmtCMW9ienlTSFVuTEJtYkhINWM4UzAvMG9yVUlMaGduUGJaSWo4SnVOanQ4S0xMeEZBZ0FkVEFKRUxvb2ZzbUEwN3RkbnYwNy8vUHc2K1BCbThPTXRzTm5QRzNIWTQrbVlWYTdsSHg0RUZPTGJ4R1NCdjIxSHRnT0MwYzVUSm9zN2hnSlBBcVdWcEN4ZHM3dCs1OWpDZGQrSnduN294ZWlaL1lENGsydnV3Wkt0eU82MTBVN2c3aEl2Wmd1TDlZRzBUK01sR2RUOHFNOEh3ZzV3ZkRWNkZGaXFoVVRqdWgyQjIvZVJXQVhZdVFoNGFGSjd3TzltR01kaFYrYlhMSEZ6b0hiN1VxY1pNaUFJMUJiVGpORlN1OUFSUjJUY0V2UGMrNmNBd2YxbEtEeFhMVmR0cVZSVE1xb3B5NlRhRWx0dEtWUWJmWlhOZXVLRW9rZU9vQW9Lak1RVC9XRCtGMUJMQXdRVUFBQUFDQUI4VldwYzdxVU0yeThMQUFENkRBQUFEZ0FBQUhSb2RXMWlibUZwYkM1cWNHVm4zWlZwVUpOWkZvYS9RQkFCTVVaQUpJcHBrY1ZBUzF4WUkwTkthVUFRakNUc0NEVGFpbXhHeEVpUW1JaXlHVVFLRlZEUVJFQmtEUkVrVVpGOWJVSDJSUVFGQW9PeTg0WFcrTFhaQm1lbWVxcW01c2ZVOUw4NXQ4NlBXK2V0VS9XOGI5Vzk4aEg1SkxESjJjSEpBWURCWU1EUGF3ZVFqd0YyMzI5L3FyNHYrYk03WVBJR0FMa2VDQVV5RldGNmdBSVNwb2lFeVZzQU5BREFsUDRoQVA1Wk1BVkZ1Tkk2NWZVcXFtcHJBdDRtUUFHbXFLZ0FWMVJTZ3NQWHBsZlc1Z0FjcWJSNTU3NUQ2elRjZ3BUMUlqWDN4NlhucnQ5MXVLSlJpOWdINmg4NGVlR2FpdW9XN2EwNktBTkRvOTBZWXpOekMwc3JhNXpkVC9ZT2prZWNuRW51SHA1ZTNqNitwMzQ1ZlNiNGJFaG8xRVhLcFdocXpPWHI4UW1KU2NrM21MZnYzTTNJekxwM1B6c3YvM0hCazhLaTRwTEtaMVU4L3ZNWEw2dWJtbHRhMjlwL2ZkM1JQekE0TlB4MjVOMm9ZR3I2cnpNZlA4M096UXRYZi92OFJmUVYrdjNiZHk0WW9QZ0grbi9rUXE1eEtjRGhpbkRsNzF3d2hlanZBaVJjYWVlK2Rac1B1U2tIUldybzdZOWJyM2s0UGJlaVVXWFhBU0tvZGZKQ24rb1dmVE9CZ2ZBNzJ0L0ovanV3YS84VDJSOWcvK0lhQlRZb3d0YkNVMFFDZUVBbTI1M0hCSFp6MjZXbjJ1VUEzekpSRG9Td1I3UGFxOU51MVllcmg0bWlJWFFCL3BZTVRWTUIyeGZ0UVczM1BsdnMyTnk0RHYrNVVMbVpuQkNvR1U3ZkZZcmZhb3VkWDEzWTYxUUdIUnY5MUZ3UE4xZXVIV1E3RXJTbzQwMWRDV3duc1JxTklzMjF0WkgxNGF1d1RKbWV0MnhNRGlCa2lISElVY0N2QjdtVDdLV2o0dTAwSXltTGhnWm5KQjU1SWI1RHNod0Jna25mS3ZSS29ldlJQSVdVWkpZL3ZnMW55VnlKZUFRZUt6TjMxWnZDa1Bkd1VKYjJ1Tzc0R0g5cnowNDVVR1drTTBwUVUwWjFzOUNiWjZzcmJobVdnUzlLM0ZJeEhnV3E5MktxaDRwSnhZY0xpTnpsdW1jTXh2eEljbER0R0RmQzJxdkJyUmhuMjBmaTRaQnZubWJNT3ordmlDb2daU0ZRVU1JaVlxakRSTEUxV3ZzU1MxdG9NTTRhclF3Y25VVzF0dDZaeFZIS3VlV2M5empLbTh5dXZEbkxocEg1N01vM1JSZVhjT0EydjdGR2RWN0QzbzR2VVBva05vM0JiMjhpSnpCVVpJYVM4N1Z5NEZxY2hDTDBTcVU4OUpxOHhBSFRHdkVnQWZ0dXBabTFxNWV5c3VuRWZEL1ZVcFFtWEVtVXFBbWoyekpaeWlBcjRXVDIrZUhsTzlNQmhZSW5QN1BCZE5wQjhPSFNaejdxMHJrSVI2U1JqbS84K1c3Y0FBRkowaWJ5Vk4zUEM2T0lHWUZsZG9qRGhiakNZdzhxUmtJcmk1NzJ0bmsxV1p0NmszSkMycUxLSC9jelhpYWltQzJlSEorcWZKUmJmbzlCSjJid1FYSEhBMHhIMld3VGQ1bW5CWklsR3RHdDdHMDFrZUk5VkhJcnVnck54Si9sYnBFY0dhSWRuWHBOTmtlUDNoRkZRaEZpRE0yUDN6ODFXTmRURUpLZDFwaVdrSjFZS3FoRk9GVmVNL1EzSXJLSnRVTmZmbVc1T2l3SHdmbnA3Vjh6eU1TY1FnTnRBNU9CQXFLUTVHUmNsZXRoWDl5Mm1YZ3RPLzd6ektlYkx3MnNMblFUMmJXZWU4em1UdTZ6aW83MUpUYWZOQTZhc1hySHozWHJwMkNLaXp4dUdtajVaaGlYWEh6a1pxOTFyNG01KzVIQ3YzY2xieW5XRHVRbmxVSHNsbS9kR1lJZWRXcVU4K0NhclZCU3dHRDQ1MVRFb2Q3UEtkWThkVCtmWVVyRTRiQllkYXh6LytLZVpTeFAxK0hibE5wQkV5dkRseSt6ZDUrTTl2ZUZVbVNxcDhPaXJzZ0IrUGhhWk5kOGZQeDZZbUppeEVqNjBEQS9NL1BwNjhnb1NsUWtpRzZ2T0VRbXc1MVhlMnhXcSswMzdOdmxwSCt6aVBtbVFmZnBZQWJOWG5YakNTWXYxUDBCaCs1QmpMeWVrZU8wV2hocndYOS8zOWE3dzIrMTlkVmxFNWFLK0NkRzQxRTVNTW15bE1GNmQ0SmZKWnBaSXMvZWxZSHA0TVVQTmw4WkcrVkFPQ0VCRjFCcm1vWllVZ01idjRoTnhOejFjMmdkOHhDYVRreWVHbVM3TXlTTHRibWZwbHRPMWFxeHo2TTVRZmRCc3FBOGYyb2xKVUJON0RqNWRTbEdiRVR2L2ZheFdKQjJGVjBsQnhhRndwNldhc083bEtYZzVnbmxPbk9hQlpSVEhvTGFXc01mNkg1V0VtS3JLalI5emdncVVCT1BIZFFvK2pEV2VnWnJ1c1M1T1g1UnVFdDJUaElyNWNtVUpZZXVOMitaVU1SUHZwcDR5bGo4SW4wbzRHNmZZeG5YUlRCRWRoQ3ZHTXBweVI1MFl5dFFXWTBTUDJFYW9WOWlyUjFYbm05MHZEY3h2Y3dYYW11TFRmRlpyanJhOHl6MDBzUVBzdTdMaFV0N2hOcWlZUWhiU01Pc09kMUovNVVOSGlmYzJMRk5tc21JMk5iRm1MckplSVp1SXVoUzhRTHN0UnA3SVVtbU1rME9tdnhMc09EcllwTFlqV1lRY2JDRnZjbkdTY0FodGRScENSazNKVEU0ZnRya2loYkVjQUV6bjRMK0M5K3crVWNWU2ttdEhVOEM3NS91UVNSeUFoNjZoQTg1VXo0NWNJNFl1dzl0UU9pZkptYVlNd25JUURYWG9KSW00d3Z0Um5FeHh3cU5LbWRLSGVxclNsRVhVdlVIaXgzY3AvRmgrQkMzQUZYQ3lPanRVbnpvd0hsMzdBbXBCT29VTzlPN0djOHkrSEd4NHNNME9vUUI5WHBhbythMzFHbS9nanFGcElaNnRhVWFwNmpIN1NHbXBlUkhoT2tyc1hZcDNtd1hwcXpOLzdDdTlmSXZsYmRFZmN1ZTVpL2k2NXNDZmxqano1SURqVGEvU0F2b21vRnJyMk9qRStQMFdSdHI1VVo4MnZuUTdCMXM4VWthSmtYQUVWVmdVK1ZBc0YzZU9GUjZwS3JmbkFHZm9IWVA5NGFGVEtZU1doamJiQlNuZGRHT2Q5b3ZzV0JRc0pCMDZHMGRocG9sUUhleHEvRE1PaXVhdXBScnV6bHNnc2RkK2wyTWxxeVhBL0dkSWczcEs1bXVSRTM2aUZPM2JreldRMWVGVGdtRHZhRldNYkJnSVlSU0hLUjVqRkE1a0xwREU2b29ueCtsWDYwV1haOHNvbmxOdnNycFVtdTBOY09RSTFIdncxRDRnNVBzMFNTWGZycXVQK1RZemdZdkJDL3VuTVp1dlcvamZYR0ZPV3FVd0FpcVgwZk4zc3FMVURWQnFCb1dDT1pzTGFqNURiN3hMT1JiOWVGNkd6NTlTOTlBeTlsd3M1d1g0UndPMldqb3dDMmsxRmNyUC9QTXZmWWZjVnlkb0ZCaUF1NDNhbG5BRHU5d3ZBV3EwdU5zdTdyS1VLWWhSNVd3WUphQjZXb3JDeGw4Y2lkdHBjakllQWpqbkVQOGxLOUtwWG9sWEM0bkZpb1RrRVNDdXYxeFNra2JyeURnNFhiOFNzK2F2ZkgxMitnYkpGZkFLcFkxcENXTUVxUzFjZUhOSlI5bTkwUE5BbXhhallrUTNkUVhsazJ6eUxMOFpzYjZBYnpFS1p2RGxMenpteGpwaVM0MEg2bmhKNHI2ZlhKL2VwSEE3cUFieWQ0ektnaU4ySzN6NkkyeUE3SVJmT1ZFRXpZWjViSkYyNWNiVjJjazY4V3IxS3pGc24vTW96TEpyWC9aSExFQjRyWldIK01Gcnlzb2ZEODJNZUlhZFdwN2RDYXBtWEt1LzVEeGtZbDc3S2ZUOUdHMnBvUWtQZ2V0aUNqU2wzTGdGSjVKaHc4elFnT1QrTlhzdHJDVmR3ZGI1QURLNWkvQ2xQWUFYZWxWZk5ERUJ1cmJkbHVZMEtpUk1WWW93Ris5U0ZqdnlKbDlCdG5KTm5Gd1BXMWVheitZWTRLTmEzQXh0T0pSRjNPUmcyaVZLQW45V3V2aGpEREM2SUtyOURGK2tvdXZ4QzlXVEhVZEZQRVltaElDNUZGT3M0VjBRYmFqTkk5bVBzVWUwUkJwOTlwcVViODIraUtXRklXdjJnSTFiVkhVNklaVmlPd0x0czZNMzVoTzA1MGR0eEFHSnRrY0lsc1VCNWxtWEhuU1hDaWllZUxxVUdhUjN2ZUkrY2U0eStnZjUwclNjMDFEYTZCby93RmlXVkc1aXdaM0tkaHB1Rmt3SjQ0NXpxUThBTUZTVTErTnV6RzFHUUUrcnQxZDFaaStZbUlTcjIvaFM1TGRoNnc5TWVXTytPSFNRQWlUSmRHNC9PM2plRWVuVEZWRmpBd0lDQ0NvY3dvS3VFdis0STZwai9NZnAreVphckZVUGVGQ3A4MXZIWE9hZTF0UzlXL3Z6ek01QU5BL2NHZE1SRXZRS3NzSzBoQ2YrQUF4WkJzM1NOUHJUS0JkYTRaV2ZsckNDanF4STUwTnRwcFNwdW1YbnBUTDdHUTVjSWE4Q1RyUVZLOWVvelB0cWoxRlNLN0RJalNvT1ZNdWR4YjRlMmN4NVdIVk15dkpQOUkwY2tORXBSRVJVUlNwNzdCVmpmN1pTZENiRzNTanliMlZnRlM5NStKM2dlczQwcXhtM3JOYlVPUjJqb0RjWFI5RVFpcTlscmg2ZkNaSnBjNzdpby9WN0hST3RVL095ODYzOXNnNGJleHNybDlhM08rZWozblpsMkNKR2h6Q0ROMHVLYjdyWmgvVEZtZXZlUnoyZjlqSzhuZC9BMUJMQVFJVUF4UUFBQUFJQUh4VmFseW9yeUZJcHdFQUFPWURBQUFNQUFrQUFBQUFBQUFBQUFDMmdRQUFBQUJrYjJOMWJXVnVkQzU0Yld4VlZBVUFCMnlGcjJsUVN3RUNGQU1VQUFBQUNBQjhWV3BjVk1Scnppa0xBQURtZVFBQUR3QUpBQUFBQUFBQUFBQUF0b0hSQVFBQWNHRm5aWE12Y0dGblpURXVlRzFzVlZRRkFBZHNoYTlwVUVzQkFoUURGQUFBQUFnQWZGVnFYQ1R3Mi9nNkFBQUFPZ0FBQUE0QUNRQUFBQUFBQUFBQUFMYUJKdzBBQUhKbGJITXZYM0psYkhNdWVHMXNWVlFGQUFkc2hhOXBVRXNCQWhRREZBQUFBQWdBZkZWcVhDVHcyL2c2QUFBQU9nQUFBQk1BQ1FBQUFBQUFBQUFBQUxhQmpRMEFBSEpsYkhNdmNHRm5aVEZmY21Wc2N5NTRiV3hWVkFVQUIyeUZyMmxRU3dFQ0ZBTVVBQUFBQ0FCOFZXcGNpVlFzUkw0REFBQmpId0FBQ1FBSkFBQUFBQUFBQUFBQXRvSDREUUFBZEdobGJXVXVlRzFzVlZRRkFBZHNoYTlwVUVzQkFoUURGQUFBQUFnQWZGVnFYTzZsRE5zdkN3QUErZ3dBQUE0QUNRQUFBQUFBQUFBQUFMYUIzUkVBQUhSb2RXMWlibUZwYkM1cWNHVm5WVlFGQUFkc2hhOXBVRXNGQmdBQUFBQUdBQVlBblFFQUFEZ2RBQUFBQUE9PSIsCgkiRmlsZU5hbWUiIDogIue7mOWbvjEoOSkuZWRkeCIKfQo="/>
    </extobj>
    <extobj name="F360BE8B-6686-4F3D-AEAF-501FE73E4058-4">
      <extobjdata type="F360BE8B-6686-4F3D-AEAF-501FE73E4058" data="ewoJIkZpbGVDb250ZW50IiA6ICJVRXNEQkJRQUFBQUlBRHBWOTF3RTVqb0Vxd0VBQU9ZREFBQU1BQUFBWkc5amRXMWxiblF1ZUcxc2haTlJUOXN3RklYZkorMC9XSDVQY1pLbURWVXkxS1hBa01wQWhNS3pGOStrVmgwYk9RNERUZnZ2c3dOcXFXbTFQRVRLK1U2TzdYdXZzN09YVnFCbjBCMVhNc2ZoaUdBRXNsS015eWJIdmFtREZKOTkrL29sVzZpcWIwRWFkRlBtK0pGTGpLeHkyWE9XNHo5aEZWSUtNUTFTd3RKZ0hFL1NnQkxHZ21sQ0VsSlBhNWFRWDM4eGV0aXVFbzNJNkJUYldHUWZGMTBvV2ZQbVhSakVVb25lV0RkNnlIRkNRbnppd1d2YWJSd2orMlQxeEtpQlc5ckFUOXFDTTF6TWwrVzU5L3RhL2I3VW5EbDhmN2M2UU85NkFmbzRkdWNHd1NVY3Q3Z3RmTmRBTjRjdE43cVo5MFl0NmF2cXpXRkwyLzdmc1ZUVnBuZ3IwbWQ4MVVpbFlRRjFJVTFwWHNXeGNteDlGMHFhSTU1ekFaWFJ2S0tpMEtycnRuRzc4bWNuZmgrejB0aFI0cUxicTgyYmhtNnBXZHRKR0h1VjI2UGpEK0ZlVmphdkRIOGVHbjBsR2J4NGUzRjY1N1RkNEdTTEorNHBaYVVCNUNOblpqMlEwNGo0OEFmd1pqMFVKU1RweHdVRU5iWFNyU01NdXMyT0ZMYnBCdGpDdmh5TVNEUUpTQnlFQklWa2xwQlpOUEc4YWhpMGVia3FkK0RhWHNDYSt5blRJSXBkeWppY0pmRW44MzdNMEk3aHh0cVBmMUJMQXdRVUFBQUFDQUE2VmZkY0o5S0FwTW9jQUFETk53SUFEd0FBQUhCaFoyVnpMM0JoWjJVeExuaHRiTzFkVzNNY1JaWiszNGo5RHgyYUZ6TllyYXFzVzFlRXZJUXVsdXdOVzJpbHRySDJyUzIxNVI1YVhZcFd5K0I5c2hlR2dlRVNMSGdIR0ErN21NRzdYbVozOEV5WWdHRTgvQmxveVhyaUwyeG0xcjBycXlycjFsWGRPdVlCZGVYSnpKTlpsU2ZQT2QvSmsvTXZ2THJYcmQxcTl3ODZSdS9jakZnWFptcnQzcmF4MCtudG5wdTUwbHlaYmN5ODhBOS8vM2Z6NjYzZGR1M2lNaVlSTUVuejluNzczQXg1TmxOYmErM2h2MDhlZkQwcnp0VCsyVEQyenMwSWRXMm1kcVhYR1p5YjJkdWJxYTMzMit1dC9YYi8zQXdtd1kzVjhEL2E0SHJmMkQrd0h0Q0hMM1YyQmpkclYzRXZJa0oxQmMzTWVVc3Z0RHU3TndlMFdHbG9kZGxmU3ZwejZpTlJDSmE2OVpHdStZc0pONHY5ZHV2bGFBNGNNcmNwVFpmcW1pQ08wQm45UWIvVm9RUXJDNWMyei91TEZ3NEh4bWJuWDlxa3VMbHg1WHhJSjVmYU4yZ0xRa2g1MDlpUEt0NXdaaXVFWU5FWURJdzlPaDkraXMzdHZ0SHRYcU9OMTJWQkUwYkhaeEpzbVFTNFdKWkdDRmI3blozRjltNm5kNDNCb1ZPNHhTaDhzYis3M09tM3R3ZjRnL1F6UHo4MytzM01YMnJkTmc0SDN1ci9lTGkzZjluWWFUUEdUWW8yQjdlN2JVYXZ0TXg2STZxL2FPMXc3L3FsOXExMmwxRnRiKzl5NnhkR24wNWhzS2pUTTR0R3YwVTh4S3Z0L25MbllNQ3FpRXN2R0RHbEN3Y0hwTEF4c2o3Mk43ZGI1dkFVWWJRSUw4SnQzS1kxcTBJOVFJQjdkR1pPOEV5NmI0NUoveXVkZG5lSFVIZGJ0MnViTjQxWDFtOGFBOFArMEd0cjlOTjJmdExDZGVPQU5GcWpxd3RQQ0I1VnpWeENlTG9GaStoU3A5ZTJDWnZ0VndkNGpnWWRQQ0M3cVpGcG9HelEvcTFGWklvbld5QU4vL3ZENGZ2dm1yK3VuSnNoLzV1cHJYUmJ1MmI3blVHM3pXaVlObjYxMVQyazA0Q0YyTG1aemVhR2I2b295WXJSRzlSV1dudWQ3dTF6TTVjN2VEa2NHSGl4YnJYd3FHWnE1Z1RnMTE1Yk1yb0dsbnMvaytrLy81VFAyWVBnR2hoeUJ2YkZrMmNQN2prRG95T1o2Skdwemg3eTJxT1RqeDQ1STF0dTc3ZjZnNzEyYnpDQnc3TytmakkrelI3ZitiMVdwK3NNei9vMXlTTnJPTi9rTnc5Ly9OdnZqdTk5L2V5clQ1MEJ2b1JYZGEvcW42Yjd3SkpvbzRMdXdKR0VLNTF1ZDhYbzc3VUdsdjZ6Um9ibkZDK3VydlNOdmViTjl0N0k1ak8vM3UvMEJwdnR3ZUYrYmFXRHQ5ek5tKzMyd0psSVUyV2lhcFVsSG9ueTRvaEhvcXA0ZENtaUUxeHU5ZkhtYVk2VmJ2TGVCMWdwOFA0MDkzalBFNGNyTE5leDJ1ZWRHL3JFZXFQUFhudm42Sk92SEpsNnNYZXJjOUM1N3I2KzJpVmorMlY3RmRNQjJqOFc4Tlo5eTZWYmJHMi92TnMzRG5zN05zRm1yN1hQMG51ODNRLy85SzlFbmJRRVgxanY5aGJENnQ3ODVlM2RvbVowVHpjNWR6TG16WmRJT3BkYzRYVG50OGYzSHZrMklVcEdQemE2R1V2KzRkRFM4emR1WUZXR0ZFc3FvNWhzYzdTUVViWms5SHE0cnRtNEludVlwY1gycjh1WFhXNWw4a0cwT3IzclpKMEtOdWRYTzROV3R6TzRIY0c3ckVYeUxnc1J2RE1MTjI5aWhYK2tkSDdPNHRYK2JSS1phNG4rYlgxdVdOdXMwUmZpN0hwWUltQzliN3Q5Y0dBUDZ1anJ1OGVQM3ZZUHFkL3FIZHpBQzNSVWJyZzZ2U0FFcFlxcnlxdU0wb1hlTGt0aHBHV3I2NVorSytraHBWVEJ4WVpFc0JSL3dIWnRoYncxb3BJcE03WExvMXFyaDVnMkp2bUpHUzJ2ZER2N0RLM2JLV01wM1hPc3VadW5XdTl5YTlBSzhOTzVmbkdIdmwxR0YxZ0locFRqWmNab2NYNXAzY0RyOTJDMElmT3g5YnJYQjZJamk4d1BSaGpkUVdpbGtJSFRNczc1bXpNN2ptRUhPY0lwbHAzWTkrdHl4M2hsZk94SUpqc1NCenQwcDltZ014bkRUVjV6Slp2TXlmbk9sZW9kQmhkdjlpUGZwbmU1YzdBOVd2WEY2Ny9Ba284d3l6Q081MFpxekorLzFXWjh2dlRwY3Q4MjBXc3J3VVVYcUdoS1JFdkgrS2ZEenZiTGwxc0hlSjlUeElDNkZGQkdObzF1WjRjNXNZNlUvOWtONng5anN0ejJnb3U5MTJhV09LVXZ0ZG1lQmgvUlVvdk9CRllHQitGRTY2M0JvTjN2V1N1ZFNVWWRCd3Y5dnZFS3BSSnN4UzhvaXN6WDBOdmhKNlpEeFJNUk42V0JhY1ZiVmtNbWk4L1pWZkZMdzUzZGJPM2dkblR5cGJadkVJMVVWSlJ0bGQzNW5OMTc0TjJFdm9GNWM0c09menVFQVR4Mll0YXpoVXRJQS9Oem5pL1J0OGZpVFQvd3FWTk53R2Q4Ti9GZjUxOGR0SHM3ZHRjczdzSTJiSWZBdDNISHlTeGF3N2VaUjRrSHAwYkVCdS9RckhKdjFiNHFmRUxVcVRLaUVtQ0JRU2EyM2hUcmRCNStUcHFJcWV6MDZLbHNUa2wwN2VhckE5UEVpN0svS0NWVFUzRGJ3WDB1ZHJGdVhydTYwTzNzWW90akNZdTRkdDkwNkppZmt5blNrSUkxNjJicit1YkF3TnA0Zy9tQjBDWjl5MHduLzRVUFkrbG1xOS9heHYzVkxsNHpoYTVsTERZN2UrMkQybHI3bGRxR3NkZnFPY1lpM3BLb1I1QitKN2JaR05mTE91NWt0OS9hdjJuM3NybFBWcWoxbFZyakpudGViMmVsMHo4WVVCcjhnNWh1OXQ4YnBuRkhLN2UyMjR0dFBLTnQ5L2ZDalFIUmZpTStTZE9pTzZpWmpjcVdJV2h1c21SR1pkdjBDeE4yenZzS0thUGwrL3UxZFhPTVM5ZENWckdQZnJCdkV3NmYzaG0rKzgzODNHQS9xdjI1L2JCaS9LR3hlVE1MNkVjV2tHWWpWY3dIdmcxMnRXM3N0UWY5VGpzZ3hLeVMyNnd1MXd5Nks0U3JsbXZVZVJsQnNOUTFEdG83RVZ2a21rRzhLNUZkRU1NMW9vWEx4cTEyMHdpYlRtN1ZqMUx6S0ZpVWNDNjBWN3FaNXNwUHlNVE1oWGJFdzBMRUVpdXZVNjZaejhSQkFWOENzOWY1T2NhNmNoNjZ5OUJTT0ZpZUFXZTUyOTRCeFBBT2JHQXRwa1YyY2xzRGNSOGtkQkdnU0JlQkpBVkw4M0FSQkhWQ3J6cWdKdkVRaUNvaEc1ZVBJSGZqUFhhc2xIVExlaGw1V1lCK2RKTnRoWW1pRW0rRytYekM3dXM1dFRZVWV6N0FwREV4MEdRbVRjejM3dFJJWk5Kd3JUZW5DcStFY1NxTlNMSFVSbzNaSjVnMVlOYVVhdGFjL1B1ZGszdnZuSHp3K2ZEYi93TGp4aUtvaG5HVFZwUFBac0h3U3ZIaWpJbGtMSERzSVFVYk4rVnprT2cxNUdEQldFZ3VhZDYyWVdTR0RlTWpNNVVPN3lPZjFtMzAySHEzRzNOSERBNnlYeTVjYWI2NGVINzE0dHI2V3ZNTUxXNjJkczlpbFE3Lzc3bWcrdVRHNWVrb1RYMWNFT2orL05veWQyWHpFMEhXWnM5YkcrdjFqQm5oTVBkTUpnblRzK2JVUlJsL3M0cHU4VVVZTlN0c1JkcURoSGIxeXNMRzhobUJNVnlmY1VoSXpVRmVlNTd3OHh4VHRYR1ZNQlhWa2VLcHRVVnFiWVhVOG1oaFNVekpXYVRYdFNUR3BEdGVHbXpCR0xQSHVvd250dCs1dVRFUWVycXNSRUdzWDZQdmx2a0pzU29nVm9VUWs1YlhIbFFWVlpwU2kxQzJWY21ndThPZVpZWkZHRUtjSGxVek5WWWZxa1lBZHhydEk5cVltc0FJNnFCTlRRU2dsbFZuQzlXNHVIVzJjSlZzU25XMnVFNW5HWEZBWnJlWkZBVDYyQW5xTXFPcThTZmNwWDg0OGJDN1BXd3hrV2gwTjE3TnRPUmN3WnRNMDFDcnIybUlTbm1xQmhKUkJUVU5WYWlLbWlFMlVNRktScUtJdHNvcUdFb0JDb2F1VDZkMkVhY3crTFNMT0ZVRXRBdlFMZ0wvS3F4ZFRLNXk0UXZSVnFZcVJCdkpweVJFRzBLd0lRUWJRckRkaGlBRWU1U29XdUVERUlKZG1YZ0ZDTUdHRUd5SVZmQXdVZlZZaFdlL3Z6dDg2OHZobTI4Y2Zmb0FZaFVzZ21yRUtrQWdkb0FGQ01TdWVpQTJBMXhvVkI5Y1FGcUpjUXdTZ0F0UjRJSWtuRXB3Z1lrVjJCOE9xNElHNEFLQUM1NkNhaGlpQUM2azBWY0FYSWdIRjdTcEFoY2tGY0FGQUJjQVhBQndBY0FGQUJlcXJkTUJ1QURnQW9BTEFDNkUwSHZ6dTN4MWRQL1BSMisrUC95UHR3RmNzQWdBWE1qT0Q0QUwrWEV3MGVBQ3lWNWNkWEJCS3ZHUXBLd0F1QkFGTHNqb1ZJSUxUS3pBL25CWUZYUUFGd0JjOEJSVXd4QUZjQ0dOdmdMZ1FqeTRvRThWdUNBM0FGd0FjQUhBQlFBWEFGd0FjS0hhT2gyQUN3QXVBTGdBNEVJSXZTZkw0aDgrUHZuODM0NWYvL1hSZXc5L3VITjMrT1lmajMvekJhQU1GZ0dnRE5uNUFaUWhQdzRtRzJWZ1paT3ZHTXFnaU9XaERJb0dLRU1VeXFESXB4SmxZSUlHOW9mRHFDQXlFeW9CeXVDWlprQVpBR1h3dEFBb3cwaXZFNFV5aU5OMWhhMHFBTW9BS0FPZ0RJQXlBTW9BS0VPMWRUcEFHUUJsQUpRQlVJWVFlaGRsT0g3OTE4ZFBQMzMyNE9ISnZYY0FYTEFJQUZ6SXpnK0FDL2x4TU5uZ3dnUmM4NlJLNVlFTHFnN2dRdVFkVCtwcEFSZUVXS3pBL25CWUZTUUFGd0JjOEJSVXd4QUZjQ0dOdmdMZ1FqeTRJRTBWdUtBaEFCY0FYQUJ3QWNBRkFCY0FYS2kyVGdmZ0FvQUxBQzRBdUJCQzc0SUxSNTg5T0w3L2hCNWUrTlh3clQ4RHZtQVJBTDZRblIvQUYvTGpZTEx4aFFtNDNGa3I4WExuQmx6dUhJa3ZhS2ZtY3VkNHVNRCtjRmdWNEhKbndCZThCZFd3UlFGZlNLT3ZBTDRRank5TTErWE9EYmpjR2ZBRndCY0FYd0I4QWZDRml1dDBnQzhBdmdENEF1QUxJZlNleTUyZlBEcjYvUjJBRlN3Q2dCV3k4d093UW40Y1RCQ3M0Q3gzMi9wbjNiNjRnYldZRnRuSmJRM0VmWkRRQllBaVhRQlMwQkhJNndKZzJPMk9rcURMMFM1dE5Za0xRRlFKMmJpY0FMbGI3N0ZqcGFUODVuS28xY2ZqQlNlK3BsalRhNkxkNEFYWVRlejVBRE9HQ3BlRVpnd1dPUG1iTVZ4THpLbkNLMVNjU2lPQ0s3VWhZL1lKcGd5WU11V0dTcjMxNGZDZFh3NS8rWEQ0M1lkZzBGZ0UxVEJvU2dIWnVLVjRjUVpFTWhZNDlwQ0NEWnJ5T1NnRStFd1dETVc2MktWaXdWQU5MV013bEpnK0dFcEhEV3U3THp3Y1Nrd1NEcVhZV2tqK0FWRld3MGxDb25SQnFDTWxUVlRVaVA0V2JVUGlkNEdTR0pIakNvMWlSanJabnhFcnJ5dnp1amtJamZKTU00UkdRV2lVcDRWcDFkcmlPbFdpWU5sS2gwYU5Pa2lKYmxpYWcxUm03Q3Q4RGxJdDBrRnFibnU1K1VqUjZIWllxSThVdkkzZ2JSeHRwWkxlUmxtc2hyZVJZM2s2bGZMeU5pSUJ2STNnYlN6ZDJ6aDgvODJqejU2Q245RWlBRC9qNVBnWk9YYVBncjE4NVhOUXZwOFJqU0dwbzV6Vnp5aG44ak1pUmM5dzZGSWUwNkhMMlVZaVAyTWhweTZScnFkd01qWlNYUm8xS3lmek1WYng2R1ZTL3lLQzFJN2dYL1FXVk1QaUJQL2kyTFUxSXUxTFVBM280ekdldlVTVGx0c1JDVUdMRk01ZTJrL2g3R1V0ZkhuQzJjc3c3dURzSlp5OUxOYXJEMmN2S3dNandObExPSHNKRUlLSGlhcERDRWYvKzJENDRkM2hGNzhaM3ZzakFBa1dRVFdBQkRpQkdXQUJUbUJPMmdsTXhNcS9WUDBBSTlZZDBhNGpnRVlmUjdrQ0lMN29kRm9pRUYva0o0RDRJb2d2cW9GeE1Lbkd3WS9mdmdzaFJqNkNhbGdHRUdJRUlVYlZEREVLcVA4VG1ZQkYxS053UUpWbEhKelNCQ3hSRUI3UDBDQUZDeGd0MDJTMFFBb1dNRnJBYUNuVmFEbTU5ODZQMzM3Nnc1MjdKeDkraXY4QTA4VWlBTk5sY2t5WDhuT2dsTTlCQlU1SE5LcC9Pb0lZSTJXZGp2RDJEYWNqUm12NXB1ajBuWTRRazU2T0tDTDdpcXFvMHBSYWhIRm5IdGdXSVJ5UWdBTVNIb0txS215bjVZQUVLODFibFE5SWlHcVVZMVJCak5KcFBDQmhkdEUzOXVBQWhaY2RPRUFCQnlqZ0FNVUVJZ0J3Z0tJeWtBTWNvSUFERkFBM2VKaW9PdHd3L1A3TDQvZStPbnI4NU9oUG53SFdZQkZVQTJ1QUF4UUJGdUFBUmRVUFVBUmhDTExOalFtR1dGOXJYanVEeFQ3ZXkrcVhYbHdpSG4zVE95dm9kVEtJcGI1eGNMQStPQ09jUldlRnVpZys5MXdrT0NFcmpicHFON3lWdVdFYnRDQmVpRWh1a1Y1Zlg5ancvYllNb3ZvMWREYndiQXVGZFdlT1F0ZWp4NUM1dS9UQWlLZ2xRa1prb1M0WEFvNG9jZ3B3Uk5ZYTlVWWFlS1NoSkV0UUw5UlI5UkFTL09YSEl5VGVDb2haSVNOQ0lxR0dxazBhUWhJaWt5R0ZsRFV3UUVpY0ZxWVdJUkVaT2RENStzMmtTWEgwU3plWjhhTXpGaGFURVo1aHFGOWk0ZW9YRXVNVkdyK1dKQkF0U1pGajlDOUYxdXRhakFLV3FHbm44aDVWVEtndlNyaFZGS3JXbWR5S0tLR3V5RzQwL1ZVL1ZpcExUbVZxVnRMczJjMDkxa1JJckV3cGtsQnZwTkdtTkRHQktqVXJObWd2VlZPbTJMcVIvWGx4YTErZ1RQbG5HcFFwVUtZOExVeXJNaVV5TWp2eWRadk5LeFhicmJYRlRLb3lOWG9hVUVLVG1Bd0V5VkZCTDdJY2ZEK1FDc1FaMjZuRjFPRlVuWjhBVW9GQUtwQWFXNTBMSFFiQTNKV0J1WS92UHpsNjcrSHdqVytHN3o0NWV2d0VrRzZMb0JwSU41eXFnNFFnMVR4VkZ6QUJDczBIMkdoRVdRQVNRNXZtc2dCa1J2ZzNkOVM3TENkS0J6TEJ5VUJpUjBwSitlTy9JUlVJSlFPanBYeWp4Zko1SjhrRWdncXdXYmhXbUZPRlQ2STRWVVprVm9ZOElHQ3ZnTDFTc3IyeUtZR0pZaEdjWWhPRlYyd1haNkVrNG9Canp5ZzY3VWZwSEpSdW9MQ1NmdVJtb0xCTzN1WmdvQ2dpdy9CeDNaWXhGNWRKU1NDS2liWlFvdE1WUXJKQ0ZoRllLQk5ob2FpSlVaVkNMSlJZV2VLcmt0NUNrYkpnS21DaGdJVlN2b1VpZ29WaUVaeGlDNFZYYkJkbm9TVGlvSHo3b0h3T3lyWlFaRlpBZW00V2lzYUlGbloxQmlWdDVpQkZFYVBQZ2dtaFpvZTUzMnZKam54TmExTDErSUdCbFFKV1NtV3RGRTFKYXFVb1JhUTM0WkFtdmtwOFM4K3BFcEJiNmFPL0lQWUxMQlUrUzhVL0ZKRTlGTkUvbEt4bWo1akM3RUZnOWxnRXA5anM0ZDBIaWpON0VuSEFzUWtWYkhTVXowSHBaaytoaDBla2dvQVoxaDFVbnRDeDZLT1pZaEtUQjRBWk1IbEd5Y0RrS2Qva2thb0J6TVRLRWwrVjlNQ01tTVhjQVdBR3pKM3BNbmRxdFZYeUFFd2VrK0FVbXp5OCswQnhKazhpRHNySFdjcm5vUHdycUVpdTdZS1REOGxacjZDU0c1bXVvQ0t4YTZtdm9GSXNCMm5oVjFCcGpVUjVGcVVpMGdMSm1wNDhMWkFnK1RJejhtWUZrdlFrYUp1WUtHMUJsUklzZXErZ2tsRUJPWUgwaGl4SWsyWk9GcEFUQ0s2ZzhqUU5PWUVjZ3FxcWExb3BxYkpqZTVWRGxrL0dib1BoNDFtNnJWUVNJdStGVytSY1d5RVhiaUZaaTlJSGRNWUJZaTcvc1NZeDJuVTM5NWpjUXlLU0VrWE40RUhBblZzWlBOWHg4NWY3blZzOHI5aGxjQnpYYmlGckZ1S3YzY3BydWhKY3U1VnN1blFaYnQ2Q203Zmc1cTNUQU5Qd2lDMWF3N2VyRjREVGNFb29weGFmS0hXcUJOV0QxR2dONlJUUUdrQnJTajFHYzNML2phUEg5NDcvOWo4L1BYMno4ZU8zWC83MDlLM24wZkRoUjhOdlgzdjIrZHNubjN3eGZQeng4Sk5IejZPanovNGlLbnNuZi9qNDZMMFBTSTMvK3dEWFdGNFFCUEdITzNmSi94R3VDa0NOUlZBTm9JWmJLUE9vYTVRd20xTWdHVCtuNXdZdnJwblB4RUVCWDhJWVVSeFcwck44VVJ4VnRQZnkxRGdPOFNaa3dYSGtTY0J4WmxYRm1pZmVXeDZRV0FTV296U0V1cGI4eWl4RlVsTEJPYk1TcW10SlhFR3pZckpVMUFWaU9qNklSZ1pNcDFCTUorN3FCc0IwU3JaelVWWTcxN1A2bXVldk5WKzZ1Tnk4Y01heTRSalg4emd0ZU9JVGhaRTJMcHkvdUhxaHlkTklJbE40VnRIcnNzTHduZnRJdDJ3cHpXWHlaZ2xPaExOWWVaaTd0Y1dYN1NjaHJrS24zK2t3Z01zMUFBSDY5UmR4MkJxekROQ05yOXRNSms1OHQyRlNMbXZIYW9RSVM5TnhUdmh2YytOS0VSZjZFVXV5NmpGMVNNNFdVeWN3Z0dIYjFocE5CNWZhbGxMVkpJYVVVRXhJbkpUWWhyTG5ObUZBbkpUQWVoS3FZVG41b3VFVWJzdUpUR0tlNWhKY2l3Zlg0bVUybDBBUEdyc2VwTEpoNVBoZUoxQXBJT2VyaTFZS0pLWHUzSERMZVcydWVGYW9DM0lqNXA1ZldVbDZjMjVVdTI1Z3Zoek5yU3pXMXhjMmZMK3Q2SmY2TmZGczRObFc5UFcvSkFOVTVDQXlkNWNoK0wrZUtQeC9WaW5FWnl4cmNsMU5yTzdJU0UxNUFxQ2U1T2FTV2FSVXhXR2MrQkNBdHdMK2d1QmlZTkNBZkFXZ0FVMmpCclIwMkkvdFZha0x1aTdGNlVHelNLOExRb1QzWm9GUzRTMVhhV2dOSllKdzBjYmVFT3RlV1pkMXF6MVIxQlF0d3ZPOWJISW4xT1dHSGdhRGgwOEQxd3hKVWwzWHhGalBsYXpWVlYyS2NPWFRLY0lEbDBTVkxSd28xYUxsS0tzcnJJaDdsM0ZxNXd2MWhoRGgxVFluUjVaeGx5R3ZKUFBrVU1VaFptYVVpUGUzWUc3N2RWRmlYRUhtVUMxYTdkUUZUWXhvakU2S2l1cTZxa1hFQnk0N2pVa0syeTBZTml0alV2RGRFU1pUOEZsWlUvTlY4RVZSenhpQmdWSTFZQ3ZzalV3QkdIcWl5dWtETUNTeGRLK2hPSElvbGpQMkF1a3AxT2haY1ZRdm5qalhJVXA2a0ZaaStocEJoL2JQTk9qUW9FTjdXcGhJSFpvTDFzdzFUclpLYnNUUkZJVktvU2tLRzR6TndOMG9HYzVhemhTRmN0VGRVUnFLdmp2S3V0R1liMjhid2RDbUowVmgvTUFnUldINWgrMGdSYUdmd0N0WkVoNTlVOVVpYnJlTmt5VytLbndMejZreUlyTlNSd0ZLRWtRQndxRzNhVXBSdUNuL2NPZHVFMDYrV1FUVk9QbFdpcXJPdXc4VWVGMXVFZzQ0TnFHQ3o3MlZ6MEg1S1FxVjhhUW9qSENiTW0wVU54UlNTKzhWSlMyUHhTdXFhcVU3UldVdGpWUFVucUdrd1pTVDRoTmxPemlWSWs2VmdZTVRISnlaTFVod2NJNWRhMUp6UFMxU3FkeDVIdCtsdWRlejh1Zmw1dUFVV1dueTNGMVBFOUptMFpQMGtGSXJRSTV4UjR0bnM5SzFKQzVPQlUycmp6TitaTGxudDR1ZGVwZTljYVMyRTMxNUphSzR5VzJ5RXVTMlN6QlpaQ25sbGRtT1M3V1JCRzNpSE5ZSlZadFNzOE5KaVB3M3dYcExTWjV2bmhWTmEvaTNvZng5MzF5TDE2bkNLV09jT2lPN1dYcm50M1hRQUx6ZjRQMnU3SWwzY1B6Nml6aE1HRzR4V0p6bk54a0xQRUs0WU05ckJWZ28rMHBPSW1jTHZKSXpLQ2Z6dUpJVGlYS2tSMU5pT1p1OUtXVDBSTDdMY1Y3TENkRWpFRDB5ZmgzYXVpcW85QXN1NDllbHIxS0dLeTcxVEdtVDRaSkwwS0ZMVDV1OEJ2RWVGc0VwVnZ0NUpYZUJWMUltNGFEOEN5SEw1MkRjS3I4MzBLUEIwUGE5RVI1cFFqdFFnM0hCa1J2YXdWVEc3ZEFPaEJoMTdkQ04wWnJwUXpQTU1JRUxXK3RuUE9FWlp6M1JGNHl3QVcrc1JyaVpJamJNdHFrRjhIUDg2L21GNXNJYU91TnArNnluejZqb0RhUm9pV00zSkN0TFdjTFlEYUdneUkyc1lKalJHL1NOYmhBTk01L2J5dStyZzNYandJSEVXR3NwY2FMUWVhNmhVc3JsMjk0OHBEYkxkWXVyZWpEcXg2N2xDVmdKMUFxRy81ampXR3pmYk4zcUdJZFVQVU5VYjd5NDFnd1pRaExpcFZadnRYc1l0YWt1SEE2Y1RUR0VaTGx6MExyZXRYZGVNckNMSzFmUFhOdzhmM205dWVYa2tqMUxEdXFjRFl2T21iUG1ndWVkTzdCajZEdVAvYkxObVVyOHNpWG1lME9wM2phYTRyZU5jbnpiRHFvYityWVY4elF2WGRxekpnTlMvZ3ZkNm1Ya0xVcXAzcjAweGU5ZVN2N3VuV2V4bDYwdDdMVDJpZFY1TlhocDRPaE5hNmN2NHp2RTVsWGNQemNsR2Q5bmJXMTNsajdpOGVoNU9nMnFTaEY5cm5yVXovQVdHSHE3MHdLa2pHZXdCaW5qS3dpZ095L2JEcXF6aEFnYW54QkJlUWlSeUVZeUNCRXBRZ2FnekZJRXBaRWlLSXNVUVNCRlFJb1VMRVVrUjRwSTQ1TWlVaDVTSkxLUkRGTEVNdU9ZTWtES0xFV2tORklremxqMTFBMUtFUW1rQ0VpUlNRam1nL05JL2lLZTgwaENVYWhlRG5oUzRFU1JYdWlKSW8xaHQ3dDdDUklZcVkrNGdzZzBGSmswU1dja1kvS0k4VWFpQURKQkhpT0lNczRUUlJ3ankvMUVVZXpVdSt5TjVVU1JGcjlZYzU2c0JDZUtFa3dXV1VyalBGR2tCTEM3b0RjMjFQdm8weDVDZHZINU9iZTlxamgweXcrQ2hCTkpoWjlJNHBBSXRJWi9HOHMvbnBKcjhUdFZPR1dVVTJka04wenZZUlZrY0xGQ05HVmw4M0dsQ00wYzN2OGVQL2p4KzdmVGgyZ3lPUWdiaXBjNFJmcXcxWitlL3Zib2QyOGQvL1gxNDcvK2F2amRmeDQ5dnBjUDR5bDRhUkplUHZxc0VyeXNZVjZHbjN3NS9QM2owbGpZSkN6Yy93NVBSR2tzdkVSWUlDL2lDUVFjV3dTbk9PQ1lXN2twOEp4aEloWjRWS3VDSTM0cndFTDVTZWJVTVZ6UFowWERobDUzSjQ3Y1B5ZDY3cCtUemdhZWJVa3h0L2FwUXN5dGZmbDA2RjduMTRpNXpnK04zSytIR1BmcnVjOWlydk5Ua0JKem5WL1c3akpjNTVmb01qL055YzJYYjdvOTcyMGluRGVRcVA0VWZmeFgrU1c1eUU5cVZQRWlQNUY1TDUvOXlURnk5TWxGNU9pRE9FQStZb2dEalBBc0FTWTJkc1dUZ1FQeDlacEpyNHJ0bGV3dFJmUWJlK2xjc241THowbG90Y25xcDdiU04vWW9zZTBNeEwreHZrSEVCVEovbWFvaGNSVTVkRVNrR0NZVmdXa01pMlF1V1FkNmFQdGkydlpWemdFb3VYUlF3QUFhbkFQUWN1a2dmQUJwSjBnVU9BZWc1OUpCK0FEU1RwRE5jdHdBeExTdjJOOUIrQUJTVHhEbkloYWxYRG9JSFVENkNlSmN4R0xxYjVSdkVhZWZJSjF6QUttL1VaMXZBR2tuQ0hGK1FpanREQ0hPVHlqMUFEakZLRXI3QmhDZkdFMjlCaVJPS2VjUkVvcmJ2dkFDZW9IY2Jpd2s3U2hpcGp3OVdmdS9HejRTMzR2SU5Sd1VOaHlCREVlUmszYkV0LzM0ZXBKd1Q0aG40bVNKcnljNXJhN2s3eUQvZlVKV3VOcVhaV2I3SklvcHZndXRXR1ZEeWJoS1JQeXloWkg3KzlnZGNYNVdVdXFSSkY4Z3lkcm4vRnFWdEYrcndpbEhaSTlFdE5Ua0JCK1V5dmZDUlY4bnZxOVdTdG9KMzhwT1BoVC84a3N2UDZnYjE3YnU1dWZXVzd2RTdQdC9VRXNEQkJRQUFBQUlBRHBWOTF3azhOdjRPZ0FBQURvQUFBQU9BQUFBY21Wc2N5OWZjbVZzY3k1NGJXeXpzYS9JelZFb1N5MHF6c3pQczFVeTFETlFVa2pOUzg1UHljeEx0MVVxTFVuVHRWQ3l0K1Bsc2dsS3pVa3NBYW9wenNnc0tOWUhpZ0FBVUVzREJCUUFBQUFJQURwVjkxd2s4TnY0T2dBQUFEb0FBQUFUQUFBQWNtVnNjeTl3WVdkbE1WOXlaV3h6TG5odGJMT3hyOGpOVVNoTExTck96TSt6VlRMVU0xQlNTTTFMemsvSnpFdTNWU290U2RPMVVMSzM0K1d5Q1VyTlNTd0JxaW5PeUN3bzFnZUtBQUJRU3dNRUZBQUFBQWdBT2xYM1hPYXNLOGV3QXdBQVl4OEFBQWtBQUFCMGFHVnRaUzU0Yld6dFdjMXUwMEFRdmlQeERxdnR1VTBjeDNZc3hWUnRhVVNsQnBVbTR1ZG83SFZpTlZsSGpxRXRKeTQ4QUJMcUFXNklBeGNLQjI0STNxYVV2QVg3NXppdTE1WVIvWmQzRDNGbVozWm01NXNaMitQMjZzRjRCRjZpY09vSDJJTEtTaDBDaEozQTlmSEFnaThpYjdrRlYrL2R2ZFB1RDlFWVRja1ZJSVAvQTF2M0xhanFFRHkweDhpQ3M5ZnZUOTk5aG9JbFlkc0lSa0hJZUZzcUJMMmg3UWI3Rmx4cUtIVTJZdkhmUjk5bUg0OFd4ZGtXVExybk1IMXJqb053MUNEQ250ZlVEZGREVU5CVVRsTTB6ZEZqbXNab251YzRtaHJUZEVacnVVN2Q4MkphaS9NaDAxV01tTllVc2dZeXpKaG1NSnBobWtvaXEzQzl5RFVjRGRiSzJsNnZxNmJwbnJHZDc1R3lQWDBlWFdKVFMySlRVK0lmUStJTFJkRDBscTZtYkcvWEV0d3lhRzRTVHpuUkdlZ3gyZ2RzVmNuZ1IvQ2VvRTRRanUwSVBIcmhPM3RkZTdwbndlVU1KK1B1K0tPUllPNGZUc2pPdldEa3V6TFd4TUVnc1pZRU1BU1B4Ym5veUdEQ3o1ZW9rUzF2K3hqbHJzNDVuaUIvTUl5b05tVkZKOE9RNnBxemI5Z1R5dHNaMlZFeDQ0NGRSU2pFek1OS1B1czZHdmg0TFF5RGZjWkowcWpudnlJT2ErYUxiR0wzM3dTWUk0aXJ5bURCQkRnZXU4Z2pFSmhzd0JRNldveU96aWF2Qm1SbnJaNXZSQzIyUW9wa0lWWnRIcXpGV1BLQ0JMb0JOVVJ1Ujd0V3NGRzd0aERpVnhEOUpieU4yQ1NMUG81SUZjNDc1RGxuUlpVUGt2bzB4MFFBVm9YOUxRdDd0UXI3YzBhSWJWbWxRM0U2WFA1RFR4WG41ZU5jYmRBNWY5d3hxMEFIRjFqM1hVUm5YRlgweTZuN2pSV1ZqaW9yeXVPa0dYVE9zOEtvc2dKY1lGWTBEVHJuM3E3ZUFvVElOVXFJY2hDeFBXOTBRblFDSEozdExwM3hGbmVJWXRJcDEzNlQrSXFleTg1UkwwbGVpV2RGTzQrREplbk9Za3pvb2tPck5kUGQzTlBqTHllZnZvTnNXMjh1eHR1YnQ2aFVGTnpDVTZXaVdVTGd2MG9GNjQwdjFva0dUTU12SG5BS3puajlxMFIrSE0yNzBJSWhFN2w5ZENENjBNUXZheU4vZ0MyNGdUREJubmlHckhHTi9GNUxQV2svNzBYQmhKVlZFZU1udjQ3Ly9QdzYrL0JtOXVPdC9NT0RjTGo0VXBGdDhBL3QwSGFJUnRDeHgvN28wSUpkM3dtRGFlQkY0Sm45QVBrUWJEMWRpQzJGWEFrd2wzSnFRbnVIYkRrSTdja1E5Q1lVSVNwRnhMYXd1NDI4aUcwbTloUm5ickxGamg5T3hTcDJkMmxPeVJCcGQrMlFoUDBVckFkUkZJeVpjSjg2aGZ3S0lYTEZGV1Z2Z2F4d2M2QzJwOUtnU1JnQXZlUnV6dmlFNVBDQW1jcllZOCtVZWNITkFZTEhTNks4TXEweTdhYVlwcVJNazc0VFZGNjdRdE1XbDlKVlQ5eWg2TDFHVUFXRi9CTlg5SVA1WDFCTEF3UVVBQUFBQ0FBNlZmZGNGdW0yWnZnekFBQmpOd0FBRGdBQUFIUm9kVzFpYm1GcGJDNXFjR1ZuNWJwNVZCTloreTRhUlVSQWpNeVRFR2NFaElpQUtHTFN5aWNJQ0pGWlFVZ3JyVXhpR2dHSkVKTldoc2o4S1NJdENKRXhJbUJFQ0NoREltTStwVEV5UzFBeXRUSkRsVU1zVFNXNTZYUHZPZmVzZFg5LzNIWE9ueWRadTlaSzdjcXVldmI3N3VkOW51d28zaWtFaU0yZWJoNXVpRFZyMWlCK1ZiNFJpbW1FNnorZi9yZGUvd3p5dnp2R0dzVkxoUFlHeEJqaW5zcWE3WWkxMm10VXROY28raEFvQkdLTjZ2OTlBZUwvZWExWnE3Sk9kYjNhQm5VTlRlVUZ6TTJJdFd0VVZOYXVVMUZWWGJkTzJYdGQyWTlZcDYycXM4M3U2SHBkMzNOcTIrUDE5dCs0WGJGaHg3R21ibjIvWVdDbi9ma3JOOVUxREF5TmpFMTI3YmJZWTJubDRIakE2ZUFoWjlkL0hYZHpQK0hoNlI4UUdCUjgra3hJeEc4WExrWkdSY2NrSkNaZFRTWmVTMGxMejhpazNzckt2bE40dCtoZThaLzNTeXFycW10cTZZL3FIajlyYm1HMnRqMS8wZDdUMjljL3dQblBxOWNqbzJQakU1UHZwbmhDa2Zqdmo1OW01K1lYd005ZnZuNlRmSWQrL1B3SDF4cUV5ditBL2wvaTBsYmlXcnR1bmNvNnRYOXdyVm1iL004RjJ1dFV0OW10MXpucXEzWXVYbmY3L2hzYjlJN2RybWpxVnQ5aDd3Zm9uNzh5ckdHdzAwRzRDL3dIMm45RDl2OFAyTTMvSldUL0E5ai9pNHVIMktpeVJoazhGVzBFRmlHWDc2bk1SdnpUckErZkhzMXNxbDRvOFdDTkpYWS9qcDdreFkrMXBMWStIVzhCVStOc21sZ2pxN2ZER3BpbU9DZHVVMGZBeGJZWCtaWTNtMzVCR29PcC9jSGxxcEEzNkRydzgvcEtZUzBmT2l6azU1RUNJeDR0RGxhMFVzOWRFNjVxeGFSME1WZGFXQmJRRGFDMDE3dWFOM1N4Y01GYWhNcW1hVG5ZUjI3cERZSnVDS1pWNGtWSG5FUUtSRUU3bzBDK1lWcitGOWtjOG84WG8zTXB1cGpEOExtMzhzMUVMdytvUm5waVVZSFFjRmxYVE40SXFUOGl2dzNoM2lMRmlmR2FwRzBRMkRBWVd3L2hKWFlUWDB1N3NCNkFXNGNDb2I2N0N5d1E3UTBPcVMydEpmTDl4eE0vUGVVYTBUTS8rZ2ZXamVlS3JXN1hHT0ttaHNhdjFGdU9Cb3pVMXI3L0lYNWRHT1B4THFhcWFzKzR6MGk2Y0UrYlB2YWF4eFZwbm9mWFRGdTdhSFNxdGlCbldZRVFQSmhCQWNpQjFYUjg4Mjk4d0xjQTJwdWMxZWtGNnZiaURTalJpd1FVbENZQkp4elhlNnRJWXNIaUpha2d6bDFvMjB5bjlCakcxWG9JVm8zNDhwR2Y0WXhyc1RWekU4Nk5QNGt4QzlPQjRNWjdZRlJySzYxQmdXaDJmNG1ITG5MVGY3cjMxRUxENEhleGRENGt2K2tSdG8vUHc0djJRRlZnUkpCOG9pdjErVklTeGNDOWlraWVFZnNNQzZKYVBwaFA4RTh3TjU4SnJmcHc1Rk9GNDBmWnBKaWVuWVRpY1lVV3k0WlNlOUlKS0VPRWhpeStaekxSVTErRXF4eDIyaW1pdTlnSjFpOFUzY1Z2eHV5SlVTQ1l5YmxremNXZlJ4aTVuYUVpSkdTUm41RmNGeHIxbmEzaFVJcFRJKzZDZHlWak91ck9FczlMdUw2WkZJMTMwekhZMzJHOWNia2Q3QUZ4UWJFQXplbkNub1lPaS9rSTJBNEtCbE1tVmdXVTVVZ3hOZyt6ZWF4em05UVRZa2htZ0l1RmhJaDZpQ1A1WFZiT3BHbEFoZDBtM0F3WGY1dk1VbVJta213Lzl5UlE4REswL3NqVlVJYksrK2paRjc3OURUWXBUOHZOaVdjZVgybDBObnFnZjNyc1ZQNm1va1B1NzhZZjFENnNTZStvclhtOWNPajFtOFl6WHBadnltS2VKblRVRzlCTlJ4K1lSSisvZThIYXpRcG1nblkrcWJWVmoydThYYitXWjM5bXA3VTVmNXZNY0t4emNVOFdtUTUraGVyQUFSNlBvRnY3cENRNzZnRE54T1Y2ckREVnk3Y1J0b1ZjaWFRakVjTG5pYVZvZFJkemc0bEVLc0JrNWY5VTYwZmxsV2lQc3V5Z3hYSHJQOTcrOTdYelg3WFBoSUlTcWdUM2twSG56SkRRSkdoSlpBLytGbzhxNFVwVzRlMEt4QlQyUEVCdVRwRFJsVW1LaG0xUU4vaEF2aXp0dFRSWTJXM0xTRWROWVlLbkZRaGhGSXlWWXVGZEpiZ00rUmgySThhZStCazNkVmprOUxKeGg3QWdwek5PNmt4S2FZZGVvZFBrTnFRVFlIRFBxaVp4MEJVMFhPcVF1c201eVQ4VEtadGhNNEFyWG1tc1dtaFA0bkJTVVFZaGg0bldmYTBwblJpempwR0w0NWY0dnRRejFBOFlUTFFDd2VPdlpUbk00NmRvMDNnZVJaMjhRM25xSGY4ZEhyaExpYjNlMXYxenFFMFNDZS9BQS9Xc2d3cEV6M0dKQXVHMHhGWjIxNURSQ2tUc05mYXZDa1JHR0tpeWpBS3lGbWFjcEQ3eXQrVjIwSm9LZU4wSUMwVlVlV2wrQ0tRUHJHWTcwVFFTdlFqWmJJTWszQTJzVnFlbFdpWTJrcDJuUUxSZ3N6cUR4V2p6T1pvYWVlOEM3MEJ4TGRGSjRIVHJxelEyRkpkcGUyZlJwUGJQOWpSaXFtZm16ODlja2dOZG94TUlvTmxZcmREYjZrd0NBbFdQMFNmTVFwcnJQQjNtSDVzUHY2bXF4OTJ4Zk9WanM3dldkN1pGcC9BdVhWVjF3d3Vmd0MyaXVnRnRUeCsvdXo4Q3psZStML1Y4TTlzL1l3ZmlsOUh4MG1Nd0Jqb3NZa083K2JCdVlSOVdSNzZIaUJlMUxidFdFZXQ5WlU5SmxQcm9pWi9zSmJCQnpxVnBPaGJveFRwL3FsRWcxckhpeU9pczJEaVFMMXdwRlN4ZkhqMDVabHZjRzI0K2VXbWw4MmdscHlhcWhNejRWckQwRFppVTVLSmFJamtGUEd0Sk9rRHB4bEdkYURwa0RmSVFWclVUTFNoSXd4dVRrcFJwZUpod0k5eFo5cGlVOEJpcXg0TjQ1WnhFS3JORUZPWjhQUVhQMjg4NU1Rb2ZvUlB4SWZrVFdJMFBDOEhPWHc3VWJ5cUwrREZObDQveXpjaDI1QkdhRmpZYVR5M2Zwa0RjUEFxeHZTRnJBQ1V1N2pIRDk1UWpsYWNZUkU3L2ZGS2sxSjNJbGNSRGFaR2lJZGYrZHRTU3JvTzVXWTVYZ1NUdVdkdEl5eUlER2Q0dk1zWHF4RGdOeDl5THJUbFdqQ1hMLzBOck5jeWlSSEZSSkYvb21vaXhrY3lWRkp1clFPY0FySktzcVoxSjB2M2swUkxxc2hkUU5TQkhRbnpSS2srejJ5VFJZTVpwakt3S3F4ZmlRQlExaVQ4MTNUY2JOTnFRaU5zY2ZTWDY1d3pWeFdTdVUvNTJ0RUZtM0t1OXhkYldBWGh1a2xqbjk3QUpqY3lWZktudzlPOCtsamZ2UXQ1eEd6ZjFhMTIvMUpad3dlVDNuSUFLL1MwdnhNN1pmdlZCQ2Y2UzVBY20zeithakFmc1FsOHdxSjZjc0hMYjVMa2NlTWU3enZ5ajFCRkx4UXUvWjV2Mm10c05reExvU0o2S3BONnJNZklvRkJjQlBIN2QyK2VybkRIRENKQ1E5c1RGa2Y0dSttM016OG5lVmIwblRRS3NOc25qemt6b2FpNW1LL0NKRHNiNnM4Y2RVU1lmWW9JcHZ3UVhrM2FDWFp6OHpzT05DMDQvYTlQcStQTVVIYklkMGQ5NURjQTdHbGNER1lxUkJaMXJxa0krOUFvcFdYajlTOEdCVFUxQXlYekkwbVQ1emhGSGFZRjJkUHNnc1Y3STdsWWc5R3RmQU1YZDVsWGhoNTc3SHRkRC9OZU55QmlnNUlSdmh3SnJUNStGOElMZ0FWUStqMVZQYUdCbTNnRHVJS214OFdZcmhmcEZmVmVkM3pCQWE1RmhMM3RURkpaM3I1QWZGdDNHdThjd3AxMUo5SkxaMk9KdXJjSjJGVkQ2YUwzbjhxNnJSZE5YUGNJbnI4UzVXVi96ZUZROWZjS21ZOTdvZFZ6ckhkLzBzMzlQWDlmeko3d2RobjRvK1NpV3BBR04xbEF1VXVJbzBmQXVLRTk1S29KeWp0TGpLMnVVOE5VV0QvQ25hRUFlcGVjSkpGWnlsK0UwekgrbVFDaTdpeUMyclBHVExFMnVuOXlIYktIMFdOUVRrY3RoUUtwb3NpK1ZNaFV4Z0ZyZmFRZlFCbGk3WlRUeXdRV3NIaE5MeFJyRENTSjhCa3NENUdiQXZ0Szk1QkZVYzM2VGNCN0dDL0ZwS0NOSExaUFByMWd1UEdMKzRjTUZHWVlsVnh1amhkSVBheGRzTml6WWZaaWFrdytiTzQ1MWVnQmU0c20wemtoQVJiUytUT0FkS1l3Y0lHeUVxdnJKKzBIVVMyczg5VFowQXZJU3k0c3BJcFNPQjBGNm1tUUxhakhTSE10UVFuYjZOMHV6empoZ01LVDVyUUlSVlpEZStJUklGOVpJMHFTL0xQQ2JoMmc4bkJKZ0xrdGxqdEw4S1F2Z0NGZi9JRzhqVG9vWi9aWnlIZUxGUVJHK3Z5dFl3T2lsYVBVS3VWTmZ4SVJsZFlieXZ2ak5MbGdsNVU0MFJ0UXFxNkhBL1piRDlBWUhCV0w5NHZ5MWhnVmU4SFJTanBrTk91bFdXMitkYzc1ZGhrbDJRSk4yUFU1N3o3RjA0SE9GMzhFL0p4N00rdGhWQXl1TWxzSzZUYWMvMUIydjdrYzNSKzZ5VGJtOFNmMkY5UGpCZGxLMlpac3RPVHlnTUc3cU5Dd2NnZGVJc1Jrb0V4ZWsxSm5vTGxkWFVmSlNNVUROSXR1U2JLRlNzSEpBM0UxcnNhMFhLaEFiTUdsU1IvZ0VaRXdQbTRheXcremw2djUwZk51dGhzNVlxUnZrMWNkU3pUYlQ5WHZXMnQ0RVhtNjJyYXVJbWVDZGo2VzV5LytpUEgyUE1ZZCtnSzVpMmdCaHlsNnlDem9TOXdqZUludUEyUXh2aDJJQmpSOWtkQlJMazNDVFprNTJrbytZZk0relNWclZKLytGYmI1TDNzUUdzZjBVYzlJdXNLdzFSMGhUNS84Skp3UHVQYWpOcXk2dUZsa09GQzB6TmJFeEpZNXRUdnFYakk3UmxnOWpqS0I2SllMVDR3K2hVQ0JIbkx3a0llbFhVcnAvZFN3ang2V2VsbFhEQ1ZJTU5PdlRhYjU3VkpsellTWGhqZlJYVXRzam1YbkNRdUdRNTJMZnZ4ZmF2LzFsMkpyMzBLaEdaaURMWmNmVnIvSktPWGlEVHRWSDg3VG11R240QUpRS1JJb3VGaWtqTytVdXFTdVZ0RUFlb2lFMU1US1hFb1ZldzZsR21lRUFWMEg4aUV1RUVLVk5maU8zd0cyT3VzcXo3WW8wdTlkVzhaLzJ2NUw1UEpNNFdvM2Z2ZDE2ZHZsR0ovVWRubjZOeUNuYmlHOXJ4R251RFRKSnZQc1FoTEtzL1B2YWRYQlQySlJrNzkyOEFkTGpSbXljRldza0tVQzRYSGZGdVdqQ3ZQRWd0eVRnNGNmQWMzV1Q2WGducDJjWko5QlhkVHlVMGk5NEtWYTZENHIwYllIWUZhUXRzdEt2cTlubGFsQU55TzROMTRkeUFIVm1zSndEdUdkZ2RoQ2x3dVEvV0VhTDRUdEwvWXFEeW1lRmtUMWxoajE0ZFJJT0lLOHNpSVhVYnE0T3lia1pDZ002ZXNKMUFHUVBQclBjREtEUGFWMHI3Z2xxSW15TVZjTUJCM0tBejJ0QUo3SHpxNG9vWi9TdEZsTWJUMlVvSVdFU2RzdjdNMFRhUzVRVzB6UXZWblM1MHBhMUE4b0pZUUp5dXBDdlRVenJEeWxuQzlFb09BQm9wVmZCM21CeTdXUnV5OW42RTE4OHI0YllYZ3N0Q1FwSjhMcm5NdkxoYzMzYmI1ZEdFbWFqRDBrUCt2MXp0RXFvOTlONzBTYjV2UzY4UmFqNWVTRHA4YXRkVm9XWEtyUDNHUDJYSkhpVzBFZllNc2ZlcUV5L1ZWRncxczZiNkUyd0MwRElka2xnZUNVOWdYQTlrdUVvbHM0d21pbno4eXJRZ2I3M1liUUJKK3F2WG1hWXE2VmhJRDNIeFU1NFpQcytIdlVXN0ZvNUovbGVVdFEycTBBc3A0R1JjbzE0NVJlYlpHbnNpN2pNbE5xNkpIRWp1aWZjZHB3UzR4M1pveTQwUlNFWCtKdmhCT0VabGtYSVdkSitXYlVEWHorRXFDd28yc0R1VWhEZFozQ0s2Ti9IMTFsMVFZTlZ3dDAwSVlOcXdpbG9LY2pEcklYTzdDOTZZTGkzaG51d0IvUWMvc1R1T3NEenZkbldaVkhaYnVtMjRBT2VyWE1vYlM2OGtoc1FNZks5NkFNdk8vdHU5VWhPNURRVzVZaGNvdDNBbXlUaGw3RkwrQ1Z1T2x1YmlWeW1MZk9oNHdyRU0zSy9RSFp4Vm9xVDYrQ2hFS3dLVzJnbVZTdVNNSlM5WWZnTjJHY2tScHRTa0ExREZBa0Y4bktncWNucTVQcWtjMUFtKzFteDBrbk4wVFJKc2NwU1BiVW9acTcyTDdMWGtmQlFqcWdnTTF3YjVGQTd2YVUyOG1GKzh3QzlCb1dDM0lVRm5HV2MxOWlsR3VoTHBLaWU0dFNOMmQwMDBRaGpyMVc5ajdtWFYzZTh3ZlZIRGpncU1vUU5lL3RRRzF5TzB1Znc2OWdYa1dyZElxWHVuQmpsT05lbTB6WTcwTEt4R3FRZFlpU1NaTlkwYWlzM1Zqb0xkV3lVa2tubFZxQlRQei85SGswZnMydVJweXk0TktyNVZpVkRaQ2tRRjFlelF0eDdjQWdvWCtvbks3dE1pVVoyc2JiS0o1UzZFSDFqTCtVQ2JsMFV0a25Ta1FBbVNQNE5Qc0JxTnJDRlJGSWNSQURZUWtLR1MxZ2wrWFY3MjdLVGlPZ1NMTWFsajVESEtOckh3VllBMzQvTWJOL2k3TlF0bzNpTmtiZkNGdUJmUDdsWmljaTFNWHgxbDNnd3RGbFQvWFdsSkw3S3p5L2p0RTlHOUo1akFZOVBOVFJwMXgzeUxIUDBjUWdZOXhobzhmUDNlVERka1IrNHM3THV3S3c1T2ViMkE4Y2l5K0Y2ajZNK2s3L1grZm5uMXJseDd4K0xteHJnaWxhMTRYM2dMdm95VW9CTys4bUZ0VWZsNnNhUFlHK29Yb0MvcFlUaFZpemlRRDhveVhRNmJJL0tsbThnbW5qandpWXZzd1YzQjBXcTRKdjdqOGdqNFlhRlF0a3k2LzRqV2M3SlZqRG5RTnREbkFFdCtvbk1YM29Jc3VqRHJtVkg0YlBabTFuMlJEWEpCVm41WmRZK2twSHNQZ1lKbzZFMVVsdElPa0F4TGdtekY2eHkwUG0reEFKUjJNd0R5a1hHMUJlL2thL1c3QzFrSG44VHlWRjBlTm42cFFrNzAwV0xvRUZzNDRRN2pqamtCVTU3d1VYUUJ3VkNsVlFnL0w1OEcwZ1dVZk8rRmJ4RG5nU2RldkdxOG5IOE15c1NHcGhkUGlTOUNwOFljK1Rld211VHQ1TmZLNE9abE03YUExMVgwdlc5eWVWRTlHWUk1UXR0RTRhWm9EYStud3QrUnJ3RmljNDBmTnREdzkwMHBVMVJwbFRFMUlHQ0xKUTVOb3E5QVU0QTBMM285WXUzU2RheUlya0x5Um03WG42SUZBMzFDNkxsRzBtWDBzVDR0RTQ3K3NJOUJjS1FiRW95WkFMZiswNjd4QU1vVVdRV3lUVlZ3RTRQVjNzMkRxUEVLS3F6NFMzaHBBdE8wT2lPSHpzY1lmSjVzRjcwOVBrbHRiSFk0ZDdIZnpZWU9KNlBmcFArTWUwZWF1cjVKNk9TaER4Y1JQcnZ2NmRQVjIwNHlQUlU1MWkrTHVrL2xuZU51eGdmZUNnNnVMWWliSy9MWStIajhQMDFHcmZ6TlBLWjZuRW1TV0dlTnBaZi9wWGN6ZVVsOTg1c0JsWnVDT3Y1ZitCYjVMZWZ3RDdRa05RYlN2dmxiUXQzS3BVamVScENKQVNBdFhYZ1pHKzVDemhBcjRCMUlBK0JBckVtRkQ0Sm9QdHBpQVdKUkk1NWxpWTZRQU94ZlhKcjZEQlkyaWUzbGRXUURjaHZuZThWLzFTcG5URno5M2s2cGxXMlVrNVlhaVJvWmRab1RDOGMyTDJ3WWZaQXNtUitaNzNxY3FzQ3NYdEIvMTVnZHVMdGRmbDZkcDhKTnd6WXlMMndvV2dEeTJnT0R4UVFrK1QyOG1HbmtFWXF2Q3NGbGNzYUJUZDlGMy92NitEbWhLeEsycWp3QlhHSEtScnlZRm5peENodEpXZFlKalJHLzV5OXdXWlNoSm9nT28xc1RzejVaZHhGUmNpNHlOaDF4aTJhYnVrWmYvZTNEeTkyR0wzeVZOOVo2RitZKzc3bTJ2R0I0Umpid2VUa1BRNWpFVVpESHJ1Uy9menVicm13ZTdxNXRtcFAvOUhqSHQ0dnZoenNWMUo2OVQ3bEFmRS9OUlV1VEFCeEwvR2JMRWEyZ3Eyc0VwWFlPaEl2b00yRTNCZ2ZuY2lMZmRmNGdUMTk2Wkp0ZzZBcmNHemI4OHdCRVpGd2VlbmhHR041YS9tZysvaVR2YzJZSFhDQzB0VmNYWFI5QmpIQkJDRzkxNVN0TXg5K2VMSVRTd0JWT09ZbUFLbDk0SWF5NENXWEg0YnVNK2JuUlZvNG5KTXpzcGV0R3YyOTNCcDh3elJQNUtwRDVQWGp6TVY2emQwZXBXTUxUcG1XSVlaMzl2eWRlbTNqeE1yY2s3ZWV3MTZYUjNyK1VzOTJYZmZsV0poR1UzWjBoTVZ2K2RWNERiOEowdWhscnhPZm5hVFBIN0V1MWhqTkgwcGdPcTI2NlUyMk93MWUrRzNzeWNyN1F1K1FBeDVYYWt0aXZOc3NFa1YzZkd3R2Yxd0hHTERlN0FDZnllblZNaFhNVkNuWDJCNVpNVHNTbjBkcHNYaUpwcHJVZGdsd2F5amRTajhkTnd0VkFNZStTSXFnVFdTcnFCTDhUVExtTkprWGdrNWI3WXdXTWpRV2d1azliTjNPSStkcWRySjJqeWJXRDFsN0RydDQxRVcxbTEwM2xWb3BFTjJCdHF6RDVHRzJDa2FIcUNsNUpTdW14SEsxb0dueCtnNkFJTHJPNktHOEM1YlV5a3FTbEUrQWk1UGFrMGZ3Wm9sSW8yaUtybHdwdVNsNkxETml3L3RGZlBNcXZDT0VsdEdDMUR3NzZGaDhheVVweWpGc204T2p1RlhaNkw4QXhqSktxZ3ByUVdwQWNEOEY4T1ZERnBFOWpFdzhrbVFLckVwU0lHeUQvQzN0bVZNK2pCWmhEWGt3RnNndkZxTFVveWJEdDQyeEJiVXpDRUNCeUdGdHhVYzU2emUrcVRmTWdBOVh1ZGN0b0M1MWpybzQxcHpwdkdvd3ZCQnlmWFlBcTAxK2pUVlZJS0pSMEo3VnBlUEtzblZEcVp5eFVkYjhYT3pHVld3a1RwWElrUkFvU2tJMWdKMkFOaEduNXpCYWc1WTNpUUpPVVhKVDNMcUUzcnRSMlNrZlp3dklKdEhsNWgxcG5OK2pjd1Q0TGRlYlg1WndjanJ0R2FuWnJjaFNVNnMvRzFxN05JaVh2QTJldnJNVVByQkxxR1RWN0p5OUYzRFAzTFl4Wm4rZXhwOFpJWjZOK2k2eFh1VU14eE5EeDY4Y1l4cVAzZE5JM0JYZUVOUHZUN2U2ODllTGtUcVA4NWdtbnd6QzR6Y1BvampyQUNncmtKN3Y2VXVkcDNLR3NOSlFwVjByczViYVMyT2xPQ0c2THc0ck5aVnF5blVLbGdtdEVQWk1xL3d2QlNJOVZ1bVNPQ2pvQkl2L1NWYXM3TlZqOUN1MUNjRnBDUVhVczdaZXI1SnJId21kcGZFV2hXb0RoRnZ0K0NXT0dIMGp4T2tQK0xnWVA3VXFkbXNDL1FpcThGR29WTVMrNlV6SVRzVHF5bDlUV29xWFBsSnFvL2c2eXBqa2lNb1pnbFhkZVVPVStTVlNjTlZaVkdidHlEVVhwd1BGRHVXbWQxYk1qdlZtUW5uS3dGMkZDcVU3NEhNZ29ZZVNiNzRINU41NENLRkJGWjhSMXZZejVIRzVQVFFQZ0JjQWJCcG15L3duY2I4ZEhDS3J0R0dwa1R5VWRaMk1nQnhJcnNEM2dWWGpkNlFqNEVJTWJVc0xJNDgzRDN4ZnRwYmk4S1FUdmRESVh1eUZNQXZKVm1DMVI4dHdBS3RIM3JwQTBXWHRnSzBoLzNPZ1dQSkQ5c2hGRndCdG1Qd3BxWmk2ckFMdUdNQ2k0TmpVQktrSG5oUTlEQjhSWXROU0pQZUJoV2tSNXc4NStqUzhiK0liVzZzZldQV0hybFZOY2VxbWZnVFVEWTBWV2ZxbkYza2EzUXFpaDVON0hqd2QvMzNjWUZ0Z25kWGRNS3NyUGErcmt2UkRydVNpWEt5T1AzcDF1YWJoN0c4L0trS3NiTlY5UEpuT3I2MnNsSk1oRHJIYXRBbk45OUhKV3lrWXhHWE02Q2tRTjdNWE1PdGt0OWtYTnlzUUtKS0ZpSitOMThKWXlkL3gwTG5rZmNxbEZzemF6aU8vRmIrY1dUOUppYnlPNm1jckxWZFVGNkVQRDV4b3hJVVBKMmxxcnZMUUx5ZFNrbThtY3JXNlJTaXRBd1hpSEMxM2pyblorRmRwckRmaHE0VUVMYnZoUWhDZ3MrVXVFRnQ2aHVndTVQYmg5QWNCbkNRV3NnY1crOGpPMEE4eGVqcE4xSWNEN01YMEFUWnZSeURJNmdJTHhhaWxEMUlNbnhndVBnT1ZpZ2xwY291M0pFTUJmdjFSSVJjSnRRbndOK0ZZT2plaVlhN2NtSHIwaDNVdmxtbVl4VVFWc05kaGRzTmJRVFNzamZJQUtFdmpVaXdjS0N0MklOeFVJRGF4QlEwbWFWSHR1d3RCOFFDKytTSkRNSzFsaGR0STdnNXF4OSs0MUdsbnVOUlZTOFIxbDZzeGdmUjd2TVp5Um1wc0RZNytKSU1RNlRTUFhib2dqY09UeDJhY0lhYkF4djJrclBReVg5ald5MC9ENmpvd1VQTFhXT1pKUHBQZWd6T0l3aHFSSXFSSGladU9iSVVXS0RkUkt2bTN4YWdOVUk0a0dYUW1wcm0yRGljdEhseGlkbTA2UGhIQmtyOGR2U1N6M0lzYmovOVNrL25TS3NsU0dINmcxVlRmcCt2RTZFUGdZSXo1VWp4ei9PQWgveDYzZUxxblhaR0g5TXlUYTY4SnRPOW54M1RML2xYa1dkNmprMFAzQ1l4MXViZ2YvM2xGSThta1Q3VGdlditGVzhHS01NYkI4aGp0UHJ5dEdYSUhWRVRCdll0WURhTG5GMkU1bmZKUUdWTjNHOUpoNlVISVZYSnlZaStKQW1KN2xaSVZZMC9hQ0ZDcG1HMVI1azZGWjZHY0J2Z0lkQUdZRktwMXI2YnoxVmc2YzIzbEJ3RDM3dFZjdVFxVUpuV0lObDhENEhzWW1yQXpwSzA4alg5b1l0alAzYmo0azNXL0luU09vcmZYOFlpZmpmT0pnUTRnUXZTSlduMkdWVTNldGZkVURObHEzRVUvVHFqbEhCb0o0VVRWWTk0VDdDM092NC9KVFFhdk9SeFFJRXpJV2tOaVBoSkFVMjBkdUhrS0JOSTJrV1lpZnp1ekMzZ2ZiaXpycUIydmhJcnE0T0Nud0RSVTJFOXJXZTJtYk82dVhaZ3htY0JvdmlPaWcwY3hab1BJYkpLKzFJcEl4VU5WZ21WL1QyaHRleDllMWNVQ1ZDQ0UzR3hTQk9na3BEQkp2MElXd0tLNExmTVN5UVkwOUo2ODJEYk1uQ2JvRVNQN01CdEJiZ0ZHbjNRY3dHVTF0c2h3eHpIYm9WUXdWSWpQSWhtQ2g0V2ZPcTRMRzFQN3lyVW1raWpyaUIyL2pEbXVyb0dhQnpBcUV5dU9TRFVpdTQ5blhpOWFUR0kyckZaOWl1UHh2b1M4c3FEYlRDZC9ldFkwbnZTNmlPbmRacjFTa2xmVWZxYnU4TGRQYmE2ZkthTHZ5eFhTUkp3MGxIUUJNZ1lNWDk1ZU1OOEFYUWNwSjZIREZiRS8wVXYySWo3UHlhTnB2R0NwVFhxSS9IWXloZFpQeTBVcnF4cFNkZ2RHQVN0NGJUeWN6QUs0R1lrZDdIVkRsU0U4eU5ONk9aV3pPU3gyNGw2OEh4UXY5YVowbjhSc0p3Wnp5QmFwZXpwVnNEZGNvczhKNkFDamp3THRWQnZnYjRMcSswZG1Qb1NFZUlrSWE4K0VLalBqN0RkdmJCOUxjN1M2L1JvYTlsaGZwL1VuczdtanM4WHdYczY2U1dNVHcxeXNvSXkyU1c1SjZUNkZqVVJOdTRzTGxoYUZZWVlpMVBLMGtKSDdWdWtkSDFPaTBPcHpJWnhzQjdZaHVSL1ZoTDQxMmZmVHJSUU01UmhndHJJQWZXcGZLTm9nQ3JPUmVwS3ZWSXNhSEtFN1lKSHhjRFNSb1hhMGNwNVN6bFBHRk5wSmJoWlNjbEViZDBGVFNyVWQxZ0dGZ1FYaS9Db3d1TDhrYkJiV3c0dStodHhyZlVZc1BzcCtPdkhrdDJiWnc1SEZYOEQ3SXc3U1Y3YU5uYWduVWVWSWFrQit6NXRSZDVPVFA3TUhseDRmcXF3L2xyN3ZGREZtYko5ZFRRNjk2TzBUQWVqNE9mc09JN3p4N0s3akswTHJUd0d6L3NYYUcxN2YweDZycmZJM3pPMU5HQ3RTTlVuYUVYUjIwS0J1b3ZMeDRjZVV3TCsyenVvdml6NTZuNis0V1g5dzE5SCtOdFhRZStUWGpNWCtnZ0tLNE5GK292bnNRTWhrdGx5YkdIbXFkZVNiZHdDMFZpcFh2dzhpK3pBSFMyd09oeFc0WnI3aDhWK2lnTk1vWTJKTW5IK3doMXRielh5OWlNSXNVOS9aT2JaOTlGTmVvenVublFycm9lUWFydlQ1eHF0OERmTCttUmk3cUN1TDN6R29VUVZDa01GdnladXBVVzB3UDBoWTUzMitQWjBDQkNrTjh5cXoveDBwekNDdGhwaXBRQVIzQUlmd20wOVB2YWQ2QmMxaTBGQ3ZYTDFEdEhxVHBRNzVDZ3A0czNMMTRKcDVIaTdOa2IwSm92V01VTHE5V0R0aEYrQlMyOXZhdkNkRUQ5Z3BDU2dRMHpOSkh2cTN3ZFlTUWlmdUdnUDNHTXFmOWN6YnpoeWZVY29UWDJRdjZTQ0VWVWJGTXVja05Db3N5TWFic0FXRjkxakcwRWR3N1NLSGZLZ2RPaWROWFpTVU8wMFNWbWdud1hXalR2bU9YSjRPU2c4NmIwb3ptWEtVY1RKZHRCdWcxQjVraE41ZW51djc5Mkh1L203R25Zc0h4d2J2V3ZiY0tTMldIREFmS1h6UWFCSnoybUYybDJmbDNZY2ZQYi90YTRtcWMxLzhGaVBjOENZOTNOeVJNT1N2TjV1VjJIU2xIb2ZNREl5cE8xWDUwY3J2eWJMUDV2VEh6bjZTd1BteHdQcURQalg0VVNSa1liRk1sYnJMUjhqMkVGdkE1NkZlbGhUZlFMdHNBOUlrcVZDWDhJajlBUGJaWkM3N04yUzJRUkRlR0xPTlBJNUZNcjJSSE5TR3puTlNISG5jdnlISVh2NG1LR1dXU2pwT0VPZHQ4dmJoOWh0ZUxTWWIzVWdjRFBQeWxaMWhEREttTEVTTWw1UmNiSnZGc3JjSVBkVXNLdTVaelVWcHdIWlNBMHIzRVpacENFUVhmTzlEYm9TOWdjdUZUeUIvMFhkWUwrYm5iUGNWcUtvbjVVMVhyYnZJVExPM2ZEdFFXL1VvcWkwa0o5WWdKWWo5Y01IcHFRMkxFWEdFdTJCem9hUm4zOEJydTZvbHczSEFML0dENC9FNnJpcTF6TVB6enZmb045VWZyUXJUNHphOHVYTEswM0w3NytXajc5eDVRd0dsUlVFZmpSUDZMVUtxOGc2T2ZVeXJNemtWWDJQeVpITlJvS3JmcWZScVVmYWV5azV4OVgvZnRSTzRKQU0wWVdTL0FmQ0ZkQktLRlNCdk5RcHRQQmZQQVBYRTFXNldHWmhBakR6ZE5XcjcxZXREY0MrbnorVHl3OFF3ejFXM01mVFgwdnBscDZYSllKTUx5eC9TbjNVMS9qV01mUkNEZjRaZXFtaUFjTDNsYThjVmlJdW9xZGxBQUozVzZjbXlCd3B1ZmtQZjVHc3hPaTJFQktPZFNqdk82QzNmMGc2TXRXT29vb0JzaisxaHlTZWJtZU1HaDh4VTN3Yi9TczZzTExsczVXblQ3MWxqTmVKMTNLckZRdU91MVN1YkJkODZ6d2Z6M3RLeFdSK2ROTC8wRUxxbG85N0gzUlhHQStxdFl4RkJaVEdCRWFpUGVaNm5jNDliMWx4d1Rsbzg1akhRTU1ZK1FvbWh2SXVWR0lIb3BXK2dIcEV2T1NZclpPWlpDeWU3MmRtTlF2WE9RTUJWQUR0VGVoZU5ZY2VHV0pNSGNsTWx0MjhtbWJRQ1dsWDRmem1tTHZ0N1FVTkFpS25YYzdlbWVQRHd5d1FsUy9iZ3E2K2graGpRN3RVZTlCcGlzZVJYYUZZcGFUbVVKdVFOc2kyOENXcHNoQWI3VEFqd0RuT1U3UDVYYmhaYnF6TmU2a2k2QnBtS1VPc1crSHJrVFVwajhZcXhWM3NSWmVqaUpMNzFkUm5YemJJZC9rWUhFcUpIOFZQZTF6Y3hrWE1FRGhjNndSWWVKMFVyNVROVzdzYUhBdGphYktHaEFuR0hya0RzTUlTMy9lUktMT0IvYzZFdTJtZGRLUnErdlFxMVU3N2kyS0pHK1g4WU9yTEgyR2lrQ2ZtTjNBZ3lROTZRbXhGZFJlNzVaSHZZUTFsc28xTW9CZktkMEtBdytPYlhEYkNGOURBY0w2c2lCWXNJbTRsVnZUUTFsZ3RSY21LWmhBSjArMG91RmxiT3N6Y3lQeEJPZzVzWVZid1ByODRaZDNWUlV4SWVMTHhPT2xJVU84Sllsci93czZ2YTY5dzdkcnFnSWJEZTc4RTV6NE5KL3VWWDZqZWRzTmgxOEhsdGhmK1YrSXlEM1BLYTA1L2RjczgrOW1HRzFEMDVjV3ovM1lYQVJwdTdGNndLQzlzdit5Z1FEMW9wbTF6T0FGekpMU2dDU091bEFPNXNhR2R4SnRtQ3FLemIySDVhamx3ZkpHUmdvOHk4M0o2T2tPeWttRmpzZXJuQllzcjFsYTV6U2pKNjlCUlV6V3lOVXlCaXpBeTlnWXduWmJVejBiTzlmc1NWTjZ2K3c3N0xEZ3JFNXV0T1VnZDVYMEVWbkFvVmdJTml5bEtkVkIvZXpTd1VFSmJZZ0wyZ3JSZC93L2sreEttRTFMeGxOSXdqSEFsSjQwVTI5dUZnOGxLLzlCQkhRRm5HM21MWlFVNmlJNGE5R0QyZ2JKbFZLdUwvSWQ4QTlpNVdoYjExc1NwSFFWZ0JmbmtVN0pDOGgyUUNGSTh0dVFvVUx6bUowVWhZUTFhbTFNeW96QlI2K2dvN0JqY2QwUlBNMmphaVZNTjhTUXI0Z1p2dGNEMVlwQWJybEhhM1p5eHpNNnBsZjFhTUZ2YUdvd0JxRm9HNVRYUjR5dUxGNk1XbVoyMWQwa1c1K3JTeStwc3daVjBFMXE3UTA1Q1hzUHgrRFdUOWtxYkIyZzVSQmxEcTVOM3dXU2hMaU5PZm8raGl0c21IYVpxUm8yZ2J1Wk44a1AyTVdxQjBxeFIxWXE4a0JrdzNxY25nL0pIa2JhNUFlSSszSEphaCszUTdaa0ttVXh5ano5ZTlIWEE3ZU5Kc1Q2OVdlcm5sY0w4MHB1VnBVZnlWMHg3dGZoelJscWp4L3A3T0tPNlVvNlVzenY4T2t4eE9pUE84VXYweDNEK2hMNkIzSk1IRFV2Um91Tjc1YmtEWEEwSjRFVEx1a0ovZmJMcSsrNTdxNmxUQzBnV2dRSklNb1AvNE51UXVvUFN3YjhyVldrZklqdVF4T1RKN1ZZanJ4YXRBT2xyTzNtcmlKd3hnc0c5bVN4NXBCK0F2K08xM1Zsa2s0Q3JrMzBoNlY5elQzaEUrVGRvTmhOTWVrVTVCSHczVEhiQTVNOVpTNTg0TzRhNXYvWHhxMHZOVnVjMGMxcGdnZ0FyQkxJcHcxOXU5SktmYW93K2o0NVdlNzF0K0h0QytNdGp6ZlZLQ2ZnenJORDNGMzB4WnFiKzJOMFRlSmtKVG5kL1FSZlZlU1AzM3NTWFg2WThtYzVOVTlRWHNGdnFBVGFRZ3VPZStTN0tRb1RaZjdnSmlxa0JUUVhJUFd3TUtQUXRlbUx6aFlPYmFqemNuSHlRZGhveUY5K0dqSWlsU25mamxsTkwrVTcrV0pZc08wQm9XMnpQTEJHemRCYnQ1NSt1aStaODJNbkczeXJWSTJBSUxuT0wrZEZ4OU42aEE2SExFRkFYQ0svOFB6RkFsYTc5eXVjL0tOWXdWQ0xjdXFURkZSSVFKQ3NSOC9NUUZCbWVWUi9sblA1V2xRdFFWczVjVUNNQ3dCMk1FZlFkTit5Z2FYN0Y2OEU1WkhYa2JLV1N5QmFzZlJWT1I3eU1sdE5LQ0FHb3U1VGZjalo4a0ZvcjFsclVSU25Pam5Xb0dxMHZ5OGh2cjVvYk1jNjVIN2xxUy9JTDYvZit6SFlHM2tZK3l6Y2hiWWROaWdVV0dYQmUyQndqOTZDeDhpOU5BQnpjdFhIdVl0WjNrUHlIZkJKbDZ2QmpCcklNSmtLeGhVYjRUWkdTeWRPRExrOHVDbkI2K2l1UHlqcE9qWDduVWtvYVNUSGJEdkhaWTJIeklsWmtZQTdrU3NMb0NBZXZWeS9Qc0phWUtSSDhtS1ZXSjg5eGt3TDRrK29ZQW4vUUkzME91UEJIUWNtSFB3Slhhdnl0Q1dpd0d1ZXB1S3djdTcyKysrcHZ6YlcvR3RaYWxIK2NPN2VUNURBM1loQThka1VTKzViZVlOVGl4MTJDY3BzNis2NitiL2dCdmc0cGlNYVdZM1BMdDFGT1o0dTZTTWI5M1E4SWZHRU9ZNEgzVnV1WHFUVzlqdVNZYzd1Mjc4NEEzd09hSUVvVGVvUi81dlBPRGZiVE4xYkoveTdlU3VUTmJaYlRPQ0RGaDZydDRER3U0M0lrRTNjWEhsUldBb1VtY2RRWHBTeDBnUlVKTTgzZ0tjbTZTOVdEOGVFdGM0R1ZzTENHVFpUbTh2VUFZOXJHOFl4TmQyS1d0ZTV4aVBHZFlsQ2ZrVHVkTGUyajZtQjJ3dXF5bEV3bWtDb0p6U1ZoQndRM3ovVUFMUlpOc1QxeVY1QUd6ZlhHR2todWd4YkttUUliK1Y3WU5RWElaTWhaMTJGQ09qbUVqQ1hwY2thbVJpeUVEdXU3Z25YcTBzN2p2OXlHYjVZdzI3b3d5ZFc0V3lsOEZVN1pnTnNoZjhaK2gwc2hhOEdWWlBjc21WbzdQd0ppUWpvNlNkOG5mWURRQXpoOHVoZ0JuQUtXekl0KytnTklMbGZ3RzBkVGVkVHBqTDZMVUlGYzNaZnBtdUZnL1dmdzNzY29UdWxSOGFzNFptN0hNak5zMm5CZHllclgrcUhEaGZNQUY0MkZpdGs1NjNjVGdRa1NrOFJnOXpNM3FESUhaOTJxZ3dXS2pTMlNnNTVaOFg3cVBmK1ZpcWpPcjM5SEMxKy9SM2JPeGJpV1hnZEh2S3c3ZmdoSmluRi9zaE4zRmFnTU1IbU9BMzhwV0d1LzMzWUJoZC9sK29LMEhuVWN4ZDZDdGdmY284WEJJWndER0VsOU1VeVU1RlF0NlkrUGxiK1VicVhKMXhrNjVmZnU0eXhHdytSakk3cTB1SDJxNUJ1c0tLV2JFY20rOGQ4dHdZMmpRVDZtUTBOTUhFcGFQZzhXU09sa1RqSlRxenBsYmptRTB5RzhvcW1UenVmQ04wRXRzVkQxZk5VUStSUG5uVnpnYUQ5a1hidFVCenZhanA3NExObFVKNXYrR2ltT0ZYRDFYNGJKdWJ4czRSN2FURlZXQ0h5VmQ1bXhBM2sreStKanlmZW1ibExDSWF1SDJyUEpNa08vcTVlcDFkSjZTREZUQVFZR05BbkZqVXZJQ2VtRVAwVTlDcng3SnVTSnV3QXR3TzZYYmZybXl1UVhBcHNsVmg1UlQ3UWw4blRFZHQxbnAzQ1htYjQ0QzhmTXBaK1BvZUpsU093M003SUNvSUUxTWVJbm5tVXJPeVdoa1UrSjNJYjhYbFVZeHJPNkFna0ZseE1XejZTN25oRWdldXAvQ3BLWVo4UDNINFhpcGs1d2I4cVpZNUJVV0tlUU1IQ0lkcjIzTFRKTFpCNDVpTEJlQ1hjUHVMZmF4TEVlNVp5dUN5amQxT1o4KzIxNWtWQmZ3R0lEK00xbTNZYkwvM0VMQTNWOUJLSXY4UlhmcHdkOTFyNzFLUEE3Mmxrd2RzaHhQbjNXKzg2aEN3KzVLelg4ZVdMcFYwUTNHOTZEakF4Nk44K0plemF5OFNsQWcxaW9RNTdsVG1yN0RUTDVSRkdvZDJRUWk5QnZ3TjVQM3dRY3c5cEN2RldUYXR5aGdaQ2lOZnFlcmdMRUJkbndCMG5yNHVlRkhKaWhDSkVSNVNISUNzRGNjYUptVG1DUERYOUVxYzZoTm5kdUFCZlJOUENLUmdZaWlJTWdHc3RscXlQK1h0OStPNEVOR0hjRDFERVp2OWRIR2hTdG5aOEw0TVUxelFhTWgwZGpMTDdxZVB5OFJlVm5IWmxWNFZDZllWNG1pZDFyVlhHMWNqbXZjRWRWb0kyQm16YmEzRTVkRitVYThUNUpQb2RQVG1TZkdBK2tkbmMvTFZ4YjhOaFliMm51NU5Ieit6OHJvNU4xUzM0L2VqejZ3QXBaTlgzM3htSTU5RWZPQm1kTGx2Ykk4bUJ6N2lyY3lXVkpidTh6OCs5R3dIeVhhcjdic3h3N0NMWXJnNGMvV3Nnb3lsNlUva1pUNmZDbHh5RjdTbzB6aUpEeCt4dnQ1ZjF4MHJMSjZxOG4rM1AyOC9KZnMxV2RHdm45ZmVkeTN2VGtDTVlxOXRKcVBiUXJLQWZEOUZDUWx0a0QvVEJocEM4UUd4SnhUVUlISDZOZUNyUEJkYldCa3I4emFod0o1NjNCOElkZWFHTmJXek5CWXd3UkRpZjQzK2kzekN4Yi9RbC9iWUZtb3ZJWFZDeS9zMUpVM0sxNTQvWEJPckRTUTBvMjEzZGtDN01laDgyd2pxQkpZZHIrYVNMTFFiM2o2d1V0MFNOOXpiamowUlBIK2hmVWZ0dTYrK0F2NWl2S0I4L2tmaU04NFFxY2VxYmVoWEZQZG1zajJCdDA2TFByWWtJVmVPN2EzWTNVVDY0OVBxV0U3Uk55c3BNYlE3dDhoaXQvWTJhRm80ZlVEL0gvdGk0MFNNcFBMTnl3OXFmcTdmNlFzSkhFT1hSK1llYUNqSjZncVBJM2hjekJhdVBDNm1ZR2JQaHBBOTdQeXNIdzBlaWQ5N28xOGxPYzMxK1BoMWw0M0ZKN1c2MTl1djZoM1Zyem5la2lOU1g1aTVBYlArRG8zSzQvUGxnSHBpNmNZZXVKamlmV2tlcW1GZkJnUC9GSlB5S1dzSmUrV3YzWm1aREd4ZWVibVVKalNoU1VMTG54S1U4ckpINkRUTFFzb0h2anUraGJHUFNGaFIyRkxVWUZhekwyWjNSM0RKS3dvYi8ybjBkREpsaVBCL2NFbDE0ZWVsRlhISnNmUE4wWkcvcVNBby8waDZIek1Ma3IzZmxLb2NNcFJQZEdiSW1HRHRSVjBUSDFsYkxuSm1KeUxoblc1a3M5ckhKRklxTmhueE9Wb1ZYamZ3dkQ3K2ZZM3hlY2VUZjFWb0RYZXNMOXE2NDlSQVEzV2ZUTFoxNDcvZzJ4TkxKQzBLMmUzaTNpZHFZWHZ4MkRHV09xa1M3Sm14engwd0todFp3UjlMaVVlUUJjMHlQVm4zcnVhM3haTU16YmxSZlQ4TkV5WGJ3K0xOcmxZMGJoWW1oUVc2alllNmxPd2dPWDVqSjJHenl0SGk1M1N6S2x2aXBTZWd3Ykd3dkErazA1dDIvbHk5US9TNUdPMmFOdXo2NSszbDBiZWp6K01HUG1MdXczUnhQRGZ2SEFvNkhSMllmbjJnOW5QWXBTYW5SR1gxWGUrNlVXWlI2RHYzL1V1YnBGWmpPeXltQVRLYWNhdFB0RmpaMmE4enFOclg0dXc3d2VSUHBzclhHeE1lYlRtT3dHR1k0RGVuWll0NTZpdjk3M2I2R0RwV1JJUVBWTGplYmZLUjFNelF4cWV2ZWVKLysvLzgwNllHRGV0S1ZUcjUyY2x5SWN3K3lHYkN0SitrSkxOUXBDdVQ1S3RZc3pYUTAyZ3hZRFNjOXVKc1ZyRWVrbTRyQVliYVJONmdpcXl1Q0hYSjBWTmtnN1Z6NitDQzZQOUI2NjRLL25TbjNvcXAzY3l4Q3Q4N2d1KyszR0kvQXpzcEp5R2tBV2F1dmh0SThsTTZRZitrbVhuRndvcE9sUEUzdDV3VXpBWjFoZExGQWpvdGhDSkpKYjZqRGpLMWcrZUhuWXhBMDBseGlBK0k3R2o0L3FPdnA5RDJhWm01aHYrc3VjVjUxV1BmS1UvazJmTVBTa2hadjhlTHRIVkNpSy9Qbmd0a0RheExZaVlrclFnaWo1VnR4ZXpQYnZPc3lqbDIrUFIzTEVYRmtHWGJjSkNRa3B6SHo0ZUMvaUlqYmFLN2g5Tk1zUCtOanU0NTFXQ2MzRHR6SXJPM2F1WDRHT3kreFRCdjVVODZjRElvdW1Rb3FWdTVHN3MwNnRVZ1ZkQk9sK1ZiQUNiUU5ZUEYwM295MWxDaXNwWm9pNkgxb0l2d0d5SFJnYkRaQThwa2FqME9HVk8zTktGTHdENWhSWlVGenRocWpTcDRDV0s1eFFpZEg2UWtrUjdSdnBWT1JQWFNPYVE2ejkvZ1ppVVVHVlU3RytVZHhIQzRQNkNxVW14WVJaNUIvRmVkS2U5a0RMbDB6dEEyZGpwTG5VaXYwV3BranlFM3Y1aWl4N1VIMWhkMkt0eS9pZTVVVWsydE0wMW82dXdkZ09SRWxUNDh0L1QrRmMxWjNPMHp2ZCt1OWo4TFRwSXk5cS83T3QwM29WdG82c1hybThmc1k3TjZRcU1hQzJhOW1iZWxLVEdIbnFDdmxsNituekhpN2JXT3g2QkZ1Vjc3di90eDNKdWVUeW9KL1orWXhSMVR1eEo1aVVHYWhnZEZNejdVanFMS0pGYkhIWjRYQW1RM000T2YrTjdKKzhlU3N0Tm85ejh3WkV5cDBCTWlCM2QrMHRBNDNMa25ocWpFYjh5RDgrNDU0OWVlTHhZbVlJN2lUUWh0NXV0ckkwZlIwZ1dDZEtObEc0SGx0SlIwTFJ0bVBocFYvOUpsMjFLTmlUTHFtSHZjMEtHTnZsTkNiMEhTeVZ2bVlTOWhiU044cjVLckVac3VXV2E2SEpadk5EYkVBYzRRMTZpQTBVQW45TmVrSzAxdEpxMmQrU0xaRkdTQXNWSzNaQThlekZuV1Y5NmpJZ1YwSHRMdVZsWVZleEYyczBaUThDOW01SExjb2JFY1dadEx4bG01SEhNb1hGU0lBTmlEQ2dRelFyRUVtaGJodWxDTHh0SFZFZkx6VWM3MFkzdXNhaU15OStzeTY2VkJsSjltcURkWEgrZ09GTlpPYkFxWkdkaWdseTlUWG9VTm10VGVzZDZxVHVNQWEreUsrU3ZhUnRYQ1N2ZjJGbDRmUVVpY3RuL3BVRnh1RE5rS1dZYlIzMTNTdGxVQ0hCRmlaSjc5akhKaGl6VUNIbFhUR3gwM0U2eUkrZy9oMjFrSTFqNzZSeHVoaHdGUGFBcDlTWEpSRDV6eGdzK0Fra0ZsbklUK05UYjM2aS8za0Z1Sm5xbXluQkxlODN1YjcrbktlM3dvdGw4WkQ0dlY5bkNUUVEzMDIvZVE2cW45NXo3SGU3OFVwTlJGL2EyeHVUUFcyOHI1L3p2YlU4TW1NMTh2YzhoOW8xRG9NOVpSeVBwbjhGcFBoWkdnOGJCdW41VmpVSFZUNkhUb3QwVmU0OUhuZXEyR3FzTGJqUjY0YU0zc1VQZlgxMC9LQ0RpV0hYUmdRVXJUclB2Y2YyQlN5UXRaWnhzUmh6RFVpV2h6NFpiZG83Z3o0NWpZNVRWNW1ObWR2dnlHMlprWlZuUXF1U243UDd5RXBaSmNIRktpaENaZW1PWDkzTWs5WTJiUGs4R3QxSkpQK1A2bkc3M2JvZExsU081S0ZmQkpZZ3UrUnVJZkdrV2VoTGFJZDBPKzBLdmdJUSs1N29ka2dkUWwvUkNsRnh0MUFYTm1EK0ZYeXdReUNJazEwRkNtb3RYa2tpVGJSenRyRE9OTG5CZzZNMVBtRzlwZXhEaWtueTZ1ZmlibEJPK0JyRG9SNmt2WXRaQzl3VU1kZEsvQUtkYmdzenBQb3dtT0VsMW9CZ1NjV0d0clIxdDdMYTJDZEloeHRTQ0NhWk90VXRXMDdoa2h6L0QzUko4ZGVLNzNlT2hqWmZaYUFXaTk3a0NJU2luZkQzSGJ5cVdiLy9lalpTZnE3ZHFPUmVrbmVPelAzUDNQZHV5RTA0bWQrdjlDNW9mekwrS05qNGZkVVhZcE52R0xEZXh5bzNjY01neWx0cm9yeGwyM3RKek5DRDJiZXpwdW1OZGgveG9EZytGZm1lYkhyelFyWHVsWnNsRWtVa3ozd0ZYVDRoYVFVSkIwUlh3NmFkUWNnM3B4SENub1ZCbU1SQ0M3L0dpNmM3QSswZVpRNGQ5YnI1WjRMeHNJenRrOHZ1THc0MWJQZ2RwV1luN1RybldlOGVaZUtTYW5QeXJxaHNiZy9xaGxMT0FEMWJxd3QraVFDeDJLaEFFRTZ6d1BRWEFZWC91KzI4dVZqdFZRRlVnOW8xL0lCMlU1U29RRVFwRUdtdHZFN2phZzU3eWtseUN6b2pMYkRVWDQ1d0dhSnN3cWpBYXdPWTRMTWI1aklScWVjNXcrc2pHUUd0eFE4alJSNmZQNGk1YzErLzZPLzREejl1bVpYSG5mbWVud0pSbmpCRG10V3A2U0tObnN5L2Jxc2pqeFN2Mys2K0R2RHNTUEgybVc3OGRlalNTcHhId3FGZFE1YU5YVVIzYzRXT2xQYUtkYTVBVmJUUmdIZFZ2dldQZWVVL2xNd2VOUFpWLy9KL1lzSXFwL3d0UVN3RUNGQU1VQUFBQUNBQTZWZmRjQk9ZNkJLc0JBQURtQXdBQURBQUpBQUFBQUFBQUFBQUF0b0VBQUFBQVpHOWpkVzFsYm5RdWVHMXNWVlFGQUFkeGYyRnFVRXNCQWhRREZBQUFBQWdBT2xYM1hDZlNnS1RLSEFBQXpUY0NBQThBQ1FBQUFBQUFBQUFBQUxhQjFRRUFBSEJoWjJWekwzQmhaMlV4TG5odGJGVlVCUUFIY1g5aGFsQkxBUUlVQXhRQUFBQUlBRHBWOTF3azhOdjRPZ0FBQURvQUFBQU9BQWtBQUFBQUFBQUFBQUMyZ2N3ZUFBQnlaV3h6TDE5eVpXeHpMbmh0YkZWVUJRQUhjWDloYWxCTEFRSVVBeFFBQUFBSUFEcFY5MXdrOE52NE9nQUFBRG9BQUFBVEFBa0FBQUFBQUFBQUFBQzJnVElmQUFCeVpXeHpMM0JoWjJVeFgzSmxiSE11ZUcxc1ZWUUZBQWR4ZjJGcVVFc0JBaFFERkFBQUFBZ0FPbFgzWE9hc0s4ZXdBd0FBWXg4QUFBa0FDUUFBQUFBQUFBQUFBTGFCblI4QUFIUm9aVzFsTG5odGJGVlVCUUFIY1g5aGFsQkxBUUlVQXhRQUFBQUlBRHBWOTF3VzZiWm0rRE1BQUdNM0FBQU9BQWtBQUFBQUFBQUFBQUMyZ1hRakFBQjBhSFZ0WW01aGFXd3VhbkJsWjFWVUJRQUhjWDloYWxCTEJRWUFBQUFBQmdBR0FKMEJBQUNZVndBQUFBQT0iLAoJIkZpbGVOYW1lIiA6ICLnu5jlm74xKDEwKS5lZGR4Igp9Cg=="/>
    </extobj>
    <extobj name="F360BE8B-6686-4F3D-AEAF-501FE73E4058-5">
      <extobjdata type="F360BE8B-6686-4F3D-AEAF-501FE73E4058" data="ewoJIkZpbGVDb250ZW50IiA6ICJVRXNEQkJRQUFBQUlBUEdDYWx6S0h2czZxUUVBQU9ZREFBQU1BQUFBWkc5amRXMWxiblF1ZUcxc2haTmZUOXN3Rk1YZmtmZ09sdDlUbktRcG9VcUd1aFFZVWhtSXJQQnM0cHZVcW1NangrR1BwbjMzMldGcXFXbTFQRVRLK1owYzIvZGVaK2R2clVBdm9EdXVaSTdERWNFSVpLVVlsMDJPZTFNSEtUNy9kbnlVelZYVnR5QU51aTF6L01nbFJsYTU2am5MOGUrd0NpbUZtQVlwWVdrd2ppZHBRQWxqd1dsQ0VsS2YxaXdoVDM4d2V0aXNFbzNJNkF6YldHUWZGMTBvV2ZQbW56Q0lwUks5c1c3MGtPT0VoUGpFZ3plMFd6dEdkc255bVZFRGQ3U0JuN1FGWjdpY0xjb0w3L2VWZXIzU25Ebjg2MzY1aDk3M0F2Umg3TTROZ2tzNGJIRmIrSzZCcnZkYmJuVXo2NDFhMEhmVm0vMld0djIvWTZHcWRmRlJwSy80dXBGS3d4enFRcHJTdkl0RDVkajRMcFUwQnp3WEFpcWplVVZGb1ZYWGJlSzI1YzlPL0Q1bXBiR2p4RVczVTVzUERkMVJzN0tUTVBZcXQwUEhuOEs5ckd4V0dmNHlOUHBhTW5qejl1TDB6bW5id2NubXo5eFR5a29EeUVmT3pHb2daeEh4NFEvZ3pXb29Ta2pTendzSWFtcWxXMGNZZE9zdEtXelREYkM1ZlRrWWtXZ1NrRGdJQ1FySk5DSFRhT0o1MVRCb3MzSlpic0dOdllBMTM1OHltVWJ4TkI1L01lL0dETzBZYnF6OStBdFFTd01FRkFBQUFBZ0E4WUpxWEk5Ymp4ajdHQUFBRnZNQkFBOEFBQUJ3WVdkbGN5OXdZV2RsTVM1NGJXenRYVnVUM01aMWZrOVYvc1BVK29XeXViTkFBeGpNVkMyald1NkZaSXE3bW5DSEZEZHY0QzY0TzliTVlHc0dTNGwrSW0zWmxpeEtwWVNNSFZ0UklscFNvbEpTbHV5aVNpcFowWitSWmxkOHlsOUlkK015dURTQUJnWVlZR1lQOWFBZDlPbnUwN2ZUNTV6dmRQZnFpNi8xZTdWNytuRFVOUWFYbHNTNnNGVFRCL3ZHUVhkd2VHbnBabWRydWJuMDR0Lzk3ZCtzdHJWRHZYWnRBNU1JbUtSei8xaS90RVMrTGRWMnRENysrL25UTDViRnBkby9Ha1lmMHl6VmJnNjY1cVdsZm4rcDFoN3FiZTFZSDE1YXdnUzRxQnIrUjR0ckQ0M2prZjJCZm55NWUyQWUxVzdoL0NKQ2RRVXRyWGhUcityZHd5T1RKaXROdFM3N1UwbDlibjRrQ3VIVVNYN1VVdjNKaEp2TFExMTdKWjREbDJ4U2xOcVM2cW9nQnVpTW9UblV1cFJnYSszNjdxWS9lZTNFTkhhN1A5TkpjdWZHemMySVNxN3JkMmtKUWtSNnh6aU9TNzdoOWxZRXdXWEROSTArN1E4L3hlNyswT2oxYnRQQzY3S3FzRkwzckZTbDFSSmFBWUlydys3QlpmMndPN2pOWU05TjNHTWt2alE4M09nTzlYMFR6MFUvNTZzcndRbXplbDI3YjV5WTN1eC9mOUkvM2pZT2RFYWpTZEt1ZWIrbk0ycWxhZlp3TlB4Sk95ZjlPOWYxZTNxUGthM2YzOVorYWd4cC80V1R1Z01yS1RnUmNSTnY2Y09ON3Noa1pjU3BWNDJFMUxYUmlDUTJBNHZqZUhkZnM1cW5DTUVrdkFMM2NabDJyd3IxRUFHdTBlMDV3ZFBwdmo0bTlXOTE5ZDRCb2U1cDkydTdSOGFyN1NQRE5KeFpYdHVoODlyOVNSUGJ4b2dVV3FOTEMzY0libFhOV2orNHV3V2I2SHAzb0R1RUhmMDFFL2VSMmNVTmNvb0tkQU5sZzladnJ5QkxNam15YVB4Zmo4ZnZ2bTM5dW5scGlmeHZxYmJWMHc2dDhydG1UMmNVVEF1L3BmVk9hRGRnQ1hacGFiZHp3OWRWbEdUTEdKaTFMYTNmN2QyL3RMVGR4Y3RoWk9DVnVxZmhWaTNWckE3QXcxNWJOM29HRm5vL2t1ay9mNWV2T0kzZ2FoaHlHL2JSc3grZVBuRWJSbHN5MXkxcnVOdkhMejU1L3J0UDNKWnQ2TWZhME96ckEzTU9tMmZQZnRJKzFXbmZabC9yOXR6bTJiL211V1ZOZDA1KytmSDMvL3R2WjArKytPR3o5OTBHdm94WDlhRHFVM1B5d1pab1FVRTNjaVhoVnJmWDJ6S0dmYzIwVlo4ZDBqdzMrZktWcmFIUjd4enAvY0RtczlvZWRnZm1ybTZlSE5lMnVuaS8zVDNTZGRQdFNGdGJFaWJpa1dndXJuZ2tlb3BIa1NJS3diWTJ4SnVuMVZhNnczcy9ZSTNBKzlQYTREMWZYSzZ3WE1jYW43ZHY2QmQ3UkgvNHhhUFQzMy9teXRScmczdmRVZmZPWlBocTE0MzlWNXhWVEJ2by9GakRXL2U5Q2QxbGJmK1Z3NkZ4TWpod0NIWUgyakZMNmZGV1AvN3p6NGttYVF1K3FOcWRMWVpWdmZYTFc3dE56YWllYm5LVHpsaTFCcEZVTGsyRTA0TS9uRDM1eExjSlVUSTYyZWhtTFBtYlExTTM3OTdGcWd4SmxocU1aTExOMFVSRzJyb3hHT0M4VnVHSzdHR1dKanUvdHJjbjNNcGtRbWpkd1IyeVRnV0g4MXRkVSt0MXpmc3h2TXRxTE8reUVNTTdNM0gzQ0d2N2dkVFZGWnRYNTdkRlpLMGwrcmM5M2JBcVhhTUQ0dTU2V0NKZ3ZXOWZINDJjUnAxKzhmRHNrN2Y4VFJwcWc5RmR2RUNEY21PaTBBdENXS3BNOVBnR0kzVnRjTWhTR0duYWxiYXQzMHF0aUZTcTRHSXJJcHlLSjdDVFd5R2pSaFhwcGRwMlVHdjFFTlBDSkQ4eG8rU3RYdmVZb1hXN2FTeWxlNFhWZDZ0VTY5M1FUQzNFVC9mT3RRTTZ1b3dxc0JDTVNNZkxqRkhpNm5yYndPdDNGQ3pJK213UGQ5c1VYVmxrVFJnaHVJUFFUQkVOcDJtYy9iZGlWWnpBRG5LRlV5STdpZU03NFk0eFpIenNTQlk3RWdjN2RLZTVRWHN5Z1p1OCtrcTJtSlB6N2F1R3R4bGN2RG1mZkp2ZWRuZTBIOHo2MHAyZllzbEhtR1ZZeGl1QkhLdWI5M1RHOUtWZk40YU9mVjdiQ2krNlVFWkxJdG82eGorY2RQZGYyZFpHZUo5VHhKQzZGRkpHZG8xZTk0RFpzYTZVLzlGZCt4K2pzeWJsaFJmN1FHZW11S2t2NjJ3M2c0OW9YYU05Z1pWQk01cW9yWm1tUGh6WUs1MUpSaDBIYThPaDhTcWxFaHpGTHl5S3JHRVlIUEFUMDZiaWpranEwbEMzNGkycktaUEY1KzZxZU5Cd1pVZmFBUzZuUldhcWZwZG9wS0tpN0RmWWxhODR0WWZHSm5JRVZxMHRPbnAwQ0FPNDdjU3Nad3VYaUFKV1Z6d3owYmZINGswL05OV3BKdUF6dmp2NHI4M1hUSDF3NEZUTjRpNXF3M1lKZkJ0M2tzeWlPWHliZVp4NGNIUEViUEF1elJYdXJkcVhoVStJdWxrQ0tnRVdHS1JqNngyeFR2dmh4NlNJaE14dWpaN01WcGZFNSs2OFpsb21YcHo5UlNtWm1zS2tIRnpuNVI3V3pXdTMxbnJkUTJ4eHJHTVJwdzh0aDQ0MW5TeVJoaFNzV1hlME83dW1nYlh4Sm5PQzBDSjl5NnhGL290dXh2cVJOdFQyY1gyMWE3Y3RvV3NiaTUxdVh4L1ZkdlJYYXplTXZqWndqVVc4SlZHUElKMG5qdG1ZVkVzYlYzSTQxSTZQbkZwMmo4a0t0V2VwM1c2eTV3ME90cnJEa1VscDhBOWl1amwvMzdDTU81cFoyOWN2NjdoSDljbnZ0YnNtMFg1anBxUmwwWTFxVnFHeWJRaGFteXpwVWRreC9hS0VuVHRlRVdrMC9maTQxcmJhdUg0N1loWDc2TTFqaDNEOHpZUHgyMSt1cnBqSGNlV3ZIRWNsNDRuRzVzMUtvSk1zSk0wQ1dhd1B2ZzMyaW03MGRYUFkxVU5DekU2NXo2cHl4NkM3UXJScXVVT2RsekVFNnoxanBCL0ViSkU3QnZHdXhGWkJETmVZRXJhTmUzckhpT3BPYnRXUFV2TW9XSlJ3SmJKV3Vwbm15azlFeDZ4RVZzVERRc3dTSzY5U3JwNmZpb01DWmdLejF0VVZ4cnB5UDA2V29hMXdzRHdEN25KM3ZBT0k0UjI0Z2JVWWplemtqZ1l5K1pEU1JZQmlYUVNTRkU3TncwVVExZ205NmtBampZZEFiQkN5V2ZrSWNqZmVFOXRLU2Zmc3djakxBdlNqbTJ3clRCU1ZaRFBNNXhPZURNKzV0YUhZL1FFbWpZV0Jwak5wRXVhN215T1ZTY08xM3R3c3ZCTEd6UlNRWXBtTkdxdE9NR3ZBckNuVnJIbitMdytlUDNuMC9KLy9PUDdxUDhHNHNRbXFZZHhrMWVTbnMyQjRwWGh4eGtRNkZqajJrSUtObS9JNVNEVU1PVmd3TnBKTGluZHNHSmxody9qSUxLWEQrOG1uZFJzRHR0NDlpYmtqQmdmWkw5ZHVkbDY2dkhubDJrNTdwM09CSm5lMHc0dFlwY1AvZXlHc1BrM2k4bG9vUzM2Y0VLcCtjMmVETzdNMVJaQzkyZlBteG5vOW8wYzR6RDJMU2NMMHN0VjFjY2Jmc3RLeStTS01XaG4yWXUxQlFudmw1dHFOalFzQ283ays0NUNRV28yOC9SUEN6d3RNMVdhaWhEVlFIU21lWEhzazExNUVMbzhXbHNhVVhFYXR1cHJHbUp5MGx3WmJNTnJzc1M2VGlaMHh0ellHUWsrWGxTaUk5ZHQwYkpsVGlKVUJzVEpFbUxTODltQkRhVWdMYWhIS2ppb1pkbmM0dmN5d0NDT0lzNk5xbHNicVE5VUk0RTZqZlVRSFV4TVlRUjIwcUxrQTFLYlYyU0kxTG02ZExWb2xXMUNkTGFuU1pVWWNrRlh0VkFvQy9ld0dkVmxSMVhnSzkrZ2ZianpzNFFCYlRDUWFmUkt2WmxseUU4R2JUdE5vVkYvVEVKWHlWQTBrb2dwcUdnMmhLbXFHMkVRRkt4bXBJdG9xcTJBb0JTZ1lyZFppYWhkSkNvTlB1MGhTUlVDN0FPMGk5Sy9DMnNYOEtoZStFRzFsb1VLMGtYeE9RclFoQkJ0Q3NDRUVlMUlRaEdBSGlhb1ZQZ0FoMkpXSlY0QVFiQWpCaGxnRkR4TlZqMVg0NGNPSDR6Yy9IYi94cTlQM24wS3NnazFRalZnRkNNUU9zUUNCMkZVUHhHYUFDODNxZ3d0SUxUR09RUUp3SVE1Y2tJUnpDUzR3c1FKbjRyQXlxQUF1QUxqZ1NhaUdJUXJnUWhaOUJjQ0ZaSEJCWFNod1FXb0F1QURnQW9BTEFDNEF1QURnUXJWMU9nQVhBRndBY0FIQWhRaDY3LzB1bjUyKzk1ZlROOTRkLy90YkFDN1lCQUF1VE04UGdBdjVjVERYNEFLNXZianE0SUpVNGlGSldRRndJUTVja05HNUJCZVlXSUV6Y1ZnWldnQXVBTGpnU2FpR0lRcmdRaFo5QmNDRlpIQ2h0VkRnZ3R3RWNBSEFCUUFYQUZ3QWNBSEFoV3JyZEFBdUFMZ0E0QUtBQ3hIMG5sc1cvL3Rmbi8veG44NWUvODNwT3g5LzkrRGgrSTAvbmYzMkkwQVpiQUpBR2FibkIxQ0cvRGlZYjVTQmRadDh4VkFHUlN3UFpWQlVRQm5pVUFaRlBwY29BeE0wY0NZT0k0UEl2RkFKVUFaUE53UEtBQ2lEcHdSQUdRSzF6aFhLSUM3V0U3WU5BVkFHUUJrQVpRQ1VBVkFHUUJtcXJkTUJ5Z0FvQTZBTWdESkUwRTlRaHJQWGYzUDJ6ZnMvUFAzNCtaTkhBQzdZQkFBdVRNOFBnQXY1Y1REZjRNSWNQUFBVa01vREZ4b3RBQmRpMzNocW5CZHdRVWpFQ3B5Snc4b2dBYmdBNElJbm9ScUdLSUFMV2ZRVkFCZVN3UVZwb2NBRkZRRzRBT0FDZ0FzQUxnQzRBT0JDdFhVNkFCY0FYQUJ3QWNDRkNQb0p1SEQ2d2RPejk1N1J3d3UvSHIvNUY4QVhiQUxBRjZibkIvQ0YvRGlZYjN4aERoNTNWa3Q4M0xrSmp6dkg0Z3ZxdVhuY09Sa3VjQ1lPS3dNODdnejRnamVoR3JZbzRBdFo5QlhBRjVMeGhjVjYzTGtKanpzRHZnRDRBdUFMZ0M4QXZsQnhuUTd3QmNBWEFGOEFmQ0dDM3ZPNDg3TlBUajk4QUxDQ1RRQ3d3dlQ4QUt5UUh3ZHpCQ3U0eTkyeC9sbXZMOTdBV294R2RuSkhBNWw4U09rQ1FMRXVBQ25zQ09SMUFURHNkbGRKYU1ueEx1MUdHaGVBMkNCa3MzSUM1RzY5SjdhVmt2S2J5NUZXSDQ4WG5QaWFFazJ2dVhhREYyQTNzZnNEekJncVhGS2FNVmpnNUcvR2NDMHhOd3V2VUhFekJRUlhaa1BHcWhOTUdUQmx5ZzJWZXZQeCtORXZ4Ny84ZVB6MVl6Qm9iSUpxR0RTbGdHemNVcnc0QXlJZEN4eDdTTUVHVGZrY0ZBSjhwZ3VHWWozc1VyRmdxS1k2WlRDVW1EMFlxb1dhOW5aZmVEaVVtQ1ljU25HMGtQd0RvdXlDMDRSRXRRU2hqcFFzVVZFQi9TM2Voc1JqZ2RJWWtiTUtqV0pHT2puVGlIV3ZLL081T1FpTjhuUXpoRVpCYUpTbmhFWFYycElxVmVKZzJVcUhSZ1VkcEVRM0xNMUJLalAyRlQ0SHFScnJJTFcydmR4OHBDaTRIUmJxSXdWdkkzZ2JnNlZVMHRzb2k5WHdObklzVHpkVFh0NUdKSUMzRWJ5TnBYc2J4KysrY2ZyQk4rQm50QW5BenpnL2ZrYU8zYU5nTDEvNUhKVHZaMFF6dU5SUm50YlBLRS9sWjBSS2E0cERsL0tNRGwwdU4xUDVHUXM1ZFlsYXJReE94bWFtUjZPVzVYUSt4aW9ldlV6clgwUnd0U1A0RjcwSjFiQTR3Yjg0YzIyTlNQc1NWQVA2ZVlabkw5RzgzZTJJaExCRkNtY3ZuYTl3OXJJV3ZUemg3R1VVZDNEMkVzNWVGdXZWaDdPWGxZRVI0T3dsbkwwRUNNSERSTlVoaE5QL2VUcCsvSEQ4MFcvSFQvNEVRSUpOVUEwZ0FVNWdobGlBRTVqemRnSVRzZTVmcW42QUVldU42SWtqZ0VZZng3a0NJTDdvZkZvaUVGL2tKNEQ0SW9ndnFvRnhNSy9Hd2ZkZnZRMGhSajZDYWxnR0VHSUVJVWJWRERFS3FmOXplUUdMMGxCajFQOEd5emc0cHhld3hFRjRQRTJESzFqQWFGa2tvd1d1WUFHakJZeVdVbzJXNTA4ZWZmL1YrOTg5ZVBqODhmdjREekJkYkFJd1hlYkhkQ24vRHBUeU9hakE2WWhtNGFjajVHbFBSeEJqWklyVEVZcWdaajhkNGEyNzBOTVJEYlgwd3hHeUttVTRIT0gwVUxyREVaSTA5MmNqeExSbkk0cTRlNldoTktRRnRRZVRUanl3N1VFNEhnSEhJendFVlZYWEdONDN2bHJuNjNRRTY0NjNLcCtPRUJ0eHB5TVV4RWhkeE5NUlZoVkRvdytuSjd6c3dPa0pPRDBCcHlmbTBQMFBweWNxZ3pmQTZRazRQUUZZZzRlSnFtTU40MjgvUFh2bnM5UFBuNTMrK1FNQUdteUNhZ0FOY0hvaXhBS2NucWo2Nllrd0JrRzJ1Um5kME5UZTZkeStnTVUrM3N2cTExOWFKKzU4eXprcnRPcWtFZXREWXpScW14ZUVpK2lpVUJmRkYxNklSU1prcFZsdk9BWHZUVjJ3ZzFnUUwwUXN0NmhWYjYvZDhQMjJEYUw2YlhReDlHMFBSVlZudGFMVmltL0QxTlZsdnpOS1ZGTmRHaVVMZGJtUWU2TVVPUU0wSXF2TmVqUEx6VkZOSmQzdDlFSWRWUThnd1RNL0dTRHhaa0RNREZNQ0pCSnFOdFI1QTBnaVpETGNIMlUzREFBU3Q0UkZCVWlvNUM5QmwrT29sMjR5czBkbmJDeG1TbmlHb1g2SmhhdGZTRXhXYVB4YWtrQzBKRVZPMEw4VXVWVlhFeFN3VkVXN0wvYzB4SlQ2b29STFJaRnFuY1d0aUZMcWl1eENzNy96WTk5anlhbE1MVXVxMDd1NVg4TXBwRmFtRkVtb043Tm9VNnFZUXBWYUZwdTBscW9wVTJ6ZHlKbGUzTm9YS0ZQK25nWmxDcFFwVHdtTHFreUpqR3NkK2FxZHppdVZXSzI5eGN5ck1oVThDaWloZWJ3SkJNbHhRUyt5SEI0ZnVBZkViZHU1eGRUaFNKMmZBTzRCZ1h0QWFteDFMcklaQUhOWEJ1WStlKy9aNlRzZmozLzE1Zmp0WjZlZlB3T2syeWFvQnRJTlIrcmdOcEJxSHFrTG1RQ0ZYZ2JZYk1aWkFCSkRtODRoN0wwaHhsc0FzcHpxTXBBNXZnb2tzYVdVbEQ4QUhDNENvV1JndFpSdnRkaE83elQzZ0tBQ2pCYXVGZVptNFpNb2JwYUF6SnJpRmhBd1dNQmdLZGxnMlpYQVJyRUp6ckdOd2l1Mml6TlJVbkhBc1djVWZlbEg2UnlVYnFHd3J2ekl6VUpoSGIzTndVSlJSSWJsTS9GYkpqeGJKcVhCS09iYVFvbS9yQkN1S21RUmdZVXlGeFpLSXpXc1VvaUZraWhMZkZteVd5alNOS0FLV0NoZ29aUnZvWWhnb2RnRTU5aEM0UlhieFZrb3FUZ28zejRvbjRPeUxSUzUwREFxMXNYbmVWeW9McXZ4aDhHYVlyNTM0c0cxNm1DcmdLM2lKRlRNVmxFcmNhczZoMFR4WlpybVhuVkpDc1J4d2MzcVlMT0VtTWpIWnZFM1JXUTNSZlEzWlZvRFNFeHZBSFcrZS9Cd0Y0RVJaQk9jWnlPSWN6OG8wQWhLdzBINU42T1h6MEg1ZDdPVGUraXFmamU3M0p6dWJuWlJ6bjQzdTJWUnplUjJkbFZPZFhEV0NXblAvWUoyTmYwZEpMaVRWQ1hEc1ZsSlRYTnNWcWlqTk1ab2xhNGc4ZDdSTGlNNE5RdW5adjBKMVRCazRkVHN6SlUyTmNZQ21lODcyaG02QnVzUnk0cnBHa2llOGgwWVJoaTdvMHNFSTBpeXYrUFNTS01wRlBXT1MybzF3ZW5idEsrNHpQY2JMb0xDclIrUVRnU2xBSlFDVUFyT3QxTFFZTjlXa1Z6ckhDb0ZTdkUzZ3psWG5XWldDaFFsVXdIQnExWXpQZzRuek1iOUlLVFJLV1N4Q0tYQzZhaFVWM2FwclhvVzEwT0JONHBVNmJvdXIrTkJZbW9pb0dQNGV4cDBETkF4UENVc3FvN0JjY3ArVG5XTVlLU1hVbWlrVjVPeEYzamVsV0c0QXpnanZlTE9vcWdvL2l5S25PWTZ5b0NCdlRnUlhza05nL2d1aU85SzNwM0tPaTJQMHNaM05ScEZuSlpQa2lXK0xId0x6ODBTa0ZuWlg3R1NJSzRMNHJvV0thNXJWLzd1d2NNT3hIWFpCT2M0cm90M0h5ancrSDBhRGpnMm9hS2Z3aXFkZy9ManVwVFp4SFhGT0UyWk5zb0VKMVd6dTBSSnlUTnhpVGJVS3VDc0dSNkZjbm9vTGRLYTZteFFpVmdyMjcrcFFHQVYrRGNEQ2RXd0lNRy9PWE90aVhFQ2s2L1dJdjJiK2J3STRQRmRXbnU5WE9pTEFLMndNZVhaOVZTQmtjemw0cFJhRWFtVy94a3hEc2w2TnF0V210QmhTVW56ZHVGYytUaVRXeFoyY3JMNFFVdjJ6cEhNVDJMWFQ5amp1cUdVeFk1a3NTTnhzRU1tYUpKNWtuTm55VXZPbnBoblo1R2xGR2U0NU8ydWxpUkJuVHVIZFVyVnBnQ0hOYjlxSXlIeTN4enJMV1c5YnNHeG9ta08vemFVdisrYmEvRzZXVGhsakpzbnNKdGxkMzRyQ0x6ZjRQMU84bjZENDNmT1RCaHVNVmpnMnhDcFdPQVJ3Z1Y3WGl2QVF0azNHeEU1VzV3NUtERmVjY2poN2xVa3lyRWVUWW5sYlBac29HSXI1YjFHOEVKY21BaWlSeFpIaDhicnRBbzNtWEtzUzErbTdIZVppazRjT054bUNqcDBVVHEwTzE0UmFUUTkrMjJtT3hEdllST2NZN1dmVjNJWHAvV240cUQ4cTBUTDUyRFdLcjgzMElQMTBvSTN3aU5MYUFkcU11NHZuWVIyTUpWeEo3UURJVVplSjNRam1ETjdhSVlWSm5CMXIzM0JFNTV4MFJOOXdRZ2I4TVpxUkpzcFl0TXFtMW9BUDhhL2ZyTFdXZHRCRnp4bFgvVFVHUmU5Z1pUMGwrbEk5aFVHS1dNMzBweG5TeE81TVMwWVpnek1vZEVMbzJIV2QwZjVmYzFzR3lNWEVtT3RwZHVUYUE4K0JXK1ZxNm1VY3VQK3dGTzh3M0xkNXFvZWp2cHhjbmtDVmtLNXd1RS9WanN1NjBmYXZhNXhRdFV6UlBYR2F6dWRpQ2FrSVY3WEJsZDZKM0diNnRxSjZXNktFU1FiM1pGMnArZnN2S1JoMTdadVhiaTJ1N25kN3V4ZHNIditoWXZrb003RnFPaWNGYnN2ZU1iY2hSMGp4NXpyTFlRTWd5MHh4dzFsR20yMHdLT05jaHh0RjlXTkhHMzdwRFZkMnNzV0ExTCtDOTJ1SlRDS1VxYXhseFo0N0tYMFkrOStDMEhTb1EzM1FEc21WdWV0b0xHRjlXYy9lWlRIck5XVWhkQmNxcnJQREdMekZzSS94OTZ4K1AxenlCUG0ydG04M1huNTJrYm5xcnZCaHRlYVc0TEhZU2NFeXJpNmVlM0sxUTVQSWE2eXUreG91OHYwRTQ5SHoxTnBXRldLcWZPS1IvMk1Mb0dodDdzbGVMMTkwN2o2NEJMd1BGeDl0Y3V2T0YvdTBuK0w3dnhMNFVsekI5c0pxck9GQ0pxZEVFRjVDSkhZUXFZUUlsS01ERUJUU3hHVVJZcWdhYVFJQWlrQ1VxUmdLU0s1VWtTYW5SU1I4cEFpc1lWTUlVVnNNNDRwQTZTcHBZaVVSWW9rR2F1ZXZHRXBJb0VVQVNreUQ4RjhjQjdKbjhSekhxbXdKd3B6d0pOQ0o0cGFoWjRvVWhsMisyUXZFUlVHZ01RVlJLYWkyRXVUMUNRUXBaa21oRXh0THV6VGVEeE55LzFVVVdMblQvaWJ5YWtpTlhuQjV0MWJLWTRWcGVndHNwNW1lYXhJQ1FGNFlaZHNwQXZTcDBKRWJPV3JLNVB5cXVMVkxUOFNFbzRsRlg0c2lVTWswQnordlN6L29FcXV4ZTltNFJWU2JxYkFqcGpaejJyVkNaNVdDS3FzNkxWY0dTSTB4Kzk5aXo5OC8rMWIyU00xdlJ5NEY0TkZOWVZKek05dTUvKysrY1BwN3o0NCsrdnJaMy85OWZqci96ajkvRW5PalBQenNvTjVHZi8rMC9HSG41Zkd3aTVoNGIydmNVZVV4c0xMaEFVeUVNOGcxdGNtT01leHZ0d3FSWUZIL0ZLeHdLUFFGQnhzV3dFV1p1R2ZzVytSWWQwc1U5c2FHbjFLVExaSDhtd2svbzAzVUJLVWdheGZsZ1pNZG1DWGpoamhoa1ZGREdEREpsbEpWMEVyc253eGEva056Z1lvdVZSUVFBT2FuQTFRYzZrZ3VnRlpPMGdVT0J2UXlxV0M2QVprN1NDSDVhUUdpRm1IMkY5QmRBTXlkeERuSWhhbFhDcUliRUQyRHVKY3hHTG1PY3EzaUxOM1VJdXpBWm5uYUl1dkFWazdDSEZPSVpTMWh4RG5GTXJjQUU0eGlyS09BT0lUbzVuWGdNUXA1VHhDUXBtVUw3eUlYaFRxUkZTbXJDaW1wencxMmZ2L3hER2ZYSXZJMVJ3VTFSeUJORWVSMDFiRXQvMzRhcEp3VFlpbjQ4aHI1encxeVZsMUpYOEYrZThUNUFuVklqVUJoWE1vcEh3cTRKcFU2Y3JuSEdFbFlZUnBHTHVqZjYrdXRMVkRvcGovUDFCTEF3UVVBQUFBQ0FEeGdtcGNKUERiK0RvQUFBQTZBQUFBRGdBQUFISmxiSE12WDNKbGJITXVlRzFzczdHdnlNMVJLRXN0S3M3TXo3TlZNdFF6VUZKSXpVdk9UOG5NUzdkVktpMUowN1ZRc3JmajViSUpTczFKTEFHcUtjN0lMQ2pXQjRvQUFGQkxBd1FVQUFBQUNBRHhnbXBjSlBEYitEb0FBQUE2QUFBQUV3QUFBSEpsYkhNdmNHRm5aVEZmY21Wc2N5NTRiV3l6c2EvSXpWRW9TeTBxenN6UHMxVXkxRE5RVWtqTlM4NVB5Y3hMdDFVcUxVblR0VkN5dCtQbHNnbEt6VWtzQWFvcHpzZ3NLTllIaWdBQVVFc0RCQlFBQUFBSUFQR0NhbHlhSDNUWHNRTUFBR01mQUFBSkFBQUFkR2hsYldVdWVHMXM3Vm5OYnROQUVMNGo4UTZyNWR3bWptTTdsbUtxdGpRQ3FVR2xpUW9jamIxT3JEcnJ5SEZweTRrTEQ0Q0Vlb0FiNHNDRndvRWJncmNwSlcvQi90bU9rNDBWVUZyYTR0MkxQZjVtZHp6ZnpLd3phYTRkRFFMd0hFVWpQOFFXVkZhckVDRHNoSzZQZXhZOGlMMlZCbHk3ZS90V3M5dEhBelFpVjRBTWZnY2UyZ05rd2ZITHQrZHZQa0x3NEo0RlZSMEtTQWJiRElNd0V0aWZKMS9HNzA4NHRxRkMwT25iYm5ob3dUczFwY3JHcERwYmdtbDNITGJmdXVNZ0hOY0ozQ1BEUUlZSmhhekJaY2gwRlNPUjFaaXNyaHV1aHhLWndXU0dhU3FlbDhnMHNaN2phR29pMDVtczRUclZES2Z5OVJSTmMvUkVwbkFaY2cxSGc1VkZiYy9iMUpEWXhHMnZWbFhUZFBPMjUrM1VKRGJwRXYrb2szYm1iUGM4dmFHck9kdWJsWXkzR1RhM2lKZWRXTkNKMFNGZ1VrVkdQMU1pREE5Uks0d0dkZ3dlSGZqT2Z0c2U3VnR3UlpsR01uVExEd0lCN2g0UHlRNmRNUEJkR1RSek1NaXNKUUVNd1o1NEx6cG1PT0h2bDIwamU3enRZelQzYVlwNGpQeGVQNmE3S2FzNkdZWjByeFMrYVE4cHRoWFljVEZ3eDQ1akZHSG1UMlUrZEFQMWZMd2VSZUVoUTVLMDdmZ3ZpTVBxODFXMnNQdG5Dc3dSeEZXTGNNRVVadm5RRWo1ME5ubkdrN1Uwc3Y4dThzZ2prNDM1UmxRU0s2Uk1GbkxWNU1GYXpDVXZRYUFkVXJPcWN3S21ZS0ZtWlNMRS8zSDBwOTVHYkU2NUdIUjlISk82Tys4bGw1d1ZaVDRVTVZTR2ZZcStVV0d2bG1HL1pJYllrbVU2RktmRDVYLzBsSEZlRk9kcWpjNzBjOGNzUDNjdXN1NjdpRTU1VmRFdnArN1hWbFU2eXF3bzRra3o2RXl6d2lpejRpS3pvbTdRbVhxN3NZaTN5MlBpVWhQaWJ5aGlhMTdyaEdpRk9KN3VMazE1aTd0SE1lbVU3MzZkY0VYZlpVdmNseVN2eExPaW5jZkprblJuTVNieXRFUEx1N25ucDUvT1Bud0ZvcTJuMVNWdFdhSEcyNXMzcUZRVUhPRzVVbEZmUUdFSnBhSUc4NXlMK2tCYjVlSURwK0FkcjM2Vm1COUhhUmRhQUdZaXQ0dU9rajcwMlkvVFg5OC9qOSs5R245N0xUclJ4RHYyczA0Y0RubFZwV0J1QWo5OGlXaHZQZkI3MklLYkNKTjRrZi94SUh3di9wdVliZkQzN2NoMmlEWm8yUU0vT0xaZzIzZWljQlI2TVhocTMwYytNZVlKMjB5d0tXcEJFanFLWk0wZHNtUXZzb2Q5MEJsU2hpaUtMUEFBdXkwL0dzVnNOWEt6UzlNbXVkbEducmptdTRrM216M0VtbTA3SW1FL0FrS2RCREhYSlJjYllSeUhBM2JacFc2VGFOUHl3b25hSGttREpnTUFrcWc5Wmd5VmNacG1uTVBnaVNjVytZRTdod2dlTDlubXBXbWxhVmZLTkdWUjA2Uy9DZjVYcjEwSjB5WWY1YXVlT0tIbzBTS2tRa0x1eEJYOXcvdzNVRXNEQkJRQUFBQUlBUEdDYWx5amxjZ3hweTRBQUg4eUFBQU9BQUFBZEdoMWJXSnVZV2xzTG1wd1pXZmxlbmxVRTluYlpoU1JSVEhzQ0NoUkVSRVVJZ3FpRVpKV0d4Qm9pT3dJUWxwcFdRVWFBWWtTazFZMjJidGw2MFlsclN3aElFYWFJTEpHQ0V1cmpaRmRncEpVMHNvYXFYSUpKZGttUFRQZk44djV6VGx6NXZ2K204cTVPU2QxYjI3VmMrLzdQdS96VktKNHJlQWp0RDFjM1YwUjY5YXRRM3l2ZkNFVU00aVQvM3o2RHgzL1RQSWZuV09kNGlsQ1J4MHhqaWhYV2JjTHNWNW5uWXJPT2tVL0FvVkFyRlA5YndNUS8vMVl0MTVsZytwR05YVU56VTNLQWEzYWlQWHJWRlRXYjFCUlZkMndRZGw3VGRtUDJLQ2pxcnZUN3ZoR1BaOXphcnVTOUE5ZS8rV2V1dm1KNWw0RDN4Rnc5Nkh6bDI1b2FCb2FiVFUyc2RoanVkZksydDdoc09PUm81aVQzN3E0dXAxeTkvRHpEd2dNQ2o0VEV2SERoY2lvNkpqWTVKVFV5Mm5FSzFjek1yT3ljMjdtNXQwcUtTMHJyL2oxdDhyNzFUVzFkYlI2ZXNNZkxjeld4MjFQMmp2NjJQMERnME4vUG5zK09qWStNVG4xZXBvTENJUi92M3MvTjcrd0NIMzg5UG1MZUJYK3V2WVByblVJbFgrSC9pOXg2U2h4cmQrd1FXV0Qyais0MXExUCsyZUF6Z2JWblhZYmRZLzdxSjFMMHR0MThMcTYvb2xmN2pYM2FwZ2Y4Z1VOemw4YTBUVGNiUTlZUVA5QSs2L0kvdStBM2ZoL1F2YnZ3UDRITGk1aXM4bzY1ZWFwNkNCd0NMbDg3LzA4eEQ5dDM3SGdzZXptbXNWSzk1N3hsTjZHbUNsdTBqZ3ovZkdqQ1NhVUhtL1QzRE82OGt2WWcxWlR2Q09udWRNL3NxMjl5T3BHOHpkSVl5aDlJS2hLRmZhQ1RnNnVYZnRRVXNlRGp3RzhRbEpBUlAzU2kzdVBjODVkQVZhMFlxOTJ0MzVnOWxqQzE4SGJiSzhhN25Ca3llSStBU3FQcW1WL0tHb2JPeEMrenA5UlNSSTRPd29VaU9JT1JyRmNmVWIrRjlrTTlrc1NvZ3NvZXRoajBuT3Y1TnBFVDNlNFZuSnFTWUhRZE5wUVFkNE1hOVNUWDRWd2JwTGloWVJOcEowdzlPQkZYQ05NRU50TmZyN2RqWE1IWFRzVkNJMDkzVkN4WUg5UVNOM3RPaUxQYnlMbC9TUE9WbHIyTzc4QStrU0IwUHFYV2lQODlQREVwVWFyTWYvUnVybzNYNFhQUzJMZFg4ZFdWKytkOEI3TkJQYTJHZUN1dUYrU0ZMcDd6cloxQ01hbTY0cnpSUW9FLzg0c0NrUU9ybVFTV243Z2dUN0Y4UDYwM0M1UFNJOU5NS1RFTENXaTRBd3hOT213MFV0RkhBZFZMRXY0OFc2QWJRdU4wbWNVWCtmT1g5bktrNCt1aFRPdXhOWE9UMkthMW9peGl6TUIwT1p5S1ByeFkrb0RCYUxGN1NrQmp1Umtycm4xMWNFajBLcFFzaEJTMUZ5UDYrZHhDWUs5Y0RVVUVTaWY3RTUvc3B4S01YU3JKcEpuaGQ0ai9Ham1XN05KM3FsVzdUT2gxVytkMzk5emVDZWJFdEx5VWxGY0RtQXBNcEljSXAyQ3N3Um8ySEkxdXhVOS9RbFlHV0psbkNhNkNSMmxCaVdDVW9JMmRtK3NBdEdhVmtEZXRMVG16Q2pvQ2hVZ1ljdWlyRFI2YVBRcVM5UCtObDZOYUNHMVNNTjIwczhTejRzNVB0a1V6ZGN6c2JnZnBmb1RjanVwTzh5QmhIejBVRGN1R0Q0bTVDR2tkbkFRZEhWeWhVOFJSUWx4aFZqdDhhNmRFZytZSVo0Rkkwc1NJeHJoSWZHUHNxcFdxaVpjMG12Q3lYTHlzOG0ramN4T2xSM2tmQWNXUHcxdGRMNGN5bEI1RXpQWDdqUHd3T2Jxb3lvejRwbUdTMDJZclhjTWdzZFBGMjBwTytyMmV1Sk8zZSsxbVoxMXRjOFhqejUvMlhURzArcmwzZGhIeVoyTmhqVFRzVHNtTWVkTEwreHp0WmEyUW5iZTZYWFZEYlZlSno5WDVYMWtaYlJodmt4bE9kQ2QzTklFcGk4K3czUm9rTXROMUt0N1dKa1hmWmhxNG5RdERrajM5R21TMnNJbmlTVG5DT0JKeW0yMGhwT1o0V1JLRHRqYVU3U21Ob0Fxck5RWjY3R0RseWIyL2ZUcTMzTG5YN1dQaWNXVk9XTDhVMFloaGlHbWl0SGlxRDdDVFc2T21DTmVrZTVTSUtaeDUwRnlTN0tNcGd4U3ROUUdkWjBIRnNreW5rdUNsTjIyakV6VU5EWm9Sb0VBb3FVNENVNXFVWW5Qa28vak5tTVBFVC9pcDQ4SkhKODJtUVBGK1YzeEVnenBhZ2Y4REowaHR5R2Rnb0w2VmpZUlg1eUVqSlk3SmE1eVR0cGFDa1ZidWgza0NEODBWUzkycEE0TnBhTU1RNDRSOS9VL3Z0cUYzZDQ1R2pseGtlZVRjeWJuTFJZYm8wQndlZXQ3N0JjSTA5UVpBcGVpUVRaWG5uck5lMDBBU3lseDE5cDYxNGJieEZGU2N3TFkySE5FZ2VoekVTc1Fqc3NzWlhjdEdhMUF4RjFoZmE5QVpJVkJLaUlVbUxzNDZ5anhscitxc29QWDNaTnVHTzFCRVZXZW1oMkZhSU1yZVk1VXpSVFB4RHlXWVNyK09rNnJ5MG90R3hmRktsUWdtTGpjcmlBaDJteWVxa2JldjhnOVhGRkhkT1E3M3Z3c2lRdkZaOXZlV2pLcCs3VWpnNWp1a2IzMmtVT3lwMmwyZ2Y1VUcrc1B0RGE2aVgrQTZnbmE1UGFRRnJxSC9VS0QyY2pMNmtiOExhdG4zalo3Nm56bW1Mb2xwVFJWVmZWMjc0QnRBdnFnam9lM2IrbFgvL1AzMzl6MmVEazNNR3NIRVVUb0pNa0pLUlkrSm1EQmUzaFN2Wkorbks1OEw1RWdhQk9kckNZMitzZ2VrU2lOTVpOcnJHWG9nWnhEM2VSUXJCK0hlVityUUd6b2lTZWpjK1BpSVI3dzRUWmZsREQyM2JodEJUdmNiT3JpaDY3ajk0ZHFveXZKakMvRnkxL0FLWEVCaWhrMVZNemRKODRFS2IzNEhFZXFMbG1UUEl4VDdVTHppek1JeHFSVVpSZ2VTN3dlanBFMWtKSWI0RVlDUkZDdVNaUXlTZ1JobUd0WENkeURRNmZHcE00MElpR2thQktuK1hZeENQUHBjT09XdXhGZloyanlNZDUyc2gxNWxLcUZpeUhrVk8xVUlHNGNoMWxlOEQ0UUphem8yMDdvcTBJcVR6R0lRd01McVZFU055SkhuQVJuUkFtR1R3NTBvSmIxN00yMjUzc1dpK1AvYUJ0bExqR1E0UU1DVTV4dXJPTkliSGxjN1lrS0hGbitKL1d4VVM0bG1vTWkrY0JYQkl6TlpJNjR3a3dGUGdmaWxHU2QwNVVxT1VnZXE4d1JlWUxWZzNJa3pCT3NjRGYxbXFRWXpqcU9rMVdsR2lWNENKV1R5cHVlNlo4TEhIdVFndGVPdVJTek5wdmpaRExmSlg4MTlrQm16TmJaWm10ckR6NHhTYUg3L3Q2TVJoYUlQOTN6OE9zOVViamdSRGIvQlQvOVBYMUFZcHQ0d2VUSGZQOTdCdHZhaFpnODM4YkFaRDl4MmgyVDFYY21FLzRXNkF1R05WT1QxcTViUEVRQnQ3em9adThrRHJnY0FyQ2FaOG8yc3hzaEpkT1FYQlZ4bzJkVDFIRTRQZ0pzZU03dTkxR3VtRkVFbEpqeDBNbUI5anJtVmV6YUZIdEYvMkV6SDZkRGNyODFHN3BTZ04wQnZxZEJjWDZzQ1FlVXlkdllJTW8zUVJXazNWRDNVRkhYc2FaRng3VzZERHB2Z2FKTHRpUDZZZGFCM09QeHRiQ1JFRm5jdGE0NjVDMGJvT1FTREM0R0JUUTNnNVVMSWN0VFZidEhIU1RGT2pFZEw0aU5BS3RYZ1RDb2F3Y3JlczJxdzQ4KzhYSFJSL3pyUm1RTVV2TERkOEVCZGNGbllRSS9hQkJWeE8xcFRIelFtbjBkdklYTWlVdmEvcUhFb0t6L011WWxBOW9uTUdLenRrVGp1T1VsdkxDWU5tNDV3NHg2S2NWVFptT0x2N2tpdGJzSFo0NDFlb2dzTHBmTlhIWVBuN29VNzdydmludDl6Y3dwbTg2RnJjL2pIOS95eVR6Nzk4dzFmYi9FVnlQd1Z5VWZ4WkUwNGJGYVNpUWxuaElqdFlBTGxhY2lLT2NvZlQ2eUpqRlBiZWt3YjVvS0ZsTDZIc0pDSlhjWnpVaDVmeWdReXU0eW1DVnJlaS9Ma0J1azlTT1psRDdMUmlKU0ZBYW1DNmI2MHluVEVZT29qVjEySUhXd1o0K01TajZ5aU5OdnhlWGdqS1hKQWtKV2p5YkV5Wkw2U1BhVFIxRXRSYzNBZ3BRQUVESlFXeDIwVEQ0KzYzSGlFb3VPSFN2T01xcTgzQlFEU042dVg3UlJYN1I3T3owdkh6RnpHTzl5QnoyRlV4bGRVYUNLWU9OZHZsY1VFRFdZdUJtdUhpQWZoRkJQOXhGeWZvRlB3WjVDZVFWRmdOSjFUNVFFazJ3aExVYUd3MTBVd01yOFlyVzlLeDU4RWRMeVNvR0lMczVzZWtpa0FiWGlETWszaTd5V1lTb1hyd1JZMEtNeVQybDVud3NPQVNzL2tYY1NwNFNNQVN1NUxqSHloWUF3MEIzRVo3QXBXbXlBTS8xSm1DalNZQ2l2UzlCMndpa3BkN0lwb2s1WkRmbHVOKzFuMU8wVmlJMUxDMWNlTEhLRFpsTHp0OXVnVTIrMnNlbVlJcnNza3p6L1pwMUd2TTdlRTVuZ3gzdStSMzZkdkRQbmJWY0RmbUF3UytoYmd0L1NYV29HMEMxUkZyWlhFN1pvdEV0Y2puU1E4cXphYk1uaC9pWHgwOEZTWUZTNlRvakxRcGs0SVNVWW9wdGNRMFhKU3hWZ1RpN1psbVFMMzRidUR3cDdxVXpiUmtDQlVNZG1TQnlrcDJCald0Z01uQmQyU0s3aFJ5TzAzWHpRRlNkeGhUMzdlMVR6dHV2NS92RzRveGxLYUxHbDM0dWQ1SjZQbzdySi82SThlb00xZzc5Q0o0WFV3Y1RwUTJJTDJEbStYcnBOZGdlckxkMEZ4NEdhWDhubzZKNU5pVGVvWm1SSCthakphcUZONm9vQitTOWNTeWw1Q3d2Q0RWRE1TQmJRM2NmNUFGV0Q5NnMwRFhUclEybXZPSjIwekxXbmFHMVhFeHBUNGxsbXBHOWxOS3lPZkFTN0ZXNVVJZ2llK0IwT0JmT0ZhY3Rpa3NGOVN1LzNEbmZKOGVuQnNocHBzZ1FMejNsM21lMFpVOFpjV0dWNEUrMlp4Tlk1dXhBb0FZWTlsdnAvWHV6NDhwZlI0OExmdDliS0RHVUZyUGpHRmU3dElZSmhsMnI5QXJVbGZrWjZHRTRIb3dTUlpjcWRuWFlUMDIrTG1iQzdZRmhOaUN5Z1JLUFhEZFdndHVQQmsveWtVYWNJQUtWRGZpbTN4R3RIWCtiYWRrZHRMMis3OTJmSFgyazhya2s4dGRhM2ZJKytYZEhXN3d6c0gzMk95TCs3bWREV2hOKzBQOUFrcGZSM0NNNjE5dXZ2ME1WUDQ2Nm1lZTNoRHBJYW1uRHgxajJqcWY2QWlINEpVelpwMW5TRVUrbi8rN3VBYy9TcFRJS2o0eDlacDlDWGRkMlYwaTlvT1U1eUFJN3lZY0tzZTZSdHN0dWZWL0txMU9CYWlNVU9ONER6UVkzV0lQa1E2SmFGTlNkS2dMU2Zlcll1aGUrKzdWc1JXRFVIUlBYZE5lb2phSkR3SVBuRG9oREk2ZVhva2pBdGNCalkyUmV1Q3lMN0NObFYyMEhhdk5hVmlyN0E1c1ROY1dwNDhIQSsrSEVkNUNqRVBMc1hqVUhmWkpyYWVDaTNFZ1pTY2R2ZW5DRlNuNkswV2swTDR3UUo5MjE3ek9IOGtGWlFUZ040T3NTTWdaQXFGb0JHU2YzQng3UnFxUmVVVmpkVndEemJlT3FUeCtVUTJ5dWhsWUVoeVo3bFRxTnZQemEyL1hCeE5Ia3U1cWpraU84Lzc5YkpqYjc2N1czaUgrbmhUR0RUeDhIVWhtY1cxaVVYNytmdDNmb3ZTZkJzWW4vaXRubldabVg0clFpQ2NuZmZRRytST29HSmVVN0pETS9VaHpDK1R6d1MzYU03Z202VitYb1c2OEtyL1ZnZDBESG5lOC90Mk11M3d5QmF2cE1kNEx6ckFEZm5wdlRrL1hueGFtVloyNXdDSWNxQW91U2FTY292TnNzeVdKSDQ3S3QxOUZSaEU3b3YzSGFDRXVzVjFhY0JtS0tRaXp4dGFUSndwc2N5NUN6cG9LekdubWNRUWxRV0ZCMXd6MjBJM1c5NG11alh6OU5kY1VKRDFjQWVLc0RJTVJrcVpoWVhZdGZEWnc2VzNUSGFYOHM1MGdkNWpMeG5kUi9tK3R4bzY3YTgzMkhsdXVnTm5hWGIzMjRwdVZUZ0h6RzZXdmFXbTVkWFdqT2FIeldEUXprZ2w2blhDU2FwQkJGdW1iRE15V1RwdENKRlZCRVBkbEVnL2lBUDhHV1JjeEs4WEpjQWgrQlVXTUIyaVZxWm1LSHNEU09vNC80Z01kcVVnbXdFcG9ncHNLYzlWVTFHbHh1UXpzSFpyRDhxbEU1cW5ycUpGS2NzMWROTHd0YVZnU1hXQmhJQnpoY1VaNGZyUUVNNVhWNFNHL2tJcjJXUVZvdEN3VzVBOFpBSTd6bCtzUmIrRkNWb3BEajJZdmMwVHpaSmNWZXEzOFNXRjlKZEhwejhtZytOQ1l5a1J1eCtsTHJUY2RvOFlRTXJFcW5XSzFEcXpzbXhJVXhkSmxYYm5wcUgweVNaQzVGSTB2Ym1NVnU1c2RKWmFPQ2lsVXdxdDRZY0IzaVo1VlFEck1VU1YxbHdxVGxtTzVRTWthdEFSSzdraHJqMTRSRndrY1JYZGplQkVvUHM3dGtobjFUcVF2VDEvWlFMK0EzUnVHWnhaektVTFA0WnVvUGI5SUFGRUVueGNDTElBaEt6bk1MdWs1OTN0SWtjQlVTbklDRStjNVE4VHRGeGdSNkRoQUZrZHNjMmpHT3ZqT0k1VHQ0aHRZVCtXdVBrcGlEWHgvSTBuSktnMEpaTkdzL3ZpNU9xZlgyemdyMnpZdmFlOEc4NC9hQlpoMzdVNDY2RHQ3My9oUHNnMDlmUCs4NU1aMUhBN3Z2MHczTm01TmhmN2ppVVdZMDB1aC8zbnZxUjd1dFhRSGZsL0hZaWZucVFJMWpSa1I2QUxHZ2lKQitkc2NhUjZvekpOWXpycFY1d0k1OXdVd25EdFVJd0JIK2xwTkZvMGtPb1BMazYwY1FMSHphVndPS1h2aENvUWk5L3F5ZVBoaHVWQURKUnoyLzFzdnp2SGtQNWg5dCt4eHRTWXg3S0JpUVdaSTRDWVlnMUl5WENBSlF2Y094RFRiZnh0eFFLZVJtb0Zrb3ZheVBKVWxhcHpORUtBU0g3b2psc0tlUnhHNGU0Sy9tdDhYNWhzcnU0eUU0dnM1WCtLUUl6dnZ5M3VOOFh3cEdUaG1qWTVlRVhUNDYyKzU0bVEyb0UzQTUxeWpXL290Z3JNK2I4bFFHazZSTHFrZGx2Z3NUc25rMnlCdFlQL2pBQjRIQ1R4U0w0bC9vNHFuYlBMdW0zc2pKcGdHQkpnK1FEU3VRYU5nenVmUGhPRUZzTm51enJzTWNhdDc5aS9BRHBRUDB0WnhaOXNOUU5qcmdPVkF0SzVBQjVDbGI3cWJrb3pSNDBhUTk4QVJUMms3VmdCNG1UOUNyNG5nRVdDNk1Lc2ZhdzV3QVBpWXZ1VGhmeWNwd09KREN3TzhndmxiUkl5ZTA2SkFqYkkrR3IzYlJOZFRha3FDK1cwNzZiWWxvRkJlYWZEdlA4N2c5UlFkd0xXMFplSC9BSTVjTncyOUp3L2xId1JDNE5vMWUrSlpnU0tmejFmTXhMQitjaW5kNCt2WVNDSFlLSnZaYmJhTlp4QnBvT2M3aW1BZjkzdGVHVldTbVBQalptMDRuUFM2MWQ3YTB4NHhiTW1JblV2VXphc040YjhvYm9rTG1jTGlQQkpxUTIwVkd1N2JsRUxWQnVwM2RuL0gxWkkvQnVUcHlkSTBnczV1bEszUUNHOFJYV1pwSVZuN2VGSnQyUDI3TFlRU2p1ZWRHdzRNalNYbVlCRmhMVUFNTUFuaE9VbXRsQmRhemxDVDVsWXlzKzA4d0V6UHBDdmVIbkRycm1Oa2xUWlBkc3BqekdwVmNBaXM2TGgxTC9DV1ZOdXJtSzBsOUpFWG02UTBPRlRWb3IrZGg5czhRV1FuN3Z5V0FtaExwUk14a0J1dDNzMGdOWCt5dk5hdmxJcmJWMzFIeVNWVDJjRVFoV1VRV0pTQUtSZGp5Ykt3d0RKNnBhNjk0U00xeHVmRFJOejNmL0VtK3lxV0k4WlQ2aGFjWEc4dkd0ajF6OUt0UEdLK2NqM1FXUkh3MmJMQm9ybkc5TnNLSU1NT1docktpTnRHTWt1MWpmUDlJd0liRzJYZzc2OTk5VS9lS1JhckQzOEd6NTNUT3VwYW1yRFE2cVYreUxidVR0L2YyNGkvN3BkZjliVS92NENTREFWcHhDVmx4eHRvbGpiN2ViWE5OSGdpYS9aSmtvUlJmK0o4SVdCNi8wcDFYcmxTWWxTVDdEZ1U3eXMrWkUrOEJ0VXY4UmU5WUdLZW1Sak1ra3FQR0lZOG9hT003QVo1RXRpVmZaSHU0a3I3cUZvTXJBc3Z2RUV0K1JGTXlhb3poQU9VTkRHT215ckpxOGtiUWJOQktWU0d6bFUxV21VTnVnVmhxZjF5OGhaQ29RanhnaUw0bjlrbHl6YWtZY0thdnB3Y3liSFJpVlcwcVYya0p1UmNKQVo5b25XVkU4MkxVVnR5bmF6TEM5UEE2dDgyYnhWV3pIaVpqVE16eEpHWWVObnVrVWE4dnlRMCtCT2FKMGljNWJrb09zR0JkNTZqTkIvYXcwU0phRmkvNktaaWc5dHg1d05hWnFxOUlTNXdxS3MzaHQrRnlIemtLMzA2TWttM09vUEFkR0Rtb0Q2ZmlEczdPYzlEUStKd3ZUTGEyTXlyUjFidkdSbGJGaU9BVThYVllreTFRK29veXp1VjdrVmxoUG5BeHpVQ0l0Z0xDRi9KTFFRaDNrVFE4TmtQZEN3OVMreER6S3BxNmpNVTFTYjZwNEhoNjA3ZG0rQ1ptUGVVd1hjRGE0QUVmdEdibUhEUS9BNklHeFJUUEVsRk1Rd05KTzc1bFNiemgvN2FHNWJaTTdZUGNqYlJ0Mkl6SEdVM2QrUERpa3RQMGp0NlJXZmFJbGhYWlRYSGpFbGZpZS9qSjU3bFpKUVhmcFByL2JWYXBqcWJHRHpKZytQYnhkUUdtc2I4RHNIc1BnTXlmc0RiWG96MnVkMGpBRjVMNy9YUE5BK2lRSkkrMkFoeUVqVDltdjBndmdQbGNRZFZNcFZwMmwwWk5ZYXk4KzZ5Wk9qeFFFdW5sQjNqa0N5alJlZkV0MmgvRjUyRlNBenlEcmtQd21wTnNGMTNZSmhjUEZlWi9qTXNCeEx0NHkrLzNvK3hMMnBUQjJmYkNiNUtUOEpRR3AxT1hUYmNLd0xySWQzRmwzdkVhS2hPNGNpSlhieSs2Ujk1S092M3B3SHVUODFHTzZoMG9uY3Rnc0ZObHBucW91MzdGZ1IzdWF1Q0dNT09PaXpPYTd4NENoL256bkNHRnE4ZUExTW42emZBekZmRjhOV2Y3VlkzODhYckl2bXRKc2xnK21md014Qm5EYkNTUmZPQXVzQU9KWlE0a3pNK0w3WUJDYnFOZFBiWmtiU3VRYUNaRDV1R2owdHRtejVORTBpakZ6V0s4UHRhSExpeVoxK0FOdTVSUHlIMU8xSE83NkhjZm5tRlN3MzVwNnk4ZWJvZm5lOFR2MGVqKzZTV21TL2RLSlZoZVAwa2VmMkJORkZ2NE5pejdpMDhTMG9LcjdqZDZuQzk4WkQ3cTdKMTYrWTNMSnQ5RGpVczcrSzdVaWcxTWRwT1ozRllmRWVZZUw5NWRXRmRvdms1V3VDS1JKOVlOOFFNdmxRc21CSEZnQzRBeWx2bkFNRkNRZUhDRkZRRGx5elc3SWNFeWNZN1lSUE53cE9UWXZ0NEZSRXBjbDhpNWwxcm5FWGhYbjF3Y1R5Q1BralMxalhYcDF4QVNrTmh6RHBHd0xqc1VlVVhvWjJreElIT1VlcnBteXJDR2tyQ01GUVhNRENnVDNSUjl1QzNrWDhTSGhCcVdGMEV2TkNUZUhwb1k0eHVRM0tNTmRsT3ZVN1ZnSCtZZ0pvL0RMU2dGMTZ6OFNZVm9zNlZzMTRmVHpURWtvQ0p2Qlo2MkhEeUszRUNrRHJQVlNJMkVZTm4xNzFMZmdYeGprczNCaldYMlhWNzMwR3J3VGNnVFVjaW44bTJ2NERPVVVqR2tGUXNCWWJxOG1HY0dwQ29UcTkrT21MaVAyMUdLemc3TGJEcFNOcjJOOGlSRml6ZFpSNmFZTHdFM1dCZEdoUHZKbTBKbVJ1ZnZ4eE1VdjZUTmgxdGVjVS9hbEgyV2RVZ1kxYnViR25MZ0d2ZzRSZ0ZsYWhNVCtiUmpwR0p5c3RMdmxoVUxxdEtlNHFVVGNBdnNKa1Z0SUlSQjFpSU00WEZsMStBbHNEaDcyUWc5VWJZTFF5d29FZ3kwSU14djdkbXJaUmtSeUFhWXdiNEkraGk4ODdxa3B0MXg4OG5XVS9iMEJwaFJrbUlacTVkSENhMkplRWJjNUlDOGY0UzdlMlVZSHpJK00xVzU5WGlON01PWDB6cEVqZVJpcjhmSytSeTMrbkliTEdNMjZ0ZXFRTWZwcm1pcW04SHhTNnM2LzNsUzdyZjdZYXFKL0QxOHZ1NE9MeEUvenZGNTk1dW5Oa1ArYVhmZVBVelNWbnBmVnBIQnkwbnAyd2VZeGZBVkNEejdtM2daZnA0QVJudU5PR2taNVRwNlFVZWhJMTg1R2tqN3NCbEtmOHJZNDhMWVE4NCtERDF1VmJ1d1E0RjBJTGoxRmFXQ1JDejFxc0NPZndHQXFFR3F3NTZsSlc2bExMWkhBN29pNmlmN2NxYVVyQ1J2NzdIWHdSWERYU0FvOUlXck1Qci9ibXp1NWI2WVE3Vlg1OFVQY0pnMWF1dWZSaEljL3RPVTVWdm5PV3NaQXB2eTU1VldRMXQvakNEZEJmWjk2cVZ1VzVkYlNrUFlKOG03NWhObCtRczdoTmRzV0FhOUE3dENkcUJGQ3pCR1VVYTgzaWVUYmlaU3o0M05nME5NL2NnOW5OWkNzUnAzVVp6ZE5PWjBCNko4Sk9vc1NUSnJJVFhKd1VhNDM1WlJlSXg4aHJFL0ZxeENqd2pQNmVuWkRWWGVoWkVDMmtpbkZDZExyQmVWVDdNcTVtMDFkeDIyTGE1YW03THcyL3h5OXVscStsam55UW04bzRjV3VFcUhMcDdZL3Y5N2RNOTUrYmM0NzRGcWhsV1hjRXd3MW1EMGFNODJaOGNsZ01XOVVmSHVmZFhuT1lLWGQydHRUbURMZThNd3ZQdjJsWm1tRFo3bTA0VTZkNkUvdWFzaStsM0l6VWpqc0JWMmRDdTJHOGRCSlFGbXAwRnB4dW5CNmZ4b0Y2UlFITUV5NDh5WlNIVGNucmxsYkV0Q0U5OHYzbU54NUk3cXU0anNXRVIyUkYvdzNjVDJtK2JOSHZNTnpib3lITnQxd2FrRHo1MEtQNUdLaVAyM3ZTOTBnMzh6cXZZOHJ2NjgxRGh1Z1cxaTVNTWVZOXl3MUJtWmlUaVNWL3RCV1VKTHZYcWVzM0RVSGxDNE04VDgxbFdIeVBsanZORnpDbHlnM016VHVxbXRGYmR5alJSTzNmSHVXTHRHY3JVQm9kNkdGS1BXbHExamF2U1c1Tm9UTzZuSlZ6YTZ1anAwTXVlM2N2ekZZK0tSeWNuYktMOGZ2MVFlSE1GUGZGZnNuNkthVVljeU1QOHZMejYrdG1abmhNeTVzOGNJNnU2N3RJd283V1o3cTc2cU82WGM5T1dOck9HejVtMDM1Y2MwWHUzNVB2cHBuL3NHYUh0c3dudVgrS1Yza2NkZlIyN3FVTm14dC95WnN6aU9mNWxIckdVRFhtUENJYVQrNjF6THV1SmZyU0VIb1hOS2x1U1QzOFppQlM1Z2k3OHBML2wvOTM5Zit6ZnZQOUZlcXNvWWVQU2tCTGtZdE53bzVOeXFSZmF4dHhCYnhOWGlCQWlVb0VFOVpXM3Qyd2twUG1OR1ZCckQweVM4SVRNcXlxR0YrUmNqVGtOckJDZ1E5cGtKOGkzUzFCZnAyaytNTkoveTVwaGtpK1pOcis3akkxQzgvT0dlMkIwdnBVOTZVNWo0aFhycFRnZmg0V0hudFdyaFFnVkJuU2N0d1g3ZXlBT1FrcFJuM2R6WmxRTWtnUDFPbktYOFhVd2JHRklqNzF4UUlnMFN4QzdGQzVDTTVSUndUcDRGRFQrZEpTSENwRDZYcmxBeFJCZDQwY014elRFcUJMQWNKbWwxR3Y3c0J1R21lc0Zoa0ttRHBLVzI5MlRiWUdSSU8vZUVXcCtTQW42cDJqOW5mTmZLQ0x6eGN1anAwTS9XYTJlUUhUL1ZoMGZLeDAvSGUrUEtDNnVVa00rNlIzL3FxdGdOVlpnMEQ2VmZMckgyek1MZ2c4Y09hZDc3VS9XaUxJOHpLQ2pXZlFSMi8wam5mT3pHRGR5NWdialVzdXZnV0huSHg4TDNUY0tsK3dLWGR2YWFrL2V1TEtGQTRRTjM4ei9PM2JKeTZrNk1Dc1NGZFdWTGNpVkdDdEdLNW52UU16QUlJaHJDZitQbzRNMDdMa28xcWVkOENKZ0lKYmJUWnBVa1U2SkdQMUE2T2krU0o3NDJrOE5SREZyang3NnRJRHBaRnl4KytPQnVZamVFaE5ZYlVTamxmRE1sUlNkWFZROG8xVWlBdUlsLzd5VFVnR3ZFODZqb0ZnVlVsSVdFYmZ2d2hONWxTQVlDZnZKU3NUZUVlRzZ3NkFObVdLOW1RZFNIeHAwcmNqVDNRci9BSVlLT2FndFNFZDhFMlZQYnJod3luYjZEWmtJWExLQXZwSmxrSDJaRThRMFYxcVVpQzVDOW5kV1haMGd1QUFuR2QwTUlTcVlBY2YvRHVsTWhkY3BIb3NkcVBJUXhSVGVXYzhHUHRrR3R4Zy9RYjVlMzVFUjFQZDdlRFRHcUxQdVlTTVk2dFRDZ2JjWTJUVy9ydVZjekZ5Y09CcTZ4cmxONWpGSDUxSUt1dGFiVy9NUTZsUVRvMFpzOVNKZW9CUWYwRUpNd0cwUDI4ZktxT2s1V2dHeW1JNnNkeER3RVgxeTY4WXcwcUpVNmErRFNrbEtKU1BJRGVTaDRPUDVEaC8rZ0p1SVZlelZ2b2VKeERxWVZ2cEtXL0NFMzBidG9mZ05uNjU1RGFqZHF0NXg2VkRHQ09zQklEaTNRZjJucHFPSG9FUzA4V21qeDVFbFJvVXZXTWpsOUtvbG5FU3J0bXVhWHYzSjkzMWMzZHBPZlV2TC9sTitCVEhaaTZsNTUrWkxiYjJveDdxYWFXbzI1ZDVPTithZ0VYaVhxdFFJaU5uNENvUWdmVVJ2SnozaC9FMWk1NENycmRoM25MeThaRmNUSk52ak1xSWFrckZmbE9PS29QYXpaaDVBR3ZBeU9QTFpCMTRyQmJXa2U2am03blphWE9nUzlwUU9NVkppY1B0ZFYyV1FnUEN5bTFpYXdmV05OQi9tQmFybno3SXFYRmNWbFNMOFZCajV2akJDaGoyRkRDNTdCdnM5U0luWVRtYnBQQ29uWUJaZk5aWW9LWEhtRnkveGZWVUVrWVBxQzVzN3V0MnlkMTg4SVIzYUFJOE5hYVlJWGQ4U1pONmJjL293cmFRSkk3M004Q2I4MGJZazNIZHJ5eWZ5SS9BSzhOdWNKaGFSZUE5Q1dKMFFSWkkvZzF1dGM1TGFDcjNJWVNDaG14NzBiNVFRRzFPWGtmSElheFkrTnhnL2xKWGk0ZjZkNE9QMVRmVDkxcGZURExMWDVPNHh6NHNZRFhiWHo2L3BoMzZiYjBvM01mSHNhRWFEMUo1N3hKT0pTZk5QVTJ3Y0hhcFRWdU1CbnY3aUcvQm40QzBIMk16TXNtUldWZ05WREJYc25HaERQcXNVMk5NU3lra3pIQVVYMGRXL2tnNDJKbFZYVVUwTzNvMWRZOXZ0czNZQ1Vob3Z4ZGp0Wk9nM2tIUG90Skc3U0o0Z2YxL2VhVUJqRFVGcXFjSUd5MXNyYW05YkUwNGRDejBJV3A2L2JiVHc0UXpNaEhsQUxHR1BoTmVsd2dRV29RUDUwR0ZZaWN6M2ZUQkllcEQ1WTZzdS95V1hxTGRndVlhNEtGTlJ1WnNGZUZOUExQNHhoWmkxeVZaQWRORGVMeUtDMmM1VVNBa1lQVGNqclVBQThOenU3SUViK1dWWk5jOXVRRDNiclRLdzVlcDZLcmpKVFJIclVVdm5POC9PV2s0MTBSczNDUC9JdlExUzdVblFrRVBhelcvTFhBNjhKVzM3cTV3TzZydVNmdW10aC9LZk1vMjExcU5WcXJkY0ZxYjkrZE5KK2l2RUpqN3grclQ1U1VlYlFlalJtdFZyTWFid3k1NnFyUHYwUHpiWElYNmI4Nyt1SkJGZXUrZlpDZ29nOE5XN09LZTQ1SmZlQjRNQUxBLzhTS3dCbEkzZUZ1OFB5TU9BdE9CZ0JKb1B4MXgrNXdDeGlYY21ZWFJBcFp2YWxBOE1zd2JqbjI0QjczZU5xcjFHc0VQT1RjOUxmUjRiU1EvWTZCVTlwRDRuakcwQXFYOHMvUE9EMHFSRDBoUzBuQ29GRWZkaXU4Q3BuMlV6US80L1NsdTJWMDhrNVN5QlFUWnhCTlZaRWZJQ1UvcGdhQ09RV1VIL0RYMTBnOXFKNVhQWnZoREZmcTZSYW9wckt3cUlrK1AyeVdmeTNLWWxrY01sNGJXSEFuZG96dTRWRzNxNlR3bElkdXdJKy9Oc0Rid2c3WGxBUWNlUExHMWxMdFpzWnF2ZURSRi9DTGZwd1BYWDFPczNSeDM5aWRQZTE3L2Jzc2pORlJlV3lmd1hNMFl0dUg4d2QrdllPMXp1d3hlUkw3T1c3c1VtMmdic1ViZlIrWHlPRC81UWtyd1VZK3h0cE8zaUUxcmVCYlppblo5aENZT0lET0pUQWRCenM1R2VFNkl6MjdTSDZUOGkyd3FYdjdLSGFETkJHV1BWaVM3NFlZMlQyNjBvUXBFVCsvajZmaUlETC9idXd6SjZmeVFXVTI2OEdDVGxqWVFzaWwyVmhET1VYcDhCUUlxWDZqdlBDUTJGU0JHTWdtS2FsOTRkeVUvNEZVbXJxL2QyYUV6OUdUWEFISXZMQjM4RkxkMy9kQ21KWXZPQnF1SHc0bkhHeTUvQVBtRnkvR0ZlYnkxM05IZDNPOWh3ZHR3b2VkeFZHdmVNenREeHhaNjdDTzAyZGZEOUJuM2twM3dtVngyTnZZZ3FwZE9hZXpoYjJWNDc2dmg0R3ZXQ05wb3RmbGZjekxON3lNNVp1azRWNCt1dzk3Z2F3aFFUTGdGZnFPeHozL29wK3FYU1A3V2I2RHpKbmRJYU4yUlFnVHAxZUY0emdqVVJjU2NoTXFLM0FmWXhOeDdpUkVXKzZFS0dKaWh2c2phT2dHV1Y5S21HREdCeVRnNGhLemU2eEdkaFVEWWUrcU9yZlFnRzRkUFJlSzhieFJXU0hBbVNtUzlGRU5zT1pTRFJtekN3bW04NE1LU0RoKzhYV3pneUNUc29sOGlMZ2lMZ1RuK3VPTnhOY2hTOUVtdmd6OWJaNU5vamdCTmhaMDJsQ09qK09pRXZVNUF0T3RUa1lNK0pxOVYvcnhyb3IrSDRkdFJGbHRuTm1EeXZRcGtUOExvbXpEcXN1ZjhmNUFaWkMxcEFteXhoNmJPRGtoQzJ0Q09qNUd0cEMveEdxQ1F6ODVHWUZEZ3lqZEQvSmRpeWo5VVBFUE1GWHRkUmRHeWNWcThFbFhaWEpuT2UxN3VQUXpzZG9EdmxoeGVoNkR5eEsxeHU4Y0tRd0pYbWs4RGl5ZTk3OWdQRUxNMDgya1Q3NVlqSWd5SHFlRnVWcWZTV3p0ZnpiNHdIS3pVMVNBeDdZaUg1cTMzLzJsZEV6UGdJT2xqMjk5NmRrNDE4b0VjR3oxZy8yWHdPUllUUHR1cVp0UWJaREJaUXp5SHJPV3UrdmU5SUpHdlZVSHdiWStkQ0hGeko2NlRycFhpV2VJZEFaa0xQT0VWRldTWXdXZkhaY2tmeVhmbkNQWFlPeVdIK3FZY0hLR1drNUFMSFpOMVREemlsUVBvR3duVm5rUnZKZ2pUYUdCYXhJZ3NhOGZTaFM1UUJWaXVxeFppcFRvelp0WmpXTTF5UzhwcW1TeitmRE44Rk5jZENOUE5VUStURkdHWUF5Vmkrd1B0KzVVR2xEMDlDcC9TelYvNFcrNElnN2c2SjhFUkhyc05taWViQ2NydXcrOUUzZWJzVUQ1QU1ueTNkWFY1UytTeENVVWs5TzN3alZCdm02VWE5QnBYQ1ZWcWtBditEYktDajhsYm9mYkQ4RzA3K0JuOVhLT2dPUGZEdTJpOUI0UzNXOWhncmdNdWVxd2Nxazl3TSt6cGhNMkg3b3NoRHp0YUlpd2NQVnNQSTBnQ3dEUmc3UG1jQTVFRlNZK0pYQk54ZWRrVkxJcGNSWGdzVkVaRktPYVRqZ0lVdTY0Y0M3VDZSeUE1S0lIS0swNUdZWTh2d2xwa3NSUnpnbDVXU0h3RElzQ2hnYVBrbHpxMnJKVFpZY0N4ckJXaTBFbnc4cVgrbnVzeGpobjd3VldiZW5HQkovdEtOdEs5MjhBNFQrbjZPcFRBK2NXL1V1L2grQmM4aWU5NVR0LzA1OTdWcm9mWVZkT0g3V2F5SnpEM0txL3AybDNxZmJQTzFhdTFUVERpYjNvSlAvNkNXNzhzOWtQejVJVmlQVUt4SG5POUNhZmtWYmUxbWpVQnJJSm5EaGd5Tk1tSDVBZXhoNkNmYXhoMC80bFBpTkxnVERwT3NsbnFFc2QyaUZxSDY4ZzNIbVNBaUJoeXU4a1J4QjMzWjZhUFlWMUh2bU1WcGxIYmVuYUNTNmlieEFRS1F4RU5BVkJOcFROMWNCKzM3ejY0a3dJR2JPSE5qSVk3SnJqVFl1WHpzNkc4V0tiNXdQSFFtSndDZTNkVDU1VUNqejN4ZVhlYzY5SlBsUXRpTmx0WFh1NVNSVGZaQjdkWk1OdnpaM3I2Q0NLQkVWYnVlL0Y3ME5uWnJKUFRRVFFPcnVlVkgxWTlOMWNZWFRJMCtuQnh6OC9qRTJWM3ZaNTUxWC90c2RmWlByc2svdE1YSHZzMjlhcjNWNGZSQy9TNHA1eFAweFYxdFdKV3YrdUgvR2x4UGpXM2YxcW5uaVR4Zjk5MVNTTHNmd1Z5Rzh5eHhjSFRTaERJRTZCZ0MwdnJsMnVzUGtZMHh3Yk5FTHBQVTZKTkdwdEx2RzV0YW0wMlpOZXRpT3VyZTJ1RGZ1M0VLdjFCczZXSWh5VUwyNkVDWHpSdnJPeTMzQVJpWEFzeFNCOCtPQWlWbjBDRjUyWWcwSTh0SS9lOGV1OWNvbzJrZUVKQmVaZnNYanpYVWtNK05vVDgrVE1tTS90NzRoOEk2eW5BcUhxYzgwTTkvcURISy9qZHM0eFJ5aXJwWHovek9GMTYxSFN5Y1J6ZTM2bXRoVXZ2MTY3RWZZRzlwaGRHVEI4TExxNFd5OE12ank2Rk1vc1RoMHNTM1QrZlBwYkJhS0VBb1kyNHJQTEs5T1cweVhIbDhRb0VCL3YyZHNSeGltVWJ6c3V4TS9ZVW1ibUJPZEczME5GeGNoYzgxZFNkY3FGMEdPZHhOdis0SVZ5Rm9VeEsvMWhKTDdFV3lmbU1TYnNqUTk3RjNaclhuUHROaHYzWno3VjI1NFhiZzZJOGJoN1pPOTVLMXlqWDZQMUZPMVpYdi9BdVVkZ0psaTJGSmg2enRQQWFxelFLdVY3T2dhbSt4U1loelQyUnV3YllROEhKRFg2YVhrRTdKY1YwQU1Land4K1lvVHJOWDRoaHh5c01xbXgvbE5tRDg2SlRpcWhINXVVNG12bUsybFMzYmErSHVRSVducEdJTnVqUUF4aWQ4aFlQUVp2RjB4UVdTbGhqdC8wZ0czNURDWlBrMlFKb1hOdGE2SGF5WHNQNXlGaW1zY0lZOFZlNnlUN3hXSEc1UTV2Umh5ZExhSXk3N1Q1U2M4citTaU9jeTE2UHpwUzlrZ2FZZk11NzQwRmR6ck1YV2xMUHNnNnF3UWpDZFduUnY4T2ZSNnU4K012OTcvVCs4di9kSzhiamZ6TUNLZUdaa1hpcjFjb0VDMS9ZNUZ0c0UwOTZURDQ4aDc0SHBmVFlkc0djTllYYnlHOGRrdExrQ05mT2JtclB1eXVoaFBPMUZXRm9id25tb0NlMWtmRW5YZFY2SXhqc25ySzMwcXoyWHRFZ1ZqK1JGSm0yOE5Qc3E0NGxvSEx1YVN0ZDh3TDNqeUNjMStKeXhhZVo1dkxxdnlxMFhISEEramVoUjZGNlI3akpmVGxCcHBtcXI2ZTd5ZndDN241cEZhdWwwV1FsbmVDL3Q4TnZpVU43OEs4L0ZPQW8wLzZhcUpQdVB0bTFvL1Nqdm9FdkF1c3hiZEUzODk3NzZpNTkvNVAvOWF3OXJKSFBkcWtNTGdDdHp3bVJOL2dHckhSUm5BalgyM29iWnFnN2g0L01SK2xTem9INXJQTkRvRlRlYXdMSzF3LzhhVUo1azN5TGlJS0NCb3NUR05YOWxRcEVHWk5UbjVSdXluSUwwZFMxYnVjVTJ0YVB4UTdTRTFxR2Urb2JBcHM4WkFPVmpsclR2WHl3Tzg0citzWHNFYVFUVVdCa3dQQU1xTDBodU1TRlloY00yMXdOWmNwTWllOHV0aGFxTmZMMDJHZG94ckFRWjZkYmFOTytBZXY3eldQOEF2WXpuUWkxd3Z0a1k2ZUQ4OWJvTjJrcWE2Y096QVJ0VnlkVTNaR2R0NGdLb2NXL25CUG1lWXR0bUJ2UXlrOWlCSFNkR1RZODFacXBHQmlvcGIrNUxsbWs0dTNuL2hXM1owd1I1OHhzVGZwajRLS1E3Vlg0ejhBVm02Um5INzBkSVZjQXdtYWU4Qy9LZjB5bFJtMXJDZFJpeVp2ZUFKN2dVRkFZaS9qUnNlVzVnYnk2eW9qMEdIb3V0TVZpUXY4U1lBdTNOL0s0NnFKazJEWFdhME8rRHB1a0tDK2NKQ1l6RFl6WXJVRlM5ZkpxbE1mNnRHSGFHY2tsb05JMkxLaWR5VVRpNWJkcFVSVFhpZUwzV1RaV0FOU3NPd3UyWTVZSVhETWpiek54aHJKU3BlZG9zQVgvWlNXTk5FNk1LaS9TbjhDZTVDMFUxbDhjUDBkdGxUYUlzK1FkQlRTRE1NcW84WmtLT2RMakpPR1ZxdTBNdURQUjVQN2NZRnh1TUN5NzBkYmovSzhua3o2YnNlS2cwWnRkajErMGprUmVDd21qRGtUakk1NjNGSXBnSzFhcy9kMTNrNlAyVjNtZTBXUVcrV3lUOWpvOGFEWjIvNE5rSjF0Wms4VDBWeE8zOHNvMmxKbUpIa1dKRTVpbjdDdnNNREhiSzFkZm1lOGQvb2NPUDQ5SFZoZ1Q0K2wrcjJyTmtuaE9Yak1UbDdLOHltMHNCb3ZyWnZKeXkrOVhTV2l2aGpLbFcrVG1zcnVzUkxDTFB2U2NJK0dwSHFld2lDUk82UTdFeUJqT2pnbjk2SEFvQlV1dm4vU3pBUXlXbDVvSUpuRGFjQXdwWC9XR09Rc2U1aURkZTJDWDdGN0ZxYk05RWRTRkFnVlJtYVBlUXhCUzVwZUQvLytaaFkrT0l6R0piQ2lHTmtzNXZleWFxd1RlWVRBdE15UWE1S09kc0Vsb0o4NEJyWUJLQnRJSnZBTElhUG84TWdNU1JPYUV2a0o3d1lOaENnUWVkSkVDVTdPMFYwWVd4cVZqNVJqWEttQTZGamYydmpsWmpod3hiZDk2cmZXNEpRbDFJMkxYM0FheENpNXBncm9LS1RsNFBpM0tVeFU3d3hGZy95Y3hhU3dWNHppMWxETGRQQ2xXTDRTQ3BkQkJERjV3bWxkVEtxUWNhUHFHRlJlbkp6Mit3SnVzOXdTSHhOeG1KYVVEc2dzQllGMWo4dEgzWVFFQTJ6RzJneTRTV2hOSXNFRVFCbjd6OEEyb1dNdlEvU3VsTVhtRmZlc3B3S01BYTJOcHk1cjdJRFVNbW1zY1hsZjcvUXRxKzlabmN6Mmo3T2hvYmw4dTc5VzhUcWFSS3Z2d1YrLzIyT0VmTUhCQkllVXZkWDBvZDhzMUxUTk9ucmUwc1diZUxGYXhiVkw2T0wvanUxVDNKNUZ0QmNrRlRTWEpUbFlZeVppUFpGWlJidGlkZnNEc3pick5ubVVYUjNKTHdXOHp0c0ZIUGdsNElLcnZiVzdYOEw5QitrTytqNW5JNGZ1U0lOaFBKOVFPS3M2M3JPTjVEYVc2b3p2NjZpaUFXR1hUbjNHR1JEYm5uSy9aSGZ6RXczbnlVNWc0azBubkJDOWJxbktCS3JJa2g0SEtNYkV1RytnUFZrUDRVVENhR3I4b2NEUml4OUU2RjIzZHVBNUtMQ1h0d0UzZjBYV1FvRWlxT0Jwamp6UFJISTREd0cva0c4OXhzK1JJWEdQRStYN2srV2F4Z3JFeU1rd3RRemMrWlhycytyUVZBYlpmUHF0OUNwRXlPc3hXN3o2c0ozL0c5WkdQb1ZxcFE3WnFMRXg0bFlBclV0RStrQWJTL2k4QWdYQ2xKVE9uNkZvZS9KNVc0bU43Qi9qcXIvQnRKYVhDR3dpUndjL2NwMVAvTzMrSmY3LzlIKzgveS9hT3NYMGZ3RlFTd0VDRkFNVUFBQUFDQUR4Z21wY3loNzdPcWtCQUFEbUF3QUFEQUFKQUFBQUFBQUFBQUFBdG9FQUFBQUFaRzlqZFcxbGJuUXVlRzFzVlZRRkFBY0cxYTlwVUVzQkFoUURGQUFBQUFnQThZSnFYSTlianhqN0dBQUFGdk1CQUE4QUNRQUFBQUFBQUFBQUFMYUIwd0VBQUhCaFoyVnpMM0JoWjJVeExuaHRiRlZVQlFBSEJ0V3ZhVkJMQVFJVUF4UUFBQUFJQVBHQ2Fsd2s4TnY0T2dBQUFEb0FBQUFPQUFrQUFBQUFBQUFBQUFDMmdmc2FBQUJ5Wld4ekwxOXlaV3h6TG5odGJGVlVCUUFIQnRXdmFWQkxBUUlVQXhRQUFBQUlBUEdDYWx3azhOdjRPZ0FBQURvQUFBQVRBQWtBQUFBQUFBQUFBQUMyZ1dFYkFBQnlaV3h6TDNCaFoyVXhYM0psYkhNdWVHMXNWVlFGQUFjRzFhOXBVRXNCQWhRREZBQUFBQWdBOFlKcVhKb2ZkTmV4QXdBQVl4OEFBQWtBQ1FBQUFBQUFBQUFBQUxhQnpCc0FBSFJvWlcxbExuaHRiRlZVQlFBSEJ0V3ZhVkJMQVFJVUF4UUFBQUFJQVBHQ2FseWpsY2d4cHk0QUFIOHlBQUFPQUFrQUFBQUFBQUFBQUFDMmdhUWZBQUIwYUhWdFltNWhhV3d1YW5CbFoxVlVCUUFIQnRXdmFWQkxCUVlBQUFBQUJnQUdBSjBCQUFCM1RnQUFBQUE9IiwKCSJGaWxlTmFtZSIgOiAi57uY5Zu+MSgxMCkuZWRkeCIKfQo="/>
    </extobj>
    <extobj name="F360BE8B-6686-4F3D-AEAF-501FE73E4058-6">
      <extobjdata type="F360BE8B-6686-4F3D-AEAF-501FE73E4058" data="ewoJIkZpbGVDb250ZW50IiA6ICJVRXNEQkJRQUFBQUlBR0pSOTF5OFJ0RmxyQUVBQU9ZREFBQU1BQUFBWkc5amRXMWxiblF1ZUcxc2haTmJUK013RUlYZmtmWS9XSDVQc1VNQ2JaVXM2cWJBSXBVRmtTMDh1L0VrdGVyWXlIRzRDUEhmc2NPcWw5QnE4eEFsOHgwZlcyZkd5ZmxyTGRFem1FWm9sV0k2SUJpQktqUVhxa3B4YTh0Z2lNOS8vamhLcHJwb2ExQVd1WStyVnZBVXY1Y3hwd1ViUmtGVWhxZEJGQytpWUhUR2hrRWMwd1V0UTA3NWduNWc5TEEyRHdka01NTG9Oay94bzFEWTJTTDNlT3RNcTFKVS93cGRNZGV5dFc0WmVraHhUQ2crN3NFYjFxdzhJN3RrL3NTWmhUdFd3UjlXZ3hkY1RtYjVSVy81VXI5Y0djRTkvbnMvMzBQdld3bm1NUFlCZ0JRS0RrdjhFWDRaWUt2OWtsdFRUVnFyWit4TnQzYS9wSzcvcjVqcFlwVjloZlFkWDFkS0c1aENtU21iMnpkNUtJNjE3bElyZTBCeklhR3dSaFJNWmtZM3pkcHVFMzl5M085amtsczNTa0kyTzlsODFkQWRzMHMzRWxFdnVSMGFiWm4zdkpKSlljVnoxK2hyeGVHMWR4WmZiM3h0TXpqSjlFbjBLbmxoQU5TajRIYlprVkZJK3ZBM2lHclpoVUxKY0hzRHlXeXBUZTBKaDJhMUlabHJ1Z1UrZFM4UFErTHVCamtKS0VXVWpPbnBlSHVQVHF1N1Fadms4M3dEYnR3RkxFWGY1U3dJVHpvWE9pYlJOL0d1VGRlTzdzYTZuMDlRU3dNRUZBQUFBQWdBWWxIM1hPVzk4SzJCQ3dBQWNKSUFBQThBQUFCd1lXZGxjeTl3WVdkbE1TNTRiV3p0WFZ0dkc4Y1ZmaS9RLzdDZ1g1S21GcGZrOGdaUURhZ0xGUlVpellxVUxQVnRSUTdKalhkM2lPVkt0dktVeEVXUk5tblFwZ0ppOTRMVVFZeW9EZHE0UUkybWdkUDhtRnEzSi8rRnptWHZPMHV1S01vbXBhRUJpYnZuekp6THpwdzVjNzdWdVBUbVBVMFY5b0F4VUtBK24wak5pUWtCNkMzWVZ2VHVmR0tqV2JsWlNMejVreC8rb0ZTWHUwQllYVUlzSW1KcDd2ZkJmQUxmU3dnMVdVUGZ6eDQ5dlpsS0NEK0hVRU04Q1dGRFY4ejVoS1lsaExvQjZuSWZHUE1KeElDNkV0Q0hkRmMzWUg5ZzNTQTNieXR0c3lkc292YXBkSG91bTA0a3ZkUzNnTkx0bVppY0wyYm04bUxLVDhZQ25RN1NLVEZNZFR0SUYvTitNbFpud1FEeW5lRXFPR3dqZEtsRHd6UmtoVEJVeW11TlpUKzV2R3ZDaHZJT3dPVG0rc1p5aEpBMTBDRTlpQkgwSnV3UEk2L2JLZ2FWc3hrV29HbENqY0hSYUJsUVZiZEk1M05Tc1pobGtiY3BPVUJiTVpUMkF1Z3EraFpETlllNHpTRGVNcnBMaWdGYUpocUlmcDFLeWVCb0thM0orM0RYOURiLzZhN1dyOEkyWUppRFNRMXpYd1VNcVlSbVBZcWNuMVRiMVhiV3dCNVFHYzAwclNxL0RRMHlsc0lrUmFlazRDQkVKbTRDWTBrWm1LeUdpUG9XSEVFdER3YVlXQWpNakg2akpWUHpzbUtRaEtaZkMvVnBlVldjQ3pFZ2lZN25SSS9UZlQ3Rzhpc0tVTnVZVzVYM2hVWVAzcTMzb0FudEVTN1V5SmgyTGdteERnZTRVNEZNSytRUVpKVkE1dzV5dDJneHJTazZzQm1iNEo2SmZHUXF5Q0M3cTRBYmlCcEV2alY3YUZpeUE5SFJsNzgvK3UxdjZOWEdmQUwvU2dnVlZlN1MvaFZUQll5T1NlZWJzcnBMM0lEQzEzeWkwVnozdVlxd1ZLQnVDaFZaVTlUOStVUlZRVE5oQU5FczNaYVJWUW1CT2dBOWRtRVJxaEJGdkJzUytmaGRuclNOaUdWWTJqSHNpMytkUGpwd0RDT1d6TFJsT1dmdHVIOTQ5dW1oWTlrUzZNdUdxUUhkbkVIenJOR1A3Y3ZiOWkxcnNxSTY1bGxYczJ4WndSbVQvMzc4L0xzL25SdzhQZjM2ejQ2QnQ5R3MxcWQ5YUxvM3JJZ1dESFFESnhKV0ZGV3RRRU9UVFN2dnFXSHpIUExDU3NXQVdyTUh0TURpVTZvYmltNDJnTG5iRnlvS1dtc2JQUUJNeDVGV3FpUzY0UkZuTFU1NHhEbUtKNHZDeVVCVk50RGlTVzBscTd2M0Jzb0d2SmQwY2ZmY2NiUkNjUjJsZTE3ZmtEdldFejI5LzlIeHc2K2RtTHFxN3lrRFpjZDlmTUlhYk4yeFp6RXgwTDRvbzZWN3orVmJrRnQzdWdiYzFkczJRME9YKzZ5RXh5dis2Si92NHpUU0NueFIwdTBsaGlXZVhubWxXOXdNOFdTUmM1MVJvZzhSQzgrNHdlbmRQNXdjSFBvV0ljSkdCaHRaakROK2N3aDF1ZE5CcVF3bVozSU1NbDdtQ0pGQlc0UzZqdHJTenJPU1IxbEN0cStxVlZkYkNROElXZEYzOER3VmJjMDNGVk5XRlhOL2lPNVNmcWp1a2poRWR5YXgwVU9wZm9CYVNscTYydGVVaWM0bDh0MGFiaWlORnNnRGNWWTlGQkZRM3RjQ2c0RnQxUEhUOTA0T1AvU2JaTWo2b0lNbWFEQnV1TWw4b1JpT0ttNE9YNURDMUxMZVpTV01oTFpTdC9MYlRDb1ZTSUFkT2tseDA2eWUwUkMyMnhjbDFGeFlwM20wVUExbXJoNTIwcDJVOWpHbkdaRlNWZnFNek51aHNSTHZKTXQvSlpMNUxzbW1ITkpIMlZsdEUyMFlJbEFnaktDanFjYm9zYlJZaDJnT0Q0SWQwZHZXSTYrYktTY2UwVUVqQmxjUjBpakNjRUtMNmI4a0ZUeENuYlFUb0VhcUUrTUp1L294SGxvOGhUSlVvVXdNaGZCVXdQcWtSbW96S1c5SlZEbHAwdDVDYzhzMUpKWjI5aTNmNGxkVkJxMWcwMXM3YjZNSWlOVWxzemd3a0FNdFNzdDdnREdFeWQwbHc5NmpDNVh3eEFzMXBKSFJ5alYrdHF1MDdsVGxBVnJ2TW1JK2xEZUZzcElHVkpVMjA3ZE91TC9SNmNoWjBPbDBHTjV5K3d2UGVCMHdLUTcxTm1EWEdueE1pekp4QmNvS3pXaW11bXlhd05DdDZjNWtJeFdFc21IQXU0Ukx0RFBBY0R5aXowRnZ4MmNtcGlKSGpISnB5SzFvN1NwSWVQNDV5eXRhdTVHd250eEcvUlR4K2d3Nk9EVk5aYk90SEZ0NDBwWWVlamFSVDZCRTErcm9wNE1WUUxiai9UMDd2a1IwVUVwNmhxSnZzVVdyZjJpc2s1VEF0d3R2b20vTDkweWd0MjNSTE8yaVZtNkh3YmVDandwYnBJVnZWUjhXSDV3V1ExWjZoMmZsSEN1MnIxRzhTT28wQ2VVR0tHcGc1ODQxVTNQRUZ6OEtWdHdZelIyWm5zYlVMY05iTisrWmRMODNiRE5HT0prcGc5c1Brcm1nb2tSZDJDeXJTaGR0UHhaUm5BTUdyZTdRSVVYaldqcUwwdXltdk5Nd0lVck5DOHhCUXJyMFRiVWkvaGR0eG1KUE51UVdraWVzYnRISWErMGNtNG9HQmtJTjNCWFdvU2JyenM0UmpSTlNIaVJqeGQ1RGpwSlNSMEs2aHR6djJWSWFmVHhMclEyZFpUZGUrdlIyUlRFR0p1RkJGM2dmWjM5ZnB6czkwbGh1Z1FXQVBBcmM2M0xIeEtud2tHRkp0M2NEZ1hZcVdidEN1dFppajByMlBqQXE0RG5QSzRKRzZQMitVS2MyTG01RnpHUWZ2OW0zR1ZNMy92ZnVlMm44STROL1NEZk92bnB3OXZudlRuN3g2NU4vUERvNStPejV0MStlZlBzOXVqeisrREdpbno1NmZIYncwY245ejQ2ZVBDZ2x6ZjR3cFpMOUtESWFuV3lES0lHTXpGQVlERFNoTjN4TDh3cUFHakFOQllTaW4wWFpaNG1zUWJLY1JDZW1OVkwrSE1Ld3FNSUJhQTlaVzJzUTEyZUdpc0JiM3lFOVZPRWVhTUlvZDhaT0d3bDNuTlNNTUNZanBaSlZlS0w2UkRnbUdTa29qZ3BENXVXckV4ckw4eGZTNEJKR0FsTnFLY21ZVjg1TmR4cGFtUXFydG1CVlVuRDNkb1VodzZndytOaG8rdUs5NWR1dVFwMjlZWFV4TDBuTWtaVzN2Tkc4dGJDOHNscXIxNXF2RVhKVDd2NFlaYVBvMSt2aFJNekZ4WERSWUl3T0VJSEt6N255bDJ0THNSdUhaTWRwakhaVURJL0VxTWprNkk0SUszMlQrbTVZZ2NaaDNxYk0yMFByTlpoM1phTzh2dlNheUREVlNlV2tESFVVdFhEckRhekw2OHdNeVYvUWNkdHM0emJiRVcwOHFWeEdQRWVSUnp4SGpjZTFsTlE0R2RaNmlqNmptZTFIVFpjS3pFOW1FOXJiekcyUlI4b2NPRllEMGRzZ3pXb1FVV25DMjJrL3ZzemVCQmVMby9mQXZzcTg2OTNaMk1CbTJPeStEYXcwZ25uOERTek5kMzBiV0Z6Z0loWDJsTDE5RmNWaHE5cTA3MTB2bXNKRkptQ3hVN2pvRE8zeVU3aHg4NVVMNVdtNWlXWkpjWE1DY3R2QlVlaUxER2dFcStTTEEwRjNkYlRkd2krQXVCQVIzUWE2UVhkSWN1RURMdEtYQlZ6a0x3ZTR5R2F6RndJdUNzVXJBMXhjVTJBaXhoTjA5WHNwd0VSK2lvR0pjM21MQXhNY21PREF4SFVCSm1LRUxkTGlrb0dKbUJIS2FUUStNRUVsY1dDQ2RNbUJDYVlTMHc1TVNNKy8rZHZaSDM5NS9PVGc1THUvdnBFNmV2enAwVGYzVHovLzhPemhGMGRQSGh3OVBIeng3SU5tV1JSVEw1NzlpaU1SRnNPVUlCRnhBKzdMUWlMT3BROUhJaWFud1NXTWhKZUlSR1F2SFluSVNkbFhpa1RreFN4SEl1SWdFYmw4bGlNUlBtWXZFakVhV0xBSERxdUJ4SkVJamtSNENOT3hXZVZJeERqNUNrY2lSaU1SMG93aEVYbnluaU5ISWtnM0hJbmdTQVJISXJ3ZGNTUWl4TVNSaUNsUDdqZ1N3WkVJamtSd0pDTDY0LzBUaWVPLy9DZVYxYzYrZW5EODhTY1lqL2o3SnkrZWZiQmtZUS80M3NGL09RSmhNWEFFNHVMNmNBUmljaHJNRUFMaEt4TGtydGc1QzFJcW5DL3ljeGF1VXhHQm43UEF6MW5nUlFSZVJPQkZoQXNXRWZnNUM3eUl3SXNJQVNXbXZZaVF4YWNyNVBDUFBQNVI0T2NzTUJobW83YkF6MWtJcW5CZGF3c3pmYzVDZnZyUFdjQkZnMWQxem9KWDlsVi91M0djY3hacy8xejl0eHQ5NXl6a1lyemQ2R3RRNEc4MzhyY2JQWVRwMkx2eXR4dkh5VmV1M3R1TjlvbnhFM3k5c1RCanJ6ZU9PbWhoRkhMQlgyK2NkV1NDdjk3SVgyL2t5QVJISmpneXdkS092OTRZYU1KZmI0eTloK0xJeFBRakUzRVBXa2p6Z3haY2hpbUJJdmhyamtFVnJpc1VNVHV2T1RLZ2lPTDBIN1J3UVNqaVFnY3RYQ2NvWXB5REZxNHBGTUZFRnV5QncyaVFFamtVd2FFSUQyRTZOcXNjaWhnblgrRlF4R2dvQXY4bnF6TUZSWXc2YVlGREVSeUs4T2pIb1FnT1JYQW9na01SMDV6ZGNTaUNReEVjaXVCUVJQUW4xa2tMYVg3U1FwQ0JReEFYMTRkREVKUFRZTW9oQ0t2d3dDcEdDUGlQOVFuelBQMy9KL0UxQ3RpNHhwYW1WelJMd1dIUzRjUGJPVWk1Y0NJSExaYmsrUVFVSS90UGpkdC9OcVlCMGtRRVJCc3d0b1B5TVEwb1RFUkF0QUc1Y2ZzdnhqTUExNmNtSUNEYWdCRU9JamlSUFNsS3licmN4YlBsLzFCTEF3UVVBQUFBQ0FCaVVmZGNKUERiK0RvQUFBQTZBQUFBRGdBQUFISmxiSE12WDNKbGJITXVlRzFzczdHdnlNMVJLRXN0S3M3TXo3TlZNdFF6VUZKSXpVdk9UOG5NUzdkVktpMUowN1ZRc3JmajViSUpTczFKTEFHcUtjN0lMQ2pXQjRvQUFGQkxBd1FVQUFBQUNBQmlVZmRjSlBEYitEb0FBQUE2QUFBQUV3QUFBSEpsYkhNdmNHRm5aVEZmY21Wc2N5NTRiV3l6c2EvSXpWRW9TeTBxenN6UHMxVXkxRE5RVWtqTlM4NVB5Y3hMdDFVcUxVblR0VkN5dCtQbHNnbEt6VWtzQWFvcHpzZ3NLTllIaWdBQVVFc0RCQlFBQUFBSUFHSlI5MXlsYlpSVHdBTUFBR01mQUFBSkFBQUFkR2hsYldVdWVHMXM3Vm5OYnROQUVMNGo4UTZyNWR3bWptTTdsaEtxdGpTaVVvTktFL0Z6TlBZNnNlcXNJOGZRbGhNWEhnQUo5UUEzeElFTGhRTTNCRzlUU3Q2Qy9iT2R4R3NyVkJGcGkzY1BXWTluZHNienpjdzY0K2JHOGRBSEwxQTQ5Z0xjZ3NwNkZRS0U3Y0R4Y0w4Rm4wZnVXZ051M0wxOXE5a2JvQ0Vha3hVZ2cxK0JCOVlRdGVEazFidUx0NThnMkwzWGdxb09CVXZLdGgzNFFTaDRmNTErblh3NDVid05GWUx1d0hLQ294YThVMU9xYkV5THN5MllkTmRtK2padEcrR29SdGhkdDY0YmpvdWdvQ21jaGh6RDFtS2F5bW1LcHRsNlROTVpyZUhZVmRlTmFYVkdjMTBER1daTU14ak5NRTBsNVd0d1BtUTZpaEhUTkNGcjI1b0tLNHZhWHEycXB1bk0ydTY2ZWtOWDUyeWZlUjVkWW1kZDRndGoycVlaMjJlZlI1djJ6N1R0elVxS1d3Yk5IZUlCT3hKd1luUUVHRldSd2MrRUNNSWoxQTdDb1JXQmg4ODkrN0JqalE5YmNFMlo1MlRjYmMvM0JYUHZaRVEwZEFQZmMyU3NxWU5CYWkwSllBZ2VpZWVuSTRNSmY3NVVqZXoybm9kUjd0MkU0ekh5K29PSWFsUFdkVElNcWE2RWZkc2FVZDYyYjBYRmpQdFdGS0VRTTM4cStheGJxTy9oelRBTWpoZ25TZHV1OTVJNHJKNHZzb09kdnhOZ2ppQ3VXZ1FMSnBERlErTTVUcVMxYWd5TnppWUVCOGdsMXlZYitVWlVZaXVrU0JaaTFlVEJXb3dsTDBHZ0UxQWpxemtCVTdCUnN6SVY0aXVPZnVMdG5vY2pVbHNUWnlNMkYzRDIwck9pekFjNVFoeVhNdXdUN2hzVjl0blhnQm5HL3pmc0w0MFEyN0pNaCtKMCtQY3ZQV1djRjc3dW1FbWdxelU2eTBEUHFGbGUzZGNUWnp1SXpoWFUvZHE2U2tlWkZZVlpZU1JBYVFhZFpWWmsxQ3dqSzRTMzA4TzJidEJaL2d1UWlLdzJJUzRCRWR2eldpZEVPOERSZkhkcHpsdmNKNHBKcDF6N2RlSXJlaTlib2w2U3ZCTFBpblllQjB2U25jV1kwSk1PTGUvbVhweDlQdi80RFlpMm5sYVh0R1dGR0c5djNxQlNVWENFejVTSytnSUNTeWdWdGZnZEorbHNDdkJGb2FBOTgydGNKZkxqS09sQ0M0Wk01UGJRTVltYlRkL3I0eGJjUnBpQVRueGxQZXRHd1lnWFZoN1I1ei9QZnYvNE1ubi9ldkw5aldoVEV6NGl6RTNpaDNIT2h3ZmhjdkZ0SXR2Z0gxaWhaUlBGb0cwTlBmK2tCVHVlSFFiandJM0FVK3MrOGlBUU1Jb2lFTWVNUXF6YmZTTHpXWE9mYk5rUHJkRUE3R0xuZ0NZSEQ4NFJoWXRLVWxIc3RMMXd6TytRaXoza2lqWGJFd2luWkEreFpzY0tTZGlQQVpjZ01keWp6aUsvUWhOWmJRVlJGQXlsMHJTOGNLRDJ4dEtnU1JrQVd5WVBTOUsyejB5alpJN0x2S3NXK1lPYkF3U1BsMVI1YVZwcDJ0VXpUWWxOVTY2Y2FWZllhNnMyYmZyV2JOVVRKeFE5U2dSVlVNaVZXTkVQNW44QVVFc0RCQlFBQUFBSUFHSlI5MXhSK2Zoa1ZSY0FBRWdaQUFBT0FBQUFkR2gxYldKdVlXbHNMbXB3WldmRmwxbFVVMW1YeDRPSXlHUUVCRFFJS1VSbUpZV0FJRk0rWlNwQWpNd0lRZ29wWkJMakFCSXczQ2pLcUVBckFzcVVRZ1FFUkVBbXhVQ0VCS2lTd2lDakJDVURwY2hVM0tzWXJtVHFWSGV2cjEvNm9WZDNyOVhucnZOd2huWDIvdDI5enpyL0xYa240U0IyZXJwNXVDRmtaR1FRUDBzL2hHUVc0ZnozNkgvVi9qN2tmM3VHak9RVlFuVTdJZzVSTEN1ekQ3RkZWVVpXVlViQ1FLQVJDQm01ZjkrQStJOG1zMFYycTl3MitlMEtpa3JTRFIwN0VWdGtaR1czYkpXVms5dTZWYnFhSmwxSGJGV1ZVOU96T0xwTjNTZENmdC9GWFlldTM2bmFybitzdFUvRDl5MjQzL0xNcFhRRlJVMnQzWHRRQm9aR3hpYW1WdGFIYld5UDJEbTd1THE1LytUaDZlY2ZFQmdVZkNvazhwZW9zOUV4c1hHWEU1T3VKQk5UVW0vY3pNak15czdKdlZ0NHI2aTQ1UDZEMG9mVmoycHE2eDdYTnp4cmErL283SHIrb3J1ZnpoZ1lIUHJ0OTlkajR4T1RVOVB2WmxoYzN2eWZIejh0ZkY1Y2dyNThYZi9HMzRDL2IvN05KWU9RL1NmNmY4bWxLdVhhc25XcjdGYjV2N2xrdGlUL3ZVRjFxNXlleFRhMW96N3lFUmZWOXgyNnZuM1hzVHRWclgwSytwYStvTWFaUzI4Vk5mZGJjUTJndjlIK2pleS9CNWIrUHlMN0o5aC9jckVReXJJeTB1REpxaUt3Q0xIWStHRXU0dis2bTBIYVlxV1M2bFBFTEs3OHlxM3F1RjRrRmM2cDloYmdsMHVmTm9PYmRNNUdwZ1FSbzgxRWhjRHVmRTFSRnltQjhPc01TUVBLR09qS0ZPdkgzVjBDdEZ1b280bU9icjhVc3htYXFZRnRqeHhTUDVYVS9rVHBzZ2FuVndkQW0zbnNvQmxtcG90QjIzSU8yQjFmYVEzTENGekNTQkZsL1d4TjZsVWVMVE5jRXdyTWFnVGVZTnZkWDhXTERtRzBpZlpjd21CWXFOdmtFM1BBSnBoWU9tcHpMY25lMFZObHk1cG42Zkx4dTV2YXNPUHg0c1Q2VC9jOUFoa09CazRwZzhGRkpuM2M3NHYrTitNR0V6OHE5UHQvTkRCK28zNnplditqT3MwWEpYY1l1NkNBWnc1enhmSTdXb05aRDY2WTJ4NjNMREkrNEdZd1dscDk5QTN0cjU4YkpqN2VLQ0o4Y1BYODVzaGdMaFJ5S2E4a2lCa2F6L3dsOTBPQ0JNRzU5NFdvVFMrTnppVGhmbDBHZE9BSEVzUldqcWhBZUZBclIwaDRXTEV2L21EcVVqQ1ZuTUxMTTNVTVlmcDBaN2tWZU9YTzlxRnF4QStBcjNDQloralZCSHMvc01tNW55S2pEOUlZRmFhellnVUx5SEIyZ0M5QmdIZG5QNmYrU1FQZGFUT0ZRVGdsRy9yTGhCMGJ3Uy9mSHJCYXkvNFg0bVdlamZEQTlpU0ZBeVFWVWNWVC9OQ1RwVUtjcU9UOHorRFV5KzJpZnJoZVlDMmVRNlBFT3NSaHJnMWpiU2FaajRKczZCSkVOa3BqTFpNVXh2MHFRY2doUkkvV0x6WitMczFOU1M0MjhoL0ZjaXBLQXp2T0dCNXRmeC9iblZmQlNzcE5kSmdlUm0rUlV0N0ZxbUhQTnUrY0pUWno2b1RxQzJLRnJ4eTJhakF4WDRJWUtBMThJblgxNUJwcm5ERWRvdHZURUZ6NzRIRVluQWpUK0hMVDQvU1dENHR2M2FNT1YxVFZVbXF0bjF5azgzL00vaFhveUdhMkpEWGFXZkNVRHpyc0JaTWkvRFQyUnYwVTZkU1ZNM0ExOVZsZFpuVkc5WWtpVTBVLzRxbnh3ZjdFejI4cThZcUp4dHpZTStpdmdOSU5JcXRZczRlRTIzRzJ3Q0xmTk8rMG9lTHU5NFdxMXhNdkRMUEc4dlhSMlR6clFOTWVRcFNYdXJQQVNQVkVZc3licE9pYy9IMjFhcFEvMlRuQUZtd2ZWaHZvcDdSUEZZR2JHNjhxMVo2TG1zaG5tM1BFUDRESjlBSlluOTJQdkNsQjdDTHRBUmNsaUhqQ0RKdStTYUF6YzNUdDRPaGtYa0hlSEJLdTM3SWMxSW5DM1hEYUVZT1NJRzQ3WVZYaTFsNWQ2WlZKMkVMWWFZVjlTUUg5MEt5dlhNd1FlaVpZZWdxRmptT3ArMDczR2dOajVCWUo0c2FxRlo2bHhGY1RkUUlxSkhWSXAwbUNXRzBXWUwyZndFRThjb0dUSmZCR1Z3TW1SM0hZR3ArdmRGTXl2NDNvQjA2WWY0UU81dGRqc3M2MWU1OWY5aXM0L253ZHV3c1lJWGN0RE15eU0zVlIwRWIvMmpzQmR5T2RhaTl3QVlZbGlOMGtQeDVGWGp4RlFUa1p3TFhUemlJS09XWXRnNkticEdOSkZ5dE0wU0tZR2QwbnVocUp4YlBjbC9EWjMrS2NuTUNQbFJTbmx0SW5HMEVXNzhxVWFOM2s4OGgwMnM1ZUxNQzBLNURtU3dhT013N0pub0RiQkpiQ1UrQ0hPb1lPT1JTc3U5RlJScG1SSVBqM1lXZm9yMlY2NmtLdXd4RXVHaDBQN0wweGdFcW1oekozekM0WDZ5cENMcVhlZjlVbnBCbm1rTGVxU2UrTlNlWDhwZTRIQzhnSitsay9Sa1FMM0gyWmNjWWdsM0VtTHVLeENLajR5U2ljdXVUZm8zem9ka3BKajRsdlVVcHpyTzlQb3REcjRGNmZESzR5VzU0U2xkank0R1g5QTNmNXJBSit0Q0RLOUowdEUyazNQcXpqWUg4UHNqYmwwbEpzSnpKTS9SZUhaaUs0Ymp2RnA0UVh3WG0rRDdpUmszaTJvMHlzTWpwS1ZTWHdtQnFmMFR1Tm9LRStYT1ltSVlkMDhQSWpIYWZkSkpOcWQvU0FVcHArR0JTZDFUekhvdytRWjVOMWR4VGE1Vk11bEc2N1kxMjR1Tm5jdGtoN2xrVlh3WGpDaFZnR2RxWlp2UDFpRmZ2MDRwemVwRmhocEZhNEY5emcreTRhaHVrSmpScUVIaVdud1U4bDF2enlUc3lURVo0MlRVSGJLOVlnVFM5eFp2N21oK1BBbHdueXp4U1dVdERvTjVyeUVoczhnWUgzVDlWemFXckxHK0VISUhSV0I1cWxQempkclV2amxTMFg5ZlJBNWwyUDNrc1FmZVpSTFpOSmdtR0cxOHVtczV0emFXNjhqNW9wNThNRGR0aXZCdkhEUmUwZHMxZk52Qy96elNTSTlIUHhoN3NUMm90VGt6b2JCYWVGUVJNSkt3Y05Pa05ORXM1VlVhV3JVZDQ2VGUzRk1jVjNqMjRaVXAvZDkrcjFtWk0zbG1Lajd4c2NlMWJQMk8wYVhvT0o5dllkNUZVb21qY1oyNVhmZmRyQUM2WHo5SWN6R3UzYW1rM1Z5aHNuN2szbzRiN3NkZDlHdkRhM0p3SythaGxYdkMvSjlIVnZKSDIwS05pM2VmVkN6cFBEc1Nld3ZYVysvcTNydjFSc3EvY2h4b3pubG12eDN0U0FOa01VT1N5WEF0Z1JDL2x4VWwrT0V6RXVjSW9nVWp5VTJueGJHQ0hZTGxTRGIvRXdMRFdNaXFzZ1J2eW1FcDNScXp4TGRPYTJFV2xCMDlZdnl3bzBZTzFCQ1FKcHBXTEpzRnZJdGRJSklTakJjZDd4b2JReWVtckJTb0Z3RjQ3ZkRhdEQ0L3hMYndFbFYzQ05YOXFkeFN0WjlSSElFMjBDeDRGRFFCKzJNN21mbkxHNWtKbUVucjNGSjVZTWlMV2hydHRPOWdBemZCdjhjN2RXRHRVa29Za0lyUDBETXFUcVFXZVdJdWtXaTV0bFM3UXpaVjQrb2p2a2hBTGQwMEp6OENrTnRPZnJ3NjRjdkFvd3ltNnpHWkFnMU9FUzd0Q3FJeFE5cEd2WU51cTBGUmpIS21OajhnZ2U0TWIxWm5JRTd1YW1VMGNEc1p1UTFXVm41ZkdZdUVHL0V0aGQvSnoxN2NQSWJJaEhkTXFtZ3VBQ1NRUE9nQVQ4bEFrQUxUUWxiNk5rbzVJSEtETVVIak56MWVtSDVVMTJob1BPay9kaXBnVFJQdFNQTGtnTzE1NTI4T0V5dDhPQ1VQQlBYZVB4WHRRYzhRcjdkQXNZbEx0L2pKRGtGYjlvNVFYL1VDei9YWm8vVnNObUMwTHI3S3I3N2hwWmZieVdMNHpwZXk5RVJYYkV6WUFqRGQ2dStBMkxoVktmamVqVlhiNVorNE9XOTZyZmd3elZiejR2bEN1UG9zMTh6emZUS0tOMklSWFhUVS9VYXFsZXI5dTdxeVlrMzFMTDB6cXR1a2l6Z21nS3ZIRmFpUmcrUW5ZSXg0anlBVjJpTzI4MXM2eEovQWNaZEtFcGtrd25BSzJaem9vYUlvMmptZlZJR0RiWmUzaW1sNUxFVTNIcXQrOHhwTlB6d0Y1dms3WGF0Z25PczE3by9MMnZpeHRhM1llcnp4VXFDT3Q0Uml2MEtFTEVVMkpkSDd0TlM2aTl5cUZrelNFaGRNYnNJR0FCNTRCZk1CcnZpSVMrd3dBcXpZL1hOUGNpcVVhSWhaTWZFc2tNQVAyOFo5UWFwelM3MU0yS1JXVmxkc2kvZ0hRMnNzS2UxSFdMU0pEN3lveUFBUE8rNGlaSThRSnRjcDh0S2VKeHJIckhWRkVhcjJCV2xyZVFqYkVhTHM2M0xaM0h2WmlrY1I1MFhaNDU4ZFoxbDdkMTI0QmV2dkZvNThSSjA5UGlZVXBueGw4WlBJelNIRENBQmIzamFjcHdyNDduN0VDbHpndlJVeWN6WEJYeElUdDRiSFhkTVJ5cEdxc212Y0NIS0xpcHFzbkUwTkF3ZmQ5YnZsMHZ2RmJOV1d6Y2kxTUpldmthbTU0UHBrSU53cHl6WTJQM01KVkdDaGl1ZHE5cmpyc2E4OUxLL1NlMUFoL1NwL3pQTmwvUHMwdmtLcTRIeEFKWTUzVGhUeG1laHhycHoxL1VlU2w0OXJRZHFPbzJ2MXZuMW5QdWdHNFNLc0Iwc3VxRU9qNDBJOWdod1BOYmxNYUlGdTZMMGF0ZUdWaEJnbEJTcDg4WndpbGNBcnovZkpYTk5WcDhNMnd3c05ZdlFhREUvYjJxNEZrS3RIR3NEYjR1dUNnZTZkYTZiVTFHNjZoOHV3SmlNa2pSdjhhSDFON2l3a0pIWHBndlJoMzJPMDFybWJTMkx6TXJ5OGFRbnkwSnQ0K1NPWlhZOXVNaHpPdUpQZko4ZCtuMXZneU1BSHR1elhldFpFQkdQRXllZUt2d1BQU21iajVVZ3RnR3ZLYTFHMG10NXFVR1pheVNES0lFTWtMVXVQQ1UvaUoyUngyWW5ISE9tcDF0dDZPSWUzTktQSnRnMHRtV2R2anJ4bHl2ZnA2bHNxRmRDbTZ5OVI3VThTTWNzZzVweFA0K2N0bkJ1Y2oralllbjkvaEhRbG53Y0tucHFBLzJJamh0K3VaU2VadFZUVGtIMm8zcStPcHAzZEp1WVEzZXo2VUVaWG9VY3VNbVB2V2RzZkRYUTczSTFOWUpPT3AvbTJMZmFPcGZFZTdpNDZvQnlYL3VjOTExVXVidmppK1NhcHRBNUcyYXRsaVZaQ0dxV0FIa2dGR1Uxc3JRVTVLLzZKRTFjZ3V4YXg2Wlk4WE9MT20yeWFLcWNta3plUDZ2TURjNWdad0d4ZmZoZDFMM2NJZDFnaGdVZWFwRlpEM3g3dGYrMG9xNUJ6WERWL243VDBYdkZ6OE8rc1FVN21ya0RPV0pNWEEwLzh4TGtQTEtuczJLUGdyakJSN0xUb2ZoR2pENU9CVzJWNUVnY2dGdHVJN3ZLV29BNU9hR2RsUkE4ME1VbFY0VU1YTU12VXNZQ1Q2WVdqOUlHQ2krRzBaTStSWmZadS90ZTlXaTduM3FLUmRqL3o4dXRFT0g2UDIzUDlwNkV1dmRkc2U4OEMyOTJYZ0NXSW5ZODd6THFPTnBSK3ZINkdjRGRJT1I2R3Y1KzRpZmY3Ync3WGRYMkQyc2NlQjR6TWpiZkYzTERZTlRFejcrODlpTHY5ZGdrOXErTFBmVDBHSnJJcFBCVXRiVmtBWjRkckh5SU1pQ2pZSW1IWER5R1NTOFZQeSttUko2RzJXdkh6bm41OXN6R3VRdHlzU2Mrd0gwdm9ucWZaRFV5RjVTZlkrUEdYdi83dDE3aGZIZ3Jva0VXOGRJZmdXODBxc0s1VTFMeXdnT0ZhK01JYm04REhwbDE5bktreUJndzRxc20rSHo5TGZ2NW9ULzZJVHllckpXRWhyd3pxS2NNMG5leno1M1Ava1NlM0UyZUNua3c1TUxIOTZmQ2hiSnpTTXpLR2dlSERHUDNpYVVsYm9YTHJ3c3FpUkZONTJLdDRTZGVjaE1LbGJxWUMwazE1WHVFTms0U3ljWTVXbTltcVoxbVpkeEpRalZKYjBmTXM2dmZqdXl6L3VFN1puTUw4bjVWckk4WkRvZXhMRm4xZnNxVFNZNkpJaDhkaXQ3Z01sQzBZTWhvOXZXamxlUEZmSTlwR1oyQ1RINFBUQjVjRE84cUJhK1FlOTFtS0phQ3NMalFxWjZuQnBZaGtVcFRjdmRZUXRaNWlSWFEwcGs3Rk1XZm5IcThPRXI3TWM4Ykl0cEVESDFBdGNWZGQrenNOTFJJVE5UMDdZQnBzV2lkdGJnTkE2Y0Job1ZUdXg0OU9PZFcvMXV0K3NuSy9VbSsrbmZCZkpvOVhDMVhvenFMUjdMT29iMzgrT1BTU1puVE9kYi9XUG1hRmhIaDZjcGlaR2hHOFRnaGdmRnVwZnVRV2FxbmxhTFhJaHdsc25QbHZyWlJyS0NtUUpkNGpDREJ2cGhac1o1UXlzQ0tKcmZBYXVEWDMzQnJYN0FTS1VlVkRCVWtDNUJhUFppU2Z0aDc5ZzA4Q2x1aTNnSXEzRCsvTGRiYVphRGMvdW1IQzZRRHM1ZkhjWXJMZHI5RXRKYndFc0xhRHJmOUl0b1UycmdudkFYYU9FVlpjYU1FVzRQUi9IWXFrVDBZQWxsTnpZS254V29hd0RpTTRTWWVZSk83Q1pHK2xxeUdqbTAvb0s5TnRlbyt2TllaZUlzM1VrUG9oUGxCOE5OOEFxTG0xMDNxRDV4MXN6V3NNTlpqMFZsSzJ2ZjR5RWszd2RLSGtwUTRsRDZVckNjUWwwRCtDSUhyeXlNRnowSVhQT0RTd2pTMEM1M3c2YzRoR3ZoQ3FKNkp3WGhhWmpONlFMWjlBTFdMWjU3amdUQlZZWktyamxwTDNVSDFuRXdDckQ4cVhGU0pGbDA1OUZ5aVBQaTJzR1BsQ2xhcDd4UVhadi95emlnRWt4czVMdUxydEhPTnRuTUw5Q2I4eW5QbWdjS0ZMQjlaT20vYVJ2cVIrWk1zOUQ5ZU5ZdHpocURraE9DdmVtUVZOOEh6cnFNZDFURWM1TXpoTEUxTTlLQ2VVaFhlL1JiMmEzbjdYbnUvdTI1WDVrRm55NDM3REU0c0tCWGw5NWNqRk9FL0tmTU8rVFRHNDlaQWJUdC9jVGZ4bnAxSllnQXo5cDlHdGlrUDViZExQSjFqcUxyTHB5M3pHMTFNQ24xNSszVmpYUS9VdTNRdnp2RU50dkJ5VWdWdC9TNkZ4V2N2Q2VnUEtVeG9BTGxlNm5DODFMdHIrWFYyL0hjZ3AzQVczem5sZXU4QWhYaWFWS0FOREt2bHdtOEhseHd5M2pTR2xMOGhnSjZPTHIzODYrdy9BTUwrNTdBSlNIWXRrYzdpZGpqVTl6bnorMGNBRE52N2NDVTl1V1hqdTVlNDgyMTR3a2RLc2dkd0tnRTBSR1VZeVZCNUV5RFl1a0FEQTdURjJ2VUNmZnZNOE9vaW4rVFRweW9RSjZFYjVPd0YydENqZUhJQkxKZzl5REpROVROcW52QW5TZHUyaTFwYnA1dnZLZ2Y2aHFEd3B0Q09LRzZEWWVkbDRoV2h3a0RhTkFGeTZJRWp6dEV6bGNrODl4bys2VUNCN09TcHR1R3ZVMzFmbnkwSVg2enFTRG5JSTFUQXhJTFhMTDhlenJUUTV2UXpwT0pIMVR2R25TRldTZTBLV3dHTWRpeXdvaDVwWU0yT0FncFZJdm05L1cyanlYR09qaEc3Y1hyWUNOR2preTczbjFqcnpuKzFHZ2N5M25JVDlhYTRzMFpNODVzaGhablJnbjhqNWNjSDBmWDFDaFhqVDVaWXFaSFpDZStpUEhMMXpkczN1NWZZVHhjK2RSTVlLbkFQT0NZWkdycTgrcFlwZm50b3BRSU1NbGtHQm4wcGZzYjFSMm44aTExYjVyUEFaZVB1VVhIdGZ1L25xd0pYNDg4Z1Y3ZTVpUkJoTkYvZCt1eDhiMzM1ZnRiejBvekMvNTR2ZGNuc3FKVURQd0RHM2VmUkJEWXZRK0JKUWl4NGx1ZEFta3RIY2Vjb1hBeE9ZbHMxa3YrajZJOEo1UlE1eFlkcTRxTnhhU2psYW1YYTBqSElQUjFjdFFhQXQ2Z3p6TXFGZUU3elROQ084am9Kc2t2T2lwbHZzSnA2bzk0YzFESDBrY2tyYzNTTTRUZThBMndtbi8yeFhTdkp2R3ZEVzVkUGhVSHpmSmRZUGNhbU8weFJ0VitHaitISGdOc3hWTzByY0FPZVBva09GY0l5ZE1CQ3pCcUlYdFZLRDlQVVI5NWlNMm1Hdkc4emVrbjgxVk9MTHZSY2dlcUNNUEl2Y0FJVFVOc0RWL3R3MjZ0bFpxS0ZjYUQwZGNjdkFUSHhLL245T0hxeDZRRXFZUlFKeks1L2hTRlhwUjRRb0tRQjM0a2hZeVRDRnpLRHVBZFJZdmt6VXN6Q3dPUjF4M2NIMkV5MTljUXhESUI4QmQvM0puNjdKWkhEL1Y1MTJZSlgxb3dwa2NDZjVRUytocVJHb0EweFZxMFZpWnJoU1E0U2FydkErQldyaEdNQWZGOElud1VzaE00dzE0Q0g1SU9YQWladVlOWitSMjJUdG94cFZmYW1ram1JQzNQNnFVWlppYzhUMC9WYmJ1WXJIbm44Vkx4bmZBVUNEN3k1eVhiaFhMYmxvNURxZmR4aEV6eDIySzEzU2ppQ2R6VE1UNGxKQi9sVzdYeVFUZldZeXB1NG4yVjFUd3kxbTk5RHRrNG9QRThOTnVnakh1NTNEQWU5ZjNScGQvT0JqUUVEZmxYZlVOZGV1WC82Q001R2hOdjVPMVhaMUlUWHY2UmFXTWVEU1dzcmNvSWdtZUVPTFJ5Q2YrbUZPbFZlSjNROUlNTjd4RkY5Und0Q2dzYi9rRlIzdGRCNjI3dGZBNmFRQTYwMWo5dDFJUytZM0x6cDVmQ1pUdkhvaWRIbXZMV1MyTW13bTBqS2RlZzV0VWNBWTdvNTVQbDliYlhRcHBJQlBFK0ppYUhxc1hOb3ZUaFcrcFdWQkxxam1MeXJSby9CREpEeXdLZ2hSVnZUcG90SEUzL05MRE9STVczZlBDTzVxb0U4bDVQbjQ1M29hYWYzZlRpQlVsVldBNWFxNk5Kbm9IZlNlTVVvVHNQdjNnQ24vM0VXM1BwdVRGZnNtTHhhMGY1UnVDL0JMOHZ5YUpUUUIvSGZYTmZURllQY3RORHIzNCtuL0JoMTZkOTRjZmVmMm9EWlJtQUh1ak93R2FobUVJMUxMK2JCdUlIRWl5RDN3clRIbnBEZEQ1S3FYbVJ4Yy9SeWtyNlNXV2REUHI4TXJIZVdmWlR1amJ4dkZYOEI3dFBnOEZUbS8zeDhjSVA2S3A2ci8wZDVPZ2N6bXovb1VvTm16dDkwL1dvRHRQeDZ1ekN2c0JnVCt2WTE4VTdhdUlTb1E3akJvSTJLbW5CaEd2d1BVQlJiSHpWRTZONlkvNnBoMisvMjdPNkZGTU4zenF2UFlFL0ZqdVZ0N2JHcVEzNFBGcU9vbjVySEVhYTNvdDVHMkFLYm1wSks4TFF6K3lkN2NhR01DUkJ5S2wzNGJlSnh5Z3ROUHFhNWlLK0E3bXlLRkNBY1J3S2c2MElqSkU3YlBvS2J2UWVCdGtacEdUd0JqOGFuS0x4S3ZBdUlKbWhRbDVOemFKTEVMcUx0N2pOYXJPeDR5TU43TkM2ZDBuSXhYUmFDU2FERGVMMkFOckVXMzNkMFN0cjBnZXFTL1FyTFZyRm1jRnVsMTlCOHBEWmJIVW5QV0d5NkQ0SnovVTI0MGF2VkFoT2tuYkRyVmVzelE2YThSZmh5WG05dzJVY1RCWnJzcEtDVEJjcTFjZUhHMDJ6UFFyQzR2T1lEVE5rbnc2SSt2T3pnUU5OVVd1bVNZR2F6d2FwTmR3dythRFo0WmtqWGtxb2kvY3FkSVBXeG1xTXUweEpiU2NENG9CaDdrcmJUTlQzTW1aaytXQWR2MGd1L2RSSGJGVGU1clBmTHhYbHhwVU9SRVlxSW0xUGxkRm5OUUo5cTFjV2ZIekthNDdkY2QwVk5JZ0dkdm00SXY2L09sa3k4NjlRU3dFQ0ZBTVVBQUFBQ0FCaVVmZGN2RWJSWmF3QkFBRG1Bd0FBREFBSkFBQUFBQUFBQUFBQXRvRUFBQUFBWkc5amRXMWxiblF1ZUcxc1ZWUUZBQWM0ZUdGcVVFc0JBaFFERkFBQUFBZ0FZbEgzWE9XOThLMkJDd0FBY0pJQUFBOEFDUUFBQUFBQUFBQUFBTGFCMWdFQUFIQmhaMlZ6TDNCaFoyVXhMbmh0YkZWVUJRQUhPSGhoYWxCTEFRSVVBeFFBQUFBSUFHSlI5MXdrOE52NE9nQUFBRG9BQUFBT0FBa0FBQUFBQUFBQUFBQzJnWVFOQUFCeVpXeHpMMTl5Wld4ekxuaHRiRlZVQlFBSE9IaGhhbEJMQVFJVUF4UUFBQUFJQUdKUjkxd2s4TnY0T2dBQUFEb0FBQUFUQUFrQUFBQUFBQUFBQUFDMmdlb05BQUJ5Wld4ekwzQmhaMlV4WDNKbGJITXVlRzFzVlZRRkFBYzRlR0ZxVUVzQkFoUURGQUFBQUFnQVlsSDNYS1Z0bEZQQUF3QUFZeDhBQUFrQUNRQUFBQUFBQUFBQUFMYUJWUTRBQUhSb1pXMWxMbmh0YkZWVUJRQUhPSGhoYWxCTEFRSVVBeFFBQUFBSUFHSlI5MXhSK2Zoa1ZSY0FBRWdaQUFBT0FBa0FBQUFBQUFBQUFBQzJnVHdTQUFCMGFIVnRZbTVoYVd3dWFuQmxaMVZVQlFBSE9IaGhhbEJMQlFZQUFBQUFCZ0FHQUowQkFBQzlLUUFBQUFBPSIsCgkiRmlsZU5hbWUiIDogIue7mOWbvjEoMTEpLmVkZHgiCn0K"/>
    </extobj>
    <extobj name="F360BE8B-6686-4F3D-AEAF-501FE73E4058-7">
      <extobjdata type="F360BE8B-6686-4F3D-AEAF-501FE73E4058" data="ewoJIkZpbGVDb250ZW50IiA6ICJVRXNEQkJRQUFBQUlBTmw2Y1Z6SWM5bVpyd0VBQU9ZREFBQU1BQUFBWkc5amRXMWxiblF1ZUcxc2haTmZUOXN3Rk1YZmtmZ09sdDlUNGpRdXRFcUd1aFFZVWhtSXJQQnM0cHZVYW1JangrR1BwbjMzMldGcWlXbTFQRVRKL1IwZlcrZGVKK2R2VFkxZVFMZEN5UlNUVVlnUnlFSnhJYXNVZDZZTXp2RDV0K09qWktHS3JnRnBrUDI0NmdSUDhlOHBMU1BPV1JIQWhKVkJIRThuQWVOakd0Q1lBaWtCMk9UMDZROUd0M21LSDRYRTZHRzdTelFLUjFOc2JaRjluSFdtWkNtcWY0VyttS3U2TTFhTkhsSk1RNEpQUEhqRDJvMWo0WkNzbmpremNNY3ErTWthY0lMTCtUSy84SmF2MWV1VkZ0emhYL2VyUGZTK3EwRWZ4aTRBcUlXRXd4SjNoTzhhMkdhLzVGWlg4ODZvSlh0WG5ka3ZhWnIvSzVhcTJHUWZJWDNGMTVWVUdoWlFadExrNXIwK0ZNZFdkNm1rT2FDNXFLRXdXaFNzenJScTI2M2RMdjdreE85amtoczdTcUp1QjlsODFOQWRNMnM3Q2JHWDNJREduOHc5cjJSZUdQSFNOL3BhY25qenp1THFyYXZ0QmlkWlBBdXZraGNhUUQ0S2J0WTltVWFoRDMrQXFOWjlLQ1E4Kzd4QnpVeXBkT01JaDNhekk1bHR1Z0crc0M4SG96Q2lBWWtDUWxGRVpwVE94c1RUcW43UTV2a3EzNEViZXdGTE1YQ1pCT0U0SUtlSTBGa1V6V2o0UlR5MDZkdlIzMWo3OHhkUVN3TUVGQUFBQUFnQTJYcHhYRWlVSUo2d0VRQUFRaEFCQUE4QUFBQndZV2RsY3k5d1lXZGxNUzU0Yld6dFhWdHoyOFlWZnU5TS93T0hlWkVUaWNTZDRBeFZEM1cxT3BiTWlyUXQ5UTJTSUFreFNYQkF5TEg2bE10TDJqcHRKL0drVFNlWk5qUE54TzJMbmRScFpweG0rbU5hU2ZhLzZPNENXQURFNGtyQUF1V1ZIMHhnejU1ejluYjJuUDBXdTYzckR3Yjl5bjNWR0d2NmNMSEsxcGhxUlIzdTZ3ZmE4R2l4ZXJ1M3RpQlhyLy9zcHo5cGRaUWp0Ykt4QWtnWVFOSTdIYW1MVmZpdVd0bFNCdUQzeXkrL1cyQ3JsVi9xK21DeHl0UWExY3J0b1dZdVZnZURhcVZqcUIxbHBCcUxWVUFDbUZYQUgyTFlNZlRSMkg2Qlh0N1ZEc3pqeWgwZ2hlVzRtc2hWNjk3VUc2cDJkR3pDNUVhVHJ6VVkxcDhNQldJR0hNc0VVMTBHWExQaFQ0YnFMQm1xY2k5YUJVd1dvMHRITjB4RDBSREJXdnRtZDlXZjNENHg5YTcyS3hVbTk3WnZyNFlJdWFrZUlnNU1TSHBQSDBVbGJ6c3FUaXJuRUN6cHBxa1BDQlRkZlVQdjkzY1E4NW9vTnpsR0pCSHMyZ1NOaGloTjFPZTZvUjBzcVVmYWNJZWdJVTdjSlNUZU1vNVdORVBkTjBHUDlLdldxazkybXRaTjVWUS9NYjNaZjM0eUdHM3FCeXFoVkRDcGE1NzJWWUpVbEdhM2lPUlAyam9aN04xVTc2dDlRcmJCWUZONVd6ZFFsd29tYVVNcmFiSXZnaUxlVVkwVmJXeVNNb0xVRzNwTWFuczhob255eEFBWmRmY1ZxM2dpTTVrRVJ1RSs0R25YS2xNTEVBQ0p1T1lZVDZYNzZoaktYOVBVL2dHazdpdW5sZTZ4L2s3bldEZDFwNk5YdGxEWHhvOG9zYU9QSWRNS0dsMmdRa0NwS3RZUUF0WE4yRVEzdGFIcUVQYlVCeWFvSTFNREJYSllUVlFEVWdQSnR3ZVJaWjhjaTNUMjlTZG5mL2pJZXJxOVdJWC9WU3RyZmVYSTRxK1pmWlhBR0RHL28vUlBVRFVBSzdaWTdmYTJmVldGU05iMG9WbFpVd1phLzNTeHVxbUI0VERXd1dEZFZVQ3BxaFdyQWtDelY1YjF2ZzRNM3hzQyt2TlhlZDBwUktLQ2NiaGdmM3YyNHN0SHVHQ29KRE5kTWdsUEloODhmdm5IeDdoa0srcElNY3lCT2pSbnNIaDI3NGZsYXpqbFd4MG9XaDhYejM2YTVaTEp1RTkrLzlYL2Z2ejg0dEYzTDU1OGdRdDRGNHpxWWRtN3B2dkN0bWlUaG02TUxlR2ExdSt2NmNaQU1XMEhhQXNXRHljdnJhOForcUIzckE0bUpwOVd4OUNHWmxjMVQwYVZOUTFNdWQxalZUVnhSVm8rRS9LcmJQTUluUmRzSHFHcjRuR21vRSt3cVJoZzhyVEtpaVo1N3d2Z0ZIZ2ZyVG5lOHdackJldzY4UHU4ZFlQZTJDMzY0b09INTU4OXdUWjFZM2hmRzJ0N2J2TlZidXI3OTV4UmpBcm9QTFRCMUgzZnBWdFM5dThkR2ZySjhNQWg2QTZWRWNudjhZby8rK1o5NkUvYWhpOU11alBGa01SYlQxN3BOalZCUEpyazNNcG9XWTBJaGZPdWNYcjN6eGVQSHZzbUlVU0dPaHVhakhsL2NWRHE2dUVoY0dWZ01pOFJrdUUwaHhJSmFjdjZjQWp5V3N4RndhTXNTbmFlTmpkZGJRWFlJUlJ0dUFmSEtlTm9ma2N6bGI1bW5rYm9MalFpZFJlWUNOMkppZDFqNFBGUHBMYnF0cTdPczBWa2pTWDAyKzV1REdoeTFDQjQxZ01XQWZoOSsrcDQ3QlRxL0x2M0xoNy8xbDhrUXhtT0Q4RUFuYlFicmsvUE1FR3I0cnJ5RWlHMVBUd2lPWXdvYmIxais3ZWlFSktLSEZ5dTBReW1nZzZNYzhOV1E0NTB0Ykk1NmJWNmlCRXozay9NRWF4a1h4c1J2RzZjUm5LNjY2UzZheUd2ZDBVeGxZQSsydDdHQVdyZENUYWtISzNsamc3RzUzaVNpZlhhYnM2T3lXSmJZM1VJWm5LR1FKbENDb2JTRXRaUDNSSWNvdzZIalUrc09ySHQ1MnBIYUpKazZ2Q1dPbndDZGRCTXNvMXFNa2Fidk9wS3NKUVQ4cTByeVZ1TVJMbzVyM3lUMnFZMjNwL01lbXZ2YldEWm9MSm9mRTUwNG9rY3JkWDdLcUg3b3JjcmhoT0NWOWFDZ3lxUTBiSjR0Zy94aXhOdC85Nm1NcjRIRzZJUjhJY0Mza1pYNzJzSHhKckZadnlOdzBORlZBOFBEd20xNWZJTGp1YWhTa3pCcVhkVjhsS0NqMmhaUVZVQnZEMHpuS2lqbUtacURPMmhUaVJES3dOdHc5RGZRVlNNNDlrSlpQTFY0VUZ5WWxSVVVCRnhWUnFvVnBaaFpRR09Qanh0Z3I0TWhCMHJCNEJQRTNaVjlSQzZuS3dvN2t0azRYVkhlcUJ0UWx1Z1pjM0I0YTBERlFCbGgzRTcyYnFFTUdqVlBWM1JONG1DV1QzUTE5RlU3NHV1ZStEWDZnTlRIUjQ0b2tuYWhjM0ltTUEzTThjWkxaVEROMXRIMlFlY0kySUd4elRyaWVkaVg1WmtWaFJubVpqemdjV0FGVnZyc1RWVUQyOUNGakdac1VSUFpxdEtvblAzSHBoV0RCY1ZZQ0ZLb2l2ZzhnRXlsL3JBK2E3Y2FmZTFJeEJTTEFNYnB4cldpbzNWblN5YnhqYWFjUEpVOXJxbUR2eHRtZGhERUUvZk9HdkNmK0hsV0Q1V0RHVWZDS3hzN0ZobTF3NEhlOXBBSFZlMjFIY3EyL3BBR2VKd0VFeEthTTBQZFJRbk1JeVQwZ0ZDamd4bGRPeEk2WTdnRUxXN3FWMXdPT3NORDlZMFkyd2lHdkFBZ3pQbjk3WVZ2cUhNeXI2NnBJSXFWZDNuOXFFSi9kdUlQbW5GYk9PS3hWU3dRejFybW9VMUtqakJYWmkxd3cwV2tvYlNSNk5LeHlyajhrN0lNUGJSbXlPSDhPekRMODYvL2ZYNU4zOXQxYzFSbElqNktDd1pkRGF5ZWxZQzZtZ0JpemFSeFhyaG0yWFhWWDJnbW9hbUJneVpuWEpLRXJtbG81a2gzTC9jUWl1VUVRVExmWDJzSGtSTWsxczZYRUtKRkFHajB3Z09tL3A5dGFlSFZXZGkvdzlSSi9HeUVHRTlWQ3FhVUhQVko2Umk2cUdDa3FnUU1jb3VUMmlpbXA5S2d3SjZBbEZxcTA0WVYvaWxPd3h0cDRNVS90dUxIWkM5c3dqUUlDd0MrTWdzVDhUN3loZDE2a055M09uQ1VrTFRta2pidDN1M2xsYlhON1k2VzcwNWxOeFRqdWFCWXduK3V4YjBxVnpvQ2tiMkdSaUFCRXMrNzhwZjNWcEpuRGtnTzBsbUVCd1JhaVRCb3NtQ1pHa0p0VjZ3S2k5cUVRVVQ3MXJFdTVGcktwQjIvWFo3ZTJXT0laUVZ1MldDcllOVnhKMjNvQzdYaUI2UGY5bkZ6Yk1MOCt5RzVQRTRaZ3Q4bkFmbzljVFNMTWE0UlVVTGtZVGllbFpuNG9tZHhyWW1DMGlQeGhQTGNMVWQxS2pFcmtQS0lKRXloQ3dKd2RqWWp3U1RJMXBKbEhneFBxYjFyYUM3RlZ6cWdGUndmRXVlVEU0T1NFT0lzd2VrbGd2ckMwaWh2NDFXd2xrbkhHVUlDNTZJMVV6RW90UDZjYUZlV0dJL0x0eE5LOTZQeStxMFRPV3NMUkRXd0pPSm5jb3pRSzh4NEdIdE9BQmR1STkrWUt6NGFBaENLTGhUdzhWeXJORE9OYndSTG9ZUFlaQm1ER0hnWllvd0lEWVVZYUFJQTBVWUhFWVVZUWdRVVlTaDVGNGRSUmdvd2tBUkJvb3doTkY3RUlhSG4xNTgrdytLTUxnRUZHR1lYaCtLTU9TbndXd2pETTNDRVFieGtoRUdTWndGaEtFRUFJUEV2U3FBNGZYREYrUUM4SVZtODJxQ0MzRjRnUzhXalVNaUtMZ1FFWVpTY0NHTHZ6S1ZuL2FhWUF2eWpHRUxEUkpmaWkzWWJ5bTJVQWtmbmhSYkNOT09ZZ3NVVzZEWUFzVVcvRGtvdGtDeEJZb3RsQUZidVBqMzgvT25YMU5zd1NXZzJNTDArbEJzSVQ4TlpnaGI4SWIvOE5DTm1Rci9aWWtRczJQL1FCQkNJM29hL3RQd240Yi9aTzFvK0UvRGZ4ciswL0RmbjRPRy96VDhwK0YvR2NML3M2OStwT0cvajRDRy85UHJROFAvL0RTWW9mQS91TFdRNVF2ZldpaXo3SFJiQzJGa1A4WFd3b1lvWnQ5YUtBanA5aVZtUDd4QWxOTHNMVnhnaTloYzJKRDUxSnNMUVEzVnhDem5GM0J5aWdXWkJVUld0aTJHTEpOeWl5RkwzSk5JdHhoNnFwbHVNYVJiREQwY3J1b1dRMmp2YzNTWHlyckhrSjIxRTVJYlRNeGtSMEVHQ2pKUWtJR0NEQlJrb0NCRHViMDZDakpRa0lHQ0RCUmtDS04zUVliL1BYOUlUMGoyRVZDUVlYcDlLTWlRbndhekRUS0loWU1Na21lUlB5UElrT2tBQkFka0VKc3pBVEtVNGdBRE1Rdkc4RHFla0V4R0M1eXVROG9nVUhpQndndWVoSElFb2hSZXlPS3gwT09SRThBTHdvekJDNkpBNFFYRWhzSUxGRjZnOElMRGlNSUxBU0lLTDVUY3E2UHdBb1VYS0x4QTRZVXdlaGRlT1AvWGgrZFBQcWJ3Z2t0QTRZWHA5YUh3UW40YXpEYThVUHdGakRMUG9ZbTBzOVhibVFNMkg4eGt0WnUzbHVGS1BkNEpEZ3V4Yk9qamNjZWNZK2JaZWFiV2FGNjdGZzA2Mko5R0FENjdVN1BGM3p2WWszNm9yb3c4d1pRSFRPVXducllmMFl4V05CblA3TUFGeTNEcFBvOXc2ZlA5UUlKTkRWN3d2aXNoRTRNWElwdm04NGdKNm5MQUYybS9qaWprQUdhZVp6aytyNWo1OEhDdndRWWhnRExHekNGMm1ZSWdkc0ZtSkZ6bXBneVhCZGt6Z251ck83MjdHeXU5RzNOMlJFaXcrWmlGYTAxNWZvTEhqZFdOOVJ1OUpFeFNoZFFMQWxkckNuSkVqSUtOYWlTKzRUR2puREJGOU14SzlwZHROSDZlTW42dUxOMXozaHlpUHhwUlR4ZFJmL1BsK1QrL3VuTGhOQVY2L1VrNXhJNWhobkxLZ0JFNTJLV1ZIRVpTTExwdFk5bFR3dHVFK0paMFRuKys4UzM4NmkwNnZ1VnFuZmEyNzlsRzBHbzczSHpnM1M0WEcva3lNWkZ2TGdMeDlVS1NWR016Uk1Xc3hCWVFGeE80Wm8rTWVibldUQmthRjNKMmdDU0xOVEg5MWo1ZWJHWTdQb0J0MWdReFZZaGN6aU1FU25GTEVRMlNnNDFGZzJRYUpKY3dTSTZoc1cwZHNNWE5LRCtKaHNnMFJLWWhNZzJSdlJ4ZTN4QzVVVWlnaWp6ejhvcUdjY0NzQnNsNEJOb2hNa2M2Wm1ZYmFLREFxZFZ4Rzl3WDZXSXNsaXRtTXpnckVXNnNTM3lmblZUV3plQkpndzc0WFdCc3lESFRYeFlWc0JHVlhCOVh3SWVmZWw4b1Y0NTlvYkhEMHBjbCs3NVFpZTRMeFR6cHZsQ2lFbVYzMFM4ZS9lWDgyUS9RVVgvNjdNbzU2ck85TmZSU0hQWEVKcnk0clpqcFZDaCtZK2JsYncyOWxPOUlJMXgvRHpER2tiNys5Q0ppV2FBd2ppRzQzUzV3UmZUS0haaUo1d2tPbElNVlRlYk1EUG13bklVSDNOanR6SGxBbjNrUG9FTUFJTHpIT3NUQlBTZ1dlSk9WbWJmYXZmWVdOK2ZoUE8rUkdBVUhjWklmMTBtR0JzRTZTbzhGU1pQSVRuNG5QVXdaQ29FV05nMjlIL3lpMVhydnVNSVB6STQreHArMWtvYlRqZ3NESmZQNFdvbUtpaWhYVG9jZTlvN0tOVnVyV2hCTmRISjV3SzlBcmlDbWFKVmpTVDFXN212NkNYTFhPT1JJYm16MVFvcVFobmhaR2E3M1Q2Sm0xdmFKaVdmR0VKSVZiYXpzOVozcEZ4WnNZKzNPM0VaM2RiUFQyOFZMK2ZQd08vYjVNS1N2YnRkRmtqYkgzdzZIdG5tQ3ZtM1ZWZXJtbHB4ejJ5ZmFqc3ZVNHR3VmJuRXV4eGJIbjJlSGozTE9xbUEwdmhjc0RmZ0NSanRIYkVjK1UrdnpWN2oxK2ZTdGo5L0ZmbC9lUGxCR01CYTlFendoWWZMajhyRGplUko4RUQ3VGkyZ1VkUGZ6TE11QzNiU2dPNWNENXM3a2dibERGZ3ZvT2NIeUh1dVJHSFNWSWdTdWU5elBjQTRFengxejhIaThhVHhCVDE0THNxZUFQUVhzczZ3R3BsaFB3NjN0SEkxam14RHUxWmtRTGc4VEVza2txd25CampmUkJuQlRXeEV1aXhYaHByRWlITFVpMUlvVWJVVjRiRVg0VjJkRitEeXNTQ1NUekk0SUYyRUMrS21OQ0ovRmlNU0ZxWjY4UVNQQ1V5TkNqVWorUm9UdXdYTlRMeFBhWTR1QzluTEFsQUxieVVnSGx1ZTNuVXdnUUVqdVhOSWtvQmVKdHBQeFBCOXppbllvTG1KOUJDYWtnbEVFTWRYM05OTWlLWGtmRFFwYklkbmhsMGtLbXVLSVNWOWg2ZFk0UHpuZEdsZkUxcmdFWFIzbDhCbWgvTGZHSlRBd3ZreEpSeC9PRkRCbW1SZkpMS2wwbVl4dWtidmNMWEpudjN2LzdPSHppeC8rYy9idzAvKysrOTdMOXo1NThmMlRzOS8vNXVMdno4OCtmM3IrN09QenA4OWVmdmJSMmRNLzBRMTBOc0hydklFdXFhRXZjQU5kS2hVU1RETUZiMSs3ZkExZWRiQVRQR0NDSy80QVJjRnpQOUpsM004a01QSTA5ek94citoK0pybVI1aWlIUXM1eEVFUTJ3OFk5MER6WmpuRVErSFI3OTBwNWhnUHgyaVduQ3hFeWNDSzlwNGx1QlBFa2xDTThwZXVpcjl4amd4Yi9FdHdEOUxyZ2U1b0lma2F6K0lPc3hFeHVnbjkvL3hSK2hzd3kyZjBNcit4Qy9Zd1NYQVBaa0puVVRrYTJyd05tOFJaSUp2YkFKNmZqRURKd1Jad1FSYjBMNmwzNFdWUHZBaE9VMWJ0NFBTNkI1RWpuWTViNUVraVpsRFB4dVIvMEVraDZDU1M5QkRLZzNXdDBDYVFZK0VhVTNnRko3NEM4REorTzNnRko3NERNWlNNRFEzY3hYT2xkREEvUG4zNU5MNEIwQ2NxeFNZRmVBQmxRZ1Y0QU9Yc1hRUEtrMHo5enZnRFNYaklQdlQ2Q2svMzNWWUJuZkYrRk1COTR0eXZFWEpBUmU3TkVQZ0l4YmlIRlhJL0JNaFAzY1RDRSt6amNkK0gzY1NTKytISTZjZGxQVjBxMUE2T1lheVpsaWNtd0J5UGJSWlBwems0cXl6MlQ4WGlIMDk4U1gweEpBUkpQTlZPQWhBSWtIZzVYRlNDSkUzbzVGNGxsUmtoc2xpUXhsVFZESHlCaVdDcTR6UkE4ZzVrWERoL09lcktjSkJneVlqb0pQbGxVY0RsTHQwbnE2UVEwUS9seldmazNFeFpBemtWQS9nVmcrV1FGWVBNUkVGb0F1RjBsRzM4eFlRR0VYQVNFRnlCekJjbXArZHZON1dJK0tZVWs2NmVpSzRPNXpsOUgxOFhGUytJU0RtbE96RmhmWExJaG5ibTl1WVJEbXNzNnBMbUVRem9yZjU1THhOK3JQOHNJM2c0bHBCVVNNZXlZcWJwdDB2a2hxdHZLektRN2xrQldJa1BsRThVQ1VZMm1WeFFLL1p4NXNGWHZLRWR3Z3Z3L1VFc0RCQlFBQUFBSUFObDZjVndrOE52NE9nQUFBRG9BQUFBT0FBQUFjbVZzY3k5ZmNtVnNjeTU0Yld5enNhL0l6VkVvU3kwcXpzelBzMVV5MUROUVVrak5TODVQeWN4THQxVXFMVW5UdFZDeXQrUGxzZ2xLelVrc0Fhb3B6c2dzS05ZSGlnQUFVRXNEQkJRQUFBQUlBTmw2Y1Z3azhOdjRPZ0FBQURvQUFBQVRBQUFBY21Wc2N5OXdZV2RsTVY5eVpXeHpMbmh0YkxPeHI4ak5VU2hMTFNyT3pNK3pWVExVTTFCU1NNMUx6ay9KekV1M1ZTb3RTZE8xVUxLMzQrV3lDVXJOU1N3QnFpbk95Q3dvMWdlS0FBQlFTd01FRkFBQUFBZ0EyWHB4WEhBeXNwQ3hBd0FBWXg4QUFBa0FBQUIwYUdWdFpTNTRiV3p0V1V0djAwQVF2aVB4SDFiYmM1czRqdTFZaXFuYTBnaWtCcFVtNG5FMDlqcXg2dGlSWTJqTGlRcy9BQW4xQURmRWdRdUZBemNFLzZhVS9BdG1INDd0WmhPbDZrdEIzajNFR2M5cjU1c1pPNVBtK3VFZ1FLOUlQUEtqME1MS1doVWpFanFSNjRjOUM3OU12TlVHWHI5MzkwNnoyeWNETW9JckJJdC9RNC9zQWJIdytNMkhzL2RmTUhwNDM4S3FqZ1ZMeHJZVkJWR01PbjNialE0c3ZGSlRxbXhoSWY3bitQdjQwekVYYjZoNWNhYUNTWGNjWm0vRGNVaVlhS0RFZytVNG1vb0Z6V0Ewd3pRVnowdHBLcVBWRlUxejlKVFc0TExFZEJVanBkVTRuMjY0SGtscENxY1IxM0MwbEZZWGRnMWltQ2xOWjdTRzYxVEJibVZSMzRzK0daTHpxQkw3RGNrWnVlL1ZxbXFhYnRGM3o5TWJ1bHIwdlhoR1BYK2V2Ty9OU29iYkZKcmJFRDBuRWRpRjVBQXhxaUtEbndrQjdrUFNpdUtCbmFESEwzMW52MjJQOWkyOHFwem5aTnd0UHdnRWMvZG9DQlk2VWVDN010WXN3T2lKT0FoZEdHVytRenBQWWNMUGw1bVIzZDd4UXpMejdvVGpLZkY3L1lRYVY5WjBXSWJVMW9SOXl4NVMzbFpnSi9NWmQrMGtJWEhJNGluM243RnVrcDRmYnNSeGRJQTYvbXVJVkoxRFVKMHRzaDI2RnhOZ2dZQlFMWUlGRThqam9iT04wUjd4NEx2SlZoRWR5R3phRlVDek5zZUpTdXFGRk1tNVdEVjVzczdIa2pjbTFJNm9JM0kvbXBVNWlwcVZYSXJmUXZaMy9UQ0J6Z245bE1lZHNEMC83amRTRldVOUZPcGhjU1NZYUpuMnk1bjJhcG4yVjR3UVUxbVd3d1hlZ2NyMmptNjh2YXMxdWhkNzNUSEwxeDEwdWI2dlQ3cUtTK2krL2I1ZlcxUHBLcXVpVUJXYVFmZGlWV0dVVllFdTEvN3JCdDJMUmJzeDY1VGxZK0k2QytJS0lHSTZsN29nV2xHWW5KOHVTYU9sbUhUTHJTOFQzN3ozc2l1MEM4VXJpYXdZNTNHd0pOUFpNQVE2cU01UGM4OU92cDUrL29IRVdFK3JTOGF5UW95UE4vK0hWcUZldEZVSWdmbzEvWEpTY0JGdDBUUFk2RHpmTUdyTDNDVm01OUZrQ2kwWXBqSzNTdzdUT2ZUcDc1Ty92NzZOUDc0ZC8zd0hVZHNJL0Y1bzRTMFNRaUpBc0lDUm0rY1AzcW9ZVnNNZCswVW5pWWFzMVU1bmVGWnY0aCtMNlFGLzM0NXRCNHdnZ2NWS09vVnUyUU0vT0xKdzIzZmlhQlI1Q1hwdVB5QStXSDdHSE9BWnBFaDA3b0xLWG13UCswZ2NnejZSUW5lSGVBbDNuU3NBMGg2dEhLNXRTTEdrK3ZpZGxoK1BFaGtpemJZZFE5cVBrSkFGM1YxNmZ2amNqSklrR3JCTGJtczZyMW5qNWtEdGpLUkprekVnZXNuUm1Zb0IxSENQK2MzWTAwZ3M4b1l6QXdpZUw1bngwclhTdFdWeFRTbTRKdjFOVUVidEZsM0wzeXAyUGZHRW9vOFhRUlVVK0NhdTZCL20vd0JRU3dNRUZBQUFBQWdBMlhweFhJdnp4amw5RlFBQWJoY0FBQTRBQUFCMGFIVnRZbTVoYVd3dWFuQmxaOFZYYVZSVGFaTU9BaUlnQkdRVFJQSXBzaXFpc3RtSXBnVUJKVXBFQkFTRU5OTElKdEtJU0pTWU5Qc20wQzdBSndwUldkS3NFU0dnR0lraENXbmxRMlF6RUpTUW9DeEM1RjZGY0NYYnhGbSsrVE0vNXN6TU9mUGVVei91cVRydnVjK3RxdWVwa28vSnAyQTZQbDdIdkdCS1NrcXdYeFFQVEQ0Qjgvang5cjg2UHk3NTM5NmhKSDhKMDkwQWk0T1ZLU3R0aDYzVFZWTFdWWkl6WVFnWVRFbjEzd0pnLzM2VTFpbXJxSzVYMjZDdW9ha0lvT2pBMWlrcEs2OVRVVlpWVlZGUmVLOHIvREFWWGRWTjIvWWVYcS9uRjZHMlBVbC9YL3JOaHh2TTNWdnBCcWNHZ1IwTzV5NWxxR3NZR20wMk5yR3d0TEsyc1hWMGNuYlovNU9yeHhGUEwrK2p4M3o4VHdjRUJwMEpEb244TmVwOGRFeHNYUExsbEN1cDJLdlhNck95YzNMejhndHUzYjVUV2xiKzk3c1ZqNnByYXV0SWY5WTNQR2xycDNSMFBuM1cxY05nc25yWmY3MTZQVFE4TXZxT016Yk81UXVtUDM2YW1aMmIvd3grL2JhOElscUZ2cS85d0tVRVUvNG45UDhTbDY0QzF6b1ZGV1VWdFIrNGxOYWwvZ2pRVlZIZHRuZjlwc04rYWhGSmV0djNwVy9RZDcvNXNKV3VidTV3Q2pBNGQybFF3M0NISTk4Qy9BSHRYNUg5OTRCbC9JK1EvUlBZZitMaXdqWXFLeW1TcDZ3TFE4SmtNdXRIQmJEL2E0TjRndkpleklReS9aQmxPUnBBTEFiWDRhS0FKamxNWnpsUmF4Ni9BeUFMbmFiUW1uRW5JZVVBQUtSU29kdUNSQzJKRjFDU1ZlNXphQXZvZWlpekJUckE0UEp1VU81ZXZtdm41c2x2TE5FZHNIaVhIalZiZ1JhaXhUSHpzbTNnbFh2VFM1Q2xXdS9PU2pVdkFud0M4bWNTVldpeGlXTnltR0FEZUdldHFPalQ1UE5VYVFtWVBBMWYvSFNkTDBRd3lnMUZYUkhQUmlyQ0lnTmYwQXBRZGtxWDUzWW5DcVNhanlwZFhobldsQWE5NWh4RTFWc3R6Zy9QK055dU5ZdXk5bmxDUFh1OU5pNmZOWGc2OWxReWJ2V1RUL2x6MVM5aDQyeWRCUjhVMTdWcXhTY2h3ckpTOEhqZTUzNUVRYmVGeEVFTzA0b0hWMlUzMDhYSkJQNUxPU3dqbHJETVdQakdFNVZESkxCUWxDZHRQTFJPWWdFUzZlaUphQkVhU0NsZlpJbkRKQ2M3QUJaYmlPSXZwYmZoemtIcGZIU2VITmJLeWFGYTJJQ0VSVjF4Q1BaYlFFWGZ5d3BNc1ZzUTZmMFlKQTVySGY2RmtBZkdsWm1aam42NWtEMURGSC9BT09GdzBwc3lOZnpRR2kxZDRnRUdvYUFNdDJQQXRDK1lVelMxcENmWkE4MkRuQ21yQXNjWGNJSHFRT1lTTmZwQnZ3RHp1eHkyQ2I4bHZxczNYYkJGRHN1VnFZODRhY0ZEUjV6c0xGWVFtbk1jY0p4OU5VcC9ldmhWRWhhbkhlVmhVQ2lhN0xtZnRQY2U0eFFqa0t3ZTBQT3UycmZXOWt3N01GeHBTOW5tWnp0NHg4anUvYTlEaGVEK1FxWGkvbjFuOGNwMkxLbkgxdnphRFJFZ25xUG5QZWJyVkQ5eVNmVDBweUZtRDVEMTRJUEdIL1ZMd2I0dVhiS0xic2hIK0FtVE81UDZKV0hTQWxvQ1dvdmRoQzNwcVVqTko5MldhY3BoNHFEUGd4Q1MwY1g0VEFCdVk4czhoMlhPZHluemJvaXRkVlZETVJWbk1YR2NtdEZISjNaL2JLNTgzeXE3SjJNZ0tYQzJIQWJIS1hjRHQyUnNRb2NjSnZ5SkJPbUo4cVZ0TWxNb2RUcWdzOWQrZkF0ckVDTFI1VEJ0d29XU2t2RDFRR0RacEkyMFZnNjdhSzhzU1FFM3lsU0E4dHhsVEc1bkNKdFpvaDI2Y0MxN0lQdjhzOEpUb1BaZGk5dzhDb1pFNEk4aG41Q2xxb1FMY0Vtd21rUS9WQTU3Vk5kTmdleUFVUDdBNGlvdzZ3WDVBZFZlSTVmdFZlWkNTZ3FkN2gwNEdNMnEyZ05PUGt0dHdTNzFtcXd5NGNZTDNOVWJzci9GVDFxRDVBSW5PVXdmeTJHWmJRTjNQMnZCbGpOZE81cnI0N2lVVC8zOUg0ditwanozTkJmNTJzR3RvMHBQMWR0NEpXOUdoK1htWmE5ZXpuLy9HOWlEZ3U5eXRFaXY4RFY3TjVaRk90WS8waGhhMFZhNzBVa0RhZGZqNXNDODZoeDlvemZhbUxJeDNMQmJQV0p1NnZGNDdxYkkyRlBrbGRKZ2dZbGc0NERqL1IzMWhEYVNWNU85cjg3c2piclBwOHUvK1VjaEZmK3ZnS2Y5QmU4eWo5RW1KUEFLRUhxeTdUS3VIRWJwektDbUFkMGNtVWFKMkVQMkQyZGlteHpHd0tqak9VUXpuSEoxNkhzb21jOFd3aEgwK2FBcE9TeFRZczRucnpzTG9maG14RFREenF1MTk2VDJmdThNMC9xdkxMQlg1dVN3dUFYMGVLcm9MVlFQZWl1aWhXMWlFNGc4UlZya2dQRUNOSDFBZjVKQWoxWUU4YmdCbEFFRTFwcy9VT2ptWGZ0aFlFcHFOTjNNeWRrMkxEblFHR3R5OGNFRlNYUmkwN3paOXFJY1l2MmNRL0RCVDIwRWQxZU9SQThwOG4ySDh4UU02RmtRaFhyOFF0NFdiRjh2UmdmblVTdHhsVDVGSml4bFY4SExlNUU2Vkw5R2lOZTdObE0raGNpaHRYdG51Mm54WDBuOHByVUlaMEhuMWtUK2dQYThjOUMxU1hKOW5IMkNxTEV2Zjhjc3BRU3k4RjVNRmh3MFB3MnM1amNUNGhBRzJNVHdZWEo3b2c0VXlTSUFKOUdRTlR4ZllpODRDRC9kVWNZT2ZJczd4bTlPRTFVcUtrRm56b1NWdFdxQ2IzMjRFSEpkZExzeGxtUGtiRkpVMlYvSmZJdWtaQW9telJoL3BsMDRGQjFtZTNvSytOYjNGZE00bk1RNCtkREM1N2ZTWFVlcWhUWm9QYVB3WnErRndEOXJxcmI2TWQ1Ky8wZjBPckFaZDlHNTJXekhRMjk0Zm4rVmMzYkFQUkNYOVBjTENGSHoyV3YwWVlhM2k0eDVzajZ6Zm1OTGswWHBTTzFHQzQxRXVNbm1jbjhEcEpxMFN3NUxzT2RHOWlpNHhsNUlFQ0EzeWw3U09wYm9TN294aERZamRwRy9PL1RzS2dnWHFlZHcrSUhrS0lERzBwdm5iV3F4aE9MRmw3Q3piSUExaFdvdlpObTdaRkszQ2V4MTNSM0pEcWloTDd2TG5CQ1Y0WFlBUm5pNEJuY2NKR2RUYmNSN1pPL0Q5MERKRHlFMm5XdVZLYk9oU1l5OFJaM0FITWpKV3Zucms1a3QrQmp3VkdSZk00bU1qY0xwN3M4NmkwME5xRG9SeERRa082N3RQSkcwOFVvUVlwakVUTXlkMUlZb3dDcWJvTkc5UGVZMzdEMitITWJrclllcSthdkZWSmZrcExUWUJBRmNEVHR3cEJ1WXpWOCtVTmpzUE5QbjE1RVpPT2kwYzBIOTRpNTdPL3VJWW40TjVWbEdTdkZweWFaQm1TR2VqbFNSd0VHZlZWRUxtQ2pSTCtHWHRRSThRYXJRY2EyV3h5Uk13R1VhaldTV1MwOUpMdEZBY21SU0JTUm5TZnlCTnRZaGJRQmRLRkVWMkdldWxmOU9EWjFhZ3J4MlVVTmJZcStGeVVoVDlnYllDWUVSY3ltSHBrZjltZWJFK0Q0VGRPY3RHYjJuYko5MjdiSFRXWStmNGxxNjdrVDRHbGdJelNLTXJMc2M1NEtJWDJvMzIvbzN1OTY4bytCU1JOUDBibE9CcVF3TFg5elZXNmIwbHBSWEhYYTZGOVRlNUYrZnovd0YzM3pxMWwvSnBqVHVhR0cxUDN6emRLQmxaZXVsMHpZOTdkVit2eUdmcExJUTNMUXBtdEFZMkgwOVRSUWpwVWc4QmVoQ1pCdFNlTDBCNXlHOTg0dENqRExaNHNpejJDdmYrT1c5NkxFK0ZKUUtvbVI2OElrRG9ocm9PdEI0M0NTOEJGVHJkYlY3ajlTbUxJT2hOT1lXRkVwb2hSbmVaZTlrcjUyV0t0d0xvcWVOaEhCeEFHNDlkR0lhbVVIb0dGaDhPQ1cySDg4VlBZZXFFL2l4aW1iRmFFdTBpTk1JSmx3RDV5MHRwanJ4YlpEOFBkSU1XanhtNitma1lFZ1BCYklMbGhjS0VYa21NbUxkejNLWUxuOTBsOXRQamUvUFNEdDlsMm1RRlMxSERvc2c1NGFZVllxUHhDQVIxR2dRTHNBVUorQ1J3UkluMEVxb0t2YkIrVU81b0RIaFBNME1Gd1d4UUxXWEp2Q01RN29TbFBSQnQ4T0hPZGVndkc0ajJTdWphLzBkdFpHUG9FUUJtMWtFRjEwQ28vTzdMYUNkTDhQM0FkNU1kQTVHVzB6V2xTZ1lPK01YQXYwdzNsTFJvS0dDMVFJNGl6eis1SUQ5aGxkSmp5Um9hUk15RW02TVBZWGdlalBsTUExSE95UWRBWlJDOFV3RWJBV3gyUVAwWUYvaHFTN3Z4S3pYaW1UZW5JUldKR3JWckJxRzRGNi9KUmRmOGYxTm1IK0JlVkd4bnJGN2pwR3FLN2JKYmMvZlhZb1pJOFhhM2RwblNGbjFOdnpUOWVkcWpiK2QyMTV2KzBmc29JOXR4cHNTK0d4aE9taU1lc09YMWhkVVdkWWhYRWxGL2RHNTFhWVhFMWVhdG1wc1hvTWF4cHYrakFDZys0ZkNzaXVQcCtET3pqZm9sTmsySHhNSHl3N0htcUNGckt2MU9PZjJVVnJFMGdUYXF4WDByZFdpbGF4RUtWZzRBeG5YN3dQUDdvcU12elUyVUIvR3BZTXRPM21iVHhqbWJlTlVEMHNjVlBvZFhsbmU0dXg1ZjZTdFg1d29oNm1NM3c0ZDNpSWFoOUt1VDVma3kxeUEyUjdpaEJvS0lQeHVBVkZBakNDb2w2Z1BwZlZ3T1l0aFlsTUplc1FOYVZTQzM0MGw5MDRlb0EyRnNnazZrbGlCSnNvdWlGa094TjVlV0wxU2NTNGs5bFY4dE5wQU9GeWEwYTBhUit3MEV1b0NlRG1NSllkMXFDZ0VtS29wdHNIM0VqZmhkdko1RUpZZzBWOXZ2MGd6a1FSQ0w4UllMSWJONVlqYWtlM3ZyMzFhRXNteWdXaCtjNG5vU25YOWgzbFhqTVNjRUR0NHdYR2hQekw4NlNqeUpGNUoxcy9iSUllZFQ5U0dxaG5JRGUxRS9iRmdMSy9YSDNjWUxLNmZMaWxBNk12MllobXNRM3Z2OWNnTWdKODVDc2xGNENKQlVnazF1Ukdkb0pBZ1pjaUQ0WHI5eFZKZTNaT2haYlQyL0xVcmxRbng4UmR1Y3J6U0ZEb2FjV2VVSHJGbmJLQVpiV0F5eUR6MytPNTFSUFN4TktkRjgxMWJqend6ZjJYanZod1daRHRxNFBPTlpIS1N4T3FoN21SKzk3M3ExdWY4Wmc5MFE3a3ZhZi9SVDAvUDl1V0Q3WGhLcUxHM0hzcllPa2s3dnVMcHlFTjNQYnI3NllaVGVQcmgxdzdOYnA0aDNmT2Ura0YwWW0yMnZ0L1BxdjloQm1DSk1Ld1dPODFDL0FvbDhXbmpsdlpjRHpyUmtLbzh2YlJlY29ialJDd09RZEI1R2hDR1lTalNEWitUYlJyZEh0bUE1WVEraDlLYlBqamZVNTNOd2pudGNOVXFhcWtsTk1lWHBWOFdPZ1FvK0d4cGtRejZUNjBLcjBlRG5TK0p3TStzVWJkSVBsS2J5NTFEdEo4dmxNTlU0M1BES0Jtb3hPeDNIUWwxV0JTZnlQd1E1T1hzbXNHTERVbGxGRjYvb2hCL005T256KzhqRE1JeElXTVUxc2ViWHZpaG1zb2o4L3dBMjZFQS9mUGc3ZzZ6bFBvUjBvclA0d2N2N2plNGx6eHVOUGxhWlZucVV3b3N4dzJSZk00VTNqRzVjY2ZVSXZpa0NMelI0RjlrSmJSNGxadlpVbnZBOXhRSnMrQTQ3WHZteGc3ejNFWlh2UnpiVFNYTEs1NkUvWWJJMWxVMjRnYXY0ektTVWpzZzJWVDlFdkdFTGJSWEpXZmowSHppeEU0QlRUZzduY2cxUHc2NEZIeVI2RVUrd0JiMFRJdU9RaDZnNWtzekhmRFhOYTlTUzlKVWFONERrSnhEZGFwSGJZY0UzcURMVGF0Y0ovSW9FUXFTdzRCVHZMVURtREhGNUdIQUIxZmxzRHBDcUxVYzF2YTIzcmswcnJpaDBXZGZGaDg5M3UvdVJ2bXBPc1FuNFFRcFZEUFgxOWFoVmhoeEtPYVRUUWkxbnZXVGZ6RkMzWi9ycys5R1pkeHlwYy95TFovTGxhNzJaWHZxVFk4MEhudTJ5M2VMV3FEWjYvQnM4SURvbzdUZ2tEcVdmVkpCeFBkRWRHbVpURmZ5ODlEZkhqOGJ4V2txdk9uUWlTbkU1dmt5YnZNZGs3THlwRCt4a2F4d3U2R1U1OVpPZHE0elhGbFA2TDNOMWRRblR6TStmNmpKT1BQeG9zbUVURVB4MFNxVEw1NTF0aW1tc293TVBETW90VHlacGFqZ0JIRVFUcTFxWm1ibXFxRzFuWENxa0UzZU5keS9zeWJKMDZUOTF0SFhlVTMvVUpJNFFmZkE2RUFvSGxTVGFiZ0FtWUpaaVQ1QjVDZTlMWWZGby9Wa0l6eE5hbkNOQkRQaVpnQ0lYN3BhekdaRlNSVkx5cmxtNXo2bW1ZNzBQakxHdm1UeUlPM3A0TzVGTjJRRDF2QkhaUWdTODVjbmFKdXhCR1pGYzFhWlZxSjl0bVBKYlprekx1RXhvaTFhR0ZhSG5aQnBvc1Y3OGFPdkJDVmpERkV4ZEpVLzhMdE1heEFaWmEreU1Ia1FJZ2xvdVhqSEowQ2xLRDFseXQ0TUttU2JWTkd1ck9YYzR5ZG92dXhTT1ZXVTdPZmNkSE15emlqamd4em0zWWMxeVhFdDFxZzlObk02b3JBbm9uVVQ2K3VucnoyZUhMcTMva2lrNlhHdzJMYjZ6TkZ2RWRWV0liL2RHZG56dVJhTDk3NExWUmIyZlR1TER6VzlsUjJkMlI4ZTVydVBHWDJUZFM3VzltbEl2UEVKUC81OXJ3Q1RoSE8yeDl6cmt0UW5OTU5PaXk2ZVNjR0lEM01vUW5oUGx4bEZRTkJiQ0VIblNKejRMNno4T0ZRUHdkWTB2N2JCNVlOcUhvT0xNeU5PQ2ZFaG94VDE1a1hIRjFhb3g1MVB1MGRTdGl6azdWcHNtcXFZbVlsNW1QK0I0Q3h6SU5EOTViQXA0alh2TE1jMHNyb2NSdmVrUlJhZU9JVXA0Q2t0OTlYakRvaFBTZlJHVXRTQU41MGdtejlaTkkyS0w3enV3dUNaWGpSL1M4WnRKWkNEb1VkcmFOVzVDdnhkL3QyVjY2aEFpQzUybTc5U1RrUjBHMFBSRW4xTnZpS05RYkt0cStJRXRrQU80MGFLRG9Ibk0rV3dqVW5pWTFZRmJnNTh4Qmg2K256Nk5HTFRQQUtva2NSMFRXYnpTd3cvRU9qdWJ1amFtRzZMZHhlNmgwbHozZHVmS1lSMEsvTEU2TzRFaWcxVnR6SFVuYXZGL291SWtNTXV3TWZGQXFOc3luV1hLVytKZ2FMUHBKV1NZR3lGNjN5NGRUa2I4WVRIV3RBeWJrbzVlbkZGMFZoWjhheXEvVU1jUDlmSmU2WmR4d3VUbXJiUEMvamtwb3ozN00wWW85ejlGOHRTczFqbnJIYjlTc29sK3haVVo1NEpqL1g2YlNZNTBTRGt4cWJRMExzdUthOXJ2cFMvNkwwZm44ZDNDenlSVzEzSzJJcDJ3dGFHR2dSMlJQam1oRDllMmZOYndFNzJydGNPOXdPTyt1NnY3Mi9BUnZ0NXc1MThEQnA4SEFmZW8zT1FuVmFMZm1CbnJ5dUJRY3RFZHNBWE84Rmt3WHF5cXZSTjZSUW1COWtPNzBsRVlObitIVU5OcEJFS3FnakpNRE1BTHpZM1Q5THI1dDl4WEZhL1RwenAyMXBaU2wwTjBqTFZQYllkb0FFbk1WeGxVVEtFRU8vQnhUeVdQc1E3NFBTaEFNVzhNa1hzZmFIV3cwWDNKbTdHR3JsM1FKbkpjTWFId0sxQmpEVzFiR29pTUR6ZGhOR1ovVW9KMVV6dzZPbEtYZndtUHZ6cVQrK0drRmdPVWhWdjJVS0NaN2dkaG9LQUNVRlpKMmd1Z0V2MHlIdzErZ0JrNDczNFhCeUtmNGMza3piSmRtQ0hUMEhQMWJMd1J0Z0Y3eUdjZ2RFaVdodzF2OWJSS0NDUDgwUlhvRmRUS0NiQUtxdHM0V0xOQm9JNm9XdytwWkIxeUJMNDhLYTZaU0FsT2FHV0p6MGdEc0gyQ1hKZklyaGlVVHdZTGFTSXo4cGU0VTJCTDgvRmxyTDMzWnBRQXJqbENJUnN3TCtXYlFiSVJTdUorWExZNDRzMWpoOVMvYUJ4Y2JEazJsdTNOUEtDb2F2NVFyY1I4Q0Y3TnZQaWcyR0pzV0QreXdQUTdzN1hQbjczaldpTmt6Mmd0ckpsTmk0Z0puTGY5Mm5FTHV0ZFB2VWFaejRUZytvYWZDdlZma0twbStDRzYwM2kvQk81K3kxY3l0U0trODUwNi9Sakt6OU92bWtKdThHS3FQOGxFbVBDTDZyTlpRNCszQmhtVzNxcGF6TjBrdVhleVBRck90NnkvKzlEbjRyT09zWW5EK1UraHJiSU5BNG9xRzlWc2VsbjVNaEd6T3llU2JzSWtRdVlEUXU4VnRyaVhuNllKcXNUMDA2azl5VnF4T010QVhRdkViSU83RlIwQkR4R1prSHM5WnVycU9ya1Y1b0xrT2xPVzVOUnJiU3ExUlB0WUhpaDA4aGVpNC9uYWNINFRaSUVhQys0MmpNRXpVNmhXYndjaEFuVlFMczU5VUgvTkR5cit4QkFZaEkwUFZ2T0hJNU5KanpxVTJ3aGNkdzN0ODJhb3hJSUVVbXBKS2N4YWtlR2FDajQ0ZEV2RWRHeXdGK2hqN2xNQXR6K3gzcWNUWWc2QW5CeVV6UkR5WGxtVzRrOXZNY2pISnJ1NHFOM3Y0N3NidjhyQmFJbVhaamNXTEIwL0k4NVJOelE4dk9GNTJsSDdSS3IvL2djbjVxYUpqNnNBTndKRG1UZ3JjN0tlRFFkMlJZc3U0ZW5RMVVTMENaU3ZaNEJuY1Z1Y0lHV0Zhc0tEbHAwM0JTdnh6TU9HWTllZElUcnhiaGN5eWxzT2x5SHZlM3hqb3I4RTBVS2Y4K09hcDVicXl1OU5JaVpYNzBDVEtiME9GNXFxcnBhM3Q0NzNHeDYzTHBwOSs3TkFWYnFZdWVHNUlpZDUyd3UwV0t0UFczZlZGZWFQQ20xOWk4MUhwbmxJM1gydXFFcUNWRm9tK3FjbWlkZDM3TmEyM2ZPZkNOcHRDZGQzak5JUDUwVHovaHVudEl3M0xqeTlFMVdxLzZvMFlabmFaZ0VEV1JEdTU4bmJ0dGFqSituUHV6L3laVGs0LzhDVUVzQkFoUURGQUFBQUFnQTJYcHhYTWh6MlptdkFRQUE1Z01BQUF3QUNRQUFBQUFBQUFBQUFMYUJBQUFBQUdSdlkzVnRaVzUwTG5odGJGVlVCUUFIU2dHNWFWQkxBUUlVQXhRQUFBQUlBTmw2Y1Z4SWxDQ2VzQkVBQUVJUUFRQVBBQWtBQUFBQUFBQUFBQUMyZ2RrQkFBQndZV2RsY3k5d1lXZGxNUzU0Yld4VlZBVUFCMG9CdVdsUVN3RUNGQU1VQUFBQUNBRFplbkZjSlBEYitEb0FBQUE2QUFBQURnQUpBQUFBQUFBQUFBQUF0b0cyRXdBQWNtVnNjeTlmY21Wc2N5NTRiV3hWVkFVQUIwb0J1V2xRU3dFQ0ZBTVVBQUFBQ0FEWmVuRmNKUERiK0RvQUFBQTZBQUFBRXdBSkFBQUFBQUFBQUFBQXRvRWNGQUFBY21Wc2N5OXdZV2RsTVY5eVpXeHpMbmh0YkZWVUJRQUhTZ0c1YVZCTEFRSVVBeFFBQUFBSUFObDZjVnh3TXJLUXNRTUFBR01mQUFBSkFBa0FBQUFBQUFBQUFBQzJnWWNVQUFCMGFHVnRaUzU0Yld4VlZBVUFCMG9CdVdsUVN3RUNGQU1VQUFBQUNBRFplbkZjaS9QR09YMFZBQUJ1RndBQURnQUpBQUFBQUFBQUFBQUF0b0ZmR0FBQWRHaDFiV0p1WVdsc0xtcHdaV2RWVkFVQUIwb0J1V2xRU3dVR0FBQUFBQVlBQmdDZEFRQUFDQzRBQUFBQSIsCgkiRmlsZU5hbWUiIDogIue7mOWbvjEoMykuZWRkeCIKfQo="/>
    </extobj>
  </extobj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B35CC6-FC73-4927-91DA-6C189D90ABF5}">
  <ds:schemaRefs/>
</ds:datastoreItem>
</file>

<file path=docProps/app.xml><?xml version="1.0" encoding="utf-8"?>
<Properties xmlns="http://schemas.openxmlformats.org/officeDocument/2006/extended-properties" xmlns:vt="http://schemas.openxmlformats.org/officeDocument/2006/docPropsVTypes">
  <Template>Normal</Template>
  <Pages>124</Pages>
  <Words>18947</Words>
  <Characters>19793</Characters>
  <Lines>254</Lines>
  <Paragraphs>71</Paragraphs>
  <TotalTime>64</TotalTime>
  <ScaleCrop>false</ScaleCrop>
  <LinksUpToDate>false</LinksUpToDate>
  <CharactersWithSpaces>19911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2021-05-24T03:38:00Z</dcterms:created>
  <dc:creator>Administrator</dc:creator>
  <cp:lastModifiedBy>**WXL**</cp:lastModifiedBy>
  <cp:lastPrinted>2021-08-25T06:08:00Z</cp:lastPrinted>
  <dcterms:modified xsi:type="dcterms:W3CDTF">2026-08-05T01:39:07Z</dcterms:modified>
  <dc:title>前言</dc:title>
  <cp:revision>609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97B558FF87034E2CA8310B70C24F517A</vt:lpwstr>
  </property>
  <property fmtid="{D5CDD505-2E9C-101B-9397-08002B2CF9AE}" pid="4" name="KSOTemplateDocerSaveRecord">
    <vt:lpwstr>eyJoZGlkIjoiNzY5YzAxYzBlMjVmZjc2ZjVkZTE0ODE0OGQ1NmI2MTgiLCJ1c2VySWQiOiI2MTg3NDExODkifQ==</vt:lpwstr>
  </property>
</Properties>
</file>