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1A10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  <w:rPr>
          <w:rFonts w:hint="default" w:ascii="Times New Roman" w:hAnsi="Times New Roman" w:eastAsia="方正小标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auto"/>
          <w:sz w:val="32"/>
          <w:szCs w:val="32"/>
          <w:lang w:val="en-US" w:eastAsia="zh-CN"/>
        </w:rPr>
        <w:t xml:space="preserve">  </w:t>
      </w:r>
    </w:p>
    <w:p w14:paraId="1D1C959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  <w:rPr>
          <w:rFonts w:hint="default" w:ascii="Times New Roman" w:hAnsi="Times New Roman" w:eastAsia="方正小标宋_GBK" w:cs="Times New Roman"/>
          <w:color w:val="auto"/>
          <w:sz w:val="32"/>
          <w:szCs w:val="32"/>
          <w:lang w:val="en" w:eastAsia="zh-CN"/>
        </w:rPr>
      </w:pPr>
    </w:p>
    <w:p w14:paraId="6AB00AFD">
      <w:pPr>
        <w:pStyle w:val="4"/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方正小标宋_GBK" w:cs="Times New Roman"/>
          <w:color w:val="auto"/>
          <w:sz w:val="32"/>
          <w:szCs w:val="32"/>
          <w:lang w:val="en" w:eastAsia="zh-CN"/>
        </w:rPr>
      </w:pPr>
    </w:p>
    <w:p w14:paraId="3159E16A">
      <w:pPr>
        <w:jc w:val="center"/>
        <w:rPr>
          <w:rFonts w:hint="default" w:ascii="Times New Roman" w:hAnsi="Times New Roman" w:cs="Times New Roman"/>
          <w:color w:val="auto"/>
        </w:rPr>
      </w:pPr>
    </w:p>
    <w:p w14:paraId="779AC0D6">
      <w:pPr>
        <w:pStyle w:val="19"/>
        <w:jc w:val="center"/>
        <w:rPr>
          <w:rFonts w:hint="default" w:ascii="Times New Roman" w:hAnsi="Times New Roman" w:cs="Times New Roman"/>
          <w:color w:val="auto"/>
        </w:rPr>
      </w:pPr>
    </w:p>
    <w:p w14:paraId="3E510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outlineLvl w:val="9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lang w:eastAsia="zh-CN"/>
        </w:rPr>
        <w:t>玉</w:t>
      </w:r>
      <w:r>
        <w:rPr>
          <w:rFonts w:hint="default" w:ascii="Times New Roman" w:hAnsi="Times New Roman" w:eastAsia="方正仿宋_GBK" w:cs="Times New Roman"/>
          <w:color w:val="auto"/>
          <w:sz w:val="32"/>
        </w:rPr>
        <w:t>环审〔</w:t>
      </w:r>
      <w:r>
        <w:rPr>
          <w:rFonts w:hint="default" w:ascii="Times New Roman" w:hAnsi="Times New Roman" w:eastAsia="方正仿宋_GBK" w:cs="Times New Roman"/>
          <w:color w:val="auto"/>
          <w:sz w:val="32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color w:val="auto"/>
          <w:sz w:val="32"/>
        </w:rPr>
        <w:t>〕</w:t>
      </w:r>
      <w:r>
        <w:rPr>
          <w:rFonts w:hint="default" w:ascii="Times New Roman" w:hAnsi="Times New Roman" w:eastAsia="方正仿宋_GBK" w:cs="Times New Roman"/>
          <w:color w:val="auto"/>
          <w:sz w:val="32"/>
          <w:lang w:val="en-US" w:eastAsia="zh-CN"/>
        </w:rPr>
        <w:t>1—</w:t>
      </w:r>
      <w:r>
        <w:rPr>
          <w:rFonts w:hint="eastAsia" w:eastAsia="方正仿宋_GBK" w:cs="Times New Roman"/>
          <w:color w:val="auto"/>
          <w:sz w:val="32"/>
          <w:lang w:val="en-US" w:eastAsia="zh-CN"/>
        </w:rPr>
        <w:t>92</w:t>
      </w:r>
      <w:r>
        <w:rPr>
          <w:rFonts w:hint="default" w:ascii="Times New Roman" w:hAnsi="Times New Roman" w:eastAsia="方正仿宋_GBK" w:cs="Times New Roman"/>
          <w:color w:val="auto"/>
          <w:sz w:val="32"/>
        </w:rPr>
        <w:t>号</w:t>
      </w:r>
    </w:p>
    <w:p w14:paraId="3C899E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小标宋_GBK" w:cs="Times New Roman"/>
          <w:bCs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73025</wp:posOffset>
                </wp:positionV>
                <wp:extent cx="5867400" cy="635"/>
                <wp:effectExtent l="0" t="13970" r="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400" cy="63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5.75pt;height:0.05pt;width:462pt;z-index:251662336;mso-width-relative:page;mso-height-relative:page;" filled="f" stroked="t" coordsize="21600,21600" o:gfxdata="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8wF5lNQAAAAGAQAADwAAAAAAAAABACAAAAAiAAAAZHJzL2Rvd25yZXYueG1sUEsB&#10;AhQAFAAAAAgAh07iQBtj+8L5AQAA5wMAAA4AAAAAAAAAAQAgAAAAIwEAAGRycy9lMm9Eb2MueG1s&#10;UEsFBgAAAAAGAAYAWQEAAI4FAAAAAA=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035F1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</w:pPr>
    </w:p>
    <w:p w14:paraId="6EC95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</w:pPr>
      <w:bookmarkStart w:id="0" w:name="OLE_LINK1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玉溪市生态环境局</w:t>
      </w:r>
    </w:p>
    <w:p w14:paraId="32EB2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关于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</w:rPr>
        <w:t>云南太标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  <w:lang w:eastAsia="zh-CN"/>
        </w:rPr>
        <w:t>精工铸造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</w:rPr>
        <w:t>有限公司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</w:rPr>
        <w:t>绿色智能铸造高端数控机床铸件产能提升与升级改造项目</w:t>
      </w:r>
    </w:p>
    <w:p w14:paraId="4FD06E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zh-CN" w:eastAsia="zh-CN"/>
        </w:rPr>
        <w:t>环境影响报告书的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批复</w:t>
      </w:r>
      <w:bookmarkEnd w:id="0"/>
    </w:p>
    <w:p w14:paraId="4E14E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sz w:val="36"/>
          <w:szCs w:val="36"/>
        </w:rPr>
      </w:pPr>
    </w:p>
    <w:p w14:paraId="3B7AC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云南太标精工铸造有限公司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：</w:t>
      </w:r>
    </w:p>
    <w:p w14:paraId="5A5F5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你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公司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申请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审批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的《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绿色智能铸造高端数控机床铸件产能提升与升级改造项目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环境影响报告书》及相关附件材料（以下简称《报告书》）收悉。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2026年6月30日，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经市生态环境局局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长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专题会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研究同意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现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批复如下：</w:t>
      </w:r>
    </w:p>
    <w:p w14:paraId="0B695E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90" w:lineRule="exact"/>
        <w:ind w:firstLine="640" w:firstLineChars="20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smallCaps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一、</w:t>
      </w:r>
      <w:r>
        <w:rPr>
          <w:rFonts w:hint="eastAsia" w:ascii="方正黑体_GBK" w:hAnsi="方正黑体_GBK" w:eastAsia="方正黑体_GBK" w:cs="方正黑体_GBK"/>
          <w:smallCaps w:val="0"/>
          <w:sz w:val="32"/>
          <w:szCs w:val="32"/>
          <w:lang w:eastAsia="zh-CN"/>
        </w:rPr>
        <w:t>项目基本情况</w:t>
      </w:r>
    </w:p>
    <w:p w14:paraId="3075969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9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该项目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位于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云南红塔产业园区研和片区</w:t>
      </w:r>
      <w:r>
        <w:rPr>
          <w:rFonts w:hint="default" w:ascii="Times New Roman" w:hAnsi="Times New Roman" w:eastAsia="方正仿宋_GBK" w:cs="Times New Roman"/>
          <w:bCs/>
          <w:sz w:val="32"/>
          <w:szCs w:val="32"/>
          <w:lang w:val="en-US"/>
        </w:rPr>
        <w:t>,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建设性质为改建。项目取得了《云南省固定资产投资项目备案证》，项目代码：2303-530402-04-01-716981，总投资55382万元，其中环保投资1683万元。项目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主要建设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20吨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一拖二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中频感应电炉1套、30吨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一拖二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中频感应电炉1套、树脂砂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铸造车间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、3D打印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铸造车间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、消失模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铸造车间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、打磨车间、喷漆工段等，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同时配套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建设相应的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公辅、储运及环保工程等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，项目建成后形成</w:t>
      </w:r>
      <w:r>
        <w:rPr>
          <w:rFonts w:hint="default" w:ascii="Times New Roman" w:hAnsi="Times New Roman" w:eastAsia="方正仿宋_GBK" w:cs="Times New Roman"/>
          <w:bCs/>
          <w:color w:val="000000"/>
          <w:sz w:val="32"/>
          <w:szCs w:val="32"/>
        </w:rPr>
        <w:t>年产</w:t>
      </w:r>
      <w:r>
        <w:rPr>
          <w:rFonts w:hint="default" w:ascii="Times New Roman" w:hAnsi="Times New Roman" w:eastAsia="方正仿宋_GBK" w:cs="Times New Roman"/>
          <w:bCs/>
          <w:color w:val="000000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方正仿宋_GBK" w:cs="Times New Roman"/>
          <w:bCs/>
          <w:color w:val="000000"/>
          <w:sz w:val="32"/>
          <w:szCs w:val="32"/>
        </w:rPr>
        <w:t>万吨</w:t>
      </w:r>
      <w:r>
        <w:rPr>
          <w:rFonts w:hint="default" w:ascii="Times New Roman" w:hAnsi="Times New Roman" w:eastAsia="方正仿宋_GBK" w:cs="Times New Roman"/>
          <w:bCs/>
          <w:color w:val="000000"/>
          <w:sz w:val="32"/>
          <w:szCs w:val="32"/>
          <w:lang w:eastAsia="zh-CN"/>
        </w:rPr>
        <w:t>高端机床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铸件的生产规模。</w:t>
      </w:r>
    </w:p>
    <w:p w14:paraId="10232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在全面落实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生态环境保护法律法规、《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报告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书》和本批复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提出的各项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污染防治和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生态</w:t>
      </w:r>
      <w:bookmarkStart w:id="1" w:name="_GoBack"/>
      <w:bookmarkEnd w:id="1"/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保护措施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后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，项目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产生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的不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良生态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环境影响可以得到减缓和控制，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根据《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报告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书》《专家评审意见》及技术评估结论，该项目建设从生态环境保护的角度可行，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我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局原则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同意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《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报告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书》的环境影响评价结论和拟采取的各项生态环境保护措施。你单位应当落实生态环境保护主体责任，防止、减少环境污染和生态破坏，对《报告书》的内容和结论负责，对所造成的生态环境损害依法承担责任。</w:t>
      </w:r>
    </w:p>
    <w:p w14:paraId="4EC8C6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/>
        </w:rPr>
        <w:t>二、</w:t>
      </w: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highlight w:val="none"/>
          <w:lang w:val="en-US" w:eastAsia="zh-CN" w:bidi="ar-SA"/>
        </w:rPr>
        <w:t>项目建设和运营过程中应全面落实《报告书》提出的各项污染防治和生态保护措施，并重点做好以下工作：</w:t>
      </w:r>
    </w:p>
    <w:p w14:paraId="002DE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Cs/>
          <w:color w:val="000000"/>
          <w:sz w:val="32"/>
          <w:szCs w:val="32"/>
          <w:vertAlign w:val="baseli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（一）</w:t>
      </w:r>
      <w:r>
        <w:rPr>
          <w:rFonts w:hint="eastAsia" w:ascii="方正楷体_GBK" w:hAnsi="方正楷体_GBK" w:eastAsia="方正楷体_GBK" w:cs="方正楷体_GBK"/>
          <w:color w:val="auto"/>
          <w:kern w:val="0"/>
          <w:sz w:val="32"/>
          <w:szCs w:val="32"/>
          <w:lang w:val="en-US" w:eastAsia="zh-CN"/>
        </w:rPr>
        <w:t>加强施工期环境管理，严格落实施工期各项环保措施。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施工期采取洒水降尘、道路清扫、物料遮盖、封闭车辆运输、合理安排施工时间等措施减缓对周围环境的不良影响；</w:t>
      </w:r>
      <w:r>
        <w:rPr>
          <w:rFonts w:hint="default" w:ascii="Times New Roman" w:hAnsi="Times New Roman" w:eastAsia="方正仿宋_GBK" w:cs="Times New Roman"/>
          <w:bCs/>
          <w:color w:val="000000"/>
          <w:sz w:val="32"/>
          <w:szCs w:val="32"/>
          <w:lang w:val="en-US" w:eastAsia="zh-CN"/>
        </w:rPr>
        <w:t>确保项目施工扬尘无组织排放浓度达到《大气污染物综合排放标准》（GB16297-1996）规定的要求，</w:t>
      </w:r>
      <w:r>
        <w:rPr>
          <w:rFonts w:hint="default" w:ascii="Times New Roman" w:hAnsi="Times New Roman" w:eastAsia="方正仿宋_GBK" w:cs="Times New Roman"/>
          <w:bCs/>
          <w:color w:val="000000"/>
          <w:sz w:val="32"/>
          <w:szCs w:val="32"/>
          <w:vertAlign w:val="baseline"/>
          <w:lang w:val="en-US" w:eastAsia="zh-CN"/>
        </w:rPr>
        <w:t>施工噪声达到《建筑施工噪声排放标准》（GB12523-2025）规定的要求。</w:t>
      </w:r>
    </w:p>
    <w:p w14:paraId="5F10D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（二）</w:t>
      </w:r>
      <w:r>
        <w:rPr>
          <w:rFonts w:hint="eastAsia" w:ascii="方正楷体_GBK" w:hAnsi="方正楷体_GBK" w:eastAsia="方正楷体_GBK" w:cs="方正楷体_GBK"/>
          <w:color w:val="000000"/>
          <w:sz w:val="32"/>
          <w:szCs w:val="32"/>
          <w:highlight w:val="none"/>
          <w:lang w:val="en-US" w:eastAsia="zh-CN"/>
        </w:rPr>
        <w:t>全面落实清洁生产要求。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在设计、建设和运行中，按照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环保优先、绿色发展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目标定位和循环经济、清洁生产理念，采用国内外成熟可靠、技术先进、环境友好工艺技术方案，选用优质装备和原材料，强化各装置节能降耗措施，减少污染物的产生量和排放量，单位产品的能耗、物耗、水耗、资源综合利用和污染物排放量等指标应达到国内同行业先进水平。</w:t>
      </w:r>
    </w:p>
    <w:p w14:paraId="403DE50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90" w:lineRule="exact"/>
        <w:ind w:firstLine="320" w:firstLineChars="100"/>
        <w:jc w:val="both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（三）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</w:rPr>
        <w:t>加强废气污染防治，确保大气污染物达标排放。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项目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铝锭熔化、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烘干、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烤包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退火炉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锅炉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等采用高炉煤气作为燃料，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项目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中频炉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1#混砂系统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产生的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废气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经收集分别通过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布袋除尘器处理后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，统一由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1根不低于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米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高的排气筒排放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2#、3#混砂系统产生的废气分别收集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通过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布袋除尘器处理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后，由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1根不低于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米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高的排气筒排放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树脂砂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铸造、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3D打印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铸造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浇注工段产生的废气经收集分别通过布袋除尘器+活性炭吸附/脱附+催化燃烧处理后，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统一由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1根不低于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米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高的排气筒排放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树脂砂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铸造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落砂及砂再生产生的废气经收集分别通过布袋除尘器处理后，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由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1根不低于30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米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高的排气筒排放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3D打印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铸造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混砂、清砂产生的废气经收集通过布袋除尘器处理后，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由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1根不低于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米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高的排气筒排放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3D打印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铸造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成型、砂型烘干产生的废气经收集分别通过布袋除尘器+活性炭吸附/脱附+催化燃烧处理后，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统一由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1根不低于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米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高的排气筒排放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3D打印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铸造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落砂、砂再生产生的废气经收集分别通过布袋除尘器处理后，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由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1根不低于20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米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高的排气筒排放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3D打印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铸造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砂焙烧产生的废气经收集通过布袋除尘器+活性炭吸附/脱附+催化燃烧处理后，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由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1根不低于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米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高的排气筒排放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；清理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抛丸工段产生的废气经收集通过布袋除尘器处理后，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由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1根不低于20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米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高的排气筒排放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；清理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打磨工段产生的废气经收集分别通过布袋除尘器处理后，统一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由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1根不低于20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米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高的排气筒排放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；清理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喷漆废气经收集通过布袋除尘器+活性炭吸附/脱附+催化燃烧处理后，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由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1根不低于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米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高的排气筒排放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铝锭熔化废气经收集通过布袋除尘器处理后，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由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1根不低于20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米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高的排气筒排放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；项目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3吨/小时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高炉煤气锅炉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产生的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废气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由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1根不低于20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米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高的排气筒排放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消失模铸造车间产生的浇注废气经收集通过布袋除尘器+活性炭吸附/脱附+催化燃烧处理后，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由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1根不低于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米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高的排气筒排放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消失模铸造车间砂处理废气经收集通过布袋除尘器处理后，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由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1根不低于20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米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高的排气筒排放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打磨车间1#清理线粗抛丸、打磨废气经收集分别通过布袋除尘器处理后，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由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1根不低于20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米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高的排气筒排放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打磨车间1#清理线打磨、精抛丸废气经收集分别通过布袋除尘器处理后，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由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1根不低于20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米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高的排气筒排放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打磨车间1#清理线喷漆废气经收集通过布袋除尘器+活性炭吸附/脱附+催化燃烧处理后，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由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1根不低于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米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高的排气筒排放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打磨车间2#清理线粗抛丸废气经收集通过布袋除尘器处理后，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由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1根不低于20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米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高的排气筒排放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打磨车间2#清理线打磨、精抛丸废气经收集通过布袋除尘器处理后，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由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1根不低于20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米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高的排气筒排放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打磨车间2#清理线喷漆废气经收集通过布袋除尘器+活性炭吸附/脱附+催化燃烧处理后，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由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1根不低于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米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高的排气筒排放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；项目有组织排放的颗粒物、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非甲烷总烃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、苯、苯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系物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浓度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须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达到《铸造工业大气污染物排放标准》（GB39726-2020）表1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规定的排放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限值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要求，甲醛有组织排放浓度须达到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《大气污染物综合排放标准》（GB16297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1996）表2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规定的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限值要求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lang w:val="en-US" w:eastAsia="zh-CN"/>
        </w:rPr>
        <w:t>锅炉有组织排放的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二氧化硫、氮氧化物、颗粒物浓度须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sz w:val="32"/>
          <w:szCs w:val="32"/>
          <w:lang w:val="en-US" w:eastAsia="zh-CN"/>
        </w:rPr>
        <w:t>达到《锅炉大气污染物排放标准》（GB 13271-2014）表2中燃气锅炉大气污染物排放浓度限值；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切实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加强无组织排放废气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污染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控制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，加强全厂物料储存、输送及生产过程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中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无组织排放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废气的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控制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有效提高废气收集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率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，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确保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项目厂区内颗粒物、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非甲烷总烃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无组织排放浓度达到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《铸造工业大气污染物排放标准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（GB39726-2020）表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A.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1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规定的排放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限值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要求，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厂界二氧化硫、氮氧化物、颗粒物、二甲苯、甲醛、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非甲烷总烃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无组织排放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浓度达到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《大气污染物综合排放标准》（GB16297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1996）表2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规定的浓度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限值要求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，苯乙烯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无组织排放浓度达到《恶臭污染物排放标准》（GB14554-93）规定的标准要求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40A6E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0" w:lineRule="exact"/>
        <w:ind w:firstLine="640" w:firstLineChars="200"/>
        <w:jc w:val="both"/>
        <w:textAlignment w:val="baseline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</w:rPr>
        <w:t>（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eastAsia="zh-CN"/>
        </w:rPr>
        <w:t>四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</w:rPr>
        <w:t>）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/>
        </w:rPr>
        <w:t>严格落实水污染防治措施。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按照雨污分流、清污分流原则，建设排水、污水处理和回用系统，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确保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污水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处理工艺、处理规模满足要求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项目产生的设备冷却水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经收集处理后，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全部循环使用，严禁外排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；新增的生活污水及现有项目的生活污水排入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新建的处理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规模为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60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立方米/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日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生活污水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处理站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处理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达到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《城市污水再生利用城市杂用水水质》（GB/T18920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2020）规定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相应标准限值后，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全部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回用于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厂区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绿化和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道路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洒水降尘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严禁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外排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；位于数控机床产业园的打磨车间产生的生活污水经预处理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达到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《污水综合排放标准》（GB8978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1996）表4三级标准和《污水排入城镇下水道水质标准》（GB/T31962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2015）表1B等级标准规定的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最严标准值</w:t>
      </w: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后，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排入园区污水管网，进入玉溪市第二污水处理厂处理；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厂区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初期雨水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依托现有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2400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立方米的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初期雨水收集池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收集后，全部用于生产用水，严禁外排；厂区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须设置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1个容积不低于60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立方米的事故池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并确保</w:t>
      </w:r>
      <w:r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  <w:highlight w:val="none"/>
        </w:rPr>
        <w:t>事故池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正常情况下处于空置状态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。</w:t>
      </w:r>
    </w:p>
    <w:p w14:paraId="21D44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</w:rPr>
        <w:t>（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eastAsia="zh-CN"/>
        </w:rPr>
        <w:t>五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</w:rPr>
        <w:t>）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落实地下水和土壤污染防治措施。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按照源头控制、分区防治、污染监控、应急响应原则进行地下水污染防治；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严格按照《报告书》提出的分区防渗措施和要求，对项目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重点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防渗区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一般防渗区和简单防渗区进行防渗处理，防止地下水污染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防渗工程结束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后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自行组织验收并建立健全相关工作台账记录，存档备查；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严格按照</w:t>
      </w:r>
      <w:r>
        <w:rPr>
          <w:rFonts w:hint="default" w:ascii="Times New Roman" w:hAnsi="Times New Roman" w:eastAsia="方正仿宋_GBK" w:cs="Times New Roman"/>
          <w:bCs/>
          <w:iCs/>
          <w:color w:val="auto"/>
          <w:sz w:val="32"/>
          <w:szCs w:val="32"/>
        </w:rPr>
        <w:t>《中华人民共和国地下水保护条例》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《环境影响评价技术导则 地下水环境》《地下水污染源防渗技术指南（试行）》等要求，加强防渗设施的日常维护，对出现损坏的防渗设施应及时修复和加固，确保防渗设施牢固安全；加强隐蔽工程泄漏检测，一旦发现泄漏，应立即采取补救措施，防止污染土壤和地下水；加强土壤和地下水环境监测，建立完善的土壤和地下水监测制度，根据污染源分布和地下水径流方向，优化监控井设置，确保及时发现厂区渗漏情况并采取补救措施，一旦发现地下水监测井的水质发生异常，应及时启动应急预案，并及时上报当地生态环境主管部门，落实土壤污染防治相关要求，减少对土壤和地下水的不利环境影响。</w:t>
      </w:r>
    </w:p>
    <w:p w14:paraId="2CF30B8C"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0" w:lineRule="exact"/>
        <w:ind w:left="0" w:leftChars="0" w:firstLine="640" w:firstLineChars="200"/>
        <w:jc w:val="both"/>
        <w:textAlignment w:val="auto"/>
        <w:outlineLvl w:val="1"/>
        <w:rPr>
          <w:rFonts w:hint="default" w:ascii="Times New Roman" w:hAnsi="Times New Roman" w:eastAsia="方正仿宋_GBK" w:cs="Times New Roman"/>
          <w:sz w:val="32"/>
          <w:szCs w:val="32"/>
          <w:lang w:val="en-US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</w:rPr>
        <w:t>（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eastAsia="zh-CN"/>
        </w:rPr>
        <w:t>六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</w:rPr>
        <w:t>）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严格落实声环境保护措施。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选用低噪声设备，优化高噪声设备布局，采取消声、隔声、减振、加强绿化等降噪措施，确保项目厂界噪声满足《工业企业厂界环境噪声排放标准》（GB12348-2008）3类标准要求。</w:t>
      </w:r>
    </w:p>
    <w:p w14:paraId="3D49E4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</w:rPr>
        <w:t>（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eastAsia="zh-CN"/>
        </w:rPr>
        <w:t>七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</w:rPr>
        <w:t>）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严格落实固体废物污染防治措施。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按照减量化、资源化、无害化原则，对固体废物进行分类收集、处理处置，确保不造成二次污染。工业固体废物应尽量进行综合利用；一般固体废物按照《一般工业固体废物贮存和填埋污染控制标准》（GB18599-2020）要求管理；废矿物油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废活性炭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等危险废物暂存于危废暂存库；危险废物应严格按照国家有关规定进行收集、运输、暂存、处置和管理，建立管理台账，存档备查，危险废物暂存库须按照《危险废物贮存污染控制标准》（GB18597-2023）要求进行建设和管理，危险废物委托有资质的单位定期进行处置，</w:t>
      </w:r>
      <w:r>
        <w:rPr>
          <w:rFonts w:hint="default" w:ascii="Times New Roman" w:hAnsi="Times New Roman" w:eastAsia="方正仿宋_GBK" w:cs="Times New Roman"/>
          <w:bCs/>
          <w:color w:val="000000"/>
          <w:sz w:val="32"/>
          <w:szCs w:val="32"/>
          <w:lang w:val="en-US" w:eastAsia="zh-CN"/>
        </w:rPr>
        <w:t>严格执行《危险废物转移管理办法》及相关要求，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强化各环节的环境保护措施，切实防止管理不当造成的二次污染。</w:t>
      </w:r>
    </w:p>
    <w:p w14:paraId="392B345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9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kern w:val="0"/>
          <w:sz w:val="32"/>
          <w:szCs w:val="32"/>
          <w:lang w:val="en-US" w:eastAsia="zh-CN"/>
        </w:rPr>
        <w:t>（八）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加强环境风险防范和管理。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建立健全风险防控体系和事故排放污染收集系统，做好环境风险的巡查、监控等管理，杜绝环境风险事故发生；做好项目与产业园区环境风险防范工作的有效衔接，形成区域联防联控应急体系；按照《突发环境事件应急管理办法》《企业事业单位突发环境事件应急预案备案管理办法（试行）》等要求，严格落实厂区及周边各项环境风险防范措施与事故应急措施，制定突发环境事件应急预案并报玉溪市生态环境局红塔分局备案，开展必要的应急培训、宣传和演练。</w:t>
      </w:r>
    </w:p>
    <w:p w14:paraId="0289C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color w:val="auto"/>
          <w:kern w:val="0"/>
          <w:sz w:val="32"/>
          <w:szCs w:val="32"/>
          <w:lang w:val="en-US" w:eastAsia="zh-CN"/>
        </w:rPr>
        <w:t>（九）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/>
        </w:rPr>
        <w:t>严格落实《报告书》提出的各项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“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/>
        </w:rPr>
        <w:t>以新带老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”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/>
        </w:rPr>
        <w:t>措施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针对原有项目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存在的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环境问题，制定、实施环境治理方案并认真组织实施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，要求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各项整改措施在项目投入运营前完成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 w14:paraId="71DEDFAC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90" w:lineRule="exact"/>
        <w:ind w:firstLine="640" w:firstLineChars="200"/>
        <w:jc w:val="both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eastAsia="zh-CN"/>
        </w:rPr>
        <w:t>（十）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/>
        </w:rPr>
        <w:t>切实做好环保设施的日常维护和管理，落实环境风险防范措施，确保污染物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长期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/>
        </w:rPr>
        <w:t>稳定达标排放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，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/>
        </w:rPr>
        <w:t>杜绝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事故性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/>
        </w:rPr>
        <w:t>排放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。</w:t>
      </w:r>
    </w:p>
    <w:p w14:paraId="44F25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/>
        </w:rPr>
        <w:t>三、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项目在实际排污行为发生之前，应按照《排污许可管理办法》规定办理排污许可手续，未取得排污许可手续的，不得排放污染物，项目运行应符合排污许可管理的相关要求。应当按照自行监测技术指南，编制自行监测方案，按照排污许可规定和有关标准规范，依法开展自行监测，如实在全国排污许可证管理信息平台上公开污染物排放信息；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按照有关规定建设规范化污染物排放口并设置标志牌。</w:t>
      </w:r>
    </w:p>
    <w:p w14:paraId="28C6A8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四、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严格落实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三同时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制度。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你公司应落实生态环境保护主体责任，建立内部生态环境管理机制，明确机构、人员、职责和制度，加强生态环境管理，推进各项生态环境保护措施落实；项目建设必须严格执行配套的环境保护设施与主体工程同时设计、同时施工、同时投产使用的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三同时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制度；项目正式投运前，应当按照规定的标准和程序，自行组织开展竣工环境保护验收，经验收合格后方可正式投入生产。</w:t>
      </w:r>
    </w:p>
    <w:p w14:paraId="1199B58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9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/>
        </w:rPr>
        <w:t>五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、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严格落实污染物排放总量控制规定和各项措施。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根据《报告书》测算，项目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主要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大气污染物排放量初步核定为：氮氧化物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6.123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吨/年、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挥发性有机物35.012吨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/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由玉溪市生态环境局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红塔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分局纳入污染物排放总量控制计划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567D8B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mallCaps w:val="0"/>
          <w:color w:val="auto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mallCaps w:val="0"/>
          <w:color w:val="auto"/>
          <w:sz w:val="32"/>
          <w:szCs w:val="32"/>
          <w:lang w:eastAsia="zh-CN"/>
        </w:rPr>
        <w:t>六、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《报告书》经批准后，如工程的性质、规模、工艺、地点或者防治污染、防止生态破坏的措施发生重大变动的，应当重新报批环境影响评价文件，否则不得实施建设；《报告书》自批准之日起满5年，建设项目方开工建设的，应当报我局重新审核；在项目建设、运行过程中产生不符合经审批的《报告书》情形的，应当组织开展环境影响后评价，采取改进措施，按规定备案。</w:t>
      </w:r>
    </w:p>
    <w:p w14:paraId="50EC9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/>
        </w:rPr>
        <w:t>七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玉溪市生态环境保护综合行政执法支队、玉溪市生态环境局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红塔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分局要切实承担事中事后监管主要责任，履行属地监管职责，按照相关法律法规及《关于进一步完善建设项目环境保护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三同时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及竣工环境保护自主验收监管工作机制的意见》（环执法〔2021〕70号）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等文件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要求，加强对该项目环境保护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三同时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竣工环境保护自主验收、日常运行等执法监管工作。</w:t>
      </w:r>
    </w:p>
    <w:p w14:paraId="7AB6EC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7EA00A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3B1831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5120" w:firstLineChars="16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color w:val="auto"/>
          <w:sz w:val="32"/>
          <w:szCs w:val="32"/>
          <w:lang w:val="en-US" w:eastAsia="zh-CN"/>
        </w:rPr>
        <w:t>2026年6月30日</w:t>
      </w:r>
    </w:p>
    <w:p w14:paraId="1295B2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511DF3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6980B4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76C859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736CBE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17BDCB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78715D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7EC667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435951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68D90D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717CED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17283D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0B7629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3F7AD6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38211F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4E584C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0C83C3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7341D8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470A65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4124A2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18EBDB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1050" w:leftChars="100" w:right="210" w:rightChars="100" w:hanging="840" w:hangingChars="3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59055</wp:posOffset>
                </wp:positionV>
                <wp:extent cx="5600700" cy="0"/>
                <wp:effectExtent l="0" t="4445" r="0" b="508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4.65pt;height:0pt;width:441pt;z-index:251661312;mso-width-relative:page;mso-height-relative:page;" filled="f" stroked="t" coordsize="21600,21600" o:gfxdata="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uGV+YdEAAAAEAQAADwAAAAAAAAABACAAAAAiAAAAZHJzL2Rvd25yZXYu&#10;eG1sUEsBAhQAFAAAAAgAh07iQPK++pICAgAABQQAAA4AAAAAAAAAAQAgAAAAIAEAAGRycy9lMm9E&#10;b2MueG1sUEsFBgAAAAAGAAYAWQEAAJQ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/>
        </w:rPr>
        <w:t>抄送：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 w:eastAsia="zh-CN"/>
        </w:rPr>
        <w:t>玉溪市生态环境保护综合行政执法支队，玉溪市生态环境局红塔分局，云南佳源环境工程评估有限公司，云南博曦环境影响评价有限公司。</w:t>
      </w:r>
    </w:p>
    <w:p w14:paraId="3039AA9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10" w:lineRule="exact"/>
        <w:ind w:right="279" w:rightChars="133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363220</wp:posOffset>
                </wp:positionV>
                <wp:extent cx="560070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31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75pt;margin-top:28.6pt;height:0pt;width:441pt;z-index:251660288;mso-width-relative:page;mso-height-relative:page;" filled="f" stroked="t" coordsize="21600,21600" o:gfxdata="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vQthH&#10;1AAAAAcBAAAPAAAAAAAAAAEAIAAAACIAAABkcnMvZG93bnJldi54bWxQSwECFAAUAAAACACHTuJA&#10;hiIX8OwBAADYAwAADgAAAAAAAAABACAAAAAjAQAAZHJzL2Uyb0RvYy54bWxQSwUGAAAAAAYABgBZ&#10;AQAAgQUAAAAA&#10;">
                <v:fill on="f" focussize="0,0"/>
                <v:stroke weight="0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52705</wp:posOffset>
                </wp:positionV>
                <wp:extent cx="5600700" cy="0"/>
                <wp:effectExtent l="0" t="4445" r="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31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4.15pt;height:0pt;width:441pt;z-index:251659264;mso-width-relative:page;mso-height-relative:page;" filled="f" stroked="t" coordsize="21600,21600" o:gfxdata="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IoHiv3T&#10;AAAABAEAAA8AAAAAAAAAAQAgAAAAIgAAAGRycy9kb3ducmV2LnhtbFBLAQIUABQAAAAIAIdO4kBz&#10;n7sy7AEAANgDAAAOAAAAAAAAAAEAIAAAACIBAABkcnMvZTJvRG9jLnhtbFBLBQYAAAAABgAGAFkB&#10;AACABQAAAAA=&#10;">
                <v:fill on="f" focussize="0,0"/>
                <v:stroke weight="0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/>
        </w:rPr>
        <w:t>玉溪市生态环境局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 w:eastAsia="zh-CN"/>
        </w:rPr>
        <w:t>办公室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/>
        </w:rPr>
        <w:t xml:space="preserve">       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 w:eastAsia="zh-CN"/>
        </w:rPr>
        <w:t xml:space="preserve">           2026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/>
        </w:rPr>
        <w:t>月</w:t>
      </w:r>
      <w:r>
        <w:rPr>
          <w:rFonts w:hint="eastAsia" w:eastAsia="方正仿宋_GBK" w:cs="Times New Roman"/>
          <w:color w:val="auto"/>
          <w:sz w:val="28"/>
          <w:szCs w:val="28"/>
          <w:lang w:val="en-US" w:eastAsia="zh-CN"/>
        </w:rPr>
        <w:t>30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/>
        </w:rPr>
        <w:t>日印发</w:t>
      </w:r>
    </w:p>
    <w:sectPr>
      <w:footerReference r:id="rId3" w:type="default"/>
      <w:footerReference r:id="rId4" w:type="even"/>
      <w:pgSz w:w="11906" w:h="16838"/>
      <w:pgMar w:top="2041" w:right="1474" w:bottom="1304" w:left="1587" w:header="1361" w:footer="1191" w:gutter="0"/>
      <w:pgNumType w:fmt="decimal"/>
      <w:cols w:space="0" w:num="1"/>
      <w:rtlGutter w:val="0"/>
      <w:docGrid w:type="linesAndChars" w:linePitch="28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CDA1C5E0-5AC3-4120-9226-5F3D1C0ED966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87D59632-65CA-4133-95C1-4EFC8079ED94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9C562A70-25E9-4A0E-B399-9293708BDF8C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7FEE97E6-E760-4336-95D3-D489A769A1F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104D6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ADE6D3">
                          <w:pPr>
                            <w:pStyle w:val="9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315" w:leftChars="150" w:right="315" w:rightChars="150"/>
                            <w:textAlignment w:val="auto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  <w:p w14:paraId="7FE3323C">
                          <w:pP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ADE6D3">
                    <w:pPr>
                      <w:pStyle w:val="9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315" w:leftChars="150" w:right="315" w:rightChars="150"/>
                      <w:textAlignment w:val="auto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  <w:p w14:paraId="7FE3323C">
                    <w:pP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78F452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268F76">
                          <w:pPr>
                            <w:pStyle w:val="9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315" w:leftChars="150" w:right="315" w:rightChars="150"/>
                            <w:textAlignment w:val="auto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  <w:p w14:paraId="30FA19D4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ZTTZk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5lNNm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268F76">
                    <w:pPr>
                      <w:pStyle w:val="9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315" w:leftChars="150" w:right="315" w:rightChars="150"/>
                      <w:textAlignment w:val="auto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—</w:t>
                    </w:r>
                  </w:p>
                  <w:p w14:paraId="30FA19D4"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xNDBlN2ZlMjQ1ODVkOTgxN2IyNWM5NDllNzFjY2IifQ=="/>
  </w:docVars>
  <w:rsids>
    <w:rsidRoot w:val="2AAF282F"/>
    <w:rsid w:val="0005249D"/>
    <w:rsid w:val="0021415A"/>
    <w:rsid w:val="00251335"/>
    <w:rsid w:val="00271DFD"/>
    <w:rsid w:val="002E39CB"/>
    <w:rsid w:val="00354601"/>
    <w:rsid w:val="00621CDB"/>
    <w:rsid w:val="007216D3"/>
    <w:rsid w:val="008358DC"/>
    <w:rsid w:val="009E4FAC"/>
    <w:rsid w:val="00DE2824"/>
    <w:rsid w:val="00E32A7B"/>
    <w:rsid w:val="00E779F3"/>
    <w:rsid w:val="00F138BA"/>
    <w:rsid w:val="017B43B2"/>
    <w:rsid w:val="018407F7"/>
    <w:rsid w:val="01862917"/>
    <w:rsid w:val="01BE4F18"/>
    <w:rsid w:val="021C1620"/>
    <w:rsid w:val="022E6AD9"/>
    <w:rsid w:val="027648C5"/>
    <w:rsid w:val="029555FC"/>
    <w:rsid w:val="02C92423"/>
    <w:rsid w:val="02D359C2"/>
    <w:rsid w:val="02DD4218"/>
    <w:rsid w:val="03405326"/>
    <w:rsid w:val="034D4756"/>
    <w:rsid w:val="039E6FA1"/>
    <w:rsid w:val="03CD6287"/>
    <w:rsid w:val="03DF7990"/>
    <w:rsid w:val="040C6BF6"/>
    <w:rsid w:val="04730C48"/>
    <w:rsid w:val="047A7F12"/>
    <w:rsid w:val="04D05C7C"/>
    <w:rsid w:val="05112A52"/>
    <w:rsid w:val="05654E7F"/>
    <w:rsid w:val="05FA052E"/>
    <w:rsid w:val="06214956"/>
    <w:rsid w:val="06BC5E2C"/>
    <w:rsid w:val="06D849E3"/>
    <w:rsid w:val="071D3B65"/>
    <w:rsid w:val="075F1CAC"/>
    <w:rsid w:val="07CE7264"/>
    <w:rsid w:val="07F17A7B"/>
    <w:rsid w:val="08223482"/>
    <w:rsid w:val="08284712"/>
    <w:rsid w:val="085B58CB"/>
    <w:rsid w:val="09166726"/>
    <w:rsid w:val="09294E4C"/>
    <w:rsid w:val="09B951AD"/>
    <w:rsid w:val="0A955323"/>
    <w:rsid w:val="0AD4224E"/>
    <w:rsid w:val="0B0E131B"/>
    <w:rsid w:val="0C0258F7"/>
    <w:rsid w:val="0C11428E"/>
    <w:rsid w:val="0C135862"/>
    <w:rsid w:val="0C1D705A"/>
    <w:rsid w:val="0C706828"/>
    <w:rsid w:val="0CC72B80"/>
    <w:rsid w:val="0CCC66B5"/>
    <w:rsid w:val="0CD1482E"/>
    <w:rsid w:val="0CE82EB7"/>
    <w:rsid w:val="0CFB7E12"/>
    <w:rsid w:val="0D625FF1"/>
    <w:rsid w:val="0D70479C"/>
    <w:rsid w:val="0DE46363"/>
    <w:rsid w:val="0DF93715"/>
    <w:rsid w:val="0E100F06"/>
    <w:rsid w:val="0E167241"/>
    <w:rsid w:val="0EB06DC6"/>
    <w:rsid w:val="0EB827B5"/>
    <w:rsid w:val="0EB92DA5"/>
    <w:rsid w:val="0EDA1504"/>
    <w:rsid w:val="0EE81C04"/>
    <w:rsid w:val="0F046CBD"/>
    <w:rsid w:val="0F202892"/>
    <w:rsid w:val="0F2B41E4"/>
    <w:rsid w:val="0F674CA9"/>
    <w:rsid w:val="0F7142A9"/>
    <w:rsid w:val="0F725F1C"/>
    <w:rsid w:val="0F806825"/>
    <w:rsid w:val="0FE76F0B"/>
    <w:rsid w:val="10010FC0"/>
    <w:rsid w:val="10085FCB"/>
    <w:rsid w:val="10600A97"/>
    <w:rsid w:val="10A16249"/>
    <w:rsid w:val="10C1633C"/>
    <w:rsid w:val="10F70241"/>
    <w:rsid w:val="112106B9"/>
    <w:rsid w:val="11482B09"/>
    <w:rsid w:val="11851A07"/>
    <w:rsid w:val="11A577B7"/>
    <w:rsid w:val="11B01A36"/>
    <w:rsid w:val="11C90E3E"/>
    <w:rsid w:val="11DC6270"/>
    <w:rsid w:val="12080F2A"/>
    <w:rsid w:val="121C3EF8"/>
    <w:rsid w:val="124429F3"/>
    <w:rsid w:val="12F36F89"/>
    <w:rsid w:val="139A2D58"/>
    <w:rsid w:val="13DD3E12"/>
    <w:rsid w:val="13DF3BD7"/>
    <w:rsid w:val="13E5183D"/>
    <w:rsid w:val="14325F56"/>
    <w:rsid w:val="143A6D20"/>
    <w:rsid w:val="14784A3C"/>
    <w:rsid w:val="147D33EC"/>
    <w:rsid w:val="14A467CD"/>
    <w:rsid w:val="14E066AD"/>
    <w:rsid w:val="14F53A51"/>
    <w:rsid w:val="15542DE9"/>
    <w:rsid w:val="15B44512"/>
    <w:rsid w:val="15BD14B0"/>
    <w:rsid w:val="16297009"/>
    <w:rsid w:val="169870CB"/>
    <w:rsid w:val="16C0349F"/>
    <w:rsid w:val="16C63F1A"/>
    <w:rsid w:val="16D33FA6"/>
    <w:rsid w:val="16E04139"/>
    <w:rsid w:val="175B5421"/>
    <w:rsid w:val="17951DDA"/>
    <w:rsid w:val="17DE55C6"/>
    <w:rsid w:val="17FE34B7"/>
    <w:rsid w:val="184A130E"/>
    <w:rsid w:val="18531E56"/>
    <w:rsid w:val="18C8478A"/>
    <w:rsid w:val="18CE063C"/>
    <w:rsid w:val="18DC65B5"/>
    <w:rsid w:val="19C438F1"/>
    <w:rsid w:val="19D07CE3"/>
    <w:rsid w:val="1A127A2F"/>
    <w:rsid w:val="1A3C7BBE"/>
    <w:rsid w:val="1A5F6E8E"/>
    <w:rsid w:val="1A8C320C"/>
    <w:rsid w:val="1ABD1DC8"/>
    <w:rsid w:val="1B3915DB"/>
    <w:rsid w:val="1B5961B8"/>
    <w:rsid w:val="1B9F7E18"/>
    <w:rsid w:val="1BA35989"/>
    <w:rsid w:val="1BF75A2D"/>
    <w:rsid w:val="1C3E61AC"/>
    <w:rsid w:val="1C727B05"/>
    <w:rsid w:val="1C736231"/>
    <w:rsid w:val="1CCB3F7F"/>
    <w:rsid w:val="1CDB1FD9"/>
    <w:rsid w:val="1D22560D"/>
    <w:rsid w:val="1D36222A"/>
    <w:rsid w:val="1DB16959"/>
    <w:rsid w:val="1E000CE3"/>
    <w:rsid w:val="1E552A77"/>
    <w:rsid w:val="1E711083"/>
    <w:rsid w:val="1E877138"/>
    <w:rsid w:val="1EE0592A"/>
    <w:rsid w:val="202D5900"/>
    <w:rsid w:val="20875902"/>
    <w:rsid w:val="20996AD5"/>
    <w:rsid w:val="20AA77ED"/>
    <w:rsid w:val="21081CDE"/>
    <w:rsid w:val="21664103"/>
    <w:rsid w:val="221338AA"/>
    <w:rsid w:val="2214545E"/>
    <w:rsid w:val="221646CB"/>
    <w:rsid w:val="2288495D"/>
    <w:rsid w:val="22A133B7"/>
    <w:rsid w:val="22A57CC4"/>
    <w:rsid w:val="233758D3"/>
    <w:rsid w:val="23993EBD"/>
    <w:rsid w:val="23E006A6"/>
    <w:rsid w:val="24404051"/>
    <w:rsid w:val="24A6063E"/>
    <w:rsid w:val="24FC2EB4"/>
    <w:rsid w:val="252B1D4D"/>
    <w:rsid w:val="25B310C3"/>
    <w:rsid w:val="25B61F3B"/>
    <w:rsid w:val="25CB14CA"/>
    <w:rsid w:val="25CC14C9"/>
    <w:rsid w:val="25EC30C6"/>
    <w:rsid w:val="260B7E34"/>
    <w:rsid w:val="261A74D1"/>
    <w:rsid w:val="262B4956"/>
    <w:rsid w:val="263C5F7E"/>
    <w:rsid w:val="2670091D"/>
    <w:rsid w:val="267F5B5A"/>
    <w:rsid w:val="26AB1D0A"/>
    <w:rsid w:val="26D8340F"/>
    <w:rsid w:val="26E52AD8"/>
    <w:rsid w:val="26F33055"/>
    <w:rsid w:val="27081763"/>
    <w:rsid w:val="270A1F02"/>
    <w:rsid w:val="272844C9"/>
    <w:rsid w:val="2750082C"/>
    <w:rsid w:val="276D06C3"/>
    <w:rsid w:val="279A1529"/>
    <w:rsid w:val="27C068EA"/>
    <w:rsid w:val="27D902BE"/>
    <w:rsid w:val="27E028FD"/>
    <w:rsid w:val="27F2569D"/>
    <w:rsid w:val="28691C58"/>
    <w:rsid w:val="286E622A"/>
    <w:rsid w:val="28CF5004"/>
    <w:rsid w:val="28E23EDB"/>
    <w:rsid w:val="28EE35BD"/>
    <w:rsid w:val="29463132"/>
    <w:rsid w:val="29570637"/>
    <w:rsid w:val="299B6BAD"/>
    <w:rsid w:val="2AAA62CD"/>
    <w:rsid w:val="2AAF282F"/>
    <w:rsid w:val="2AD90BA6"/>
    <w:rsid w:val="2B0F38F0"/>
    <w:rsid w:val="2B1B38E0"/>
    <w:rsid w:val="2B3A102D"/>
    <w:rsid w:val="2B4E3D9A"/>
    <w:rsid w:val="2B5D1FBE"/>
    <w:rsid w:val="2B792558"/>
    <w:rsid w:val="2B7C248E"/>
    <w:rsid w:val="2BA80578"/>
    <w:rsid w:val="2BBE252D"/>
    <w:rsid w:val="2C2D449B"/>
    <w:rsid w:val="2C325DE1"/>
    <w:rsid w:val="2C4B3AF0"/>
    <w:rsid w:val="2C577851"/>
    <w:rsid w:val="2C691313"/>
    <w:rsid w:val="2CE31097"/>
    <w:rsid w:val="2CE5716E"/>
    <w:rsid w:val="2D2A0DD4"/>
    <w:rsid w:val="2D45752B"/>
    <w:rsid w:val="2D9B5CF7"/>
    <w:rsid w:val="2DBD7D3C"/>
    <w:rsid w:val="2E8D30CF"/>
    <w:rsid w:val="2EAD3464"/>
    <w:rsid w:val="2F1E099F"/>
    <w:rsid w:val="2F2F5103"/>
    <w:rsid w:val="2FA950FF"/>
    <w:rsid w:val="2FAE1C18"/>
    <w:rsid w:val="2FEC06AE"/>
    <w:rsid w:val="302A3931"/>
    <w:rsid w:val="30AB341D"/>
    <w:rsid w:val="30B073D9"/>
    <w:rsid w:val="30BA0CF3"/>
    <w:rsid w:val="30E34D34"/>
    <w:rsid w:val="311A1F18"/>
    <w:rsid w:val="313E4CDB"/>
    <w:rsid w:val="32025B28"/>
    <w:rsid w:val="32037B9C"/>
    <w:rsid w:val="322C3BB9"/>
    <w:rsid w:val="32B46ACD"/>
    <w:rsid w:val="33364881"/>
    <w:rsid w:val="334A0CFF"/>
    <w:rsid w:val="341E1D9A"/>
    <w:rsid w:val="342A7526"/>
    <w:rsid w:val="35537E41"/>
    <w:rsid w:val="35692B73"/>
    <w:rsid w:val="35935FA7"/>
    <w:rsid w:val="35A829B1"/>
    <w:rsid w:val="360616D3"/>
    <w:rsid w:val="361C3892"/>
    <w:rsid w:val="363475D8"/>
    <w:rsid w:val="365C21FB"/>
    <w:rsid w:val="370D5223"/>
    <w:rsid w:val="373B76FE"/>
    <w:rsid w:val="374C2ECD"/>
    <w:rsid w:val="376C1926"/>
    <w:rsid w:val="37912E75"/>
    <w:rsid w:val="38276A55"/>
    <w:rsid w:val="383946C2"/>
    <w:rsid w:val="38403B90"/>
    <w:rsid w:val="3865103B"/>
    <w:rsid w:val="38AC02C2"/>
    <w:rsid w:val="38B41D0D"/>
    <w:rsid w:val="39040CA6"/>
    <w:rsid w:val="39543B85"/>
    <w:rsid w:val="399D70DD"/>
    <w:rsid w:val="39BD6FF2"/>
    <w:rsid w:val="3A2F5718"/>
    <w:rsid w:val="3A383508"/>
    <w:rsid w:val="3A9930DF"/>
    <w:rsid w:val="3B0438AA"/>
    <w:rsid w:val="3B056342"/>
    <w:rsid w:val="3B194081"/>
    <w:rsid w:val="3B337E5E"/>
    <w:rsid w:val="3BA00084"/>
    <w:rsid w:val="3C6D08FC"/>
    <w:rsid w:val="3C7F7E1B"/>
    <w:rsid w:val="3D5745D4"/>
    <w:rsid w:val="3DAF65B1"/>
    <w:rsid w:val="3DBA029B"/>
    <w:rsid w:val="3DE505E7"/>
    <w:rsid w:val="3E4B36B0"/>
    <w:rsid w:val="3EF1250A"/>
    <w:rsid w:val="3F155B26"/>
    <w:rsid w:val="3FAF78C6"/>
    <w:rsid w:val="401641A9"/>
    <w:rsid w:val="40201682"/>
    <w:rsid w:val="40B13B1F"/>
    <w:rsid w:val="41332E43"/>
    <w:rsid w:val="416A0536"/>
    <w:rsid w:val="419747A7"/>
    <w:rsid w:val="41B213B9"/>
    <w:rsid w:val="41BE050D"/>
    <w:rsid w:val="41D86F7B"/>
    <w:rsid w:val="41F1637D"/>
    <w:rsid w:val="423A11FD"/>
    <w:rsid w:val="42507FDD"/>
    <w:rsid w:val="42D876A2"/>
    <w:rsid w:val="43160007"/>
    <w:rsid w:val="43341062"/>
    <w:rsid w:val="43A30C64"/>
    <w:rsid w:val="43AE36B3"/>
    <w:rsid w:val="43D7253F"/>
    <w:rsid w:val="441F55D5"/>
    <w:rsid w:val="44254BCC"/>
    <w:rsid w:val="447F45D2"/>
    <w:rsid w:val="448171A7"/>
    <w:rsid w:val="44933936"/>
    <w:rsid w:val="449823AC"/>
    <w:rsid w:val="44A14CE2"/>
    <w:rsid w:val="456B7FD9"/>
    <w:rsid w:val="4580253E"/>
    <w:rsid w:val="4586478D"/>
    <w:rsid w:val="45A5300C"/>
    <w:rsid w:val="45B72F61"/>
    <w:rsid w:val="45D63EAA"/>
    <w:rsid w:val="46052C19"/>
    <w:rsid w:val="46396A00"/>
    <w:rsid w:val="467227F9"/>
    <w:rsid w:val="46AC5600"/>
    <w:rsid w:val="46C626C8"/>
    <w:rsid w:val="46D524F5"/>
    <w:rsid w:val="46D82F52"/>
    <w:rsid w:val="47C961B6"/>
    <w:rsid w:val="47DE4C17"/>
    <w:rsid w:val="47EA15E0"/>
    <w:rsid w:val="480C5832"/>
    <w:rsid w:val="481B4AAA"/>
    <w:rsid w:val="489D2BAA"/>
    <w:rsid w:val="48B81ED4"/>
    <w:rsid w:val="48B94A9D"/>
    <w:rsid w:val="48E376BD"/>
    <w:rsid w:val="49600971"/>
    <w:rsid w:val="4982681C"/>
    <w:rsid w:val="49E3301A"/>
    <w:rsid w:val="4A0434C8"/>
    <w:rsid w:val="4A044286"/>
    <w:rsid w:val="4A1B7632"/>
    <w:rsid w:val="4A2A4424"/>
    <w:rsid w:val="4A51456E"/>
    <w:rsid w:val="4A8C7566"/>
    <w:rsid w:val="4A975BD2"/>
    <w:rsid w:val="4A9D76EF"/>
    <w:rsid w:val="4AAC3CC0"/>
    <w:rsid w:val="4AEF13B7"/>
    <w:rsid w:val="4AF71A39"/>
    <w:rsid w:val="4B0E06C8"/>
    <w:rsid w:val="4B4C3823"/>
    <w:rsid w:val="4B897D70"/>
    <w:rsid w:val="4C060B1D"/>
    <w:rsid w:val="4C2226B4"/>
    <w:rsid w:val="4D3229AB"/>
    <w:rsid w:val="4D6E25E7"/>
    <w:rsid w:val="4D83575F"/>
    <w:rsid w:val="4DD53083"/>
    <w:rsid w:val="4DF62B26"/>
    <w:rsid w:val="4E6D4716"/>
    <w:rsid w:val="4E843945"/>
    <w:rsid w:val="4EF22B2C"/>
    <w:rsid w:val="4FA4567A"/>
    <w:rsid w:val="4FA604E6"/>
    <w:rsid w:val="4FBF2EF4"/>
    <w:rsid w:val="4FC24B2F"/>
    <w:rsid w:val="501F6C42"/>
    <w:rsid w:val="509C0413"/>
    <w:rsid w:val="50AA6BFB"/>
    <w:rsid w:val="510E2EF8"/>
    <w:rsid w:val="51554237"/>
    <w:rsid w:val="515B007E"/>
    <w:rsid w:val="51C9023B"/>
    <w:rsid w:val="51D643CD"/>
    <w:rsid w:val="52601BDC"/>
    <w:rsid w:val="52814125"/>
    <w:rsid w:val="52866CCF"/>
    <w:rsid w:val="52D2446B"/>
    <w:rsid w:val="52FC648E"/>
    <w:rsid w:val="530874CC"/>
    <w:rsid w:val="534A1F20"/>
    <w:rsid w:val="53701FD1"/>
    <w:rsid w:val="539D1C58"/>
    <w:rsid w:val="544F4F79"/>
    <w:rsid w:val="54604096"/>
    <w:rsid w:val="5486114E"/>
    <w:rsid w:val="54ED6695"/>
    <w:rsid w:val="54FD6EDC"/>
    <w:rsid w:val="5581320D"/>
    <w:rsid w:val="558343E0"/>
    <w:rsid w:val="55A7384F"/>
    <w:rsid w:val="55C01586"/>
    <w:rsid w:val="55C5056F"/>
    <w:rsid w:val="55CA48BA"/>
    <w:rsid w:val="55F72314"/>
    <w:rsid w:val="56685559"/>
    <w:rsid w:val="566F2302"/>
    <w:rsid w:val="5674131F"/>
    <w:rsid w:val="568752BF"/>
    <w:rsid w:val="56972233"/>
    <w:rsid w:val="56BD2497"/>
    <w:rsid w:val="56DA0B1D"/>
    <w:rsid w:val="570502E5"/>
    <w:rsid w:val="57253366"/>
    <w:rsid w:val="57262BBA"/>
    <w:rsid w:val="572A206E"/>
    <w:rsid w:val="572D4713"/>
    <w:rsid w:val="57810A21"/>
    <w:rsid w:val="58035187"/>
    <w:rsid w:val="5873667C"/>
    <w:rsid w:val="587C4A77"/>
    <w:rsid w:val="591816AF"/>
    <w:rsid w:val="59A943A7"/>
    <w:rsid w:val="59F12363"/>
    <w:rsid w:val="5A4822A0"/>
    <w:rsid w:val="5A754143"/>
    <w:rsid w:val="5A7D0E49"/>
    <w:rsid w:val="5AF718E6"/>
    <w:rsid w:val="5B0F5D9A"/>
    <w:rsid w:val="5B370783"/>
    <w:rsid w:val="5B530E0D"/>
    <w:rsid w:val="5BBB79D4"/>
    <w:rsid w:val="5BEC4998"/>
    <w:rsid w:val="5C590380"/>
    <w:rsid w:val="5C8327F4"/>
    <w:rsid w:val="5CC05903"/>
    <w:rsid w:val="5D1626B8"/>
    <w:rsid w:val="5D3F76C3"/>
    <w:rsid w:val="5D5E54BC"/>
    <w:rsid w:val="5DED7F19"/>
    <w:rsid w:val="5E04242A"/>
    <w:rsid w:val="5E052FF8"/>
    <w:rsid w:val="5E763D63"/>
    <w:rsid w:val="5E9B6186"/>
    <w:rsid w:val="5EE571AE"/>
    <w:rsid w:val="5EF34BB1"/>
    <w:rsid w:val="5F402FCF"/>
    <w:rsid w:val="5F4A3E48"/>
    <w:rsid w:val="5FA40E41"/>
    <w:rsid w:val="5FC90B07"/>
    <w:rsid w:val="60257BCB"/>
    <w:rsid w:val="603B69DB"/>
    <w:rsid w:val="60457B89"/>
    <w:rsid w:val="611E0764"/>
    <w:rsid w:val="619F73A3"/>
    <w:rsid w:val="61ED227C"/>
    <w:rsid w:val="61F915CB"/>
    <w:rsid w:val="62197AC8"/>
    <w:rsid w:val="62937268"/>
    <w:rsid w:val="62E41435"/>
    <w:rsid w:val="62E67F6A"/>
    <w:rsid w:val="63161C90"/>
    <w:rsid w:val="63344B4C"/>
    <w:rsid w:val="633A597E"/>
    <w:rsid w:val="633C400D"/>
    <w:rsid w:val="635F4AC3"/>
    <w:rsid w:val="63732C3E"/>
    <w:rsid w:val="637D586B"/>
    <w:rsid w:val="63B67C6D"/>
    <w:rsid w:val="644F7208"/>
    <w:rsid w:val="64550AA6"/>
    <w:rsid w:val="64C978FD"/>
    <w:rsid w:val="64E14523"/>
    <w:rsid w:val="65605C5F"/>
    <w:rsid w:val="65C33A84"/>
    <w:rsid w:val="65D317D7"/>
    <w:rsid w:val="65D43D57"/>
    <w:rsid w:val="661C059B"/>
    <w:rsid w:val="664C74D8"/>
    <w:rsid w:val="66753C57"/>
    <w:rsid w:val="66F6704A"/>
    <w:rsid w:val="670F1B12"/>
    <w:rsid w:val="674D2961"/>
    <w:rsid w:val="6783156C"/>
    <w:rsid w:val="67AE1946"/>
    <w:rsid w:val="67E051FD"/>
    <w:rsid w:val="67E67E6E"/>
    <w:rsid w:val="681C1AFB"/>
    <w:rsid w:val="68395873"/>
    <w:rsid w:val="68BD3DBD"/>
    <w:rsid w:val="69126A56"/>
    <w:rsid w:val="6924668A"/>
    <w:rsid w:val="69497163"/>
    <w:rsid w:val="69624277"/>
    <w:rsid w:val="69A245CF"/>
    <w:rsid w:val="6A065065"/>
    <w:rsid w:val="6A4C776B"/>
    <w:rsid w:val="6A970CFF"/>
    <w:rsid w:val="6B1B7DA6"/>
    <w:rsid w:val="6B24315D"/>
    <w:rsid w:val="6B57133D"/>
    <w:rsid w:val="6BB00B08"/>
    <w:rsid w:val="6C196406"/>
    <w:rsid w:val="6C692E30"/>
    <w:rsid w:val="6C7B2415"/>
    <w:rsid w:val="6CC816B1"/>
    <w:rsid w:val="6D047A58"/>
    <w:rsid w:val="6D0B2A7F"/>
    <w:rsid w:val="6D8A2AA7"/>
    <w:rsid w:val="6DAA4D2E"/>
    <w:rsid w:val="6DC4470E"/>
    <w:rsid w:val="6EDB1BA1"/>
    <w:rsid w:val="6F3F4FA6"/>
    <w:rsid w:val="6F4C5C4D"/>
    <w:rsid w:val="6FBF2ED7"/>
    <w:rsid w:val="6FCE533B"/>
    <w:rsid w:val="70645DE9"/>
    <w:rsid w:val="709057E8"/>
    <w:rsid w:val="709D12FB"/>
    <w:rsid w:val="70A73049"/>
    <w:rsid w:val="70CA5A60"/>
    <w:rsid w:val="715A1838"/>
    <w:rsid w:val="71AF11D9"/>
    <w:rsid w:val="71E877A4"/>
    <w:rsid w:val="71ED15D7"/>
    <w:rsid w:val="720019E1"/>
    <w:rsid w:val="726A5418"/>
    <w:rsid w:val="7278158D"/>
    <w:rsid w:val="72814495"/>
    <w:rsid w:val="72AD3FBA"/>
    <w:rsid w:val="72B73CFC"/>
    <w:rsid w:val="730F0F49"/>
    <w:rsid w:val="737547B1"/>
    <w:rsid w:val="73A33523"/>
    <w:rsid w:val="73DF4C9F"/>
    <w:rsid w:val="7417602D"/>
    <w:rsid w:val="74650CEA"/>
    <w:rsid w:val="75097A20"/>
    <w:rsid w:val="7564261E"/>
    <w:rsid w:val="757753B7"/>
    <w:rsid w:val="75BA29B3"/>
    <w:rsid w:val="76862181"/>
    <w:rsid w:val="76D91E95"/>
    <w:rsid w:val="76EB5318"/>
    <w:rsid w:val="77457CAD"/>
    <w:rsid w:val="779C5DA3"/>
    <w:rsid w:val="77B6640E"/>
    <w:rsid w:val="77C57F28"/>
    <w:rsid w:val="782547D3"/>
    <w:rsid w:val="78344B19"/>
    <w:rsid w:val="783F1C54"/>
    <w:rsid w:val="789718A7"/>
    <w:rsid w:val="78A76EAD"/>
    <w:rsid w:val="7A0A0089"/>
    <w:rsid w:val="7A1051A0"/>
    <w:rsid w:val="7A2E13A1"/>
    <w:rsid w:val="7A4078BB"/>
    <w:rsid w:val="7AA60FD4"/>
    <w:rsid w:val="7AC12DF7"/>
    <w:rsid w:val="7ADA625F"/>
    <w:rsid w:val="7B720C4D"/>
    <w:rsid w:val="7B7C35B6"/>
    <w:rsid w:val="7B7E0F63"/>
    <w:rsid w:val="7BB61528"/>
    <w:rsid w:val="7C9B0252"/>
    <w:rsid w:val="7C9D6A08"/>
    <w:rsid w:val="7CA3021F"/>
    <w:rsid w:val="7CCE20D6"/>
    <w:rsid w:val="7D2257CD"/>
    <w:rsid w:val="7D792A91"/>
    <w:rsid w:val="7DA57011"/>
    <w:rsid w:val="7DC51E91"/>
    <w:rsid w:val="7DE1283A"/>
    <w:rsid w:val="7E7801ED"/>
    <w:rsid w:val="7E8004BE"/>
    <w:rsid w:val="7F0D259B"/>
    <w:rsid w:val="7F813CCF"/>
    <w:rsid w:val="7FCB2CDB"/>
    <w:rsid w:val="7FEB01D3"/>
    <w:rsid w:val="9FF601FE"/>
    <w:rsid w:val="BBA5F45B"/>
    <w:rsid w:val="D5FEB219"/>
    <w:rsid w:val="DFB549BD"/>
    <w:rsid w:val="EB6FB1BD"/>
    <w:rsid w:val="EC7F58CE"/>
    <w:rsid w:val="F67F8A9F"/>
    <w:rsid w:val="FFBF9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qFormat/>
    <w:uiPriority w:val="0"/>
    <w:pPr>
      <w:widowControl/>
      <w:ind w:firstLine="420"/>
    </w:pPr>
    <w:rPr>
      <w:sz w:val="28"/>
      <w:szCs w:val="28"/>
    </w:rPr>
  </w:style>
  <w:style w:type="paragraph" w:styleId="5">
    <w:name w:val="annotation text"/>
    <w:basedOn w:val="1"/>
    <w:qFormat/>
    <w:uiPriority w:val="0"/>
    <w:pPr>
      <w:spacing w:line="120" w:lineRule="auto"/>
    </w:p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8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next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2">
    <w:name w:val="Body Text First Indent"/>
    <w:basedOn w:val="6"/>
    <w:next w:val="1"/>
    <w:qFormat/>
    <w:uiPriority w:val="0"/>
    <w:pPr>
      <w:widowControl/>
      <w:ind w:firstLine="420" w:firstLineChars="100"/>
      <w:jc w:val="left"/>
    </w:pPr>
    <w:rPr>
      <w:rFonts w:ascii="Calibri" w:hAnsi="Calibri" w:cs="宋体"/>
      <w:kern w:val="0"/>
    </w:rPr>
  </w:style>
  <w:style w:type="paragraph" w:styleId="13">
    <w:name w:val="Body Text First Indent 2"/>
    <w:basedOn w:val="1"/>
    <w:next w:val="12"/>
    <w:qFormat/>
    <w:uiPriority w:val="0"/>
    <w:pPr>
      <w:ind w:firstLine="420" w:firstLineChars="200"/>
    </w:pPr>
  </w:style>
  <w:style w:type="character" w:styleId="16">
    <w:name w:val="page number"/>
    <w:basedOn w:val="15"/>
    <w:qFormat/>
    <w:uiPriority w:val="0"/>
  </w:style>
  <w:style w:type="paragraph" w:customStyle="1" w:styleId="17">
    <w:name w:val="Plain Text1"/>
    <w:basedOn w:val="1"/>
    <w:qFormat/>
    <w:uiPriority w:val="0"/>
    <w:rPr>
      <w:rFonts w:ascii="宋体" w:hAnsi="Courier New"/>
    </w:rPr>
  </w:style>
  <w:style w:type="paragraph" w:customStyle="1" w:styleId="18">
    <w:name w:val="列出段落1"/>
    <w:basedOn w:val="1"/>
    <w:qFormat/>
    <w:uiPriority w:val="0"/>
    <w:pPr>
      <w:adjustRightInd w:val="0"/>
      <w:snapToGrid w:val="0"/>
      <w:ind w:firstLine="0"/>
    </w:pPr>
    <w:rPr>
      <w:rFonts w:ascii="Times New Roman" w:hAnsi="Times New Roman" w:eastAsia="宋体"/>
      <w:kern w:val="2"/>
      <w:sz w:val="21"/>
      <w:szCs w:val="22"/>
    </w:rPr>
  </w:style>
  <w:style w:type="paragraph" w:customStyle="1" w:styleId="19">
    <w:name w:val="纯文本1"/>
    <w:basedOn w:val="1"/>
    <w:qFormat/>
    <w:uiPriority w:val="0"/>
    <w:rPr>
      <w:rFonts w:ascii="宋体" w:hAnsi="Courier New"/>
    </w:rPr>
  </w:style>
  <w:style w:type="paragraph" w:customStyle="1" w:styleId="20">
    <w:name w:val="明显引用1"/>
    <w:next w:val="1"/>
    <w:qFormat/>
    <w:uiPriority w:val="0"/>
    <w:pPr>
      <w:wordWrap w:val="0"/>
      <w:spacing w:before="360" w:after="360"/>
      <w:ind w:left="950" w:right="950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customStyle="1" w:styleId="21">
    <w:name w:val="样式 HC 正文 + 字距调整小四"/>
    <w:basedOn w:val="22"/>
    <w:next w:val="1"/>
    <w:qFormat/>
    <w:uiPriority w:val="0"/>
    <w:pPr>
      <w:snapToGrid w:val="0"/>
      <w:ind w:firstLine="640"/>
    </w:pPr>
    <w:rPr>
      <w:bCs w:val="0"/>
      <w:kern w:val="24"/>
      <w:lang w:val="zh-CN"/>
    </w:rPr>
  </w:style>
  <w:style w:type="paragraph" w:customStyle="1" w:styleId="22">
    <w:name w:val="HC 正文"/>
    <w:basedOn w:val="1"/>
    <w:qFormat/>
    <w:uiPriority w:val="0"/>
    <w:pPr>
      <w:autoSpaceDE w:val="0"/>
      <w:spacing w:line="360" w:lineRule="auto"/>
      <w:ind w:firstLine="480" w:firstLineChars="200"/>
    </w:pPr>
    <w:rPr>
      <w:bCs/>
      <w:color w:val="0000FF"/>
      <w:sz w:val="24"/>
    </w:rPr>
  </w:style>
  <w:style w:type="paragraph" w:customStyle="1" w:styleId="23">
    <w:name w:val="正文1"/>
    <w:qFormat/>
    <w:uiPriority w:val="0"/>
    <w:pPr>
      <w:widowControl w:val="0"/>
      <w:adjustRightInd w:val="0"/>
      <w:spacing w:line="360" w:lineRule="auto"/>
      <w:ind w:firstLine="200" w:firstLineChars="200"/>
      <w:jc w:val="both"/>
      <w:textAlignment w:val="baseline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customStyle="1" w:styleId="24">
    <w:name w:val="Default"/>
    <w:basedOn w:val="19"/>
    <w:next w:val="1"/>
    <w:unhideWhenUsed/>
    <w:qFormat/>
    <w:uiPriority w:val="0"/>
    <w:pPr>
      <w:autoSpaceDE w:val="0"/>
      <w:autoSpaceDN w:val="0"/>
    </w:pPr>
    <w:rPr>
      <w:rFonts w:hAnsi="宋体"/>
      <w:color w:val="000000"/>
    </w:rPr>
  </w:style>
  <w:style w:type="paragraph" w:customStyle="1" w:styleId="25">
    <w:name w:val="Normal Indent1"/>
    <w:basedOn w:val="1"/>
    <w:qFormat/>
    <w:uiPriority w:val="0"/>
    <w:pPr>
      <w:ind w:firstLine="420"/>
    </w:pPr>
  </w:style>
  <w:style w:type="paragraph" w:customStyle="1" w:styleId="26">
    <w:name w:val="样式 正文 + 首行缩进:  2 字符 + 宋体"/>
    <w:basedOn w:val="1"/>
    <w:qFormat/>
    <w:uiPriority w:val="0"/>
    <w:pPr>
      <w:tabs>
        <w:tab w:val="left" w:pos="2940"/>
      </w:tabs>
      <w:adjustRightInd w:val="0"/>
      <w:snapToGrid w:val="0"/>
      <w:spacing w:line="360" w:lineRule="auto"/>
      <w:ind w:firstLine="480" w:firstLineChars="200"/>
    </w:pPr>
    <w:rPr>
      <w:snapToGrid w:val="0"/>
      <w:sz w:val="24"/>
      <w:szCs w:val="20"/>
    </w:rPr>
  </w:style>
  <w:style w:type="character" w:customStyle="1" w:styleId="27">
    <w:name w:val="fontstyle01"/>
    <w:qFormat/>
    <w:uiPriority w:val="0"/>
    <w:rPr>
      <w:rFonts w:hint="eastAsia" w:ascii="宋体" w:hAnsi="宋体" w:eastAsia="宋体"/>
      <w:color w:val="000000"/>
      <w:sz w:val="24"/>
      <w:szCs w:val="24"/>
    </w:rPr>
  </w:style>
  <w:style w:type="paragraph" w:customStyle="1" w:styleId="28">
    <w:name w:val="环评正文"/>
    <w:basedOn w:val="1"/>
    <w:qFormat/>
    <w:uiPriority w:val="0"/>
    <w:pPr>
      <w:spacing w:line="360" w:lineRule="auto"/>
      <w:ind w:firstLine="560" w:firstLineChars="200"/>
      <w:jc w:val="left"/>
    </w:pPr>
  </w:style>
  <w:style w:type="paragraph" w:customStyle="1" w:styleId="29">
    <w:name w:val="初稿正文"/>
    <w:basedOn w:val="1"/>
    <w:qFormat/>
    <w:uiPriority w:val="0"/>
    <w:pPr>
      <w:spacing w:line="360" w:lineRule="auto"/>
      <w:ind w:firstLine="720" w:firstLineChars="200"/>
    </w:pPr>
    <w:rPr>
      <w:color w:val="FF0000"/>
      <w:szCs w:val="21"/>
    </w:rPr>
  </w:style>
  <w:style w:type="paragraph" w:customStyle="1" w:styleId="30">
    <w:name w:val="文本"/>
    <w:basedOn w:val="1"/>
    <w:qFormat/>
    <w:uiPriority w:val="7"/>
    <w:pPr>
      <w:ind w:firstLine="480" w:firstLineChars="200"/>
      <w:jc w:val="center"/>
    </w:pPr>
    <w:rPr>
      <w:rFonts w:ascii="Times New Roman" w:hAnsi="Times New Roman" w:cs="Times New Roman"/>
      <w:kern w:val="2"/>
    </w:rPr>
  </w:style>
  <w:style w:type="paragraph" w:customStyle="1" w:styleId="31">
    <w:name w:val="zxj正文z"/>
    <w:basedOn w:val="1"/>
    <w:qFormat/>
    <w:uiPriority w:val="0"/>
    <w:pPr>
      <w:spacing w:line="360" w:lineRule="auto"/>
      <w:ind w:firstLine="420" w:firstLineChars="200"/>
      <w:textAlignment w:val="top"/>
    </w:pPr>
    <w:rPr>
      <w:rFonts w:cstheme="minorBidi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玉溪市直属党政机关单位</Company>
  <Pages>10</Pages>
  <Words>4792</Words>
  <Characters>5054</Characters>
  <Lines>17</Lines>
  <Paragraphs>4</Paragraphs>
  <TotalTime>11</TotalTime>
  <ScaleCrop>false</ScaleCrop>
  <LinksUpToDate>false</LinksUpToDate>
  <CharactersWithSpaces>5078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2020-08-06T14:42:00Z</dcterms:created>
  <dc:creator>马腾</dc:creator>
  <cp:lastModifiedBy>丫头</cp:lastModifiedBy>
  <cp:lastPrinted>2026-02-11T07:04:00Z</cp:lastPrinted>
  <dcterms:modified xsi:type="dcterms:W3CDTF">2026-07-28T03:09:41Z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2B0C6190157B4C15B38B64216F21E69C_13</vt:lpwstr>
  </property>
  <property fmtid="{D5CDD505-2E9C-101B-9397-08002B2CF9AE}" pid="4" name="KSOTemplateDocerSaveRecord">
    <vt:lpwstr>eyJoZGlkIjoiMGUzYzZjMTA4MjkxYjBmN2Q2NzBkOWM3MGU3YjgwZDQiLCJ1c2VySWQiOiIyNTc5MzgxMTgifQ==</vt:lpwstr>
  </property>
</Properties>
</file>