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w:t>
      </w:r>
      <w:r>
        <w:rPr>
          <w:rFonts w:hint="eastAsia" w:eastAsia="方正仿宋_GBK" w:cs="Times New Roman"/>
          <w:color w:val="auto"/>
          <w:sz w:val="32"/>
          <w:lang w:val="en-US" w:eastAsia="zh-CN"/>
        </w:rPr>
        <w:t xml:space="preserve"> 90</w:t>
      </w:r>
      <w:r>
        <w:rPr>
          <w:rFonts w:hint="default" w:ascii="Times New Roman" w:hAnsi="Times New Roman" w:eastAsia="方正仿宋_GBK" w:cs="Times New Roman"/>
          <w:color w:val="auto"/>
          <w:sz w:val="32"/>
        </w:rPr>
        <w:t>号</w:t>
      </w:r>
    </w:p>
    <w:p w14:paraId="3C899EE4">
      <w:pPr>
        <w:keepNext w:val="0"/>
        <w:keepLines w:val="0"/>
        <w:pageBreakBefore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小标宋_GBK" w:cs="Times New Roman"/>
          <w:bCs/>
          <w:sz w:val="44"/>
          <w:szCs w:val="44"/>
        </w:rPr>
      </w:pPr>
      <w:r>
        <w:rPr>
          <w:rFonts w:hint="default" w:ascii="Times New Roman" w:hAnsi="Times New Roman" w:eastAsia="方正仿宋_GBK" w:cs="Times New Roman"/>
          <w:color w:val="auto"/>
          <w:sz w:val="32"/>
          <w:szCs w:val="3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035F111A">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eastAsia" w:ascii="方正小标宋_GBK" w:hAnsi="方正小标宋_GBK" w:eastAsia="方正小标宋_GBK" w:cs="方正小标宋_GBK"/>
          <w:b w:val="0"/>
          <w:bCs/>
          <w:sz w:val="44"/>
          <w:szCs w:val="44"/>
          <w:lang w:eastAsia="zh-CN"/>
        </w:rPr>
      </w:pPr>
    </w:p>
    <w:p w14:paraId="1FD1BCC3">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小标宋_GBK" w:cs="Times New Roman"/>
          <w:bCs/>
          <w:color w:val="auto"/>
          <w:sz w:val="44"/>
          <w:szCs w:val="44"/>
        </w:rPr>
      </w:pPr>
      <w:r>
        <w:rPr>
          <w:rFonts w:hint="default" w:ascii="Times New Roman" w:hAnsi="Times New Roman" w:eastAsia="方正小标宋_GBK" w:cs="Times New Roman"/>
          <w:bCs/>
          <w:color w:val="auto"/>
          <w:sz w:val="44"/>
          <w:szCs w:val="44"/>
        </w:rPr>
        <w:t>玉溪市生态环境局</w:t>
      </w:r>
    </w:p>
    <w:p w14:paraId="382368D0">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仿宋_GBK" w:cs="Times New Roman"/>
          <w:color w:val="auto"/>
          <w:sz w:val="32"/>
        </w:rPr>
      </w:pPr>
      <w:r>
        <w:rPr>
          <w:rFonts w:hint="default" w:ascii="Times New Roman" w:hAnsi="Times New Roman" w:eastAsia="方正小标宋_GBK" w:cs="Times New Roman"/>
          <w:bCs/>
          <w:color w:val="auto"/>
          <w:sz w:val="44"/>
          <w:szCs w:val="44"/>
          <w:lang w:eastAsia="zh-CN"/>
        </w:rPr>
        <w:t>关于玉溪山河茶业有限责任公司茉莉花茶厂建设项目环境影响报告表的批复</w:t>
      </w:r>
    </w:p>
    <w:p w14:paraId="58BA6157">
      <w:pPr>
        <w:keepNext w:val="0"/>
        <w:keepLines w:val="0"/>
        <w:pageBreakBefore w:val="0"/>
        <w:widowControl w:val="0"/>
        <w:kinsoku/>
        <w:wordWrap/>
        <w:overflowPunct/>
        <w:topLinePunct/>
        <w:autoSpaceDE/>
        <w:autoSpaceDN/>
        <w:bidi w:val="0"/>
        <w:adjustRightInd/>
        <w:snapToGrid/>
        <w:spacing w:line="570" w:lineRule="exact"/>
        <w:ind w:left="0" w:leftChars="0"/>
        <w:textAlignment w:val="auto"/>
        <w:rPr>
          <w:rFonts w:hint="eastAsia" w:eastAsia="方正仿宋_GBK" w:cs="Times New Roman"/>
          <w:color w:val="auto"/>
          <w:sz w:val="32"/>
          <w:szCs w:val="32"/>
          <w:lang w:eastAsia="zh-CN"/>
        </w:rPr>
      </w:pPr>
    </w:p>
    <w:p w14:paraId="1909465C">
      <w:pPr>
        <w:keepNext w:val="0"/>
        <w:keepLines w:val="0"/>
        <w:pageBreakBefore w:val="0"/>
        <w:widowControl w:val="0"/>
        <w:kinsoku/>
        <w:wordWrap/>
        <w:overflowPunct/>
        <w:topLinePunct/>
        <w:autoSpaceDE/>
        <w:autoSpaceDN/>
        <w:bidi w:val="0"/>
        <w:adjustRightInd/>
        <w:snapToGrid/>
        <w:spacing w:line="570" w:lineRule="exact"/>
        <w:ind w:left="0" w:leftChars="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玉溪山河茶业有限责任公司：</w:t>
      </w:r>
      <w:bookmarkStart w:id="0" w:name="_GoBack"/>
      <w:bookmarkEnd w:id="0"/>
    </w:p>
    <w:p w14:paraId="1B143A43">
      <w:pPr>
        <w:keepNext w:val="0"/>
        <w:keepLines w:val="0"/>
        <w:pageBreakBefore w:val="0"/>
        <w:widowControl w:val="0"/>
        <w:kinsoku/>
        <w:wordWrap/>
        <w:overflowPunct/>
        <w:topLinePunct/>
        <w:autoSpaceDE/>
        <w:autoSpaceDN/>
        <w:bidi w:val="0"/>
        <w:adjustRightInd/>
        <w:snapToGrid/>
        <w:spacing w:line="57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Cs/>
          <w:color w:val="auto"/>
          <w:sz w:val="32"/>
          <w:szCs w:val="32"/>
          <w:lang w:eastAsia="zh-CN"/>
        </w:rPr>
        <w:t>你</w:t>
      </w:r>
      <w:r>
        <w:rPr>
          <w:rFonts w:hint="eastAsia" w:eastAsia="方正仿宋_GBK" w:cs="Times New Roman"/>
          <w:bCs/>
          <w:color w:val="auto"/>
          <w:sz w:val="32"/>
          <w:szCs w:val="32"/>
          <w:lang w:eastAsia="zh-CN"/>
        </w:rPr>
        <w:t>公司</w:t>
      </w:r>
      <w:r>
        <w:rPr>
          <w:rFonts w:hint="default" w:ascii="Times New Roman" w:hAnsi="Times New Roman" w:eastAsia="方正仿宋_GBK" w:cs="Times New Roman"/>
          <w:bCs/>
          <w:color w:val="auto"/>
          <w:sz w:val="32"/>
          <w:szCs w:val="32"/>
          <w:lang w:val="en-US" w:eastAsia="zh-CN"/>
        </w:rPr>
        <w:t>申请报批的</w:t>
      </w:r>
      <w:r>
        <w:rPr>
          <w:rFonts w:hint="default" w:ascii="Times New Roman" w:hAnsi="Times New Roman" w:eastAsia="方正仿宋_GBK" w:cs="Times New Roman"/>
          <w:color w:val="auto"/>
          <w:sz w:val="32"/>
          <w:szCs w:val="32"/>
          <w:lang w:eastAsia="zh-CN"/>
        </w:rPr>
        <w:t>《茉莉花茶厂建设项目</w:t>
      </w:r>
      <w:r>
        <w:rPr>
          <w:rFonts w:hint="eastAsia" w:eastAsia="方正仿宋_GBK" w:cs="Times New Roman"/>
          <w:color w:val="auto"/>
          <w:sz w:val="32"/>
          <w:szCs w:val="32"/>
          <w:lang w:eastAsia="zh-CN"/>
        </w:rPr>
        <w:t>环境影响报告表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bCs/>
          <w:color w:val="auto"/>
          <w:sz w:val="32"/>
          <w:szCs w:val="32"/>
          <w:lang w:val="en-US" w:eastAsia="zh-CN"/>
        </w:rPr>
        <w:t>（以下简称《报告表》）</w:t>
      </w:r>
      <w:r>
        <w:rPr>
          <w:rFonts w:hint="default" w:ascii="Times New Roman" w:hAnsi="Times New Roman" w:eastAsia="方正仿宋_GBK" w:cs="Times New Roman"/>
          <w:color w:val="auto"/>
          <w:sz w:val="32"/>
          <w:szCs w:val="32"/>
          <w:lang w:eastAsia="zh-CN"/>
        </w:rPr>
        <w:t>收悉。经研究，批复如下：</w:t>
      </w:r>
    </w:p>
    <w:p w14:paraId="4477542F">
      <w:pPr>
        <w:keepNext w:val="0"/>
        <w:keepLines w:val="0"/>
        <w:pageBreakBefore w:val="0"/>
        <w:widowControl w:val="0"/>
        <w:numPr>
          <w:ilvl w:val="0"/>
          <w:numId w:val="0"/>
        </w:numPr>
        <w:kinsoku/>
        <w:wordWrap/>
        <w:overflowPunct/>
        <w:topLinePunct/>
        <w:autoSpaceDE/>
        <w:autoSpaceDN/>
        <w:bidi w:val="0"/>
        <w:adjustRightInd/>
        <w:snapToGrid/>
        <w:spacing w:line="570" w:lineRule="exact"/>
        <w:ind w:firstLine="640" w:firstLineChars="200"/>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一、</w:t>
      </w:r>
      <w:r>
        <w:rPr>
          <w:rFonts w:hint="eastAsia" w:eastAsia="方正黑体_GBK" w:cs="Times New Roman"/>
          <w:color w:val="auto"/>
          <w:sz w:val="32"/>
          <w:szCs w:val="32"/>
          <w:lang w:val="en-US" w:eastAsia="zh-CN"/>
        </w:rPr>
        <w:t>项目</w:t>
      </w:r>
      <w:r>
        <w:rPr>
          <w:rFonts w:hint="default" w:ascii="Times New Roman" w:hAnsi="Times New Roman" w:eastAsia="方正黑体_GBK" w:cs="Times New Roman"/>
          <w:color w:val="auto"/>
          <w:sz w:val="32"/>
          <w:szCs w:val="32"/>
          <w:lang w:val="en-US" w:eastAsia="zh-CN"/>
        </w:rPr>
        <w:t>基本情况</w:t>
      </w:r>
    </w:p>
    <w:p w14:paraId="3541795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eastAsia="方正仿宋_GBK" w:cs="Times New Roman"/>
          <w:color w:val="auto"/>
          <w:sz w:val="32"/>
          <w:szCs w:val="32"/>
          <w:lang w:val="en-US" w:eastAsia="zh-CN"/>
        </w:rPr>
      </w:pPr>
      <w:r>
        <w:rPr>
          <w:rFonts w:hint="eastAsia" w:eastAsia="方正仿宋_GBK" w:cs="Times New Roman"/>
          <w:color w:val="auto"/>
          <w:sz w:val="32"/>
          <w:szCs w:val="32"/>
          <w:lang w:val="en-US" w:eastAsia="zh-CN"/>
        </w:rPr>
        <w:t>该项目位于元江县红河街道办事处兴元社区大路新寨组150号，租用原玉元茉莉花厂用地进行建设。项目取得了</w:t>
      </w:r>
      <w:r>
        <w:rPr>
          <w:rFonts w:hint="eastAsia" w:ascii="Times New Roman" w:hAnsi="Times New Roman" w:eastAsia="方正仿宋_GBK" w:cs="Times New Roman"/>
          <w:color w:val="auto"/>
          <w:sz w:val="32"/>
          <w:szCs w:val="32"/>
          <w:lang w:val="en-US" w:eastAsia="zh-CN"/>
        </w:rPr>
        <w:t>《云南省固定资产投资项目备案证》，项目代码</w:t>
      </w:r>
      <w:r>
        <w:rPr>
          <w:rFonts w:hint="eastAsia"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2604-530428-04-05-552418</w:t>
      </w:r>
      <w:r>
        <w:rPr>
          <w:rFonts w:hint="eastAsia" w:eastAsia="方正仿宋_GBK" w:cs="Times New Roman"/>
          <w:color w:val="auto"/>
          <w:sz w:val="32"/>
          <w:szCs w:val="32"/>
          <w:lang w:val="en-US" w:eastAsia="zh-CN"/>
        </w:rPr>
        <w:t>，总投资14200万元，项目</w:t>
      </w:r>
      <w:r>
        <w:rPr>
          <w:rFonts w:hint="eastAsia" w:ascii="Times New Roman" w:hAnsi="Times New Roman" w:eastAsia="方正仿宋_GBK" w:cs="Times New Roman"/>
          <w:color w:val="auto"/>
          <w:sz w:val="32"/>
          <w:szCs w:val="32"/>
          <w:lang w:val="en-US" w:eastAsia="zh-CN" w:bidi="ar-SA"/>
        </w:rPr>
        <w:t>分二期建设，其一期工程</w:t>
      </w:r>
      <w:r>
        <w:rPr>
          <w:rFonts w:hint="default" w:ascii="Times New Roman" w:hAnsi="Times New Roman" w:eastAsia="方正仿宋_GBK" w:cs="Times New Roman"/>
          <w:color w:val="auto"/>
          <w:sz w:val="32"/>
          <w:szCs w:val="32"/>
          <w:lang w:val="en-US" w:eastAsia="zh-CN" w:bidi="ar-SA"/>
        </w:rPr>
        <w:t>总投资7200万元，其中环保投资53.2万元</w:t>
      </w:r>
      <w:r>
        <w:rPr>
          <w:rFonts w:hint="eastAsia" w:ascii="Times New Roman" w:hAnsi="Times New Roman" w:eastAsia="方正仿宋_GBK" w:cs="Times New Roman"/>
          <w:color w:val="auto"/>
          <w:sz w:val="32"/>
          <w:szCs w:val="32"/>
          <w:lang w:val="en-US" w:eastAsia="zh-CN" w:bidi="ar-SA"/>
        </w:rPr>
        <w:t>。</w:t>
      </w:r>
      <w:r>
        <w:rPr>
          <w:rFonts w:hint="default" w:ascii="Times New Roman" w:hAnsi="Times New Roman" w:eastAsia="方正仿宋_GBK" w:cs="Times New Roman"/>
          <w:color w:val="auto"/>
          <w:sz w:val="32"/>
          <w:szCs w:val="32"/>
          <w:lang w:val="en-US" w:eastAsia="zh-CN" w:bidi="ar-SA"/>
        </w:rPr>
        <w:t>项目</w:t>
      </w:r>
      <w:r>
        <w:rPr>
          <w:rFonts w:hint="eastAsia" w:ascii="Times New Roman" w:hAnsi="Times New Roman" w:eastAsia="方正仿宋_GBK" w:cs="Times New Roman"/>
          <w:color w:val="auto"/>
          <w:sz w:val="32"/>
          <w:szCs w:val="32"/>
          <w:lang w:val="en-US" w:eastAsia="zh-CN" w:bidi="ar-SA"/>
        </w:rPr>
        <w:t>一期工程</w:t>
      </w:r>
      <w:r>
        <w:rPr>
          <w:rFonts w:hint="eastAsia" w:eastAsia="方正仿宋_GBK" w:cs="Times New Roman"/>
          <w:color w:val="auto"/>
          <w:sz w:val="32"/>
          <w:szCs w:val="32"/>
          <w:lang w:val="en-US" w:eastAsia="zh-CN"/>
        </w:rPr>
        <w:t>主要建设10条茉莉花茶生产线，并配套建设相应的冷链仓储设施、公辅设施和环保工程，项目建成后形成年产3600吨花茶的生产能力。</w:t>
      </w:r>
      <w:r>
        <w:rPr>
          <w:rFonts w:hint="default" w:ascii="Times New Roman" w:hAnsi="Times New Roman" w:eastAsia="方正仿宋_GBK" w:cs="Times New Roman"/>
          <w:color w:val="auto"/>
          <w:sz w:val="32"/>
          <w:szCs w:val="32"/>
          <w:lang w:val="en-US" w:eastAsia="zh-CN" w:bidi="ar-SA"/>
        </w:rPr>
        <w:t>本次环境影响评价仅对一期工程</w:t>
      </w:r>
      <w:r>
        <w:rPr>
          <w:rFonts w:hint="eastAsia" w:ascii="Times New Roman" w:hAnsi="Times New Roman" w:eastAsia="方正仿宋_GBK" w:cs="Times New Roman"/>
          <w:color w:val="auto"/>
          <w:sz w:val="32"/>
          <w:szCs w:val="32"/>
          <w:lang w:val="en-US" w:eastAsia="zh-CN" w:bidi="ar-SA"/>
        </w:rPr>
        <w:t>建设</w:t>
      </w:r>
      <w:r>
        <w:rPr>
          <w:rFonts w:hint="default" w:ascii="Times New Roman" w:hAnsi="Times New Roman" w:eastAsia="方正仿宋_GBK" w:cs="Times New Roman"/>
          <w:color w:val="auto"/>
          <w:sz w:val="32"/>
          <w:szCs w:val="32"/>
          <w:lang w:val="en-US" w:eastAsia="zh-CN" w:bidi="ar-SA"/>
        </w:rPr>
        <w:t>内容进行评价</w:t>
      </w:r>
      <w:r>
        <w:rPr>
          <w:rFonts w:hint="eastAsia" w:ascii="Times New Roman" w:hAnsi="Times New Roman" w:eastAsia="方正仿宋_GBK" w:cs="Times New Roman"/>
          <w:color w:val="auto"/>
          <w:sz w:val="32"/>
          <w:szCs w:val="32"/>
          <w:lang w:val="en-US" w:eastAsia="zh-CN" w:bidi="ar-SA"/>
        </w:rPr>
        <w:t>。</w:t>
      </w:r>
    </w:p>
    <w:p w14:paraId="3A686B21">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default" w:ascii="方正仿宋_GBK" w:hAnsi="方正仿宋_GBK" w:eastAsia="方正仿宋_GBK" w:cs="方正仿宋_GBK"/>
          <w:bCs/>
          <w:color w:val="auto"/>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eastAsia" w:eastAsia="方正仿宋_GBK" w:cs="Times New Roman"/>
          <w:color w:val="auto"/>
          <w:sz w:val="32"/>
          <w:szCs w:val="32"/>
          <w:lang w:val="en-US" w:eastAsia="zh-CN"/>
        </w:rPr>
        <w:t>。</w:t>
      </w:r>
    </w:p>
    <w:p w14:paraId="560C5E98">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方正黑体_GBK" w:hAnsi="方正黑体_GBK" w:eastAsia="方正黑体_GBK" w:cs="方正黑体_GBK"/>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48D9E47C">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eastAsia="zh-CN"/>
        </w:rPr>
        <w:t>（一）</w:t>
      </w:r>
      <w:r>
        <w:rPr>
          <w:rFonts w:hint="default" w:ascii="Times New Roman" w:hAnsi="Times New Roman" w:eastAsia="方正楷体_GBK" w:cs="Times New Roman"/>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67FDEE4E">
      <w:pPr>
        <w:keepNext w:val="0"/>
        <w:keepLines w:val="0"/>
        <w:pageBreakBefore w:val="0"/>
        <w:widowControl w:val="0"/>
        <w:numPr>
          <w:ilvl w:val="0"/>
          <w:numId w:val="0"/>
        </w:numPr>
        <w:kinsoku/>
        <w:wordWrap/>
        <w:overflowPunct/>
        <w:autoSpaceDE/>
        <w:autoSpaceDN/>
        <w:bidi w:val="0"/>
        <w:spacing w:line="570" w:lineRule="exact"/>
        <w:ind w:firstLine="620" w:firstLineChars="194"/>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bCs/>
          <w:color w:val="auto"/>
          <w:sz w:val="32"/>
          <w:szCs w:val="32"/>
        </w:rPr>
        <w:t>（二）</w:t>
      </w:r>
      <w:r>
        <w:rPr>
          <w:rFonts w:hint="default" w:ascii="Times New Roman" w:hAnsi="Times New Roman" w:eastAsia="方正楷体_GBK" w:cs="Times New Roman"/>
          <w:color w:val="auto"/>
          <w:sz w:val="32"/>
          <w:szCs w:val="32"/>
          <w:highlight w:val="none"/>
          <w:lang w:val="en-US" w:eastAsia="zh-CN"/>
        </w:rPr>
        <w:t>加强废气污染防治，确保大气污染物达标排放。</w:t>
      </w:r>
      <w:r>
        <w:rPr>
          <w:rFonts w:hint="default" w:ascii="Times New Roman" w:hAnsi="Times New Roman" w:eastAsia="方正仿宋_GBK" w:cs="Times New Roman"/>
          <w:color w:val="auto"/>
          <w:sz w:val="32"/>
          <w:szCs w:val="32"/>
          <w:lang w:val="en-US" w:eastAsia="zh-CN"/>
        </w:rPr>
        <w:t>项目热风炉</w:t>
      </w:r>
      <w:r>
        <w:rPr>
          <w:rFonts w:hint="eastAsia" w:eastAsia="方正仿宋_GBK" w:cs="Times New Roman"/>
          <w:color w:val="auto"/>
          <w:sz w:val="32"/>
          <w:szCs w:val="32"/>
          <w:lang w:val="en-US" w:eastAsia="zh-CN"/>
        </w:rPr>
        <w:t>、炒茶机</w:t>
      </w:r>
      <w:r>
        <w:rPr>
          <w:rFonts w:hint="default" w:ascii="Times New Roman" w:hAnsi="Times New Roman" w:eastAsia="方正仿宋_GBK" w:cs="Times New Roman"/>
          <w:color w:val="auto"/>
          <w:sz w:val="32"/>
          <w:szCs w:val="32"/>
          <w:lang w:val="en-US" w:eastAsia="zh-CN"/>
        </w:rPr>
        <w:t>须使用合格的成型生物质燃料，</w:t>
      </w:r>
      <w:r>
        <w:rPr>
          <w:rFonts w:hint="eastAsia" w:eastAsia="方正仿宋_GBK" w:cs="Times New Roman"/>
          <w:color w:val="auto"/>
          <w:sz w:val="32"/>
          <w:szCs w:val="32"/>
          <w:lang w:val="en-US" w:eastAsia="zh-CN"/>
        </w:rPr>
        <w:t>1#生产车间热风炉、炒茶机和2#车间热风炉产生的废气分别收集通过1套高温布袋除尘器处理后，统一由1根不低于15米高的排气筒排放；3#车间热风炉产生的废气分别收集通过1套高温布袋除尘器处理后，统一由1根不低于15米高的排气筒排放；</w:t>
      </w:r>
      <w:r>
        <w:rPr>
          <w:rFonts w:hint="default" w:ascii="Times New Roman" w:hAnsi="Times New Roman" w:eastAsia="方正仿宋_GBK" w:cs="Times New Roman"/>
          <w:color w:val="auto"/>
          <w:sz w:val="32"/>
          <w:szCs w:val="32"/>
          <w:lang w:val="en-US" w:eastAsia="zh-CN"/>
        </w:rPr>
        <w:t>项目有组织排放的颗粒物、二氧化硫浓度</w:t>
      </w:r>
      <w:r>
        <w:rPr>
          <w:rFonts w:hint="eastAsia" w:eastAsia="方正仿宋_GBK" w:cs="Times New Roman"/>
          <w:color w:val="auto"/>
          <w:sz w:val="32"/>
          <w:szCs w:val="32"/>
          <w:lang w:val="en-US" w:eastAsia="zh-CN"/>
        </w:rPr>
        <w:t>须</w:t>
      </w:r>
      <w:r>
        <w:rPr>
          <w:rFonts w:hint="default" w:ascii="Times New Roman" w:hAnsi="Times New Roman" w:eastAsia="方正仿宋_GBK" w:cs="Times New Roman"/>
          <w:color w:val="auto"/>
          <w:sz w:val="32"/>
          <w:szCs w:val="32"/>
          <w:lang w:val="en-US" w:eastAsia="zh-CN"/>
        </w:rPr>
        <w:t>达到《工业炉窑大气污染物排放标准》（GB9078</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1996）</w:t>
      </w:r>
      <w:r>
        <w:rPr>
          <w:rFonts w:hint="eastAsia" w:eastAsia="方正仿宋_GBK" w:cs="Times New Roman"/>
          <w:color w:val="auto"/>
          <w:sz w:val="32"/>
          <w:szCs w:val="32"/>
          <w:lang w:val="en-US" w:eastAsia="zh-CN"/>
        </w:rPr>
        <w:t>规定的限值</w:t>
      </w:r>
      <w:r>
        <w:rPr>
          <w:rFonts w:hint="default" w:ascii="Times New Roman" w:hAnsi="Times New Roman" w:eastAsia="方正仿宋_GBK" w:cs="Times New Roman"/>
          <w:color w:val="auto"/>
          <w:sz w:val="32"/>
          <w:szCs w:val="32"/>
          <w:lang w:val="en-US" w:eastAsia="zh-CN"/>
        </w:rPr>
        <w:t>要求，氮氧化物排放浓度</w:t>
      </w:r>
      <w:r>
        <w:rPr>
          <w:rFonts w:hint="eastAsia" w:eastAsia="方正仿宋_GBK" w:cs="Times New Roman"/>
          <w:color w:val="auto"/>
          <w:sz w:val="32"/>
          <w:szCs w:val="32"/>
          <w:lang w:val="en-US" w:eastAsia="zh-CN"/>
        </w:rPr>
        <w:t>须</w:t>
      </w:r>
      <w:r>
        <w:rPr>
          <w:rFonts w:hint="default" w:ascii="Times New Roman" w:hAnsi="Times New Roman" w:eastAsia="方正仿宋_GBK" w:cs="Times New Roman"/>
          <w:color w:val="auto"/>
          <w:sz w:val="32"/>
          <w:szCs w:val="32"/>
          <w:lang w:val="en-US" w:eastAsia="zh-CN"/>
        </w:rPr>
        <w:t>达到《大气污染物综合排放标准》（GB16297-1996）规定的标准要求；切实加强生产过程中无组织排放废气的控制，加强厂区绿化，对厂区道路、地面进行硬化处理，并采取洒水抑尘等措施，确保项目厂界无组织</w:t>
      </w:r>
      <w:r>
        <w:rPr>
          <w:rFonts w:hint="eastAsia" w:eastAsia="方正仿宋_GBK" w:cs="Times New Roman"/>
          <w:color w:val="auto"/>
          <w:sz w:val="32"/>
          <w:szCs w:val="32"/>
          <w:lang w:val="en-US" w:eastAsia="zh-CN"/>
        </w:rPr>
        <w:t>排放的</w:t>
      </w:r>
      <w:r>
        <w:rPr>
          <w:rFonts w:hint="default" w:ascii="Times New Roman" w:hAnsi="Times New Roman" w:eastAsia="方正仿宋_GBK" w:cs="Times New Roman"/>
          <w:color w:val="auto"/>
          <w:sz w:val="32"/>
          <w:szCs w:val="32"/>
          <w:lang w:val="en-US" w:eastAsia="zh-CN"/>
        </w:rPr>
        <w:t>颗粒物浓度达到《大气污染物综合排放标准》（GB16297-1996）表2规定的限值要求，厂界</w:t>
      </w:r>
      <w:r>
        <w:rPr>
          <w:rFonts w:hint="eastAsia" w:eastAsia="方正仿宋_GBK" w:cs="Times New Roman"/>
          <w:color w:val="auto"/>
          <w:sz w:val="32"/>
          <w:szCs w:val="32"/>
          <w:lang w:val="en-US" w:eastAsia="zh-CN"/>
        </w:rPr>
        <w:t>无组织排放排放的氨、硫化氢和</w:t>
      </w:r>
      <w:r>
        <w:rPr>
          <w:rFonts w:hint="default" w:ascii="Times New Roman" w:hAnsi="Times New Roman" w:eastAsia="方正仿宋_GBK" w:cs="Times New Roman"/>
          <w:color w:val="auto"/>
          <w:sz w:val="32"/>
          <w:szCs w:val="32"/>
          <w:lang w:val="en-US" w:eastAsia="zh-CN"/>
        </w:rPr>
        <w:t>臭气浓度达到《恶臭污染物排放标准》（GB14554-93）规定的浓度限值要求。</w:t>
      </w:r>
    </w:p>
    <w:p w14:paraId="53D3EA21">
      <w:pPr>
        <w:keepNext w:val="0"/>
        <w:keepLines w:val="0"/>
        <w:pageBreakBefore w:val="0"/>
        <w:widowControl w:val="0"/>
        <w:kinsoku/>
        <w:wordWrap/>
        <w:overflowPunct/>
        <w:autoSpaceDE/>
        <w:autoSpaceDN/>
        <w:bidi w:val="0"/>
        <w:spacing w:line="570" w:lineRule="exact"/>
        <w:ind w:firstLine="640" w:firstLineChars="200"/>
        <w:rPr>
          <w:rFonts w:hint="eastAsia" w:eastAsia="方正仿宋_GBK"/>
          <w:color w:val="0070C0"/>
          <w:sz w:val="32"/>
          <w:szCs w:val="32"/>
          <w:lang w:eastAsia="zh-CN"/>
        </w:rPr>
      </w:pPr>
      <w:r>
        <w:rPr>
          <w:rFonts w:hint="default" w:ascii="Times New Roman" w:hAnsi="Times New Roman" w:eastAsia="方正楷体_GBK" w:cs="Times New Roman"/>
          <w:color w:val="auto"/>
          <w:kern w:val="0"/>
          <w:sz w:val="32"/>
          <w:szCs w:val="32"/>
          <w:lang w:val="en-US" w:eastAsia="zh-CN"/>
        </w:rPr>
        <w:t>（</w:t>
      </w:r>
      <w:r>
        <w:rPr>
          <w:rFonts w:hint="eastAsia" w:ascii="Times New Roman" w:hAnsi="Times New Roman" w:eastAsia="方正楷体_GBK" w:cs="Times New Roman"/>
          <w:color w:val="auto"/>
          <w:kern w:val="0"/>
          <w:sz w:val="32"/>
          <w:szCs w:val="32"/>
          <w:lang w:val="en-US" w:eastAsia="zh-CN"/>
        </w:rPr>
        <w:t>三</w:t>
      </w:r>
      <w:r>
        <w:rPr>
          <w:rFonts w:hint="default" w:ascii="Times New Roman" w:hAnsi="Times New Roman" w:eastAsia="方正楷体_GBK" w:cs="Times New Roman"/>
          <w:color w:val="auto"/>
          <w:kern w:val="0"/>
          <w:sz w:val="32"/>
          <w:szCs w:val="32"/>
          <w:lang w:val="en-US" w:eastAsia="zh-CN"/>
        </w:rPr>
        <w:t>）严格落实水污染防治措施。</w:t>
      </w:r>
      <w:r>
        <w:rPr>
          <w:rFonts w:hint="eastAsia" w:ascii="Times New Roman" w:hAnsi="Times New Roman" w:eastAsia="方正仿宋_GBK" w:cs="Times New Roman"/>
          <w:color w:val="auto"/>
          <w:sz w:val="32"/>
          <w:szCs w:val="32"/>
          <w:lang w:val="en-US" w:eastAsia="zh-CN"/>
        </w:rPr>
        <w:t>按照雨污分流、清污分流原则，</w:t>
      </w:r>
      <w:r>
        <w:rPr>
          <w:rFonts w:hint="default" w:ascii="Times New Roman" w:hAnsi="Times New Roman" w:eastAsia="方正仿宋_GBK" w:cs="Times New Roman"/>
          <w:bCs/>
          <w:color w:val="auto"/>
          <w:sz w:val="32"/>
          <w:szCs w:val="32"/>
          <w:lang w:val="en-US" w:eastAsia="zh-CN"/>
        </w:rPr>
        <w:t>建设排水和回用系统</w:t>
      </w:r>
      <w:r>
        <w:rPr>
          <w:rFonts w:hint="default" w:ascii="Times New Roman" w:hAnsi="Times New Roman" w:eastAsia="方正仿宋_GBK" w:cs="Times New Roman"/>
          <w:color w:val="auto"/>
          <w:sz w:val="32"/>
          <w:szCs w:val="32"/>
          <w:lang w:val="en-US" w:eastAsia="zh-CN"/>
        </w:rPr>
        <w:t>，确保满足</w:t>
      </w:r>
      <w:r>
        <w:rPr>
          <w:rFonts w:hint="default" w:ascii="Times New Roman" w:hAnsi="Times New Roman" w:eastAsia="方正仿宋_GBK" w:cs="Times New Roman"/>
          <w:color w:val="auto"/>
          <w:sz w:val="32"/>
          <w:szCs w:val="32"/>
          <w:lang w:val="en-US"/>
        </w:rPr>
        <w:t>项目</w:t>
      </w:r>
      <w:r>
        <w:rPr>
          <w:rFonts w:hint="default" w:ascii="Times New Roman" w:hAnsi="Times New Roman" w:eastAsia="方正仿宋_GBK" w:cs="Times New Roman"/>
          <w:color w:val="auto"/>
          <w:sz w:val="32"/>
          <w:szCs w:val="32"/>
          <w:lang w:val="en-US" w:eastAsia="zh-CN"/>
        </w:rPr>
        <w:t>废水处理、</w:t>
      </w:r>
      <w:r>
        <w:rPr>
          <w:rFonts w:hint="default" w:ascii="Times New Roman" w:hAnsi="Times New Roman" w:eastAsia="方正仿宋_GBK" w:cs="Times New Roman"/>
          <w:color w:val="auto"/>
          <w:sz w:val="32"/>
          <w:szCs w:val="32"/>
          <w:lang w:val="en-US"/>
        </w:rPr>
        <w:t>回用</w:t>
      </w:r>
      <w:r>
        <w:rPr>
          <w:rFonts w:hint="default" w:ascii="Times New Roman" w:hAnsi="Times New Roman" w:eastAsia="方正仿宋_GBK" w:cs="Times New Roman"/>
          <w:color w:val="auto"/>
          <w:sz w:val="32"/>
          <w:szCs w:val="32"/>
          <w:lang w:val="en-US" w:eastAsia="zh-CN"/>
        </w:rPr>
        <w:t>的要求。</w:t>
      </w:r>
      <w:r>
        <w:rPr>
          <w:rFonts w:hint="eastAsia" w:eastAsia="方正仿宋_GBK" w:cs="Times New Roman"/>
          <w:color w:val="auto"/>
          <w:sz w:val="32"/>
          <w:szCs w:val="32"/>
          <w:lang w:val="en-US" w:eastAsia="zh-CN"/>
        </w:rPr>
        <w:t>项目无生产废水产生，</w:t>
      </w:r>
      <w:r>
        <w:rPr>
          <w:rFonts w:hint="eastAsia" w:ascii="方正仿宋_GBK" w:hAnsi="方正仿宋_GBK" w:eastAsia="方正仿宋_GBK" w:cs="方正仿宋_GBK"/>
          <w:color w:val="auto"/>
          <w:kern w:val="0"/>
          <w:sz w:val="32"/>
          <w:szCs w:val="32"/>
          <w:lang w:val="en-US" w:eastAsia="zh-CN" w:bidi="ar-SA"/>
        </w:rPr>
        <w:t>产生的</w:t>
      </w:r>
      <w:r>
        <w:rPr>
          <w:rFonts w:hint="eastAsia" w:eastAsia="方正仿宋_GBK"/>
          <w:color w:val="auto"/>
          <w:sz w:val="32"/>
          <w:szCs w:val="32"/>
        </w:rPr>
        <w:t>生活污水</w:t>
      </w:r>
      <w:r>
        <w:rPr>
          <w:rFonts w:hint="eastAsia" w:eastAsia="方正仿宋_GBK"/>
          <w:color w:val="auto"/>
          <w:sz w:val="32"/>
          <w:szCs w:val="32"/>
          <w:lang w:eastAsia="zh-CN"/>
        </w:rPr>
        <w:t>经化粪池预处理后</w:t>
      </w:r>
      <w:r>
        <w:rPr>
          <w:rFonts w:hint="eastAsia" w:eastAsia="方正仿宋_GBK" w:cs="Times New Roman"/>
          <w:color w:val="auto"/>
          <w:sz w:val="32"/>
          <w:szCs w:val="32"/>
          <w:lang w:val="en-US" w:eastAsia="zh-CN"/>
        </w:rPr>
        <w:t>达到《污水排入城镇下水道水质标准》（GB/T31962-2015）表1B等级标准及《污水综合排放标准》（GB8978-1996）表4三级标准规定的最严标准值后，排入市政污水管网，最终进入元江县污水处理厂处理。</w:t>
      </w:r>
    </w:p>
    <w:p w14:paraId="0465BCE1">
      <w:pPr>
        <w:keepNext w:val="0"/>
        <w:keepLines w:val="0"/>
        <w:pageBreakBefore w:val="0"/>
        <w:widowControl w:val="0"/>
        <w:kinsoku/>
        <w:wordWrap/>
        <w:overflowPunct/>
        <w:topLinePunct w:val="0"/>
        <w:autoSpaceDE/>
        <w:autoSpaceDN/>
        <w:bidi w:val="0"/>
        <w:adjustRightInd/>
        <w:spacing w:line="57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（四）严格落实噪声污染防治措施。</w:t>
      </w:r>
      <w:r>
        <w:rPr>
          <w:rFonts w:hint="eastAsia" w:ascii="Times New Roman" w:hAnsi="Times New Roman" w:eastAsia="方正仿宋_GBK" w:cs="Times New Roman"/>
          <w:color w:val="auto"/>
          <w:sz w:val="32"/>
          <w:szCs w:val="32"/>
          <w:lang w:val="en-US" w:eastAsia="zh-CN"/>
        </w:rPr>
        <w:t>选用低噪声设备，合理布置高噪声设备，通过采取减振、消声、隔声等措施，确保项目</w:t>
      </w:r>
      <w:r>
        <w:rPr>
          <w:rFonts w:hint="eastAsia" w:eastAsia="方正仿宋_GBK" w:cs="Times New Roman"/>
          <w:color w:val="auto"/>
          <w:sz w:val="32"/>
          <w:szCs w:val="32"/>
          <w:lang w:val="en-US" w:eastAsia="zh-CN"/>
        </w:rPr>
        <w:t>东、南、西厂界</w:t>
      </w:r>
      <w:r>
        <w:rPr>
          <w:rFonts w:hint="eastAsia" w:ascii="Times New Roman" w:hAnsi="Times New Roman" w:eastAsia="方正仿宋_GBK" w:cs="Times New Roman"/>
          <w:color w:val="auto"/>
          <w:sz w:val="32"/>
          <w:szCs w:val="32"/>
          <w:lang w:val="en-US" w:eastAsia="zh-CN"/>
        </w:rPr>
        <w:t>噪声达到《工业企业厂界环境噪声排放标准》（GB12348-2008）</w:t>
      </w:r>
      <w:r>
        <w:rPr>
          <w:rFonts w:hint="eastAsia" w:eastAsia="方正仿宋_GBK" w:cs="Times New Roman"/>
          <w:color w:val="auto"/>
          <w:sz w:val="32"/>
          <w:szCs w:val="32"/>
          <w:lang w:val="en-US" w:eastAsia="zh-CN"/>
        </w:rPr>
        <w:t>2</w:t>
      </w:r>
      <w:r>
        <w:rPr>
          <w:rFonts w:hint="eastAsia" w:ascii="Times New Roman" w:hAnsi="Times New Roman" w:eastAsia="方正仿宋_GBK" w:cs="Times New Roman"/>
          <w:color w:val="auto"/>
          <w:sz w:val="32"/>
          <w:szCs w:val="32"/>
          <w:lang w:val="en-US" w:eastAsia="zh-CN"/>
        </w:rPr>
        <w:t>类标准要求，其</w:t>
      </w:r>
      <w:r>
        <w:rPr>
          <w:rFonts w:hint="eastAsia" w:eastAsia="方正仿宋_GBK" w:cs="Times New Roman"/>
          <w:color w:val="auto"/>
          <w:sz w:val="32"/>
          <w:szCs w:val="32"/>
          <w:lang w:val="en-US" w:eastAsia="zh-CN"/>
        </w:rPr>
        <w:t>北侧</w:t>
      </w:r>
      <w:r>
        <w:rPr>
          <w:rFonts w:hint="eastAsia" w:ascii="Times New Roman" w:hAnsi="Times New Roman" w:eastAsia="方正仿宋_GBK" w:cs="Times New Roman"/>
          <w:color w:val="auto"/>
          <w:sz w:val="32"/>
          <w:szCs w:val="32"/>
          <w:lang w:val="en-US" w:eastAsia="zh-CN"/>
        </w:rPr>
        <w:t>厂界噪声</w:t>
      </w:r>
      <w:r>
        <w:rPr>
          <w:rFonts w:hint="eastAsia" w:eastAsia="方正仿宋_GBK" w:cs="Times New Roman"/>
          <w:color w:val="auto"/>
          <w:sz w:val="32"/>
          <w:szCs w:val="32"/>
          <w:lang w:val="en-US" w:eastAsia="zh-CN"/>
        </w:rPr>
        <w:t>达到4</w:t>
      </w:r>
      <w:r>
        <w:rPr>
          <w:rFonts w:hint="eastAsia" w:ascii="Times New Roman" w:hAnsi="Times New Roman" w:eastAsia="方正仿宋_GBK" w:cs="Times New Roman"/>
          <w:color w:val="auto"/>
          <w:sz w:val="32"/>
          <w:szCs w:val="32"/>
          <w:lang w:val="en-US" w:eastAsia="zh-CN"/>
        </w:rPr>
        <w:t>类标准要求。</w:t>
      </w:r>
    </w:p>
    <w:p w14:paraId="30433D1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方正楷体_GBK" w:hAnsi="方正楷体_GBK" w:eastAsia="方正楷体_GBK" w:cs="方正楷体_GBK"/>
          <w:color w:val="auto"/>
          <w:sz w:val="32"/>
          <w:szCs w:val="32"/>
          <w:lang w:eastAsia="zh-CN"/>
        </w:rPr>
        <w:t>（五）</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auto"/>
          <w:sz w:val="32"/>
          <w:szCs w:val="32"/>
          <w:highlight w:val="none"/>
          <w:lang w:val="en-US" w:eastAsia="zh-CN"/>
        </w:rPr>
        <w:t>按照减量化、资源化、无害化原则，对固体废物进行分类收集、处理处置，确保不造成二次污染。工业固体废物应尽量进行综合利用，一般固体废物按照《一般工业固体废物贮存和填埋污染控制标准（GB18599</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2020）》要求管理；</w:t>
      </w:r>
      <w:r>
        <w:rPr>
          <w:rFonts w:hint="default" w:ascii="Times New Roman" w:hAnsi="Times New Roman" w:eastAsia="方正仿宋_GBK" w:cs="Times New Roman"/>
          <w:color w:val="auto"/>
          <w:sz w:val="32"/>
          <w:szCs w:val="32"/>
          <w:highlight w:val="none"/>
        </w:rPr>
        <w:t>废机油等危险</w:t>
      </w:r>
      <w:r>
        <w:rPr>
          <w:rFonts w:hint="default" w:ascii="Times New Roman" w:hAnsi="Times New Roman" w:eastAsia="方正仿宋_GBK" w:cs="Times New Roman"/>
          <w:color w:val="auto"/>
          <w:kern w:val="0"/>
          <w:sz w:val="32"/>
          <w:szCs w:val="32"/>
          <w:highlight w:val="none"/>
          <w:lang w:val="en-US" w:eastAsia="zh-CN"/>
        </w:rPr>
        <w:t>废物</w:t>
      </w:r>
      <w:r>
        <w:rPr>
          <w:rFonts w:hint="default" w:ascii="Times New Roman" w:hAnsi="Times New Roman" w:eastAsia="方正仿宋_GBK" w:cs="Times New Roman"/>
          <w:color w:val="auto"/>
          <w:sz w:val="32"/>
          <w:szCs w:val="32"/>
          <w:highlight w:val="none"/>
          <w:lang w:val="en-US" w:eastAsia="zh-CN"/>
        </w:rPr>
        <w:t>严格按照国家有关规定进行收集、运输、暂存、处置和管理，建立管理台账，存档备查，危险废物暂存库按照《危险废物贮存污染控制标准》（GB18597</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2023）要求进行建设和管理。危险废物委托有资质的单位定期</w:t>
      </w:r>
      <w:r>
        <w:rPr>
          <w:rFonts w:hint="default" w:ascii="Times New Roman" w:hAnsi="Times New Roman" w:eastAsia="方正仿宋_GBK" w:cs="Times New Roman"/>
          <w:color w:val="auto"/>
          <w:sz w:val="32"/>
          <w:szCs w:val="32"/>
          <w:highlight w:val="none"/>
        </w:rPr>
        <w:t>清运处置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严格执行《危险废物转移管理办法》及相关</w:t>
      </w:r>
      <w:r>
        <w:rPr>
          <w:rFonts w:hint="eastAsia" w:eastAsia="方正仿宋_GBK" w:cs="Times New Roman"/>
          <w:color w:val="auto"/>
          <w:sz w:val="32"/>
          <w:szCs w:val="32"/>
          <w:highlight w:val="none"/>
          <w:lang w:val="en-US" w:eastAsia="zh-CN"/>
        </w:rPr>
        <w:t>要求</w:t>
      </w:r>
      <w:r>
        <w:rPr>
          <w:rFonts w:hint="default" w:ascii="Times New Roman" w:hAnsi="Times New Roman" w:eastAsia="方正仿宋_GBK" w:cs="Times New Roman"/>
          <w:color w:val="auto"/>
          <w:sz w:val="32"/>
          <w:szCs w:val="32"/>
          <w:highlight w:val="none"/>
          <w:lang w:val="en-US" w:eastAsia="zh-CN"/>
        </w:rPr>
        <w:t>，强化各环节的环境保护措施，切实防止管理不当造成的二次污染。</w:t>
      </w:r>
    </w:p>
    <w:p w14:paraId="2A56DC03">
      <w:pPr>
        <w:keepNext w:val="0"/>
        <w:keepLines w:val="0"/>
        <w:pageBreakBefore w:val="0"/>
        <w:widowControl w:val="0"/>
        <w:kinsoku/>
        <w:wordWrap/>
        <w:overflowPunct/>
        <w:topLinePunct/>
        <w:autoSpaceDE/>
        <w:autoSpaceDN/>
        <w:bidi w:val="0"/>
        <w:spacing w:line="570" w:lineRule="exact"/>
        <w:ind w:firstLine="640" w:firstLineChars="200"/>
        <w:rPr>
          <w:rFonts w:eastAsia="方正仿宋_GBK"/>
          <w:color w:val="auto"/>
          <w:sz w:val="32"/>
          <w:szCs w:val="32"/>
        </w:rPr>
      </w:pPr>
      <w:r>
        <w:rPr>
          <w:rFonts w:hint="default" w:ascii="Times New Roman" w:hAnsi="Times New Roman" w:eastAsia="方正楷体_GBK" w:cs="Times New Roman"/>
          <w:color w:val="auto"/>
          <w:kern w:val="2"/>
          <w:sz w:val="32"/>
          <w:szCs w:val="32"/>
          <w:highlight w:val="none"/>
          <w:lang w:val="en-US" w:eastAsia="zh-CN" w:bidi="ar-SA"/>
        </w:rPr>
        <w:t>（六）</w:t>
      </w:r>
      <w:r>
        <w:rPr>
          <w:rFonts w:eastAsia="方正楷体_GBK"/>
          <w:color w:val="auto"/>
          <w:sz w:val="32"/>
          <w:szCs w:val="32"/>
          <w:highlight w:val="none"/>
        </w:rPr>
        <w:t>落实地下水和土壤污染防治措施。</w:t>
      </w:r>
      <w:r>
        <w:rPr>
          <w:rFonts w:eastAsia="方正仿宋_GBK"/>
          <w:color w:val="auto"/>
          <w:sz w:val="32"/>
          <w:szCs w:val="32"/>
        </w:rPr>
        <w:t>按照源头控制、分区防治、污染监控、应急响应</w:t>
      </w:r>
      <w:r>
        <w:rPr>
          <w:rFonts w:hint="eastAsia" w:eastAsia="方正仿宋_GBK"/>
          <w:color w:val="auto"/>
          <w:sz w:val="32"/>
          <w:szCs w:val="32"/>
          <w:lang w:eastAsia="zh-CN"/>
        </w:rPr>
        <w:t>等</w:t>
      </w:r>
      <w:r>
        <w:rPr>
          <w:rFonts w:eastAsia="方正仿宋_GBK"/>
          <w:color w:val="auto"/>
          <w:sz w:val="32"/>
          <w:szCs w:val="32"/>
        </w:rPr>
        <w:t>原则进行地下水污染防治</w:t>
      </w:r>
      <w:r>
        <w:rPr>
          <w:rFonts w:hint="eastAsia" w:eastAsia="方正仿宋_GBK"/>
          <w:color w:val="auto"/>
          <w:sz w:val="32"/>
          <w:szCs w:val="32"/>
          <w:lang w:eastAsia="zh-CN"/>
        </w:rPr>
        <w:t>。</w:t>
      </w:r>
      <w:r>
        <w:rPr>
          <w:rFonts w:eastAsia="方正仿宋_GBK"/>
          <w:color w:val="auto"/>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eastAsia" w:eastAsia="方正仿宋_GBK"/>
          <w:color w:val="auto"/>
          <w:sz w:val="32"/>
          <w:szCs w:val="32"/>
          <w:lang w:eastAsia="zh-CN"/>
        </w:rPr>
        <w:t>，</w:t>
      </w:r>
      <w:r>
        <w:rPr>
          <w:rFonts w:eastAsia="方正仿宋_GBK"/>
          <w:color w:val="auto"/>
          <w:sz w:val="32"/>
          <w:szCs w:val="32"/>
        </w:rPr>
        <w:t>加强隐蔽工程泄漏检测，一旦发现泄漏，应立即采取补救措施，防止污染土壤和地下水。</w:t>
      </w:r>
    </w:p>
    <w:p w14:paraId="4F9FE8A5">
      <w:pPr>
        <w:keepNext w:val="0"/>
        <w:keepLines w:val="0"/>
        <w:pageBreakBefore w:val="0"/>
        <w:widowControl w:val="0"/>
        <w:kinsoku/>
        <w:wordWrap/>
        <w:overflowPunct/>
        <w:topLinePunct/>
        <w:autoSpaceDE/>
        <w:autoSpaceDN/>
        <w:bidi w:val="0"/>
        <w:spacing w:line="570" w:lineRule="exact"/>
        <w:ind w:firstLine="640" w:firstLineChars="200"/>
        <w:rPr>
          <w:rFonts w:eastAsia="方正仿宋_GBK"/>
          <w:color w:val="auto"/>
          <w:sz w:val="32"/>
          <w:szCs w:val="32"/>
        </w:rPr>
      </w:pPr>
      <w:r>
        <w:rPr>
          <w:rFonts w:hint="eastAsia" w:ascii="方正楷体_GBK" w:hAnsi="方正楷体_GBK" w:eastAsia="方正楷体_GBK" w:cs="方正楷体_GBK"/>
          <w:color w:val="auto"/>
          <w:kern w:val="2"/>
          <w:sz w:val="32"/>
          <w:szCs w:val="32"/>
          <w:lang w:val="en-US" w:eastAsia="zh-CN" w:bidi="ar-SA"/>
        </w:rPr>
        <w:t>（七）</w:t>
      </w:r>
      <w:r>
        <w:rPr>
          <w:rFonts w:hint="eastAsia" w:ascii="方正楷体_GBK" w:hAnsi="方正楷体_GBK" w:eastAsia="方正楷体_GBK" w:cs="方正楷体_GBK"/>
          <w:color w:val="auto"/>
          <w:sz w:val="32"/>
          <w:szCs w:val="32"/>
        </w:rPr>
        <w:t>加强环境风险防范和管理。</w:t>
      </w:r>
      <w:r>
        <w:rPr>
          <w:rFonts w:eastAsia="方正仿宋_GBK"/>
          <w:color w:val="auto"/>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eastAsia" w:eastAsia="方正仿宋_GBK"/>
          <w:color w:val="auto"/>
          <w:sz w:val="32"/>
          <w:szCs w:val="32"/>
          <w:lang w:eastAsia="zh-CN"/>
        </w:rPr>
        <w:t>元江</w:t>
      </w:r>
      <w:r>
        <w:rPr>
          <w:rFonts w:eastAsia="方正仿宋_GBK"/>
          <w:color w:val="auto"/>
          <w:sz w:val="32"/>
          <w:szCs w:val="32"/>
        </w:rPr>
        <w:t>分局备案。</w:t>
      </w:r>
    </w:p>
    <w:p w14:paraId="747E596D">
      <w:pPr>
        <w:pStyle w:val="31"/>
        <w:keepNext w:val="0"/>
        <w:keepLines w:val="0"/>
        <w:pageBreakBefore w:val="0"/>
        <w:widowControl w:val="0"/>
        <w:kinsoku/>
        <w:wordWrap/>
        <w:overflowPunct/>
        <w:topLinePunct w:val="0"/>
        <w:autoSpaceDE/>
        <w:autoSpaceDN/>
        <w:bidi w:val="0"/>
        <w:adjustRightInd/>
        <w:spacing w:line="570" w:lineRule="exact"/>
        <w:ind w:firstLine="640"/>
        <w:rPr>
          <w:rFonts w:hint="eastAsia" w:ascii="方正楷体_GBK" w:hAnsi="方正楷体_GBK" w:eastAsia="方正楷体_GBK" w:cs="方正楷体_GBK"/>
          <w:bCs/>
          <w:color w:val="auto"/>
          <w:kern w:val="0"/>
          <w:sz w:val="32"/>
          <w:szCs w:val="32"/>
        </w:rPr>
      </w:pPr>
      <w:r>
        <w:rPr>
          <w:rFonts w:hint="eastAsia" w:ascii="方正楷体_GBK" w:hAnsi="方正楷体_GBK" w:eastAsia="方正楷体_GBK" w:cs="方正楷体_GBK"/>
          <w:color w:val="auto"/>
          <w:kern w:val="2"/>
          <w:sz w:val="32"/>
          <w:szCs w:val="32"/>
          <w:lang w:val="en-US" w:eastAsia="zh-CN" w:bidi="ar-SA"/>
        </w:rPr>
        <w:t>（八）</w:t>
      </w:r>
      <w:r>
        <w:rPr>
          <w:rFonts w:hint="eastAsia" w:ascii="方正楷体_GBK" w:hAnsi="方正楷体_GBK" w:eastAsia="方正楷体_GBK" w:cs="方正楷体_GBK"/>
          <w:bCs/>
          <w:color w:val="auto"/>
          <w:kern w:val="0"/>
          <w:sz w:val="32"/>
          <w:szCs w:val="32"/>
        </w:rPr>
        <w:t>切实做好环保设施的日常维护和管理，落实环境风险防范措施，确保污染物长期稳定达标排放，杜绝事故性排放。</w:t>
      </w:r>
    </w:p>
    <w:p w14:paraId="0F52E9F0">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三、</w:t>
      </w:r>
      <w:r>
        <w:rPr>
          <w:rFonts w:hint="eastAsia" w:ascii="Times New Roman" w:hAnsi="Times New Roman" w:eastAsia="方正仿宋_GBK" w:cs="Times New Roman"/>
          <w:color w:val="auto"/>
          <w:sz w:val="32"/>
          <w:szCs w:val="32"/>
          <w:lang w:val="en-US" w:eastAsia="zh-CN"/>
        </w:rPr>
        <w:t>项目</w:t>
      </w:r>
      <w:r>
        <w:rPr>
          <w:rFonts w:hint="default" w:ascii="Times New Roman" w:hAnsi="Times New Roman" w:eastAsia="方正仿宋_GBK" w:cs="Times New Roman"/>
          <w:color w:val="auto"/>
          <w:sz w:val="32"/>
          <w:szCs w:val="32"/>
          <w:lang w:val="en-US" w:eastAsia="zh-CN"/>
        </w:rPr>
        <w:t>在实际排污行为发生之前，应按照《排污许可管理</w:t>
      </w:r>
      <w:r>
        <w:rPr>
          <w:rFonts w:hint="eastAsia" w:eastAsia="方正仿宋_GBK" w:cs="Times New Roman"/>
          <w:color w:val="auto"/>
          <w:sz w:val="32"/>
          <w:szCs w:val="32"/>
          <w:lang w:val="en-US" w:eastAsia="zh-CN"/>
        </w:rPr>
        <w:t>条例</w:t>
      </w:r>
      <w:r>
        <w:rPr>
          <w:rFonts w:hint="default" w:ascii="Times New Roman" w:hAnsi="Times New Roman" w:eastAsia="方正仿宋_GBK" w:cs="Times New Roman"/>
          <w:color w:val="auto"/>
          <w:sz w:val="32"/>
          <w:szCs w:val="32"/>
          <w:lang w:val="en-US" w:eastAsia="zh-CN"/>
        </w:rPr>
        <w:t>》规定办理排污许可手续，未取得排污许可手续的，不得排放污染物</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项目运行应符合排污许可管理的相关要求。应当按照自行监测技术指南，编制自行监测方案，按照排污许可规定和有关标准规范，依法开展自行监测，如实在全国排污许可证管理信息平台上公开污染物排放信息。应按照规定建设规范化污染物排放口，并设置标志牌。</w:t>
      </w:r>
    </w:p>
    <w:p w14:paraId="6EB27597">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70" w:lineRule="exact"/>
        <w:ind w:leftChars="0" w:firstLine="640" w:firstLineChars="200"/>
        <w:jc w:val="left"/>
        <w:textAlignment w:val="auto"/>
        <w:rPr>
          <w:rFonts w:hint="default" w:ascii="Times New Roman" w:hAnsi="Times New Roman" w:eastAsia="方正仿宋_GBK" w:cs="Times New Roman"/>
          <w:color w:val="auto"/>
          <w:sz w:val="32"/>
          <w:szCs w:val="32"/>
          <w:lang w:val="en-US" w:eastAsia="zh-CN"/>
        </w:rPr>
      </w:pPr>
      <w:r>
        <w:rPr>
          <w:rFonts w:hint="eastAsia" w:eastAsia="方正黑体_GBK" w:cs="Times New Roman"/>
          <w:bCs/>
          <w:color w:val="auto"/>
          <w:sz w:val="32"/>
          <w:szCs w:val="32"/>
          <w:lang w:val="en-US" w:eastAsia="zh-CN"/>
        </w:rPr>
        <w:t>四</w:t>
      </w:r>
      <w:r>
        <w:rPr>
          <w:rFonts w:hint="default" w:ascii="Times New Roman" w:hAnsi="Times New Roman" w:eastAsia="方正黑体_GBK" w:cs="Times New Roman"/>
          <w:bCs/>
          <w:color w:val="auto"/>
          <w:sz w:val="32"/>
          <w:szCs w:val="32"/>
          <w:lang w:val="en-US" w:eastAsia="zh-CN"/>
        </w:rPr>
        <w:t>、</w:t>
      </w:r>
      <w:r>
        <w:rPr>
          <w:rFonts w:hint="eastAsia" w:eastAsia="方正仿宋_GBK"/>
          <w:color w:val="auto"/>
          <w:sz w:val="32"/>
          <w:szCs w:val="32"/>
        </w:rPr>
        <w:t>严格落实“三同时”制度。</w:t>
      </w:r>
      <w:r>
        <w:rPr>
          <w:rFonts w:hint="default" w:ascii="Times New Roman" w:hAnsi="Times New Roman" w:eastAsia="方正仿宋_GBK" w:cs="Times New Roman"/>
          <w:color w:val="auto"/>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eastAsia" w:eastAsia="方正仿宋_GBK" w:cs="Times New Roman"/>
          <w:smallCaps w:val="0"/>
          <w:color w:val="auto"/>
          <w:sz w:val="32"/>
          <w:szCs w:val="32"/>
          <w:lang w:eastAsia="zh-CN"/>
        </w:rPr>
        <w:t>“</w:t>
      </w:r>
      <w:r>
        <w:rPr>
          <w:rFonts w:hint="eastAsia" w:eastAsia="方正仿宋_GBK" w:cs="Times New Roman"/>
          <w:smallCaps w:val="0"/>
          <w:color w:val="auto"/>
          <w:sz w:val="32"/>
          <w:szCs w:val="32"/>
          <w:lang w:val="en-US" w:eastAsia="zh-CN"/>
        </w:rPr>
        <w:t>三同时</w:t>
      </w:r>
      <w:r>
        <w:rPr>
          <w:rFonts w:hint="eastAsia" w:eastAsia="方正仿宋_GBK" w:cs="Times New Roman"/>
          <w:smallCaps w:val="0"/>
          <w:color w:val="auto"/>
          <w:sz w:val="32"/>
          <w:szCs w:val="32"/>
          <w:lang w:eastAsia="zh-CN"/>
        </w:rPr>
        <w:t>”</w:t>
      </w:r>
      <w:r>
        <w:rPr>
          <w:rFonts w:hint="default" w:ascii="Times New Roman" w:hAnsi="Times New Roman" w:eastAsia="方正仿宋_GBK" w:cs="Times New Roman"/>
          <w:color w:val="auto"/>
          <w:sz w:val="32"/>
          <w:szCs w:val="32"/>
          <w:lang w:val="en-US" w:eastAsia="zh-CN"/>
        </w:rPr>
        <w:t>制度；项目正式投运前，应当按照规定的标准和程序，自行组织开展竣工环境保护验收，经验收合格后方可正式投入</w:t>
      </w:r>
      <w:r>
        <w:rPr>
          <w:rFonts w:hint="eastAsia" w:eastAsia="方正仿宋_GBK" w:cs="Times New Roman"/>
          <w:color w:val="auto"/>
          <w:sz w:val="32"/>
          <w:szCs w:val="32"/>
          <w:lang w:val="en-US" w:eastAsia="zh-CN"/>
        </w:rPr>
        <w:t>运行</w:t>
      </w:r>
      <w:r>
        <w:rPr>
          <w:rFonts w:hint="default" w:ascii="Times New Roman" w:hAnsi="Times New Roman" w:eastAsia="方正仿宋_GBK" w:cs="Times New Roman"/>
          <w:color w:val="auto"/>
          <w:sz w:val="32"/>
          <w:szCs w:val="32"/>
          <w:lang w:val="en-US" w:eastAsia="zh-CN"/>
        </w:rPr>
        <w:t>。</w:t>
      </w:r>
    </w:p>
    <w:p w14:paraId="190E7264">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70" w:lineRule="exact"/>
        <w:ind w:leftChars="0" w:firstLine="640" w:firstLineChars="200"/>
        <w:jc w:val="left"/>
        <w:textAlignment w:val="auto"/>
        <w:rPr>
          <w:rFonts w:hint="default" w:eastAsia="方正黑体_GBK" w:cs="Times New Roman"/>
          <w:bCs/>
          <w:color w:val="auto"/>
          <w:sz w:val="32"/>
          <w:szCs w:val="32"/>
          <w:lang w:val="en-US" w:eastAsia="zh-CN"/>
        </w:rPr>
      </w:pPr>
      <w:r>
        <w:rPr>
          <w:rFonts w:hint="eastAsia" w:eastAsia="方正黑体_GBK" w:cs="Times New Roman"/>
          <w:bCs/>
          <w:color w:val="auto"/>
          <w:sz w:val="32"/>
          <w:szCs w:val="32"/>
          <w:lang w:val="en-US" w:eastAsia="zh-CN"/>
        </w:rPr>
        <w:t>五、</w:t>
      </w:r>
      <w:r>
        <w:rPr>
          <w:rFonts w:hint="eastAsia" w:eastAsia="方正仿宋_GBK"/>
          <w:color w:val="auto"/>
          <w:sz w:val="32"/>
          <w:szCs w:val="32"/>
          <w:lang w:val="en-US" w:eastAsia="zh-CN"/>
        </w:rPr>
        <w:t>严格落实污染物排放总量控制规定和各项措施。根据《报告表》测算，项目主要大气污染物排放量初步核定为：氮氧化物1.15吨/年，由玉溪市生态环境局元江分局纳入污染物排放总量控制计划，其废水排放总量指标纳入元江县污水处理厂统一考核。</w:t>
      </w:r>
    </w:p>
    <w:p w14:paraId="0D1F76A4">
      <w:pPr>
        <w:keepNext w:val="0"/>
        <w:keepLines w:val="0"/>
        <w:pageBreakBefore w:val="0"/>
        <w:widowControl w:val="0"/>
        <w:kinsoku/>
        <w:wordWrap/>
        <w:overflowPunct/>
        <w:topLinePunct w:val="0"/>
        <w:autoSpaceDE/>
        <w:autoSpaceDN/>
        <w:bidi w:val="0"/>
        <w:adjustRightInd/>
        <w:spacing w:line="570" w:lineRule="exact"/>
        <w:ind w:firstLine="640" w:firstLineChars="200"/>
        <w:rPr>
          <w:rFonts w:hint="eastAsia" w:eastAsia="方正仿宋_GBK"/>
          <w:color w:val="auto"/>
          <w:sz w:val="32"/>
          <w:szCs w:val="32"/>
        </w:rPr>
      </w:pPr>
      <w:r>
        <w:rPr>
          <w:rFonts w:hint="eastAsia" w:ascii="方正黑体_GBK" w:hAnsi="方正黑体_GBK" w:eastAsia="方正黑体_GBK" w:cs="方正黑体_GBK"/>
          <w:color w:val="auto"/>
          <w:kern w:val="2"/>
          <w:sz w:val="32"/>
          <w:szCs w:val="32"/>
          <w:lang w:val="en-US" w:eastAsia="zh-CN" w:bidi="ar-SA"/>
        </w:rPr>
        <w:t>六、</w:t>
      </w:r>
      <w:r>
        <w:rPr>
          <w:rFonts w:hint="eastAsia" w:eastAsia="方正仿宋_GBK"/>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1C22BB7D">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color w:val="auto"/>
          <w:sz w:val="32"/>
          <w:szCs w:val="32"/>
        </w:rPr>
      </w:pPr>
      <w:r>
        <w:rPr>
          <w:rFonts w:hint="eastAsia" w:ascii="方正黑体_GBK" w:hAnsi="方正黑体_GBK" w:eastAsia="方正黑体_GBK" w:cs="方正黑体_GBK"/>
          <w:color w:val="auto"/>
          <w:kern w:val="2"/>
          <w:sz w:val="32"/>
          <w:szCs w:val="32"/>
          <w:lang w:val="en-US" w:eastAsia="zh-CN" w:bidi="ar-SA"/>
        </w:rPr>
        <w:t>七、</w:t>
      </w:r>
      <w:r>
        <w:rPr>
          <w:rFonts w:hint="eastAsia" w:hAnsi="方正仿宋_GBK" w:eastAsia="方正仿宋_GBK"/>
          <w:bCs/>
          <w:color w:val="auto"/>
          <w:kern w:val="0"/>
          <w:sz w:val="32"/>
          <w:szCs w:val="32"/>
        </w:rPr>
        <w:t>玉溪市生态环境保护综合行政执法支队、玉溪市生态环境局</w:t>
      </w:r>
      <w:r>
        <w:rPr>
          <w:rFonts w:hint="eastAsia" w:hAnsi="方正仿宋_GBK" w:eastAsia="方正仿宋_GBK"/>
          <w:bCs/>
          <w:color w:val="auto"/>
          <w:kern w:val="0"/>
          <w:sz w:val="32"/>
          <w:szCs w:val="32"/>
          <w:lang w:eastAsia="zh-CN"/>
        </w:rPr>
        <w:t>元江</w:t>
      </w:r>
      <w:r>
        <w:rPr>
          <w:rFonts w:hint="eastAsia" w:hAnsi="方正仿宋_GBK" w:eastAsia="方正仿宋_GBK"/>
          <w:bCs/>
          <w:color w:val="auto"/>
          <w:kern w:val="0"/>
          <w:sz w:val="32"/>
          <w:szCs w:val="32"/>
        </w:rPr>
        <w:t>分局要切实承担事中事后监管责任，履行属地监管职责，</w:t>
      </w:r>
      <w:r>
        <w:rPr>
          <w:rFonts w:hint="eastAsia" w:eastAsia="方正仿宋_GBK"/>
          <w:bCs/>
          <w:color w:val="auto"/>
          <w:kern w:val="0"/>
          <w:sz w:val="32"/>
          <w:szCs w:val="32"/>
        </w:rPr>
        <w:t>按照法律法规及《关于进一步完善建设项目环境保护“三同时”及竣工环境保护自主验收监管工作机制的意见》（环执法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1〕</w:t>
      </w:r>
      <w:r>
        <w:rPr>
          <w:rFonts w:hint="eastAsia" w:eastAsia="方正仿宋_GBK"/>
          <w:bCs/>
          <w:color w:val="auto"/>
          <w:kern w:val="0"/>
          <w:sz w:val="32"/>
          <w:szCs w:val="32"/>
        </w:rPr>
        <w:t>70号）等文件要求，加强对项目的环境保护“三同时”、竣工环境保护自主验收</w:t>
      </w:r>
      <w:r>
        <w:rPr>
          <w:rFonts w:hint="eastAsia" w:eastAsia="方正仿宋_GBK"/>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p>
    <w:p w14:paraId="09ACC63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rPr>
      </w:pPr>
    </w:p>
    <w:p w14:paraId="6966E727">
      <w:pPr>
        <w:keepNext w:val="0"/>
        <w:keepLines w:val="0"/>
        <w:pageBreakBefore w:val="0"/>
        <w:widowControl w:val="0"/>
        <w:kinsoku/>
        <w:wordWrap/>
        <w:overflowPunct/>
        <w:topLinePunct w:val="0"/>
        <w:autoSpaceDE/>
        <w:autoSpaceDN/>
        <w:bidi w:val="0"/>
        <w:snapToGrid w:val="0"/>
        <w:spacing w:line="590" w:lineRule="exact"/>
        <w:ind w:firstLine="640" w:firstLineChars="200"/>
        <w:textAlignment w:val="auto"/>
        <w:rPr>
          <w:rFonts w:hint="default" w:ascii="Times New Roman" w:hAnsi="Times New Roman" w:eastAsia="方正仿宋_GBK" w:cs="Times New Roman"/>
          <w:color w:val="auto"/>
          <w:sz w:val="32"/>
          <w:szCs w:val="32"/>
        </w:rPr>
      </w:pPr>
    </w:p>
    <w:p w14:paraId="6CCAFACC">
      <w:pPr>
        <w:keepNext w:val="0"/>
        <w:keepLines w:val="0"/>
        <w:pageBreakBefore w:val="0"/>
        <w:widowControl w:val="0"/>
        <w:kinsoku/>
        <w:wordWrap/>
        <w:overflowPunct/>
        <w:topLinePunct w:val="0"/>
        <w:autoSpaceDE/>
        <w:autoSpaceDN/>
        <w:bidi w:val="0"/>
        <w:adjustRightInd/>
        <w:snapToGrid/>
        <w:spacing w:line="590" w:lineRule="exact"/>
        <w:ind w:firstLine="5120" w:firstLineChars="16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eastAsia" w:eastAsia="方正仿宋_GBK" w:cs="Times New Roman"/>
          <w:sz w:val="32"/>
          <w:szCs w:val="32"/>
          <w:lang w:val="en-US" w:eastAsia="zh-CN"/>
        </w:rPr>
        <w:t>29</w:t>
      </w:r>
      <w:r>
        <w:rPr>
          <w:rFonts w:hint="default" w:ascii="Times New Roman" w:hAnsi="Times New Roman" w:eastAsia="方正仿宋_GBK" w:cs="Times New Roman"/>
          <w:sz w:val="32"/>
          <w:szCs w:val="32"/>
        </w:rPr>
        <w:t>日</w:t>
      </w:r>
    </w:p>
    <w:p w14:paraId="2241DB38">
      <w:pPr>
        <w:keepNext w:val="0"/>
        <w:keepLines w:val="0"/>
        <w:pageBreakBefore w:val="0"/>
        <w:widowControl w:val="0"/>
        <w:numPr>
          <w:ilvl w:val="0"/>
          <w:numId w:val="0"/>
        </w:numPr>
        <w:kinsoku/>
        <w:wordWrap/>
        <w:overflowPunct/>
        <w:topLinePunct w:val="0"/>
        <w:autoSpaceDE/>
        <w:autoSpaceDN/>
        <w:bidi w:val="0"/>
        <w:adjustRightInd/>
        <w:snapToGrid/>
        <w:spacing w:line="590" w:lineRule="exact"/>
        <w:jc w:val="both"/>
        <w:textAlignment w:val="auto"/>
        <w:rPr>
          <w:rFonts w:hint="default" w:ascii="Times New Roman" w:hAnsi="Times New Roman" w:eastAsia="方正仿宋_GBK" w:cs="Times New Roman"/>
          <w:color w:val="auto"/>
          <w:sz w:val="32"/>
          <w:szCs w:val="32"/>
          <w:lang w:val="en-US" w:eastAsia="zh-CN"/>
        </w:rPr>
      </w:pPr>
    </w:p>
    <w:p w14:paraId="4124A2F8">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玉溪市生态环境保护综合行政执法支队，玉溪市生态环境局元江分局，云南佳源环境工程评估有限公司，云南水工源工程设计有限公司。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2026</w:t>
      </w:r>
      <w:r>
        <w:rPr>
          <w:rFonts w:hint="default" w:ascii="Times New Roman" w:hAnsi="Times New Roman" w:eastAsia="方正仿宋_GBK" w:cs="Times New Roman"/>
          <w:color w:val="auto"/>
          <w:sz w:val="28"/>
          <w:szCs w:val="28"/>
          <w:lang w:val="en-US"/>
        </w:rPr>
        <w:t>年</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eastAsia" w:eastAsia="方正仿宋_GBK" w:cs="Times New Roman"/>
          <w:color w:val="auto"/>
          <w:sz w:val="28"/>
          <w:szCs w:val="28"/>
          <w:lang w:val="en-US" w:eastAsia="zh-CN"/>
        </w:rPr>
        <w:t>29</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8E3B9251-61D6-415F-81B0-EE88E21DF835}"/>
  </w:font>
  <w:font w:name="方正仿宋_GBK">
    <w:panose1 w:val="03000509000000000000"/>
    <w:charset w:val="86"/>
    <w:family w:val="script"/>
    <w:pitch w:val="default"/>
    <w:sig w:usb0="00000001" w:usb1="080E0000" w:usb2="00000000" w:usb3="00000000" w:csb0="00040000" w:csb1="00000000"/>
    <w:embedRegular r:id="rId2" w:fontKey="{AA0BC0C0-2CFF-49FF-B1B6-EE5CA8AF8639}"/>
  </w:font>
  <w:font w:name="方正黑体_GBK">
    <w:panose1 w:val="03000509000000000000"/>
    <w:charset w:val="86"/>
    <w:family w:val="auto"/>
    <w:pitch w:val="default"/>
    <w:sig w:usb0="00000001" w:usb1="080E0000" w:usb2="00000000" w:usb3="00000000" w:csb0="00040000" w:csb1="00000000"/>
    <w:embedRegular r:id="rId3" w:fontKey="{A1492DCD-5768-44DE-9D6F-24F1EBA4E159}"/>
  </w:font>
  <w:font w:name="方正楷体_GBK">
    <w:panose1 w:val="03000509000000000000"/>
    <w:charset w:val="86"/>
    <w:family w:val="auto"/>
    <w:pitch w:val="default"/>
    <w:sig w:usb0="00000001" w:usb1="080E0000" w:usb2="00000000" w:usb3="00000000" w:csb0="00040000" w:csb1="00000000"/>
    <w:embedRegular r:id="rId4" w:fontKey="{8383A134-08C2-4D9B-AAD2-CEC8112F71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17B43B2"/>
    <w:rsid w:val="018407F7"/>
    <w:rsid w:val="01862917"/>
    <w:rsid w:val="01BE4F18"/>
    <w:rsid w:val="021C1620"/>
    <w:rsid w:val="022E6AD9"/>
    <w:rsid w:val="027648C5"/>
    <w:rsid w:val="02C92423"/>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8B33B0B"/>
    <w:rsid w:val="09294E4C"/>
    <w:rsid w:val="09B951AD"/>
    <w:rsid w:val="0A955323"/>
    <w:rsid w:val="0AD4224E"/>
    <w:rsid w:val="0B0E131B"/>
    <w:rsid w:val="0C0258F7"/>
    <w:rsid w:val="0C11428E"/>
    <w:rsid w:val="0C135862"/>
    <w:rsid w:val="0C1D705A"/>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F36F89"/>
    <w:rsid w:val="139A2D58"/>
    <w:rsid w:val="13DD3E12"/>
    <w:rsid w:val="13DF3BD7"/>
    <w:rsid w:val="13E5183D"/>
    <w:rsid w:val="14325F56"/>
    <w:rsid w:val="143A6D20"/>
    <w:rsid w:val="14784A3C"/>
    <w:rsid w:val="147D33EC"/>
    <w:rsid w:val="148007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F6E8E"/>
    <w:rsid w:val="1A8C320C"/>
    <w:rsid w:val="1ABD1DC8"/>
    <w:rsid w:val="1B3915DB"/>
    <w:rsid w:val="1B5961B8"/>
    <w:rsid w:val="1B9F7E18"/>
    <w:rsid w:val="1BA35989"/>
    <w:rsid w:val="1BF75A2D"/>
    <w:rsid w:val="1C3E61AC"/>
    <w:rsid w:val="1C727B05"/>
    <w:rsid w:val="1C736231"/>
    <w:rsid w:val="1CCB3F7F"/>
    <w:rsid w:val="1CDB1FD9"/>
    <w:rsid w:val="1D22560D"/>
    <w:rsid w:val="1D36222A"/>
    <w:rsid w:val="1DB16959"/>
    <w:rsid w:val="1DCB4504"/>
    <w:rsid w:val="1E000CE3"/>
    <w:rsid w:val="1E552A77"/>
    <w:rsid w:val="1E711083"/>
    <w:rsid w:val="1E877138"/>
    <w:rsid w:val="1EE0592A"/>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364881"/>
    <w:rsid w:val="334A0CFF"/>
    <w:rsid w:val="341E1D9A"/>
    <w:rsid w:val="342A7526"/>
    <w:rsid w:val="35537E41"/>
    <w:rsid w:val="35692B73"/>
    <w:rsid w:val="35935FA7"/>
    <w:rsid w:val="35A829B1"/>
    <w:rsid w:val="360616D3"/>
    <w:rsid w:val="361C3892"/>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934583"/>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7227F9"/>
    <w:rsid w:val="46AC5600"/>
    <w:rsid w:val="46C626C8"/>
    <w:rsid w:val="46D524F5"/>
    <w:rsid w:val="46D82F52"/>
    <w:rsid w:val="47DE4C17"/>
    <w:rsid w:val="47EA15E0"/>
    <w:rsid w:val="480C5832"/>
    <w:rsid w:val="481B4AAA"/>
    <w:rsid w:val="489D2BAA"/>
    <w:rsid w:val="48B81ED4"/>
    <w:rsid w:val="48B94A9D"/>
    <w:rsid w:val="48E376BD"/>
    <w:rsid w:val="49600971"/>
    <w:rsid w:val="4982681C"/>
    <w:rsid w:val="49E3301A"/>
    <w:rsid w:val="4A0434C8"/>
    <w:rsid w:val="4A044286"/>
    <w:rsid w:val="4A1B7632"/>
    <w:rsid w:val="4A2A4424"/>
    <w:rsid w:val="4A51456E"/>
    <w:rsid w:val="4A8C7566"/>
    <w:rsid w:val="4A975BD2"/>
    <w:rsid w:val="4A9D76EF"/>
    <w:rsid w:val="4AAC3CC0"/>
    <w:rsid w:val="4AEF13B7"/>
    <w:rsid w:val="4AF71A39"/>
    <w:rsid w:val="4B0E06C8"/>
    <w:rsid w:val="4B4C3823"/>
    <w:rsid w:val="4B897D70"/>
    <w:rsid w:val="4C060B1D"/>
    <w:rsid w:val="4C2226B4"/>
    <w:rsid w:val="4D3229AB"/>
    <w:rsid w:val="4D6E25E7"/>
    <w:rsid w:val="4D83575F"/>
    <w:rsid w:val="4DD53083"/>
    <w:rsid w:val="4DF62B26"/>
    <w:rsid w:val="4E6D4716"/>
    <w:rsid w:val="4E843945"/>
    <w:rsid w:val="4FA4567A"/>
    <w:rsid w:val="4FA604E6"/>
    <w:rsid w:val="4FBF2EF4"/>
    <w:rsid w:val="4FC24B2F"/>
    <w:rsid w:val="501F6C42"/>
    <w:rsid w:val="50AA6BFB"/>
    <w:rsid w:val="510E2EF8"/>
    <w:rsid w:val="51554237"/>
    <w:rsid w:val="515B007E"/>
    <w:rsid w:val="51C9023B"/>
    <w:rsid w:val="51D643CD"/>
    <w:rsid w:val="52601BDC"/>
    <w:rsid w:val="52814125"/>
    <w:rsid w:val="52866CCF"/>
    <w:rsid w:val="52D2446B"/>
    <w:rsid w:val="52FC648E"/>
    <w:rsid w:val="530874C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A2AA7"/>
    <w:rsid w:val="6DAA4D2E"/>
    <w:rsid w:val="6DC4470E"/>
    <w:rsid w:val="6EDB1BA1"/>
    <w:rsid w:val="6F3F4FA6"/>
    <w:rsid w:val="6F4C5C4D"/>
    <w:rsid w:val="6FBF2ED7"/>
    <w:rsid w:val="6FCE533B"/>
    <w:rsid w:val="70645DE9"/>
    <w:rsid w:val="709057E8"/>
    <w:rsid w:val="709D12FB"/>
    <w:rsid w:val="70A73049"/>
    <w:rsid w:val="70CA5A60"/>
    <w:rsid w:val="715A1838"/>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7801ED"/>
    <w:rsid w:val="7E8004BE"/>
    <w:rsid w:val="7F0D259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6</Pages>
  <Words>3401</Words>
  <Characters>3550</Characters>
  <Lines>17</Lines>
  <Paragraphs>4</Paragraphs>
  <TotalTime>1</TotalTime>
  <ScaleCrop>false</ScaleCrop>
  <LinksUpToDate>false</LinksUpToDate>
  <CharactersWithSpaces>3579</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2026-07-24T07:19:01Z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3E76BC7210E5438DB6BC3E38317E9F50_13</vt:lpwstr>
  </property>
  <property fmtid="{D5CDD505-2E9C-101B-9397-08002B2CF9AE}" pid="4" name="KSOTemplateDocerSaveRecord">
    <vt:lpwstr>eyJoZGlkIjoiMGUzYzZjMTA4MjkxYjBmN2Q2NzBkOWM3MGU3YjgwZDQiLCJ1c2VySWQiOiIyNTc5MzgxMTgifQ==</vt:lpwstr>
  </property>
</Properties>
</file>