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bookmarkStart w:id="0" w:name="_GoBack"/>
      <w:bookmarkEnd w:id="0"/>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w:t>
      </w:r>
      <w:r>
        <w:rPr>
          <w:rFonts w:hint="eastAsia" w:eastAsia="方正仿宋_GBK" w:cs="Times New Roman"/>
          <w:color w:val="auto"/>
          <w:sz w:val="32"/>
          <w:lang w:val="en-US" w:eastAsia="zh-CN"/>
        </w:rPr>
        <w:t>89</w:t>
      </w:r>
      <w:r>
        <w:rPr>
          <w:rFonts w:hint="default" w:ascii="Times New Roman" w:hAnsi="Times New Roman" w:eastAsia="方正仿宋_GBK" w:cs="Times New Roman"/>
          <w:color w:val="auto"/>
          <w:sz w:val="32"/>
        </w:rPr>
        <w:t>号</w:t>
      </w:r>
    </w:p>
    <w:p w14:paraId="3C899EE4">
      <w:pPr>
        <w:keepNext w:val="0"/>
        <w:keepLines w:val="0"/>
        <w:pageBreakBefore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小标宋_GBK" w:cs="Times New Roman"/>
          <w:bCs/>
          <w:sz w:val="44"/>
          <w:szCs w:val="44"/>
        </w:rPr>
      </w:pPr>
      <w:r>
        <w:rPr>
          <w:rFonts w:hint="default" w:ascii="Times New Roman" w:hAnsi="Times New Roman" w:eastAsia="方正仿宋_GBK"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035F111A">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eastAsia" w:ascii="方正小标宋_GBK" w:hAnsi="方正小标宋_GBK" w:eastAsia="方正小标宋_GBK" w:cs="方正小标宋_GBK"/>
          <w:b w:val="0"/>
          <w:bCs/>
          <w:sz w:val="44"/>
          <w:szCs w:val="44"/>
          <w:lang w:eastAsia="zh-CN"/>
        </w:rPr>
      </w:pPr>
    </w:p>
    <w:p w14:paraId="6EC955CF">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eastAsia="zh-CN"/>
        </w:rPr>
        <w:t>玉溪市生态环境局</w:t>
      </w:r>
    </w:p>
    <w:p w14:paraId="71DF9394">
      <w:pPr>
        <w:keepNext w:val="0"/>
        <w:keepLines w:val="0"/>
        <w:pageBreakBefore w:val="0"/>
        <w:kinsoku/>
        <w:wordWrap/>
        <w:topLinePunct w:val="0"/>
        <w:bidi w:val="0"/>
        <w:snapToGrid/>
        <w:spacing w:line="590" w:lineRule="exact"/>
        <w:jc w:val="center"/>
        <w:textAlignment w:val="auto"/>
        <w:rPr>
          <w:rFonts w:hint="eastAsia" w:eastAsia="方正小标宋_GBK" w:cs="Times New Roman"/>
          <w:bCs/>
          <w:color w:val="auto"/>
          <w:sz w:val="44"/>
          <w:szCs w:val="44"/>
          <w:lang w:eastAsia="zh-CN"/>
        </w:rPr>
      </w:pPr>
      <w:r>
        <w:rPr>
          <w:rFonts w:hint="eastAsia" w:ascii="方正小标宋_GBK" w:hAnsi="方正小标宋_GBK" w:eastAsia="方正小标宋_GBK" w:cs="方正小标宋_GBK"/>
          <w:b w:val="0"/>
          <w:bCs/>
          <w:sz w:val="44"/>
          <w:szCs w:val="44"/>
          <w:lang w:eastAsia="zh-CN"/>
        </w:rPr>
        <w:t>关于</w:t>
      </w:r>
      <w:r>
        <w:rPr>
          <w:rFonts w:hint="eastAsia" w:eastAsia="方正小标宋_GBK" w:cs="Times New Roman"/>
          <w:bCs/>
          <w:color w:val="auto"/>
          <w:sz w:val="44"/>
          <w:szCs w:val="44"/>
          <w:lang w:eastAsia="zh-CN"/>
        </w:rPr>
        <w:t>玉溪合原能源有限公司天隆公司生物质</w:t>
      </w:r>
    </w:p>
    <w:p w14:paraId="208584B3">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仿宋_GBK" w:cs="Times New Roman"/>
          <w:color w:val="auto"/>
          <w:sz w:val="32"/>
        </w:rPr>
      </w:pPr>
      <w:r>
        <w:rPr>
          <w:rFonts w:hint="eastAsia" w:eastAsia="方正小标宋_GBK" w:cs="Times New Roman"/>
          <w:bCs/>
          <w:color w:val="auto"/>
          <w:sz w:val="44"/>
          <w:szCs w:val="44"/>
          <w:lang w:eastAsia="zh-CN"/>
        </w:rPr>
        <w:t>供热技改</w:t>
      </w:r>
      <w:r>
        <w:rPr>
          <w:rFonts w:hint="default" w:ascii="Times New Roman" w:hAnsi="Times New Roman" w:eastAsia="方正小标宋_GBK" w:cs="Times New Roman"/>
          <w:bCs/>
          <w:color w:val="auto"/>
          <w:sz w:val="44"/>
          <w:szCs w:val="44"/>
          <w:lang w:eastAsia="zh-CN"/>
        </w:rPr>
        <w:t>项目</w:t>
      </w:r>
      <w:r>
        <w:rPr>
          <w:rFonts w:hint="default" w:ascii="Times New Roman" w:hAnsi="Times New Roman" w:eastAsia="方正小标宋_GBK" w:cs="Times New Roman"/>
          <w:bCs/>
          <w:color w:val="auto"/>
          <w:sz w:val="44"/>
          <w:szCs w:val="44"/>
          <w:lang w:val="zh-CN"/>
        </w:rPr>
        <w:t>环境影响报告</w:t>
      </w:r>
      <w:r>
        <w:rPr>
          <w:rFonts w:hint="default" w:ascii="Times New Roman" w:hAnsi="Times New Roman" w:eastAsia="方正小标宋_GBK" w:cs="Times New Roman"/>
          <w:bCs/>
          <w:color w:val="auto"/>
          <w:sz w:val="44"/>
          <w:szCs w:val="44"/>
          <w:lang w:val="zh-CN" w:eastAsia="zh-CN"/>
        </w:rPr>
        <w:t>表</w:t>
      </w:r>
      <w:r>
        <w:rPr>
          <w:rFonts w:hint="default" w:ascii="Times New Roman" w:hAnsi="Times New Roman" w:eastAsia="方正小标宋_GBK" w:cs="Times New Roman"/>
          <w:bCs/>
          <w:color w:val="auto"/>
          <w:sz w:val="44"/>
          <w:szCs w:val="44"/>
          <w:lang w:val="zh-CN"/>
        </w:rPr>
        <w:t>的</w:t>
      </w:r>
      <w:r>
        <w:rPr>
          <w:rFonts w:hint="default" w:ascii="Times New Roman" w:hAnsi="Times New Roman" w:eastAsia="方正小标宋_GBK" w:cs="Times New Roman"/>
          <w:bCs/>
          <w:color w:val="auto"/>
          <w:sz w:val="44"/>
          <w:szCs w:val="44"/>
        </w:rPr>
        <w:t>批复</w:t>
      </w:r>
    </w:p>
    <w:p w14:paraId="4E14E1A4">
      <w:pPr>
        <w:keepNext w:val="0"/>
        <w:keepLines w:val="0"/>
        <w:pageBreakBefore w:val="0"/>
        <w:widowControl w:val="0"/>
        <w:kinsoku/>
        <w:wordWrap/>
        <w:overflowPunct/>
        <w:topLinePunct w:val="0"/>
        <w:autoSpaceDE/>
        <w:autoSpaceDN/>
        <w:bidi w:val="0"/>
        <w:adjustRightInd/>
        <w:snapToGrid/>
        <w:spacing w:line="590" w:lineRule="exact"/>
        <w:jc w:val="both"/>
        <w:textAlignment w:val="auto"/>
        <w:outlineLvl w:val="9"/>
        <w:rPr>
          <w:rFonts w:hint="eastAsia" w:asciiTheme="minorEastAsia" w:hAnsiTheme="minorEastAsia" w:eastAsiaTheme="minorEastAsia" w:cstheme="minorEastAsia"/>
          <w:sz w:val="36"/>
          <w:szCs w:val="36"/>
        </w:rPr>
      </w:pPr>
    </w:p>
    <w:p w14:paraId="4762C081">
      <w:pPr>
        <w:keepNext w:val="0"/>
        <w:keepLines w:val="0"/>
        <w:pageBreakBefore w:val="0"/>
        <w:widowControl w:val="0"/>
        <w:kinsoku/>
        <w:wordWrap/>
        <w:overflowPunct/>
        <w:topLinePunct/>
        <w:autoSpaceDE/>
        <w:autoSpaceDN/>
        <w:bidi w:val="0"/>
        <w:adjustRightInd/>
        <w:snapToGrid/>
        <w:spacing w:line="590" w:lineRule="exact"/>
        <w:ind w:left="0" w:leftChars="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玉溪合原能源有限公司：</w:t>
      </w:r>
    </w:p>
    <w:p w14:paraId="142F65D9">
      <w:pPr>
        <w:keepNext w:val="0"/>
        <w:keepLines w:val="0"/>
        <w:pageBreakBefore w:val="0"/>
        <w:widowControl w:val="0"/>
        <w:kinsoku/>
        <w:wordWrap/>
        <w:overflowPunct/>
        <w:topLinePunct/>
        <w:autoSpaceDE/>
        <w:autoSpaceDN/>
        <w:bidi w:val="0"/>
        <w:adjustRightInd/>
        <w:snapToGrid/>
        <w:spacing w:line="59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w:t>
      </w:r>
      <w:r>
        <w:rPr>
          <w:rFonts w:hint="eastAsia" w:eastAsia="方正仿宋_GBK" w:cs="Times New Roman"/>
          <w:bCs/>
          <w:color w:val="auto"/>
          <w:sz w:val="32"/>
          <w:szCs w:val="32"/>
          <w:lang w:eastAsia="zh-CN"/>
        </w:rPr>
        <w:t>公司</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《天隆公司生物质供热技改项目环境影响报告表》</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3BC4DDF6">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w:t>
      </w:r>
      <w:r>
        <w:rPr>
          <w:rFonts w:hint="eastAsia" w:eastAsia="方正黑体_GBK" w:cs="Times New Roman"/>
          <w:color w:val="auto"/>
          <w:sz w:val="32"/>
          <w:szCs w:val="32"/>
          <w:lang w:val="en-US" w:eastAsia="zh-CN"/>
        </w:rPr>
        <w:t>项目</w:t>
      </w:r>
      <w:r>
        <w:rPr>
          <w:rFonts w:hint="default" w:ascii="Times New Roman" w:hAnsi="Times New Roman" w:eastAsia="方正黑体_GBK" w:cs="Times New Roman"/>
          <w:color w:val="auto"/>
          <w:sz w:val="32"/>
          <w:szCs w:val="32"/>
          <w:lang w:val="en-US" w:eastAsia="zh-CN"/>
        </w:rPr>
        <w:t>基本情况</w:t>
      </w:r>
    </w:p>
    <w:p w14:paraId="07790B5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eastAsia="方正仿宋_GBK" w:cs="Times New Roman"/>
          <w:color w:val="auto"/>
          <w:sz w:val="32"/>
          <w:szCs w:val="32"/>
          <w:lang w:val="en-US" w:eastAsia="zh-CN"/>
        </w:rPr>
      </w:pPr>
      <w:r>
        <w:rPr>
          <w:rFonts w:hint="eastAsia" w:eastAsia="方正仿宋_GBK" w:cs="Times New Roman"/>
          <w:color w:val="auto"/>
          <w:sz w:val="32"/>
          <w:szCs w:val="32"/>
          <w:lang w:val="en-US" w:eastAsia="zh-CN"/>
        </w:rPr>
        <w:t>该项目位于云南红塔产业园区研和片区，租用云南瑞通钢业有限公司锅炉房进行建设，建设性质为改建。项目取得了</w:t>
      </w:r>
      <w:r>
        <w:rPr>
          <w:rFonts w:hint="eastAsia" w:ascii="Times New Roman" w:hAnsi="Times New Roman" w:eastAsia="方正仿宋_GBK" w:cs="Times New Roman"/>
          <w:color w:val="auto"/>
          <w:sz w:val="32"/>
          <w:szCs w:val="32"/>
          <w:lang w:val="en-US" w:eastAsia="zh-CN"/>
        </w:rPr>
        <w:t>《云南省固定资产投资项目备案证》，项目代码</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2603-530402-04-05-371714</w:t>
      </w:r>
      <w:r>
        <w:rPr>
          <w:rFonts w:hint="eastAsia" w:eastAsia="方正仿宋_GBK" w:cs="Times New Roman"/>
          <w:color w:val="auto"/>
          <w:sz w:val="32"/>
          <w:szCs w:val="32"/>
          <w:lang w:val="en-US" w:eastAsia="zh-CN"/>
        </w:rPr>
        <w:t>，总投资150万元，其中环保投资22.1万元。项目主要建设内容为淘汰现有6台1.25t/h生物质蒸汽发生器、新增1台6t/h生物质锅炉，并配套建设相应的公辅设施和环保工程，项目建成后年供应蒸汽量28800吨。</w:t>
      </w:r>
    </w:p>
    <w:p w14:paraId="276C44F5">
      <w:pPr>
        <w:keepNext w:val="0"/>
        <w:keepLines w:val="0"/>
        <w:pageBreakBefore w:val="0"/>
        <w:kinsoku/>
        <w:wordWrap/>
        <w:overflowPunct/>
        <w:topLinePunct w:val="0"/>
        <w:bidi w:val="0"/>
        <w:spacing w:line="590" w:lineRule="exact"/>
        <w:ind w:firstLine="640" w:firstLineChars="200"/>
        <w:textAlignment w:val="auto"/>
        <w:rPr>
          <w:rFonts w:hint="default" w:ascii="方正仿宋_GBK" w:hAnsi="方正仿宋_GBK" w:eastAsia="方正仿宋_GBK" w:cs="方正仿宋_GBK"/>
          <w:bCs/>
          <w:color w:val="000000"/>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eastAsia" w:eastAsia="方正仿宋_GBK" w:cs="Times New Roman"/>
          <w:color w:val="auto"/>
          <w:sz w:val="32"/>
          <w:szCs w:val="32"/>
          <w:lang w:val="en-US" w:eastAsia="zh-CN"/>
        </w:rPr>
        <w:t>。</w:t>
      </w:r>
    </w:p>
    <w:p w14:paraId="4AEFC7D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方正黑体_GBK" w:hAnsi="方正黑体_GBK" w:eastAsia="方正黑体_GBK" w:cs="方正黑体_GBK"/>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524E3CF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196A9827">
      <w:pPr>
        <w:spacing w:line="600" w:lineRule="exact"/>
        <w:ind w:firstLine="620" w:firstLineChars="194"/>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项目生物质锅炉须使用合格的成型生物质燃料并采用低氮燃烧技术，锅炉废气经</w:t>
      </w:r>
      <w:r>
        <w:rPr>
          <w:rFonts w:hint="eastAsia" w:eastAsia="方正仿宋_GBK" w:cs="Times New Roman"/>
          <w:color w:val="auto"/>
          <w:sz w:val="32"/>
          <w:szCs w:val="32"/>
          <w:lang w:val="en-US" w:eastAsia="zh-CN"/>
        </w:rPr>
        <w:t>旋风</w:t>
      </w:r>
      <w:r>
        <w:rPr>
          <w:rFonts w:hint="default" w:ascii="Times New Roman" w:hAnsi="Times New Roman" w:eastAsia="方正仿宋_GBK" w:cs="Times New Roman"/>
          <w:color w:val="auto"/>
          <w:sz w:val="32"/>
          <w:szCs w:val="32"/>
          <w:lang w:val="en-US" w:eastAsia="zh-CN"/>
        </w:rPr>
        <w:t>除尘器+布袋除尘器处理</w:t>
      </w:r>
      <w:r>
        <w:rPr>
          <w:rFonts w:hint="eastAsia" w:eastAsia="方正仿宋_GBK" w:cs="Times New Roman"/>
          <w:color w:val="auto"/>
          <w:sz w:val="32"/>
          <w:szCs w:val="32"/>
          <w:lang w:val="en-US" w:eastAsia="zh-CN"/>
        </w:rPr>
        <w:t>后，</w:t>
      </w:r>
      <w:r>
        <w:rPr>
          <w:rFonts w:hint="default" w:ascii="Times New Roman" w:hAnsi="Times New Roman" w:eastAsia="方正仿宋_GBK" w:cs="Times New Roman"/>
          <w:color w:val="auto"/>
          <w:sz w:val="32"/>
          <w:szCs w:val="32"/>
          <w:lang w:val="en-US" w:eastAsia="zh-CN"/>
        </w:rPr>
        <w:t>由1根不低于35米高的排气筒排放，确保锅炉排放的颗粒物、二氧化硫、氮氧化物浓度达到《锅炉大气污染物排放标准》（GB13271</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2014）表2中燃煤锅炉大气污染物排放限值的要求；加强全厂物料储存、输送及生产过程中无组织排放的控制，确保厂界颗粒物无组织排放浓度达到《大气污染物综合排放标准》（GB16297-1996）表2规定的无组织监控浓度限值要求。</w:t>
      </w:r>
    </w:p>
    <w:p w14:paraId="1DA3AF33">
      <w:pPr>
        <w:spacing w:line="600" w:lineRule="exact"/>
        <w:ind w:firstLine="640" w:firstLineChars="200"/>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kern w:val="0"/>
          <w:sz w:val="32"/>
          <w:szCs w:val="32"/>
          <w:lang w:val="en-US" w:eastAsia="zh-CN"/>
        </w:rPr>
        <w:t>（</w:t>
      </w:r>
      <w:r>
        <w:rPr>
          <w:rFonts w:hint="eastAsia" w:ascii="Times New Roman" w:hAnsi="Times New Roman" w:eastAsia="方正楷体_GBK" w:cs="Times New Roman"/>
          <w:color w:val="auto"/>
          <w:kern w:val="0"/>
          <w:sz w:val="32"/>
          <w:szCs w:val="32"/>
          <w:lang w:val="en-US" w:eastAsia="zh-CN"/>
        </w:rPr>
        <w:t>三</w:t>
      </w:r>
      <w:r>
        <w:rPr>
          <w:rFonts w:hint="default" w:ascii="Times New Roman" w:hAnsi="Times New Roman" w:eastAsia="方正楷体_GBK" w:cs="Times New Roman"/>
          <w:color w:val="auto"/>
          <w:kern w:val="0"/>
          <w:sz w:val="32"/>
          <w:szCs w:val="32"/>
          <w:lang w:val="en-US" w:eastAsia="zh-CN"/>
        </w:rPr>
        <w:t>）严格落实水污染防治措施。</w:t>
      </w:r>
      <w:r>
        <w:rPr>
          <w:rFonts w:hint="eastAsia" w:ascii="Times New Roman" w:hAnsi="Times New Roman" w:eastAsia="方正仿宋_GBK" w:cs="Times New Roman"/>
          <w:color w:val="auto"/>
          <w:sz w:val="32"/>
          <w:szCs w:val="32"/>
          <w:lang w:val="en-US" w:eastAsia="zh-CN"/>
        </w:rPr>
        <w:t>按照雨污分流、清污分流原则，建设排水系统，确保满足项目废水处理的要求；</w:t>
      </w:r>
      <w:r>
        <w:rPr>
          <w:rFonts w:hint="eastAsia" w:eastAsia="方正仿宋_GBK" w:cs="Times New Roman"/>
          <w:color w:val="auto"/>
          <w:sz w:val="32"/>
          <w:szCs w:val="32"/>
          <w:lang w:val="en-US" w:eastAsia="zh-CN"/>
        </w:rPr>
        <w:t>项目产生的生活污水、锅炉排污水、</w:t>
      </w:r>
      <w:r>
        <w:rPr>
          <w:rFonts w:hint="eastAsia" w:eastAsia="方正仿宋_GBK" w:cs="Times New Roman"/>
          <w:color w:val="000000" w:themeColor="text1"/>
          <w:sz w:val="32"/>
          <w:szCs w:val="32"/>
          <w:highlight w:val="none"/>
          <w:lang w:val="en-US" w:eastAsia="zh-CN"/>
          <w14:textFill>
            <w14:solidFill>
              <w14:schemeClr w14:val="tx1"/>
            </w14:solidFill>
          </w14:textFill>
        </w:rPr>
        <w:t>软水制备过程中产生的污水经收集后排入</w:t>
      </w:r>
      <w:r>
        <w:rPr>
          <w:rFonts w:hint="eastAsia" w:eastAsia="方正仿宋_GBK" w:cs="Times New Roman"/>
          <w:color w:val="auto"/>
          <w:sz w:val="32"/>
          <w:szCs w:val="32"/>
          <w:lang w:val="en-US" w:eastAsia="zh-CN"/>
        </w:rPr>
        <w:t>云南瑞通钢业有限公司</w:t>
      </w:r>
      <w:r>
        <w:rPr>
          <w:rFonts w:hint="eastAsia" w:ascii="Times New Roman" w:hAnsi="Times New Roman" w:eastAsia="方正仿宋_GBK" w:cs="Times New Roman"/>
          <w:color w:val="auto"/>
          <w:spacing w:val="0"/>
          <w:w w:val="100"/>
          <w:sz w:val="32"/>
          <w:szCs w:val="32"/>
          <w:lang w:val="en-US" w:eastAsia="zh-CN"/>
        </w:rPr>
        <w:t>15立方米/日的</w:t>
      </w:r>
      <w:r>
        <w:rPr>
          <w:rFonts w:hint="eastAsia" w:eastAsia="方正仿宋_GBK" w:cs="Times New Roman"/>
          <w:color w:val="auto"/>
          <w:sz w:val="32"/>
          <w:szCs w:val="32"/>
          <w:lang w:val="en-US" w:eastAsia="zh-CN"/>
        </w:rPr>
        <w:t>生活污水处理站处理，达到《城市污水再生利用 城市杂用水水质》（GB/T18920-2020）规定的相应标准限值后全部回用于厂区绿化，严禁外排。</w:t>
      </w:r>
    </w:p>
    <w:p w14:paraId="3E3CC0C9">
      <w:pPr>
        <w:keepNext w:val="0"/>
        <w:keepLines w:val="0"/>
        <w:pageBreakBefore w:val="0"/>
        <w:widowControl w:val="0"/>
        <w:kinsoku/>
        <w:wordWrap/>
        <w:overflowPunct/>
        <w:topLinePunct w:val="0"/>
        <w:bidi w:val="0"/>
        <w:adjustRightInd/>
        <w:spacing w:line="590" w:lineRule="exact"/>
        <w:ind w:firstLine="640" w:firstLineChars="200"/>
        <w:jc w:val="both"/>
        <w:rPr>
          <w:rFonts w:hint="eastAsia"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（四）严格落实噪声污染防治措施。</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选用低噪声设备，优化高噪声设备布局，</w:t>
      </w:r>
      <w:r>
        <w:rPr>
          <w:rFonts w:hint="default" w:ascii="Times New Roman" w:hAnsi="Times New Roman" w:eastAsia="方正仿宋_GBK" w:cs="Times New Roman"/>
          <w:sz w:val="32"/>
          <w:szCs w:val="32"/>
          <w:highlight w:val="none"/>
        </w:rPr>
        <w:t>采取隔声、减振、消声等</w:t>
      </w:r>
      <w:r>
        <w:rPr>
          <w:rFonts w:hint="default" w:ascii="Times New Roman" w:hAnsi="Times New Roman" w:eastAsia="方正仿宋_GBK" w:cs="Times New Roman"/>
          <w:sz w:val="32"/>
          <w:szCs w:val="32"/>
          <w:highlight w:val="none"/>
          <w:lang w:val="en-US" w:eastAsia="zh-CN"/>
        </w:rPr>
        <w:t>降噪</w:t>
      </w:r>
      <w:r>
        <w:rPr>
          <w:rFonts w:hint="default" w:ascii="Times New Roman" w:hAnsi="Times New Roman" w:eastAsia="方正仿宋_GBK" w:cs="Times New Roman"/>
          <w:sz w:val="32"/>
          <w:szCs w:val="32"/>
          <w:highlight w:val="none"/>
        </w:rPr>
        <w:t>措施</w:t>
      </w:r>
      <w:r>
        <w:rPr>
          <w:rFonts w:hint="default" w:ascii="Times New Roman" w:hAnsi="Times New Roman" w:eastAsia="方正仿宋_GBK" w:cs="Times New Roman"/>
          <w:sz w:val="32"/>
          <w:szCs w:val="32"/>
          <w:highlight w:val="none"/>
          <w:lang w:eastAsia="zh-CN"/>
        </w:rPr>
        <w:t>，</w:t>
      </w:r>
      <w:r>
        <w:rPr>
          <w:rFonts w:hint="eastAsia" w:eastAsia="方正仿宋_GBK" w:cs="Times New Roman"/>
          <w:color w:val="auto"/>
          <w:sz w:val="32"/>
          <w:szCs w:val="32"/>
          <w:lang w:val="en-US" w:eastAsia="zh-CN"/>
        </w:rPr>
        <w:t>确保项目厂界噪声达到《工业企业厂界环境噪声排放标准》（GB12348-2008）3类标准要求。</w:t>
      </w:r>
    </w:p>
    <w:p w14:paraId="6B332C3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方正楷体_GBK" w:hAnsi="方正楷体_GBK" w:eastAsia="方正楷体_GBK" w:cs="方正楷体_GBK"/>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按照减量化、资源化、无害化原则，对固体废物进行分类收集、处理处置，确保不造成二次污染。工业固体废物应尽量进行综合利用，一般固体废物按照《一般工业固体废物贮存和填埋污染控制标准（GB18599</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2020）》要求管理；</w:t>
      </w:r>
      <w:r>
        <w:rPr>
          <w:rFonts w:hint="default" w:ascii="Times New Roman" w:hAnsi="Times New Roman" w:eastAsia="方正仿宋_GBK" w:cs="Times New Roman"/>
          <w:sz w:val="32"/>
          <w:szCs w:val="32"/>
          <w:highlight w:val="none"/>
        </w:rPr>
        <w:t>废机油等危险</w:t>
      </w:r>
      <w:r>
        <w:rPr>
          <w:rFonts w:hint="default" w:ascii="Times New Roman" w:hAnsi="Times New Roman" w:eastAsia="方正仿宋_GBK" w:cs="Times New Roman"/>
          <w:kern w:val="0"/>
          <w:sz w:val="32"/>
          <w:szCs w:val="32"/>
          <w:highlight w:val="none"/>
          <w:lang w:val="en-US" w:eastAsia="zh-CN"/>
        </w:rPr>
        <w:t>废物</w:t>
      </w:r>
      <w:r>
        <w:rPr>
          <w:rFonts w:hint="default" w:ascii="Times New Roman" w:hAnsi="Times New Roman" w:eastAsia="方正仿宋_GBK" w:cs="Times New Roman"/>
          <w:sz w:val="32"/>
          <w:szCs w:val="32"/>
          <w:highlight w:val="none"/>
          <w:lang w:val="en-US" w:eastAsia="zh-CN"/>
        </w:rPr>
        <w:t>严格</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按照国家有关规定进行收集、运输、暂存、处置和管理，建立管理台账，存档备查，危险废物暂存库按照《危险废物贮存污染控制标准》（GB18597</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2023）要求进行建设和管理。危险废物委托有资质的单位定期</w:t>
      </w:r>
      <w:r>
        <w:rPr>
          <w:rFonts w:hint="default" w:ascii="Times New Roman" w:hAnsi="Times New Roman" w:eastAsia="方正仿宋_GBK" w:cs="Times New Roman"/>
          <w:sz w:val="32"/>
          <w:szCs w:val="32"/>
          <w:highlight w:val="none"/>
        </w:rPr>
        <w:t>清运处置</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严格执行《危险废物转移管理办法》及相关</w:t>
      </w:r>
      <w:r>
        <w:rPr>
          <w:rFonts w:hint="eastAsia" w:eastAsia="方正仿宋_GBK" w:cs="Times New Roman"/>
          <w:sz w:val="32"/>
          <w:szCs w:val="32"/>
          <w:highlight w:val="none"/>
          <w:lang w:val="en-US" w:eastAsia="zh-CN"/>
        </w:rPr>
        <w:t>要求</w:t>
      </w:r>
      <w:r>
        <w:rPr>
          <w:rFonts w:hint="default" w:ascii="Times New Roman" w:hAnsi="Times New Roman" w:eastAsia="方正仿宋_GBK" w:cs="Times New Roman"/>
          <w:sz w:val="32"/>
          <w:szCs w:val="32"/>
          <w:highlight w:val="none"/>
          <w:lang w:val="en-US" w:eastAsia="zh-CN"/>
        </w:rPr>
        <w:t>，强化各环节的环境保护措施，切实防止管理不当造成的二次污染。</w:t>
      </w:r>
    </w:p>
    <w:p w14:paraId="3E549807">
      <w:pPr>
        <w:topLinePunct/>
        <w:spacing w:line="590" w:lineRule="exact"/>
        <w:ind w:firstLine="640" w:firstLineChars="200"/>
        <w:rPr>
          <w:rFonts w:eastAsia="方正仿宋_GBK"/>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eastAsia="方正楷体_GBK"/>
          <w:color w:val="auto"/>
          <w:sz w:val="32"/>
          <w:szCs w:val="32"/>
          <w:highlight w:val="none"/>
        </w:rPr>
        <w:t>落实地下水和土壤污染防治措施。</w:t>
      </w:r>
      <w:r>
        <w:rPr>
          <w:rFonts w:eastAsia="方正仿宋_GBK"/>
          <w:sz w:val="32"/>
          <w:szCs w:val="32"/>
        </w:rPr>
        <w:t>按照源头控制、分区防治、污染监控、应急响应</w:t>
      </w:r>
      <w:r>
        <w:rPr>
          <w:rFonts w:hint="eastAsia" w:eastAsia="方正仿宋_GBK"/>
          <w:sz w:val="32"/>
          <w:szCs w:val="32"/>
          <w:lang w:eastAsia="zh-CN"/>
        </w:rPr>
        <w:t>等</w:t>
      </w:r>
      <w:r>
        <w:rPr>
          <w:rFonts w:eastAsia="方正仿宋_GBK"/>
          <w:sz w:val="32"/>
          <w:szCs w:val="32"/>
        </w:rPr>
        <w:t>原则进行地下水污染防治</w:t>
      </w:r>
      <w:r>
        <w:rPr>
          <w:rFonts w:hint="eastAsia" w:eastAsia="方正仿宋_GBK"/>
          <w:sz w:val="32"/>
          <w:szCs w:val="32"/>
          <w:lang w:eastAsia="zh-CN"/>
        </w:rPr>
        <w:t>。</w:t>
      </w:r>
      <w:r>
        <w:rPr>
          <w:rFonts w:eastAsia="方正仿宋_GBK"/>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eastAsia" w:eastAsia="方正仿宋_GBK"/>
          <w:sz w:val="32"/>
          <w:szCs w:val="32"/>
          <w:lang w:eastAsia="zh-CN"/>
        </w:rPr>
        <w:t>，</w:t>
      </w:r>
      <w:r>
        <w:rPr>
          <w:rFonts w:eastAsia="方正仿宋_GBK"/>
          <w:sz w:val="32"/>
          <w:szCs w:val="32"/>
        </w:rPr>
        <w:t>加强隐蔽工程泄漏检测，一旦发现泄漏，应立即采取补救措施，防止污染土壤和地下水。</w:t>
      </w:r>
    </w:p>
    <w:p w14:paraId="0CB872CC">
      <w:pPr>
        <w:topLinePunct/>
        <w:spacing w:line="590" w:lineRule="exact"/>
        <w:ind w:firstLine="640" w:firstLineChars="200"/>
        <w:rPr>
          <w:rFonts w:eastAsia="方正仿宋_GBK"/>
          <w:sz w:val="32"/>
          <w:szCs w:val="32"/>
        </w:rPr>
      </w:pPr>
      <w:r>
        <w:rPr>
          <w:rFonts w:hint="eastAsia" w:ascii="方正楷体_GBK" w:hAnsi="方正楷体_GBK" w:eastAsia="方正楷体_GBK" w:cs="方正楷体_GBK"/>
          <w:color w:val="auto"/>
          <w:kern w:val="2"/>
          <w:sz w:val="32"/>
          <w:szCs w:val="32"/>
          <w:lang w:val="en-US" w:eastAsia="zh-CN" w:bidi="ar-SA"/>
        </w:rPr>
        <w:t>（七）</w:t>
      </w:r>
      <w:r>
        <w:rPr>
          <w:rFonts w:hint="eastAsia" w:ascii="方正楷体_GBK" w:hAnsi="方正楷体_GBK" w:eastAsia="方正楷体_GBK" w:cs="方正楷体_GBK"/>
          <w:sz w:val="32"/>
          <w:szCs w:val="32"/>
        </w:rPr>
        <w:t>加强环境风险防范和管理。</w:t>
      </w:r>
      <w:r>
        <w:rPr>
          <w:rFonts w:eastAsia="方正仿宋_GBK"/>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eastAsia" w:eastAsia="方正仿宋_GBK"/>
          <w:sz w:val="32"/>
          <w:szCs w:val="32"/>
          <w:lang w:eastAsia="zh-CN"/>
        </w:rPr>
        <w:t>红塔</w:t>
      </w:r>
      <w:r>
        <w:rPr>
          <w:rFonts w:eastAsia="方正仿宋_GBK"/>
          <w:sz w:val="32"/>
          <w:szCs w:val="32"/>
        </w:rPr>
        <w:t>分局备案。</w:t>
      </w:r>
    </w:p>
    <w:p w14:paraId="48DECE3D">
      <w:pPr>
        <w:pStyle w:val="31"/>
        <w:keepNext w:val="0"/>
        <w:keepLines w:val="0"/>
        <w:pageBreakBefore w:val="0"/>
        <w:widowControl w:val="0"/>
        <w:kinsoku/>
        <w:wordWrap/>
        <w:overflowPunct/>
        <w:topLinePunct w:val="0"/>
        <w:bidi w:val="0"/>
        <w:adjustRightInd/>
        <w:spacing w:line="590" w:lineRule="exact"/>
        <w:ind w:firstLine="640"/>
        <w:rPr>
          <w:rFonts w:hint="eastAsia" w:ascii="方正楷体_GBK" w:hAnsi="方正楷体_GBK" w:eastAsia="方正楷体_GBK" w:cs="方正楷体_GBK"/>
          <w:bCs/>
          <w:color w:val="auto"/>
          <w:kern w:val="0"/>
          <w:sz w:val="32"/>
          <w:szCs w:val="32"/>
        </w:rPr>
      </w:pPr>
      <w:r>
        <w:rPr>
          <w:rFonts w:hint="eastAsia" w:ascii="方正楷体_GBK" w:hAnsi="方正楷体_GBK" w:eastAsia="方正楷体_GBK" w:cs="方正楷体_GBK"/>
          <w:color w:val="auto"/>
          <w:kern w:val="2"/>
          <w:sz w:val="32"/>
          <w:szCs w:val="32"/>
          <w:lang w:val="en-US" w:eastAsia="zh-CN" w:bidi="ar-SA"/>
        </w:rPr>
        <w:t>（八）</w:t>
      </w:r>
      <w:r>
        <w:rPr>
          <w:rFonts w:hint="eastAsia" w:ascii="方正楷体_GBK" w:hAnsi="方正楷体_GBK" w:eastAsia="方正楷体_GBK" w:cs="方正楷体_GBK"/>
          <w:bCs/>
          <w:color w:val="auto"/>
          <w:kern w:val="0"/>
          <w:sz w:val="32"/>
          <w:szCs w:val="32"/>
        </w:rPr>
        <w:t>切实做好环保设施的日常维护和管理，落实环境风险防范措施，确保污染物长期稳定达标排放，杜绝事故性排放。</w:t>
      </w:r>
    </w:p>
    <w:p w14:paraId="65DA79F5">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三、</w:t>
      </w:r>
      <w:r>
        <w:rPr>
          <w:rFonts w:hint="eastAsia" w:ascii="Times New Roman" w:hAnsi="Times New Roman" w:eastAsia="方正仿宋_GBK" w:cs="Times New Roman"/>
          <w:sz w:val="32"/>
          <w:szCs w:val="32"/>
          <w:lang w:val="en-US" w:eastAsia="zh-CN"/>
        </w:rPr>
        <w:t>项目</w:t>
      </w:r>
      <w:r>
        <w:rPr>
          <w:rFonts w:hint="default" w:ascii="Times New Roman" w:hAnsi="Times New Roman" w:eastAsia="方正仿宋_GBK" w:cs="Times New Roman"/>
          <w:sz w:val="32"/>
          <w:szCs w:val="32"/>
          <w:lang w:val="en-US" w:eastAsia="zh-CN"/>
        </w:rPr>
        <w:t>在实际排污行为发生之前，应按照《排污许可管理</w:t>
      </w:r>
      <w:r>
        <w:rPr>
          <w:rFonts w:hint="eastAsia" w:eastAsia="方正仿宋_GBK" w:cs="Times New Roman"/>
          <w:sz w:val="32"/>
          <w:szCs w:val="32"/>
          <w:lang w:val="en-US" w:eastAsia="zh-CN"/>
        </w:rPr>
        <w:t>条例</w:t>
      </w:r>
      <w:r>
        <w:rPr>
          <w:rFonts w:hint="default" w:ascii="Times New Roman" w:hAnsi="Times New Roman" w:eastAsia="方正仿宋_GBK" w:cs="Times New Roman"/>
          <w:sz w:val="32"/>
          <w:szCs w:val="32"/>
          <w:lang w:val="en-US" w:eastAsia="zh-CN"/>
        </w:rPr>
        <w:t>》规定办理排污许可手续，未取得排污许可手续的，不得排放污染物</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37423AA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96" w:lineRule="exact"/>
        <w:ind w:leftChars="0"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eastAsia="方正黑体_GBK" w:cs="Times New Roman"/>
          <w:bCs/>
          <w:color w:val="000000"/>
          <w:sz w:val="32"/>
          <w:szCs w:val="32"/>
          <w:lang w:val="en-US" w:eastAsia="zh-CN"/>
        </w:rPr>
        <w:t>四</w:t>
      </w:r>
      <w:r>
        <w:rPr>
          <w:rFonts w:hint="default" w:ascii="Times New Roman" w:hAnsi="Times New Roman" w:eastAsia="方正黑体_GBK" w:cs="Times New Roman"/>
          <w:bCs/>
          <w:color w:val="000000"/>
          <w:sz w:val="32"/>
          <w:szCs w:val="32"/>
          <w:lang w:val="en-US" w:eastAsia="zh-CN"/>
        </w:rPr>
        <w:t>、</w:t>
      </w:r>
      <w:r>
        <w:rPr>
          <w:rFonts w:hint="eastAsia" w:eastAsia="方正仿宋_GBK"/>
          <w:color w:val="auto"/>
          <w:sz w:val="32"/>
          <w:szCs w:val="32"/>
        </w:rPr>
        <w:t>严格落实</w:t>
      </w:r>
      <w:r>
        <w:rPr>
          <w:rFonts w:hint="eastAsia" w:eastAsia="方正仿宋_GBK"/>
          <w:color w:val="auto"/>
          <w:sz w:val="32"/>
          <w:szCs w:val="32"/>
          <w:lang w:eastAsia="zh-CN"/>
        </w:rPr>
        <w:t>“</w:t>
      </w:r>
      <w:r>
        <w:rPr>
          <w:rFonts w:hint="eastAsia" w:eastAsia="方正仿宋_GBK"/>
          <w:color w:val="auto"/>
          <w:sz w:val="32"/>
          <w:szCs w:val="32"/>
        </w:rPr>
        <w:t>三同时</w:t>
      </w:r>
      <w:r>
        <w:rPr>
          <w:rFonts w:hint="eastAsia" w:eastAsia="方正仿宋_GBK"/>
          <w:color w:val="auto"/>
          <w:sz w:val="32"/>
          <w:szCs w:val="32"/>
          <w:lang w:eastAsia="zh-CN"/>
        </w:rPr>
        <w:t>”</w:t>
      </w:r>
      <w:r>
        <w:rPr>
          <w:rFonts w:hint="eastAsia" w:eastAsia="方正仿宋_GBK"/>
          <w:color w:val="auto"/>
          <w:sz w:val="32"/>
          <w:szCs w:val="32"/>
        </w:rPr>
        <w:t>制度。</w:t>
      </w:r>
      <w:r>
        <w:rPr>
          <w:rFonts w:hint="default" w:ascii="Times New Roman" w:hAnsi="Times New Roman" w:eastAsia="方正仿宋_GBK" w:cs="Times New Roman"/>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eastAsia="方正仿宋_GBK" w:cs="Times New Roman"/>
          <w:smallCaps w:val="0"/>
          <w:color w:val="auto"/>
          <w:sz w:val="32"/>
          <w:szCs w:val="32"/>
          <w:lang w:eastAsia="zh-CN"/>
        </w:rPr>
        <w:t>“</w:t>
      </w:r>
      <w:r>
        <w:rPr>
          <w:rFonts w:hint="eastAsia" w:eastAsia="方正仿宋_GBK" w:cs="Times New Roman"/>
          <w:smallCaps w:val="0"/>
          <w:color w:val="auto"/>
          <w:sz w:val="32"/>
          <w:szCs w:val="32"/>
          <w:lang w:val="en-US" w:eastAsia="zh-CN"/>
        </w:rPr>
        <w:t>三同时</w:t>
      </w:r>
      <w:r>
        <w:rPr>
          <w:rFonts w:hint="eastAsia" w:eastAsia="方正仿宋_GBK" w:cs="Times New Roman"/>
          <w:smallCaps w:val="0"/>
          <w:color w:val="auto"/>
          <w:sz w:val="32"/>
          <w:szCs w:val="32"/>
          <w:lang w:eastAsia="zh-CN"/>
        </w:rPr>
        <w:t>”</w:t>
      </w:r>
      <w:r>
        <w:rPr>
          <w:rFonts w:hint="default" w:ascii="Times New Roman" w:hAnsi="Times New Roman" w:eastAsia="方正仿宋_GBK" w:cs="Times New Roman"/>
          <w:sz w:val="32"/>
          <w:szCs w:val="32"/>
          <w:lang w:val="en-US" w:eastAsia="zh-CN"/>
        </w:rPr>
        <w:t>制度；项目正式投运前，应当按照规定的标准和程序，自行组织开展竣工环境保护验收，经验收合格后方可正式投入</w:t>
      </w:r>
      <w:r>
        <w:rPr>
          <w:rFonts w:hint="eastAsia" w:eastAsia="方正仿宋_GBK" w:cs="Times New Roman"/>
          <w:sz w:val="32"/>
          <w:szCs w:val="32"/>
          <w:lang w:val="en-US" w:eastAsia="zh-CN"/>
        </w:rPr>
        <w:t>运行</w:t>
      </w:r>
      <w:r>
        <w:rPr>
          <w:rFonts w:hint="default" w:ascii="Times New Roman" w:hAnsi="Times New Roman" w:eastAsia="方正仿宋_GBK" w:cs="Times New Roman"/>
          <w:sz w:val="32"/>
          <w:szCs w:val="32"/>
          <w:lang w:val="en-US" w:eastAsia="zh-CN"/>
        </w:rPr>
        <w:t>。</w:t>
      </w:r>
    </w:p>
    <w:p w14:paraId="397E93AF">
      <w:pPr>
        <w:keepNext w:val="0"/>
        <w:keepLines w:val="0"/>
        <w:pageBreakBefore w:val="0"/>
        <w:widowControl w:val="0"/>
        <w:kinsoku/>
        <w:wordWrap/>
        <w:overflowPunct/>
        <w:topLinePunct w:val="0"/>
        <w:bidi w:val="0"/>
        <w:adjustRightInd/>
        <w:spacing w:line="590" w:lineRule="exact"/>
        <w:ind w:firstLine="640" w:firstLineChars="200"/>
        <w:rPr>
          <w:rFonts w:hint="eastAsia" w:ascii="Times New Roman" w:hAnsi="Times New Roman" w:eastAsia="方正仿宋_GBK" w:cs="Times New Roman"/>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五、</w:t>
      </w:r>
      <w:r>
        <w:rPr>
          <w:rFonts w:hint="eastAsia" w:eastAsia="方正仿宋_GBK"/>
          <w:color w:val="auto"/>
          <w:sz w:val="32"/>
          <w:szCs w:val="32"/>
          <w:lang w:val="en-US" w:eastAsia="zh-CN"/>
        </w:rPr>
        <w:t>严格落实污染物排放总量控制规定和各项措施。根据《报告表》测算，项目主要大气污染物排放量初步核定为：</w:t>
      </w:r>
      <w:r>
        <w:rPr>
          <w:rFonts w:hint="eastAsia" w:ascii="Times New Roman" w:hAnsi="Times New Roman" w:eastAsia="方正仿宋_GBK" w:cs="Times New Roman"/>
          <w:sz w:val="32"/>
          <w:szCs w:val="32"/>
          <w:lang w:val="en-US" w:eastAsia="zh-CN"/>
        </w:rPr>
        <w:t>氮氧化物5.63吨/年，由玉溪市生态环境局红塔分局纳入污染物排放总量控制计划。</w:t>
      </w:r>
    </w:p>
    <w:p w14:paraId="00138AD1">
      <w:pPr>
        <w:keepNext w:val="0"/>
        <w:keepLines w:val="0"/>
        <w:pageBreakBefore w:val="0"/>
        <w:widowControl w:val="0"/>
        <w:kinsoku/>
        <w:wordWrap/>
        <w:overflowPunct/>
        <w:topLinePunct w:val="0"/>
        <w:bidi w:val="0"/>
        <w:adjustRightInd/>
        <w:spacing w:line="590" w:lineRule="exact"/>
        <w:ind w:firstLine="640" w:firstLineChars="200"/>
        <w:rPr>
          <w:rFonts w:hint="eastAsia" w:eastAsia="方正仿宋_GBK"/>
          <w:color w:val="auto"/>
          <w:sz w:val="32"/>
          <w:szCs w:val="32"/>
        </w:rPr>
      </w:pPr>
      <w:r>
        <w:rPr>
          <w:rFonts w:hint="eastAsia" w:ascii="方正黑体_GBK" w:hAnsi="方正黑体_GBK" w:eastAsia="方正黑体_GBK" w:cs="方正黑体_GBK"/>
          <w:color w:val="auto"/>
          <w:kern w:val="2"/>
          <w:sz w:val="32"/>
          <w:szCs w:val="32"/>
          <w:lang w:val="en-US" w:eastAsia="zh-CN" w:bidi="ar-SA"/>
        </w:rPr>
        <w:t>六、</w:t>
      </w:r>
      <w:r>
        <w:rPr>
          <w:rFonts w:hint="eastAsia" w:eastAsia="方正仿宋_GBK"/>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6966E72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方正黑体_GBK" w:hAnsi="方正黑体_GBK" w:eastAsia="方正黑体_GBK" w:cs="方正黑体_GBK"/>
          <w:color w:val="auto"/>
          <w:kern w:val="2"/>
          <w:sz w:val="32"/>
          <w:szCs w:val="32"/>
          <w:lang w:val="en-US" w:eastAsia="zh-CN" w:bidi="ar-SA"/>
        </w:rPr>
        <w:t>七、</w:t>
      </w:r>
      <w:r>
        <w:rPr>
          <w:rFonts w:hint="eastAsia" w:hAnsi="方正仿宋_GBK" w:eastAsia="方正仿宋_GBK"/>
          <w:bCs/>
          <w:color w:val="auto"/>
          <w:kern w:val="0"/>
          <w:sz w:val="32"/>
          <w:szCs w:val="32"/>
        </w:rPr>
        <w:t>玉溪市生态环境保护综合行政执法支队、玉溪市生态环境局</w:t>
      </w:r>
      <w:r>
        <w:rPr>
          <w:rFonts w:hint="eastAsia" w:hAnsi="方正仿宋_GBK" w:eastAsia="方正仿宋_GBK"/>
          <w:bCs/>
          <w:color w:val="auto"/>
          <w:kern w:val="0"/>
          <w:sz w:val="32"/>
          <w:szCs w:val="32"/>
          <w:lang w:eastAsia="zh-CN"/>
        </w:rPr>
        <w:t>红塔</w:t>
      </w:r>
      <w:r>
        <w:rPr>
          <w:rFonts w:hint="eastAsia" w:hAnsi="方正仿宋_GBK" w:eastAsia="方正仿宋_GBK"/>
          <w:bCs/>
          <w:color w:val="auto"/>
          <w:kern w:val="0"/>
          <w:sz w:val="32"/>
          <w:szCs w:val="32"/>
        </w:rPr>
        <w:t>分局要切实承担事中事后监管责任，履行属地监管职责，</w:t>
      </w:r>
      <w:r>
        <w:rPr>
          <w:rFonts w:hint="eastAsia" w:eastAsia="方正仿宋_GBK"/>
          <w:bCs/>
          <w:color w:val="auto"/>
          <w:kern w:val="0"/>
          <w:sz w:val="32"/>
          <w:szCs w:val="32"/>
        </w:rPr>
        <w:t>按照法律法规及《关于进一步完善建设项目环境保护</w:t>
      </w:r>
      <w:r>
        <w:rPr>
          <w:rFonts w:hint="eastAsia" w:eastAsia="方正仿宋_GBK"/>
          <w:bCs/>
          <w:color w:val="auto"/>
          <w:kern w:val="0"/>
          <w:sz w:val="32"/>
          <w:szCs w:val="32"/>
          <w:lang w:eastAsia="zh-CN"/>
        </w:rPr>
        <w:t>“</w:t>
      </w:r>
      <w:r>
        <w:rPr>
          <w:rFonts w:hint="eastAsia" w:eastAsia="方正仿宋_GBK"/>
          <w:bCs/>
          <w:color w:val="auto"/>
          <w:kern w:val="0"/>
          <w:sz w:val="32"/>
          <w:szCs w:val="32"/>
        </w:rPr>
        <w:t>三同时</w:t>
      </w:r>
      <w:r>
        <w:rPr>
          <w:rFonts w:hint="eastAsia" w:eastAsia="方正仿宋_GBK"/>
          <w:bCs/>
          <w:color w:val="auto"/>
          <w:kern w:val="0"/>
          <w:sz w:val="32"/>
          <w:szCs w:val="32"/>
          <w:lang w:eastAsia="zh-CN"/>
        </w:rPr>
        <w:t>”</w:t>
      </w:r>
      <w:r>
        <w:rPr>
          <w:rFonts w:hint="eastAsia" w:eastAsia="方正仿宋_GBK"/>
          <w:bCs/>
          <w:color w:val="auto"/>
          <w:kern w:val="0"/>
          <w:sz w:val="32"/>
          <w:szCs w:val="32"/>
        </w:rPr>
        <w:t>及竣工环境保护自主验收监管工作机制的意见》（环执法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1〕</w:t>
      </w:r>
      <w:r>
        <w:rPr>
          <w:rFonts w:hint="eastAsia" w:eastAsia="方正仿宋_GBK"/>
          <w:bCs/>
          <w:color w:val="auto"/>
          <w:kern w:val="0"/>
          <w:sz w:val="32"/>
          <w:szCs w:val="32"/>
        </w:rPr>
        <w:t>70号）等文件要求，加强对项目的环境保护</w:t>
      </w:r>
      <w:r>
        <w:rPr>
          <w:rFonts w:hint="eastAsia" w:eastAsia="方正仿宋_GBK"/>
          <w:bCs/>
          <w:color w:val="auto"/>
          <w:kern w:val="0"/>
          <w:sz w:val="32"/>
          <w:szCs w:val="32"/>
          <w:lang w:eastAsia="zh-CN"/>
        </w:rPr>
        <w:t>“</w:t>
      </w:r>
      <w:r>
        <w:rPr>
          <w:rFonts w:hint="eastAsia" w:eastAsia="方正仿宋_GBK"/>
          <w:bCs/>
          <w:color w:val="auto"/>
          <w:kern w:val="0"/>
          <w:sz w:val="32"/>
          <w:szCs w:val="32"/>
        </w:rPr>
        <w:t>三同时</w:t>
      </w:r>
      <w:r>
        <w:rPr>
          <w:rFonts w:hint="eastAsia" w:eastAsia="方正仿宋_GBK"/>
          <w:bCs/>
          <w:color w:val="auto"/>
          <w:kern w:val="0"/>
          <w:sz w:val="32"/>
          <w:szCs w:val="32"/>
          <w:lang w:eastAsia="zh-CN"/>
        </w:rPr>
        <w:t>”</w:t>
      </w:r>
      <w:r>
        <w:rPr>
          <w:rFonts w:hint="eastAsia" w:eastAsia="方正仿宋_GBK"/>
          <w:bCs/>
          <w:color w:val="auto"/>
          <w:kern w:val="0"/>
          <w:sz w:val="32"/>
          <w:szCs w:val="32"/>
        </w:rPr>
        <w:t>、竣工环境保护自主验收</w:t>
      </w:r>
      <w:r>
        <w:rPr>
          <w:rFonts w:hint="eastAsia" w:eastAsia="方正仿宋_GBK"/>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p>
    <w:p w14:paraId="7A003689">
      <w:pPr>
        <w:pStyle w:val="2"/>
        <w:rPr>
          <w:rFonts w:hint="default"/>
        </w:rPr>
      </w:pPr>
    </w:p>
    <w:p w14:paraId="74EBBF41">
      <w:pPr>
        <w:keepNext w:val="0"/>
        <w:keepLines w:val="0"/>
        <w:pageBreakBefore w:val="0"/>
        <w:widowControl w:val="0"/>
        <w:kinsoku/>
        <w:wordWrap/>
        <w:overflowPunct/>
        <w:topLinePunct w:val="0"/>
        <w:autoSpaceDE/>
        <w:autoSpaceDN/>
        <w:bidi w:val="0"/>
        <w:adjustRightInd/>
        <w:snapToGrid/>
        <w:spacing w:line="57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29</w:t>
      </w:r>
      <w:r>
        <w:rPr>
          <w:rFonts w:hint="default" w:ascii="Times New Roman" w:hAnsi="Times New Roman" w:eastAsia="方正仿宋_GBK" w:cs="Times New Roman"/>
          <w:sz w:val="32"/>
          <w:szCs w:val="32"/>
        </w:rPr>
        <w:t>日</w:t>
      </w:r>
    </w:p>
    <w:p w14:paraId="0490DDB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p>
    <w:p w14:paraId="7341D8B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auto"/>
          <w:kern w:val="0"/>
          <w:sz w:val="32"/>
          <w:szCs w:val="32"/>
          <w:lang w:val="en-US" w:eastAsia="zh-CN"/>
        </w:rPr>
      </w:pPr>
    </w:p>
    <w:p w14:paraId="3DC33EF5">
      <w:pPr>
        <w:pStyle w:val="2"/>
        <w:rPr>
          <w:rFonts w:hint="default"/>
          <w:lang w:val="en-US" w:eastAsia="zh-CN"/>
        </w:rPr>
      </w:pPr>
    </w:p>
    <w:p w14:paraId="470A659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auto"/>
          <w:kern w:val="0"/>
          <w:sz w:val="32"/>
          <w:szCs w:val="32"/>
          <w:lang w:val="en-US" w:eastAsia="zh-CN"/>
        </w:rPr>
      </w:pPr>
    </w:p>
    <w:p w14:paraId="13C9A2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auto"/>
          <w:kern w:val="0"/>
          <w:sz w:val="32"/>
          <w:szCs w:val="32"/>
          <w:lang w:val="en-US" w:eastAsia="zh-CN"/>
        </w:rPr>
      </w:pPr>
    </w:p>
    <w:p w14:paraId="4124A2F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auto"/>
          <w:kern w:val="0"/>
          <w:sz w:val="32"/>
          <w:szCs w:val="32"/>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玉溪市生态环境保护综合行政执法支队，玉溪市生态环境局红塔分局，云南佳源环境工程评估有限公司，云南科环环境工程咨询有限公司。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2026</w:t>
      </w:r>
      <w:r>
        <w:rPr>
          <w:rFonts w:hint="default" w:ascii="Times New Roman" w:hAnsi="Times New Roman" w:eastAsia="方正仿宋_GBK" w:cs="Times New Roman"/>
          <w:color w:val="auto"/>
          <w:sz w:val="28"/>
          <w:szCs w:val="28"/>
          <w:lang w:val="en-US"/>
        </w:rPr>
        <w:t>年</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29</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EB230DDE-34D6-489E-938A-204337006CC5}"/>
  </w:font>
  <w:font w:name="方正仿宋_GBK">
    <w:panose1 w:val="03000509000000000000"/>
    <w:charset w:val="86"/>
    <w:family w:val="script"/>
    <w:pitch w:val="default"/>
    <w:sig w:usb0="00000001" w:usb1="080E0000" w:usb2="00000000" w:usb3="00000000" w:csb0="00040000" w:csb1="00000000"/>
    <w:embedRegular r:id="rId2" w:fontKey="{AB949E14-FAFC-4AB7-A9AF-DCF2845A6CDE}"/>
  </w:font>
  <w:font w:name="方正黑体_GBK">
    <w:panose1 w:val="03000509000000000000"/>
    <w:charset w:val="86"/>
    <w:family w:val="auto"/>
    <w:pitch w:val="default"/>
    <w:sig w:usb0="00000001" w:usb1="080E0000" w:usb2="00000000" w:usb3="00000000" w:csb0="00040000" w:csb1="00000000"/>
    <w:embedRegular r:id="rId3" w:fontKey="{64AC5B64-0AFC-4C5B-82AC-B768D1BADB07}"/>
  </w:font>
  <w:font w:name="方正楷体_GBK">
    <w:panose1 w:val="03000509000000000000"/>
    <w:charset w:val="86"/>
    <w:family w:val="auto"/>
    <w:pitch w:val="default"/>
    <w:sig w:usb0="00000001" w:usb1="080E0000" w:usb2="00000000" w:usb3="00000000" w:csb0="00040000" w:csb1="00000000"/>
    <w:embedRegular r:id="rId4" w:fontKey="{438F143B-B557-4073-85FB-9F6C80A7E2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7B43B2"/>
    <w:rsid w:val="018407F7"/>
    <w:rsid w:val="01862917"/>
    <w:rsid w:val="01BE4F18"/>
    <w:rsid w:val="021C1620"/>
    <w:rsid w:val="022E6AD9"/>
    <w:rsid w:val="027648C5"/>
    <w:rsid w:val="02C92423"/>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6F27A7"/>
    <w:rsid w:val="0A955323"/>
    <w:rsid w:val="0AD4224E"/>
    <w:rsid w:val="0B0E131B"/>
    <w:rsid w:val="0C0258F7"/>
    <w:rsid w:val="0C11428E"/>
    <w:rsid w:val="0C135862"/>
    <w:rsid w:val="0C1D705A"/>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F75A2D"/>
    <w:rsid w:val="1C3E61AC"/>
    <w:rsid w:val="1C727B05"/>
    <w:rsid w:val="1C736231"/>
    <w:rsid w:val="1CCB3F7F"/>
    <w:rsid w:val="1CDB1FD9"/>
    <w:rsid w:val="1D22560D"/>
    <w:rsid w:val="1D36222A"/>
    <w:rsid w:val="1DB16959"/>
    <w:rsid w:val="1E000CE3"/>
    <w:rsid w:val="1E552A77"/>
    <w:rsid w:val="1E711083"/>
    <w:rsid w:val="1E877138"/>
    <w:rsid w:val="1EE0592A"/>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4C6482"/>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D3229AB"/>
    <w:rsid w:val="4D6E25E7"/>
    <w:rsid w:val="4D83575F"/>
    <w:rsid w:val="4DD53083"/>
    <w:rsid w:val="4DF62B26"/>
    <w:rsid w:val="4E6D4716"/>
    <w:rsid w:val="4E843945"/>
    <w:rsid w:val="4FA4567A"/>
    <w:rsid w:val="4FA604E6"/>
    <w:rsid w:val="4FBF2EF4"/>
    <w:rsid w:val="4FC24B2F"/>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2703</Words>
  <Characters>2857</Characters>
  <Lines>17</Lines>
  <Paragraphs>4</Paragraphs>
  <TotalTime>0</TotalTime>
  <ScaleCrop>false</ScaleCrop>
  <LinksUpToDate>false</LinksUpToDate>
  <CharactersWithSpaces>2882</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2026-07-24T07:16:44Z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C3300AA5C96F4F888C333B5CB6EF5CC8_13</vt:lpwstr>
  </property>
  <property fmtid="{D5CDD505-2E9C-101B-9397-08002B2CF9AE}" pid="4" name="KSOTemplateDocerSaveRecord">
    <vt:lpwstr>eyJoZGlkIjoiMGUzYzZjMTA4MjkxYjBmN2Q2NzBkOWM3MGU3YjgwZDQiLCJ1c2VySWQiOiIyNTc5MzgxMTgifQ==</vt:lpwstr>
  </property>
</Properties>
</file>