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BC4BC">
      <w:pPr>
        <w:spacing w:line="240" w:lineRule="auto"/>
        <w:ind w:firstLine="0" w:firstLineChars="0"/>
        <w:jc w:val="center"/>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目录</w:t>
      </w:r>
    </w:p>
    <w:p w14:paraId="0C834E31">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TOC \o "1-3" \h \u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_Toc11418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概述</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_Toc11418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44DBC85">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_Toc16925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1</w:t>
      </w:r>
      <w:r>
        <w:rPr>
          <w:rFonts w:hint="default" w:ascii="Times New Roman" w:hAnsi="Times New Roman" w:eastAsia="宋体" w:cs="Times New Roman"/>
          <w:i w:val="0"/>
          <w:iCs w:val="0"/>
          <w:color w:val="auto"/>
          <w:sz w:val="20"/>
          <w:szCs w:val="32"/>
          <w:lang w:eastAsia="zh-CN"/>
        </w:rPr>
        <w:t xml:space="preserve"> </w:t>
      </w:r>
      <w:r>
        <w:rPr>
          <w:rFonts w:hint="default" w:ascii="Times New Roman" w:hAnsi="Times New Roman" w:eastAsia="宋体" w:cs="Times New Roman"/>
          <w:i w:val="0"/>
          <w:iCs w:val="0"/>
          <w:color w:val="auto"/>
          <w:sz w:val="20"/>
          <w:szCs w:val="32"/>
        </w:rPr>
        <w:t>总则</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_Toc16925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EF12287">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_Toc25791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1.1评价目的和评价原则</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_Toc25791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1BCC9FA">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_Toc28233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1.1.1评价目的</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_Toc28233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5C862DD">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_Toc27782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1.1.2评价原则</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_Toc27782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D22B44">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_Toc5043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1.2编制依据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_Toc5043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2758E2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_Toc8500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1.2.1国家环保法律、法规及规章</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_Toc8500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3CE032">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_Toc30087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1.2.2地方有关法规和环境保护文件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_Toc30087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3E9C655">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_Toc12347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1.2.3技术规范</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_Toc12347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2DFBEF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_Toc3715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1.2.4工程技术文件和其他文件依据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_Toc3715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7DF29AC">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_Toc26671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1.3评价内容、因子、等级、范围及重点</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_Toc26671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485D69D">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_Toc24209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1.3.1评价内容、因子及级别</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_Toc24209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71D3BE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_Toc3689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1.3.2评价范围</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_Toc3689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B9F3F05">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_Toc11860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1.3.3评价等级及评价范围汇总表</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_Toc11860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BCA1AD3">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_Toc18156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1.4评价方法、评价时段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_Toc18156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4D0064F">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_Toc16390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1.4.1评价方法</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_Toc16390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59C3EC6">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_Toc18501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1.4.2评价时段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_Toc18501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DBD5E80">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_Toc24661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1.5评价重点</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_Toc24661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7D7343">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_Toc9073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1.6环境功能区划</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_Toc9073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873DB6A">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_Toc7972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1.7评价标准</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_Toc7972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1378986">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_Toc26656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1.7.1环境质量标准</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_Toc26656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78E314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_Toc30557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1.7.2污染物排放标准</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_Toc30557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A25A07">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_Toc28610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1.8环境保护目标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_Toc28610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C7F8EC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_Toc9777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1.8.1</w:t>
      </w:r>
      <w:r>
        <w:rPr>
          <w:rFonts w:hint="default" w:ascii="Times New Roman" w:hAnsi="Times New Roman" w:eastAsia="宋体" w:cs="Times New Roman"/>
          <w:i w:val="0"/>
          <w:iCs w:val="0"/>
          <w:color w:val="auto"/>
          <w:sz w:val="20"/>
          <w:szCs w:val="20"/>
          <w:lang w:val="en-US" w:eastAsia="zh-CN"/>
        </w:rPr>
        <w:t>地表水环境</w:t>
      </w:r>
      <w:r>
        <w:rPr>
          <w:rFonts w:hint="default" w:ascii="Times New Roman" w:hAnsi="Times New Roman" w:eastAsia="宋体" w:cs="Times New Roman"/>
          <w:i w:val="0"/>
          <w:iCs w:val="0"/>
          <w:color w:val="auto"/>
          <w:sz w:val="20"/>
          <w:szCs w:val="20"/>
        </w:rPr>
        <w:t>保护目标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_Toc9777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9AA613F">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_Toc11839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1.8.2声环境、大气环境保护目标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_Toc11839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FE6A9AD">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_Toc13687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1.8.3生态环境保护目标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_Toc13687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7EA27F0">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_Toc7509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2</w:t>
      </w:r>
      <w:r>
        <w:rPr>
          <w:rFonts w:hint="default" w:ascii="Times New Roman" w:hAnsi="Times New Roman" w:eastAsia="宋体" w:cs="Times New Roman"/>
          <w:i w:val="0"/>
          <w:iCs w:val="0"/>
          <w:color w:val="auto"/>
          <w:sz w:val="20"/>
          <w:szCs w:val="20"/>
        </w:rPr>
        <w:t>工程概况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_Toc7509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A72D1DD">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_Toc6681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2.1</w:t>
      </w:r>
      <w:r>
        <w:rPr>
          <w:rFonts w:hint="default" w:ascii="Times New Roman" w:hAnsi="Times New Roman" w:eastAsia="宋体" w:cs="Times New Roman"/>
          <w:i w:val="0"/>
          <w:iCs w:val="0"/>
          <w:color w:val="auto"/>
          <w:sz w:val="20"/>
          <w:szCs w:val="20"/>
          <w:lang w:val="en-US" w:eastAsia="zh-CN"/>
        </w:rPr>
        <w:t>方案比选</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_Toc6681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4B08393">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_Toc16359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2.2</w:t>
      </w:r>
      <w:r>
        <w:rPr>
          <w:rFonts w:hint="default" w:ascii="Times New Roman" w:hAnsi="Times New Roman" w:eastAsia="宋体" w:cs="Times New Roman"/>
          <w:i w:val="0"/>
          <w:iCs w:val="0"/>
          <w:color w:val="auto"/>
          <w:sz w:val="20"/>
          <w:szCs w:val="20"/>
        </w:rPr>
        <w:t>项目基本情况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_Toc16359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C3DFDA8">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_Toc3742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2.2项目与相关路网衔接及周边情况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_Toc3742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5B55A6C">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_Toc25797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2.3路线方案及建设规模</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_Toc25797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C049768">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_Toc21336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2.4交通量预测</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_Toc21336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68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5FFFCED">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_Toc19639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2.5工程用地及拆迁工程</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_Toc19639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70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AC3510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_Toc2245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2.6土石方平衡</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_Toc2245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71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648B52A">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_Toc13770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2.7施工工艺及施工组织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_Toc13770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75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DB82E91">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_Toc15898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2.8 主要临时占地区规划</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_Toc15898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A26C5A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_Toc7739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2.9其他工程施工</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_Toc7739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5F32ECD">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_Toc23835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2.10总投资及建设周期</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_Toc23835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D8CD9D1">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_Toc25449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3</w:t>
      </w:r>
      <w:r>
        <w:rPr>
          <w:rFonts w:hint="default" w:ascii="Times New Roman" w:hAnsi="Times New Roman" w:eastAsia="宋体" w:cs="Times New Roman"/>
          <w:i w:val="0"/>
          <w:iCs w:val="0"/>
          <w:color w:val="auto"/>
          <w:sz w:val="20"/>
          <w:szCs w:val="20"/>
        </w:rPr>
        <w:t xml:space="preserve"> 工程分析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_Toc25449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F24F0A2">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_Toc9633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8"/>
          <w:lang w:bidi="ar"/>
        </w:rPr>
        <w:t>3.1工程环境影响因素</w:t>
      </w:r>
      <w:r>
        <w:rPr>
          <w:rFonts w:hint="default" w:ascii="Times New Roman" w:hAnsi="Times New Roman" w:eastAsia="宋体" w:cs="Times New Roman"/>
          <w:i w:val="0"/>
          <w:iCs w:val="0"/>
          <w:color w:val="auto"/>
          <w:sz w:val="20"/>
          <w:szCs w:val="28"/>
          <w:lang w:val="en-US" w:eastAsia="zh-CN" w:bidi="ar"/>
        </w:rPr>
        <w:t>识别</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_Toc9633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8C83E77">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_Toc17853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3.2</w:t>
      </w:r>
      <w:r>
        <w:rPr>
          <w:rFonts w:hint="default" w:ascii="Times New Roman" w:hAnsi="Times New Roman" w:eastAsia="宋体" w:cs="Times New Roman"/>
          <w:i w:val="0"/>
          <w:iCs w:val="0"/>
          <w:color w:val="auto"/>
          <w:sz w:val="20"/>
          <w:szCs w:val="20"/>
          <w:lang w:val="en-US" w:eastAsia="zh-CN"/>
        </w:rPr>
        <w:t>污染源强核算</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_Toc17853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81E64E7">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_Toc16012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3.2.1施工期</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_Toc16012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85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4C128F0">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_Toc24680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3.2.2</w:t>
      </w:r>
      <w:r>
        <w:rPr>
          <w:rFonts w:hint="default" w:ascii="Times New Roman" w:hAnsi="Times New Roman" w:eastAsia="宋体" w:cs="Times New Roman"/>
          <w:i w:val="0"/>
          <w:iCs w:val="0"/>
          <w:color w:val="auto"/>
          <w:sz w:val="20"/>
          <w:szCs w:val="20"/>
        </w:rPr>
        <w:t>营运期</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_Toc24680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CE9EBD8">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_Toc20200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4</w:t>
      </w:r>
      <w:r>
        <w:rPr>
          <w:rFonts w:hint="default" w:ascii="Times New Roman" w:hAnsi="Times New Roman" w:eastAsia="宋体" w:cs="Times New Roman"/>
          <w:i w:val="0"/>
          <w:iCs w:val="0"/>
          <w:color w:val="auto"/>
          <w:sz w:val="20"/>
          <w:szCs w:val="20"/>
        </w:rPr>
        <w:t xml:space="preserve"> 环境现状调查与评价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_Toc20200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32737C8">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_Toc23646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4.1自然概况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_Toc23646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645B677">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_Toc27019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4.1.1地理位置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_Toc27019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CB3C7C0">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_Toc8197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4.1.2地形地貌</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_Toc8197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05D39DC">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_Toc9862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4.1.3气象气候</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_Toc9862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D36C597">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_Toc2406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4.1.4河流、水文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_Toc2406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1737431">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_Toc24847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4.1.5边坡工程地质</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_Toc24847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98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432F510">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_Toc28392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4.1.6地质构造与地震</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_Toc28392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100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6966E37">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_Toc1492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4.1.7其他</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_Toc1492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103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AFC95D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_Toc17113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4.2环境质量现状及评价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_Toc17113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104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3EB328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_Toc31963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4.2.1生态环境现状调查与评价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_Toc31963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104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9A2F224">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_Toc22613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4.2.2声环境质量现状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_Toc22613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119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24F36DD">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_Toc21330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4.2.3环境空气质量现状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_Toc21330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2C00A09">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_Toc31819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4.2.4地表水环境质量现状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_Toc31819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56A4CE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_Toc11523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4.2.5其他质量现状评价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_Toc11523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FD4A887">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_Toc27558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 xml:space="preserve">5 </w:t>
      </w:r>
      <w:r>
        <w:rPr>
          <w:rFonts w:hint="default" w:ascii="Times New Roman" w:hAnsi="Times New Roman" w:eastAsia="宋体" w:cs="Times New Roman"/>
          <w:i w:val="0"/>
          <w:iCs w:val="0"/>
          <w:color w:val="auto"/>
          <w:sz w:val="20"/>
          <w:szCs w:val="20"/>
        </w:rPr>
        <w:t>环境影响分析与预测</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_Toc27558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FC31CAF">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_Toc583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5.1施工期环境影响评价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_Toc583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04620CF">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_Toc14324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5.1.1施工期大气环境影响分析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_Toc14324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FD34651">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_Toc5804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5.1.2施工期水环境影响分析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_Toc5804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128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03C4C66">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_Toc30201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5.1.3施工期噪声环境影响分析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_Toc30201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81E6155">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_Toc13736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5.1.4施工期固体废物环境影响分析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_Toc13736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05920D5">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_Toc11783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5.1.5生态环境影响分析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_Toc11783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8CC391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_Toc28179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5.2</w:t>
      </w:r>
      <w:r>
        <w:rPr>
          <w:rFonts w:hint="default" w:ascii="Times New Roman" w:hAnsi="Times New Roman" w:eastAsia="宋体" w:cs="Times New Roman"/>
          <w:i w:val="0"/>
          <w:iCs w:val="0"/>
          <w:color w:val="auto"/>
          <w:sz w:val="20"/>
          <w:szCs w:val="20"/>
          <w:lang w:val="en-US" w:eastAsia="zh-CN"/>
        </w:rPr>
        <w:t>营运</w:t>
      </w:r>
      <w:r>
        <w:rPr>
          <w:rFonts w:hint="default" w:ascii="Times New Roman" w:hAnsi="Times New Roman" w:eastAsia="宋体" w:cs="Times New Roman"/>
          <w:i w:val="0"/>
          <w:iCs w:val="0"/>
          <w:color w:val="auto"/>
          <w:sz w:val="20"/>
          <w:szCs w:val="20"/>
        </w:rPr>
        <w:t>期环境影响评价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_Toc28179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733902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_Toc1062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kern w:val="0"/>
          <w:sz w:val="20"/>
          <w:szCs w:val="24"/>
          <w:lang w:bidi="ar"/>
        </w:rPr>
        <w:t>5.2.1</w:t>
      </w:r>
      <w:r>
        <w:rPr>
          <w:rFonts w:hint="default" w:ascii="Times New Roman" w:hAnsi="Times New Roman" w:eastAsia="宋体" w:cs="Times New Roman"/>
          <w:i w:val="0"/>
          <w:iCs w:val="0"/>
          <w:color w:val="auto"/>
          <w:sz w:val="20"/>
          <w:szCs w:val="20"/>
          <w:lang w:val="en-US" w:eastAsia="zh-CN"/>
        </w:rPr>
        <w:t>营运</w:t>
      </w:r>
      <w:r>
        <w:rPr>
          <w:rFonts w:hint="default" w:ascii="Times New Roman" w:hAnsi="Times New Roman" w:eastAsia="宋体" w:cs="Times New Roman"/>
          <w:i w:val="0"/>
          <w:iCs w:val="0"/>
          <w:color w:val="auto"/>
          <w:kern w:val="0"/>
          <w:sz w:val="20"/>
          <w:szCs w:val="24"/>
          <w:lang w:bidi="ar"/>
        </w:rPr>
        <w:t>期大气环境影响分析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_Toc1062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139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BF48A3E">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_Toc2619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kern w:val="0"/>
          <w:sz w:val="20"/>
          <w:szCs w:val="24"/>
          <w:lang w:bidi="ar"/>
        </w:rPr>
        <w:t>5.2.2</w:t>
      </w:r>
      <w:r>
        <w:rPr>
          <w:rFonts w:hint="default" w:ascii="Times New Roman" w:hAnsi="Times New Roman" w:eastAsia="宋体" w:cs="Times New Roman"/>
          <w:i w:val="0"/>
          <w:iCs w:val="0"/>
          <w:color w:val="auto"/>
          <w:kern w:val="0"/>
          <w:sz w:val="20"/>
          <w:szCs w:val="24"/>
          <w:lang w:eastAsia="zh-CN" w:bidi="ar"/>
        </w:rPr>
        <w:t>营运期</w:t>
      </w:r>
      <w:r>
        <w:rPr>
          <w:rFonts w:hint="default" w:ascii="Times New Roman" w:hAnsi="Times New Roman" w:eastAsia="宋体" w:cs="Times New Roman"/>
          <w:i w:val="0"/>
          <w:iCs w:val="0"/>
          <w:color w:val="auto"/>
          <w:kern w:val="0"/>
          <w:sz w:val="20"/>
          <w:szCs w:val="24"/>
          <w:lang w:bidi="ar"/>
        </w:rPr>
        <w:t>水环境影响分析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_Toc2619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140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48DEE24">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_Toc32320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5.2.3交通噪声境影响评价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_Toc32320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142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81E3214">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_Toc12753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5.2.4固体废物环境影响评价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_Toc12753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EBE4E6D">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_Toc16628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5.2.5</w:t>
      </w:r>
      <w:r>
        <w:rPr>
          <w:rFonts w:hint="default" w:ascii="Times New Roman" w:hAnsi="Times New Roman" w:eastAsia="宋体" w:cs="Times New Roman"/>
          <w:i w:val="0"/>
          <w:iCs w:val="0"/>
          <w:color w:val="auto"/>
          <w:kern w:val="0"/>
          <w:sz w:val="20"/>
          <w:szCs w:val="24"/>
          <w:lang w:eastAsia="zh-CN" w:bidi="ar"/>
        </w:rPr>
        <w:t>营运期</w:t>
      </w:r>
      <w:r>
        <w:rPr>
          <w:rFonts w:hint="default" w:ascii="Times New Roman" w:hAnsi="Times New Roman" w:eastAsia="宋体" w:cs="Times New Roman"/>
          <w:i w:val="0"/>
          <w:iCs w:val="0"/>
          <w:color w:val="auto"/>
          <w:kern w:val="0"/>
          <w:sz w:val="20"/>
          <w:szCs w:val="24"/>
          <w:lang w:bidi="ar"/>
        </w:rPr>
        <w:t>生态环境影响分析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_Toc16628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B0A1369">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_Toc19452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 xml:space="preserve">6 </w:t>
      </w:r>
      <w:r>
        <w:rPr>
          <w:rFonts w:hint="default" w:ascii="Times New Roman" w:hAnsi="Times New Roman" w:eastAsia="宋体" w:cs="Times New Roman"/>
          <w:i w:val="0"/>
          <w:iCs w:val="0"/>
          <w:color w:val="auto"/>
          <w:sz w:val="20"/>
          <w:szCs w:val="20"/>
        </w:rPr>
        <w:t>环境风险分析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_Toc19452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3E65E43">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_Toc8124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6.1评价依据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_Toc8124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EF2231A">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_Toc11101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4"/>
          <w:lang w:val="en-US" w:eastAsia="zh-CN"/>
        </w:rPr>
        <w:t>6.2环境敏感目标概况</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_Toc11101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8B5E991">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_Toc908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6.3环境风险识别</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_Toc908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157</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B9E23D8">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_Toc6848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6.4环境风险分析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_Toc6848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159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6D33DA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_Toc782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bCs/>
          <w:i w:val="0"/>
          <w:iCs w:val="0"/>
          <w:color w:val="auto"/>
          <w:kern w:val="0"/>
          <w:sz w:val="20"/>
          <w:szCs w:val="24"/>
          <w:lang w:val="en-US" w:eastAsia="zh-CN" w:bidi="ar"/>
        </w:rPr>
        <w:t>6.5环境风险防控</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_Toc782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5C9E0A5">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_Toc22738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6.6其他</w:t>
      </w:r>
      <w:r>
        <w:rPr>
          <w:rFonts w:hint="default" w:ascii="Times New Roman" w:hAnsi="Times New Roman" w:eastAsia="宋体" w:cs="Times New Roman"/>
          <w:i w:val="0"/>
          <w:iCs w:val="0"/>
          <w:color w:val="auto"/>
          <w:sz w:val="20"/>
          <w:szCs w:val="20"/>
        </w:rPr>
        <w:t>影响评价</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_Toc22738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D955FDD">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_Toc8749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 xml:space="preserve"> 环境污染防治措施与对策建议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_Toc8749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F941A40">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_Toc16920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.1生态保护措施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_Toc16920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1428A08">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_Toc6799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.1.1施工期保护措施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_Toc6799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5F54F59">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_Toc9202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.1.2</w:t>
      </w:r>
      <w:r>
        <w:rPr>
          <w:rFonts w:hint="default" w:ascii="Times New Roman" w:hAnsi="Times New Roman" w:eastAsia="宋体" w:cs="Times New Roman"/>
          <w:i w:val="0"/>
          <w:iCs w:val="0"/>
          <w:color w:val="auto"/>
          <w:sz w:val="20"/>
          <w:szCs w:val="20"/>
          <w:lang w:eastAsia="zh-CN"/>
        </w:rPr>
        <w:t>营运期</w:t>
      </w:r>
      <w:r>
        <w:rPr>
          <w:rFonts w:hint="default" w:ascii="Times New Roman" w:hAnsi="Times New Roman" w:eastAsia="宋体" w:cs="Times New Roman"/>
          <w:i w:val="0"/>
          <w:iCs w:val="0"/>
          <w:color w:val="auto"/>
          <w:sz w:val="20"/>
          <w:szCs w:val="20"/>
        </w:rPr>
        <w:t>保护措施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_Toc9202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D9EA7BD">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_Toc23842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.2噪声污染防治措施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_Toc23842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0B1B49E">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_Toc18552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.2.1施工期噪声污染防治措施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_Toc18552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169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C737D3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_Toc15605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.2.2营运期声环境影响减缓措施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_Toc15605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2D80AFE">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_Toc2667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.3空气污染防治措施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_Toc2667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EEFEE7F">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_Toc30193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.3.1施工期环境空气影响减缓措施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_Toc30193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D40DDA2">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_Toc31129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.3.2</w:t>
      </w:r>
      <w:r>
        <w:rPr>
          <w:rFonts w:hint="default" w:ascii="Times New Roman" w:hAnsi="Times New Roman" w:eastAsia="宋体" w:cs="Times New Roman"/>
          <w:i w:val="0"/>
          <w:iCs w:val="0"/>
          <w:color w:val="auto"/>
          <w:sz w:val="20"/>
          <w:szCs w:val="20"/>
          <w:lang w:eastAsia="zh-CN"/>
        </w:rPr>
        <w:t>营运期</w:t>
      </w:r>
      <w:r>
        <w:rPr>
          <w:rFonts w:hint="default" w:ascii="Times New Roman" w:hAnsi="Times New Roman" w:eastAsia="宋体" w:cs="Times New Roman"/>
          <w:i w:val="0"/>
          <w:iCs w:val="0"/>
          <w:color w:val="auto"/>
          <w:sz w:val="20"/>
          <w:szCs w:val="20"/>
        </w:rPr>
        <w:t>空气污染防治措施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_Toc31129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A6A3B0C">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_Toc5672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7.4废水污染防治措施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_Toc5672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4C1157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_Toc7002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4</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1施工</w:t>
      </w:r>
      <w:r>
        <w:rPr>
          <w:rFonts w:hint="default" w:ascii="Times New Roman" w:hAnsi="Times New Roman" w:eastAsia="宋体" w:cs="Times New Roman"/>
          <w:i w:val="0"/>
          <w:iCs w:val="0"/>
          <w:color w:val="auto"/>
          <w:sz w:val="20"/>
          <w:szCs w:val="20"/>
          <w:lang w:eastAsia="zh-CN"/>
        </w:rPr>
        <w:t>期</w:t>
      </w:r>
      <w:r>
        <w:rPr>
          <w:rFonts w:hint="default" w:ascii="Times New Roman" w:hAnsi="Times New Roman" w:eastAsia="宋体" w:cs="Times New Roman"/>
          <w:i w:val="0"/>
          <w:iCs w:val="0"/>
          <w:color w:val="auto"/>
          <w:sz w:val="20"/>
          <w:szCs w:val="20"/>
          <w:lang w:val="en-US" w:eastAsia="zh-CN"/>
        </w:rPr>
        <w:t>水</w:t>
      </w:r>
      <w:r>
        <w:rPr>
          <w:rFonts w:hint="default" w:ascii="Times New Roman" w:hAnsi="Times New Roman" w:eastAsia="宋体" w:cs="Times New Roman"/>
          <w:i w:val="0"/>
          <w:iCs w:val="0"/>
          <w:color w:val="auto"/>
          <w:sz w:val="20"/>
          <w:szCs w:val="20"/>
        </w:rPr>
        <w:t>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_Toc7002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D15C96F">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_Toc18134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4</w:t>
      </w:r>
      <w:r>
        <w:rPr>
          <w:rFonts w:hint="default" w:ascii="Times New Roman" w:hAnsi="Times New Roman" w:eastAsia="宋体" w:cs="Times New Roman"/>
          <w:i w:val="0"/>
          <w:iCs w:val="0"/>
          <w:color w:val="auto"/>
          <w:sz w:val="20"/>
          <w:szCs w:val="20"/>
        </w:rPr>
        <w:t>.2</w:t>
      </w:r>
      <w:r>
        <w:rPr>
          <w:rFonts w:hint="default" w:ascii="Times New Roman" w:hAnsi="Times New Roman" w:eastAsia="宋体" w:cs="Times New Roman"/>
          <w:i w:val="0"/>
          <w:iCs w:val="0"/>
          <w:color w:val="auto"/>
          <w:sz w:val="20"/>
          <w:szCs w:val="20"/>
          <w:lang w:eastAsia="zh-CN"/>
        </w:rPr>
        <w:t>营运期</w:t>
      </w:r>
      <w:r>
        <w:rPr>
          <w:rFonts w:hint="default" w:ascii="Times New Roman" w:hAnsi="Times New Roman" w:eastAsia="宋体" w:cs="Times New Roman"/>
          <w:i w:val="0"/>
          <w:iCs w:val="0"/>
          <w:color w:val="auto"/>
          <w:sz w:val="20"/>
          <w:szCs w:val="20"/>
          <w:lang w:val="en-US" w:eastAsia="zh-CN"/>
        </w:rPr>
        <w:t>水</w:t>
      </w:r>
      <w:r>
        <w:rPr>
          <w:rFonts w:hint="default" w:ascii="Times New Roman" w:hAnsi="Times New Roman" w:eastAsia="宋体" w:cs="Times New Roman"/>
          <w:i w:val="0"/>
          <w:iCs w:val="0"/>
          <w:color w:val="auto"/>
          <w:sz w:val="20"/>
          <w:szCs w:val="20"/>
        </w:rPr>
        <w:t>污染防治措施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_Toc18134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9CE1071">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_Toc28699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w:t>
      </w:r>
      <w:r>
        <w:rPr>
          <w:rFonts w:hint="default" w:ascii="Times New Roman" w:hAnsi="Times New Roman" w:eastAsia="宋体" w:cs="Times New Roman"/>
          <w:i w:val="0"/>
          <w:iCs w:val="0"/>
          <w:color w:val="auto"/>
          <w:sz w:val="20"/>
          <w:szCs w:val="32"/>
          <w:lang w:val="en-US" w:eastAsia="zh-CN"/>
        </w:rPr>
        <w:t>5</w:t>
      </w:r>
      <w:r>
        <w:rPr>
          <w:rFonts w:hint="default" w:ascii="Times New Roman" w:hAnsi="Times New Roman" w:eastAsia="宋体" w:cs="Times New Roman"/>
          <w:i w:val="0"/>
          <w:iCs w:val="0"/>
          <w:color w:val="auto"/>
          <w:sz w:val="20"/>
          <w:szCs w:val="32"/>
        </w:rPr>
        <w:t>固体废物防治措施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_Toc28699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172</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2249CEB">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_Toc6737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w:t>
      </w:r>
      <w:r>
        <w:rPr>
          <w:rFonts w:hint="default" w:ascii="Times New Roman" w:hAnsi="Times New Roman" w:eastAsia="宋体" w:cs="Times New Roman"/>
          <w:i w:val="0"/>
          <w:iCs w:val="0"/>
          <w:color w:val="auto"/>
          <w:sz w:val="20"/>
          <w:szCs w:val="32"/>
          <w:lang w:val="en-US" w:eastAsia="zh-CN"/>
        </w:rPr>
        <w:t>6</w:t>
      </w:r>
      <w:r>
        <w:rPr>
          <w:rFonts w:hint="default" w:ascii="Times New Roman" w:hAnsi="Times New Roman" w:eastAsia="宋体" w:cs="Times New Roman"/>
          <w:i w:val="0"/>
          <w:iCs w:val="0"/>
          <w:color w:val="auto"/>
          <w:sz w:val="20"/>
          <w:szCs w:val="32"/>
        </w:rPr>
        <w:t>环境风险防范措施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_Toc6737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855AE19">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_Toc28174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w:t>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社会不利影响减缓措施</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_Toc28174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097ABC1">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_Toc28271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.1交通方面</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_Toc28271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FC7FDF6">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_Toc25199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.2景观方面</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_Toc25199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AD9B598">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_Toc12083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7</w:t>
      </w:r>
      <w:r>
        <w:rPr>
          <w:rFonts w:hint="default" w:ascii="Times New Roman" w:hAnsi="Times New Roman" w:eastAsia="宋体" w:cs="Times New Roman"/>
          <w:i w:val="0"/>
          <w:iCs w:val="0"/>
          <w:color w:val="auto"/>
          <w:sz w:val="20"/>
          <w:szCs w:val="20"/>
        </w:rPr>
        <w:t>.3其他方面</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_Toc12083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BC7BE00">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_Toc30222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7</w:t>
      </w:r>
      <w:r>
        <w:rPr>
          <w:rFonts w:hint="default" w:ascii="Times New Roman" w:hAnsi="Times New Roman" w:eastAsia="宋体" w:cs="Times New Roman"/>
          <w:i w:val="0"/>
          <w:iCs w:val="0"/>
          <w:color w:val="auto"/>
          <w:sz w:val="20"/>
          <w:szCs w:val="32"/>
        </w:rPr>
        <w:t>.</w:t>
      </w:r>
      <w:r>
        <w:rPr>
          <w:rFonts w:hint="default" w:ascii="Times New Roman" w:hAnsi="Times New Roman" w:eastAsia="宋体" w:cs="Times New Roman"/>
          <w:i w:val="0"/>
          <w:iCs w:val="0"/>
          <w:color w:val="auto"/>
          <w:sz w:val="20"/>
          <w:szCs w:val="32"/>
          <w:lang w:val="en-US" w:eastAsia="zh-CN"/>
        </w:rPr>
        <w:t>8</w:t>
      </w:r>
      <w:r>
        <w:rPr>
          <w:rFonts w:hint="default" w:ascii="Times New Roman" w:hAnsi="Times New Roman" w:eastAsia="宋体" w:cs="Times New Roman"/>
          <w:i w:val="0"/>
          <w:iCs w:val="0"/>
          <w:color w:val="auto"/>
          <w:sz w:val="20"/>
          <w:szCs w:val="32"/>
        </w:rPr>
        <w:t>建议</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_Toc30222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179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7DB57A40">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_Toc25529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8</w:t>
      </w:r>
      <w:r>
        <w:rPr>
          <w:rFonts w:hint="default" w:ascii="Times New Roman" w:hAnsi="Times New Roman" w:eastAsia="宋体" w:cs="Times New Roman"/>
          <w:i w:val="0"/>
          <w:iCs w:val="0"/>
          <w:color w:val="auto"/>
          <w:sz w:val="20"/>
          <w:szCs w:val="32"/>
        </w:rPr>
        <w:t xml:space="preserve"> 环境经济损益分析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_Toc25529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880F8D8">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_Toc14068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8</w:t>
      </w:r>
      <w:r>
        <w:rPr>
          <w:rFonts w:hint="default" w:ascii="Times New Roman" w:hAnsi="Times New Roman" w:eastAsia="宋体" w:cs="Times New Roman"/>
          <w:i w:val="0"/>
          <w:iCs w:val="0"/>
          <w:color w:val="auto"/>
          <w:sz w:val="20"/>
          <w:szCs w:val="20"/>
        </w:rPr>
        <w:t>.1环保投资概算及其效益简析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_Toc14068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D41586A">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_Toc32702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8</w:t>
      </w:r>
      <w:r>
        <w:rPr>
          <w:rFonts w:hint="default" w:ascii="Times New Roman" w:hAnsi="Times New Roman" w:eastAsia="宋体" w:cs="Times New Roman"/>
          <w:i w:val="0"/>
          <w:iCs w:val="0"/>
          <w:color w:val="auto"/>
          <w:sz w:val="20"/>
          <w:szCs w:val="20"/>
        </w:rPr>
        <w:t>.1.1环保投资概算</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_Toc32702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DBF5FD6">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_Toc22621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8</w:t>
      </w:r>
      <w:r>
        <w:rPr>
          <w:rFonts w:hint="default" w:ascii="Times New Roman" w:hAnsi="Times New Roman" w:eastAsia="宋体" w:cs="Times New Roman"/>
          <w:i w:val="0"/>
          <w:iCs w:val="0"/>
          <w:color w:val="auto"/>
          <w:sz w:val="20"/>
          <w:szCs w:val="20"/>
        </w:rPr>
        <w:t>.1.2环保投资的效益分析</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_Toc22621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181</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49B97BE">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_Toc1595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 xml:space="preserve">  环保管理、环境监测与环境监理</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_Toc1595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6C66B72">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_Toc9056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.1环境保护管理机构的设置及职责</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_Toc9056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60133E8">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_Toc11745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.1.1施工期</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_Toc11745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026D89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_Toc9724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.1.2</w:t>
      </w:r>
      <w:r>
        <w:rPr>
          <w:rFonts w:hint="default" w:ascii="Times New Roman" w:hAnsi="Times New Roman" w:eastAsia="宋体" w:cs="Times New Roman"/>
          <w:i w:val="0"/>
          <w:iCs w:val="0"/>
          <w:color w:val="auto"/>
          <w:sz w:val="20"/>
          <w:szCs w:val="20"/>
          <w:lang w:eastAsia="zh-CN"/>
        </w:rPr>
        <w:t>营运期</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_Toc9724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1AF73414">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_Toc23005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2</w:t>
      </w:r>
      <w:r>
        <w:rPr>
          <w:rFonts w:hint="default" w:ascii="Times New Roman" w:hAnsi="Times New Roman" w:eastAsia="宋体" w:cs="Times New Roman"/>
          <w:i w:val="0"/>
          <w:iCs w:val="0"/>
          <w:color w:val="auto"/>
          <w:sz w:val="20"/>
          <w:szCs w:val="20"/>
        </w:rPr>
        <w:t>环境监测</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_Toc23005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9FF6CD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_Toc19272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2</w:t>
      </w:r>
      <w:r>
        <w:rPr>
          <w:rFonts w:hint="default" w:ascii="Times New Roman" w:hAnsi="Times New Roman" w:eastAsia="宋体" w:cs="Times New Roman"/>
          <w:i w:val="0"/>
          <w:iCs w:val="0"/>
          <w:color w:val="auto"/>
          <w:sz w:val="20"/>
          <w:szCs w:val="20"/>
        </w:rPr>
        <w:t>.1监测的目的</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_Toc19272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D436CA3">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_Toc25512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2</w:t>
      </w:r>
      <w:r>
        <w:rPr>
          <w:rFonts w:hint="default" w:ascii="Times New Roman" w:hAnsi="Times New Roman" w:eastAsia="宋体" w:cs="Times New Roman"/>
          <w:i w:val="0"/>
          <w:iCs w:val="0"/>
          <w:color w:val="auto"/>
          <w:sz w:val="20"/>
          <w:szCs w:val="20"/>
        </w:rPr>
        <w:t>.2监测机构</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_Toc25512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A971582">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_Toc14997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2</w:t>
      </w:r>
      <w:r>
        <w:rPr>
          <w:rFonts w:hint="default" w:ascii="Times New Roman" w:hAnsi="Times New Roman" w:eastAsia="宋体" w:cs="Times New Roman"/>
          <w:i w:val="0"/>
          <w:iCs w:val="0"/>
          <w:color w:val="auto"/>
          <w:sz w:val="20"/>
          <w:szCs w:val="20"/>
        </w:rPr>
        <w:t>.3监测计划</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_Toc14997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188</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C8D3B8C">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_Toc5761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3</w:t>
      </w:r>
      <w:r>
        <w:rPr>
          <w:rFonts w:hint="default" w:ascii="Times New Roman" w:hAnsi="Times New Roman" w:eastAsia="宋体" w:cs="Times New Roman"/>
          <w:i w:val="0"/>
          <w:iCs w:val="0"/>
          <w:color w:val="auto"/>
          <w:sz w:val="20"/>
          <w:szCs w:val="20"/>
        </w:rPr>
        <w:t>环境监理</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_Toc5761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FF0AB37">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_Toc8125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3</w:t>
      </w:r>
      <w:r>
        <w:rPr>
          <w:rFonts w:hint="default" w:ascii="Times New Roman" w:hAnsi="Times New Roman" w:eastAsia="宋体" w:cs="Times New Roman"/>
          <w:i w:val="0"/>
          <w:iCs w:val="0"/>
          <w:color w:val="auto"/>
          <w:sz w:val="20"/>
          <w:szCs w:val="20"/>
        </w:rPr>
        <w:t>.1环境监理结构和制度</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_Toc8125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189</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A722CBA">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_Toc16940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3</w:t>
      </w:r>
      <w:r>
        <w:rPr>
          <w:rFonts w:hint="default" w:ascii="Times New Roman" w:hAnsi="Times New Roman" w:eastAsia="宋体" w:cs="Times New Roman"/>
          <w:i w:val="0"/>
          <w:iCs w:val="0"/>
          <w:color w:val="auto"/>
          <w:sz w:val="20"/>
          <w:szCs w:val="20"/>
        </w:rPr>
        <w:t>.2环境监理计划</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_Toc16940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2E7703D9">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_Toc23080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9</w:t>
      </w:r>
      <w:r>
        <w:rPr>
          <w:rFonts w:hint="default" w:ascii="Times New Roman" w:hAnsi="Times New Roman" w:eastAsia="宋体" w:cs="Times New Roman"/>
          <w:i w:val="0"/>
          <w:iCs w:val="0"/>
          <w:color w:val="auto"/>
          <w:sz w:val="20"/>
          <w:szCs w:val="20"/>
        </w:rPr>
        <w:t>.</w:t>
      </w:r>
      <w:r>
        <w:rPr>
          <w:rFonts w:hint="default" w:ascii="Times New Roman" w:hAnsi="Times New Roman" w:eastAsia="宋体" w:cs="Times New Roman"/>
          <w:i w:val="0"/>
          <w:iCs w:val="0"/>
          <w:color w:val="auto"/>
          <w:sz w:val="20"/>
          <w:szCs w:val="20"/>
          <w:lang w:val="en-US" w:eastAsia="zh-CN"/>
        </w:rPr>
        <w:t>4</w:t>
      </w:r>
      <w:r>
        <w:rPr>
          <w:rFonts w:hint="default" w:ascii="Times New Roman" w:hAnsi="Times New Roman" w:eastAsia="宋体" w:cs="Times New Roman"/>
          <w:i w:val="0"/>
          <w:iCs w:val="0"/>
          <w:color w:val="auto"/>
          <w:sz w:val="20"/>
          <w:szCs w:val="20"/>
        </w:rPr>
        <w:t>环境保护竣工验收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_Toc23080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190</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62B7C85">
      <w:pPr>
        <w:pStyle w:val="4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_Toc10061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 xml:space="preserve"> 评价结论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_Toc10061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9926D3">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_Toc1988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10</w:t>
      </w:r>
      <w:r>
        <w:rPr>
          <w:rFonts w:hint="default" w:ascii="Times New Roman" w:hAnsi="Times New Roman" w:eastAsia="宋体" w:cs="Times New Roman"/>
          <w:i w:val="0"/>
          <w:iCs w:val="0"/>
          <w:color w:val="auto"/>
          <w:sz w:val="20"/>
          <w:szCs w:val="32"/>
        </w:rPr>
        <w:t>.1产业政策符合性</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_Toc1988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A7F2AC7">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_Toc14616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32"/>
          <w:lang w:val="en-US" w:eastAsia="zh-CN"/>
        </w:rPr>
        <w:t>10.2 环境现状</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_Toc14616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193</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5D4F309">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_Toc28065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.3主要环境影响评价结论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_Toc28065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6233A5CC">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_Toc29794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.3.1环境噪声环境影响评价结论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_Toc29794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57F135B8">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_Toc14652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.3.2环境空气影响评价结论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_Toc14652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194</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AAC22F5">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_Toc19658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.3.3水环境影响分析结论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_Toc19658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3F1F523B">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_Toc25474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.3.4固体废物处置及影响分析结论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_Toc25474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195</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0F7A711">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_Toc1060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.3.5生态环境影响分析结论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_Toc1060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40178B91">
      <w:pPr>
        <w:pStyle w:val="31"/>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_Toc10509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.3.6社会影响评价结论</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_Toc10509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2DD050D">
      <w:pPr>
        <w:pStyle w:val="48"/>
        <w:tabs>
          <w:tab w:val="right" w:leader="dot" w:pos="8312"/>
        </w:tabs>
        <w:rPr>
          <w:rFonts w:hint="default" w:ascii="Times New Roman" w:hAnsi="Times New Roman" w:eastAsia="宋体" w:cs="Times New Roman"/>
          <w:i w:val="0"/>
          <w:iCs w:val="0"/>
          <w:color w:val="auto"/>
          <w:sz w:val="20"/>
          <w:szCs w:val="20"/>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_Toc18008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.4公众参与</w:t>
      </w:r>
      <w:r>
        <w:rPr>
          <w:rFonts w:hint="default" w:ascii="Times New Roman" w:hAnsi="Times New Roman" w:eastAsia="宋体" w:cs="Times New Roman"/>
          <w:i w:val="0"/>
          <w:iCs w:val="0"/>
          <w:color w:val="auto"/>
          <w:sz w:val="20"/>
          <w:szCs w:val="20"/>
        </w:rPr>
        <w:tab/>
      </w: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PAGEREF _Toc18008 \h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rPr>
        <w:t>196</w:t>
      </w:r>
      <w:r>
        <w:rPr>
          <w:rFonts w:hint="default" w:ascii="Times New Roman" w:hAnsi="Times New Roman" w:eastAsia="宋体" w:cs="Times New Roman"/>
          <w:i w:val="0"/>
          <w:iCs w:val="0"/>
          <w:color w:val="auto"/>
          <w:sz w:val="20"/>
          <w:szCs w:val="20"/>
        </w:rPr>
        <w:fldChar w:fldCharType="end"/>
      </w:r>
      <w:r>
        <w:rPr>
          <w:rFonts w:hint="default" w:ascii="Times New Roman" w:hAnsi="Times New Roman" w:eastAsia="宋体" w:cs="Times New Roman"/>
          <w:i w:val="0"/>
          <w:iCs w:val="0"/>
          <w:color w:val="auto"/>
          <w:sz w:val="20"/>
          <w:szCs w:val="20"/>
        </w:rPr>
        <w:fldChar w:fldCharType="end"/>
      </w:r>
    </w:p>
    <w:p w14:paraId="0670A2EE">
      <w:pPr>
        <w:pStyle w:val="48"/>
        <w:tabs>
          <w:tab w:val="right" w:leader="dot" w:pos="8312"/>
        </w:tabs>
        <w:rPr>
          <w:rFonts w:hint="default" w:eastAsia="宋体"/>
          <w:color w:val="auto"/>
          <w:lang w:val="en-US" w:eastAsia="zh-CN"/>
        </w:rPr>
      </w:pPr>
      <w:r>
        <w:rPr>
          <w:rFonts w:hint="default" w:ascii="Times New Roman" w:hAnsi="Times New Roman" w:eastAsia="宋体" w:cs="Times New Roman"/>
          <w:i w:val="0"/>
          <w:iCs w:val="0"/>
          <w:color w:val="auto"/>
          <w:sz w:val="20"/>
          <w:szCs w:val="20"/>
        </w:rPr>
        <w:fldChar w:fldCharType="begin"/>
      </w:r>
      <w:r>
        <w:rPr>
          <w:rFonts w:hint="default" w:ascii="Times New Roman" w:hAnsi="Times New Roman" w:eastAsia="宋体" w:cs="Times New Roman"/>
          <w:i w:val="0"/>
          <w:iCs w:val="0"/>
          <w:color w:val="auto"/>
          <w:sz w:val="20"/>
          <w:szCs w:val="20"/>
        </w:rPr>
        <w:instrText xml:space="preserve"> HYPERLINK \l _Toc10512 </w:instrText>
      </w:r>
      <w:r>
        <w:rPr>
          <w:rFonts w:hint="default" w:ascii="Times New Roman" w:hAnsi="Times New Roman" w:eastAsia="宋体" w:cs="Times New Roman"/>
          <w:i w:val="0"/>
          <w:iCs w:val="0"/>
          <w:color w:val="auto"/>
          <w:sz w:val="20"/>
          <w:szCs w:val="20"/>
        </w:rPr>
        <w:fldChar w:fldCharType="separate"/>
      </w:r>
      <w:r>
        <w:rPr>
          <w:rFonts w:hint="default" w:ascii="Times New Roman" w:hAnsi="Times New Roman" w:eastAsia="宋体" w:cs="Times New Roman"/>
          <w:i w:val="0"/>
          <w:iCs w:val="0"/>
          <w:color w:val="auto"/>
          <w:sz w:val="20"/>
          <w:szCs w:val="20"/>
          <w:lang w:val="en-US" w:eastAsia="zh-CN"/>
        </w:rPr>
        <w:t>10</w:t>
      </w:r>
      <w:r>
        <w:rPr>
          <w:rFonts w:hint="default" w:ascii="Times New Roman" w:hAnsi="Times New Roman" w:eastAsia="宋体" w:cs="Times New Roman"/>
          <w:i w:val="0"/>
          <w:iCs w:val="0"/>
          <w:color w:val="auto"/>
          <w:sz w:val="20"/>
          <w:szCs w:val="20"/>
        </w:rPr>
        <w:t>.5评价总结论</w:t>
      </w:r>
      <w:r>
        <w:rPr>
          <w:rFonts w:hint="default" w:ascii="Times New Roman" w:hAnsi="Times New Roman" w:eastAsia="宋体" w:cs="Times New Roman"/>
          <w:i w:val="0"/>
          <w:iCs w:val="0"/>
          <w:color w:val="auto"/>
          <w:sz w:val="20"/>
          <w:szCs w:val="20"/>
        </w:rPr>
        <w:tab/>
      </w:r>
      <w:r>
        <w:rPr>
          <w:rFonts w:hint="eastAsia" w:ascii="Times New Roman" w:hAnsi="Times New Roman" w:eastAsia="宋体" w:cs="Times New Roman"/>
          <w:i w:val="0"/>
          <w:iCs w:val="0"/>
          <w:color w:val="auto"/>
          <w:sz w:val="20"/>
          <w:szCs w:val="20"/>
          <w:lang w:val="en-US" w:eastAsia="zh-CN"/>
        </w:rPr>
        <w:t>193</w:t>
      </w:r>
      <w:r>
        <w:rPr>
          <w:rFonts w:hint="default" w:ascii="Times New Roman" w:hAnsi="Times New Roman" w:eastAsia="宋体" w:cs="Times New Roman"/>
          <w:i w:val="0"/>
          <w:iCs w:val="0"/>
          <w:color w:val="auto"/>
          <w:sz w:val="20"/>
          <w:szCs w:val="20"/>
        </w:rPr>
        <w:fldChar w:fldCharType="end"/>
      </w:r>
    </w:p>
    <w:p w14:paraId="63863F85">
      <w:pPr>
        <w:ind w:firstLine="0" w:firstLineChars="0"/>
        <w:jc w:val="both"/>
        <w:rPr>
          <w:rFonts w:hint="default" w:ascii="Times New Roman" w:hAnsi="Times New Roman" w:eastAsia="宋体" w:cs="Times New Roman"/>
          <w:b/>
          <w:bCs/>
          <w:color w:val="auto"/>
        </w:rPr>
      </w:pPr>
      <w:r>
        <w:rPr>
          <w:rFonts w:hint="default" w:ascii="Times New Roman" w:hAnsi="Times New Roman" w:eastAsia="宋体" w:cs="Times New Roman"/>
          <w:color w:val="auto"/>
        </w:rPr>
        <w:fldChar w:fldCharType="end"/>
      </w:r>
      <w:r>
        <w:rPr>
          <w:rFonts w:hint="default" w:ascii="Times New Roman" w:hAnsi="Times New Roman" w:eastAsia="宋体" w:cs="Times New Roman"/>
          <w:b/>
          <w:bCs/>
          <w:color w:val="auto"/>
        </w:rPr>
        <w:t>附表：</w:t>
      </w:r>
    </w:p>
    <w:p w14:paraId="49915B86">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1.</w:t>
      </w:r>
      <w:r>
        <w:rPr>
          <w:rFonts w:hint="default" w:ascii="Times New Roman" w:hAnsi="Times New Roman" w:eastAsia="宋体" w:cs="Times New Roman"/>
          <w:color w:val="auto"/>
          <w:sz w:val="22"/>
          <w:szCs w:val="22"/>
        </w:rPr>
        <w:t>环评基础信息表2021版</w:t>
      </w:r>
    </w:p>
    <w:p w14:paraId="54FBF338">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2.</w:t>
      </w:r>
      <w:r>
        <w:rPr>
          <w:rFonts w:hint="default" w:ascii="Times New Roman" w:hAnsi="Times New Roman" w:eastAsia="宋体" w:cs="Times New Roman"/>
          <w:color w:val="auto"/>
          <w:sz w:val="22"/>
          <w:szCs w:val="22"/>
        </w:rPr>
        <w:t>大气环境影响评价自查表</w:t>
      </w:r>
    </w:p>
    <w:p w14:paraId="4482570D">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3.</w:t>
      </w:r>
      <w:r>
        <w:rPr>
          <w:rFonts w:hint="default" w:ascii="Times New Roman" w:hAnsi="Times New Roman" w:eastAsia="宋体" w:cs="Times New Roman"/>
          <w:color w:val="auto"/>
          <w:sz w:val="22"/>
          <w:szCs w:val="22"/>
        </w:rPr>
        <w:t>地表水环境影响评价自查表</w:t>
      </w:r>
    </w:p>
    <w:p w14:paraId="20D4D755">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4.</w:t>
      </w:r>
      <w:r>
        <w:rPr>
          <w:rFonts w:hint="default" w:ascii="Times New Roman" w:hAnsi="Times New Roman" w:eastAsia="宋体" w:cs="Times New Roman"/>
          <w:color w:val="auto"/>
          <w:sz w:val="22"/>
          <w:szCs w:val="22"/>
        </w:rPr>
        <w:t>土壤环境影响评价自查表</w:t>
      </w:r>
    </w:p>
    <w:p w14:paraId="2EC99294">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5.</w:t>
      </w:r>
      <w:r>
        <w:rPr>
          <w:rFonts w:hint="default" w:ascii="Times New Roman" w:hAnsi="Times New Roman" w:eastAsia="宋体" w:cs="Times New Roman"/>
          <w:color w:val="auto"/>
          <w:sz w:val="22"/>
          <w:szCs w:val="22"/>
        </w:rPr>
        <w:t>建设项目环境风险评价自查表</w:t>
      </w:r>
    </w:p>
    <w:p w14:paraId="79701FCD">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6.</w:t>
      </w:r>
      <w:r>
        <w:rPr>
          <w:rFonts w:hint="default" w:ascii="Times New Roman" w:hAnsi="Times New Roman" w:eastAsia="宋体" w:cs="Times New Roman"/>
          <w:color w:val="auto"/>
          <w:sz w:val="22"/>
          <w:szCs w:val="22"/>
        </w:rPr>
        <w:t>声环境影响评价自查表</w:t>
      </w:r>
    </w:p>
    <w:p w14:paraId="5087BABD">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7.</w:t>
      </w:r>
      <w:r>
        <w:rPr>
          <w:rFonts w:hint="default" w:ascii="Times New Roman" w:hAnsi="Times New Roman" w:eastAsia="宋体" w:cs="Times New Roman"/>
          <w:color w:val="auto"/>
          <w:sz w:val="22"/>
          <w:szCs w:val="22"/>
        </w:rPr>
        <w:t>生态影响评价自查表</w:t>
      </w:r>
    </w:p>
    <w:p w14:paraId="0EE4A4D2">
      <w:pPr>
        <w:ind w:firstLine="480"/>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8.</w:t>
      </w:r>
      <w:r>
        <w:rPr>
          <w:rFonts w:hint="default" w:ascii="Times New Roman" w:hAnsi="Times New Roman" w:eastAsia="宋体" w:cs="Times New Roman"/>
          <w:color w:val="auto"/>
          <w:sz w:val="22"/>
          <w:szCs w:val="22"/>
        </w:rPr>
        <w:t>评价区维管束植物名录</w:t>
      </w:r>
    </w:p>
    <w:p w14:paraId="7EE17B55">
      <w:pPr>
        <w:jc w:val="left"/>
        <w:rPr>
          <w:rFonts w:hint="default" w:ascii="Times New Roman" w:hAnsi="Times New Roman" w:eastAsia="宋体" w:cs="Times New Roman"/>
          <w:color w:val="auto"/>
          <w:sz w:val="22"/>
          <w:szCs w:val="22"/>
        </w:rPr>
      </w:pPr>
      <w:r>
        <w:rPr>
          <w:rFonts w:hint="default" w:ascii="Times New Roman" w:hAnsi="Times New Roman" w:eastAsia="宋体" w:cs="Times New Roman"/>
          <w:color w:val="auto"/>
          <w:sz w:val="22"/>
          <w:szCs w:val="22"/>
          <w:lang w:eastAsia="zh-CN"/>
        </w:rPr>
        <w:t>9.</w:t>
      </w:r>
      <w:r>
        <w:rPr>
          <w:rFonts w:hint="default" w:ascii="Times New Roman" w:hAnsi="Times New Roman" w:eastAsia="宋体" w:cs="Times New Roman"/>
          <w:color w:val="auto"/>
          <w:sz w:val="22"/>
          <w:szCs w:val="22"/>
        </w:rPr>
        <w:t>评价区陆生脊椎动物名录</w:t>
      </w:r>
    </w:p>
    <w:p w14:paraId="4CC02049">
      <w:pPr>
        <w:ind w:firstLine="0" w:firstLineChars="0"/>
        <w:rPr>
          <w:rFonts w:hint="default" w:ascii="Times New Roman" w:hAnsi="Times New Roman" w:eastAsia="宋体" w:cs="Times New Roman"/>
          <w:b/>
          <w:bCs/>
          <w:color w:val="auto"/>
          <w:sz w:val="22"/>
          <w:szCs w:val="18"/>
        </w:rPr>
      </w:pPr>
      <w:r>
        <w:rPr>
          <w:rFonts w:hint="default" w:ascii="Times New Roman" w:hAnsi="Times New Roman" w:eastAsia="宋体" w:cs="Times New Roman"/>
          <w:b/>
          <w:bCs/>
          <w:color w:val="auto"/>
          <w:sz w:val="22"/>
          <w:szCs w:val="18"/>
        </w:rPr>
        <w:t>附件：</w:t>
      </w:r>
    </w:p>
    <w:p w14:paraId="328A3348">
      <w:pPr>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1.</w:t>
      </w:r>
      <w:r>
        <w:rPr>
          <w:rFonts w:hint="default" w:ascii="Times New Roman" w:hAnsi="Times New Roman" w:eastAsia="宋体" w:cs="Times New Roman"/>
          <w:color w:val="auto"/>
          <w:sz w:val="22"/>
          <w:szCs w:val="18"/>
        </w:rPr>
        <w:t>委托书</w:t>
      </w:r>
    </w:p>
    <w:p w14:paraId="5E1BA19A">
      <w:pPr>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2.元江哈尼族彝族傣族自治县交通运输局</w:t>
      </w:r>
      <w:r>
        <w:rPr>
          <w:rFonts w:hint="default" w:ascii="Times New Roman" w:hAnsi="Times New Roman" w:eastAsia="宋体" w:cs="Times New Roman"/>
          <w:color w:val="auto"/>
          <w:sz w:val="22"/>
          <w:szCs w:val="18"/>
        </w:rPr>
        <w:t>机构代码证</w:t>
      </w:r>
    </w:p>
    <w:p w14:paraId="3A08411D">
      <w:pPr>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3.</w:t>
      </w:r>
      <w:r>
        <w:rPr>
          <w:rFonts w:hint="default" w:ascii="Times New Roman" w:hAnsi="Times New Roman" w:eastAsia="宋体" w:cs="Times New Roman"/>
          <w:color w:val="auto"/>
          <w:sz w:val="22"/>
          <w:szCs w:val="18"/>
        </w:rPr>
        <w:t>关于元江火车站站前广场配套道路5号路建设项目立项的通知</w:t>
      </w:r>
    </w:p>
    <w:p w14:paraId="19658E7D">
      <w:pPr>
        <w:pStyle w:val="491"/>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4.</w:t>
      </w:r>
      <w:r>
        <w:rPr>
          <w:rFonts w:hint="default" w:ascii="Times New Roman" w:hAnsi="Times New Roman" w:eastAsia="宋体" w:cs="Times New Roman"/>
          <w:color w:val="auto"/>
          <w:sz w:val="22"/>
          <w:szCs w:val="18"/>
        </w:rPr>
        <w:t>可行性研究报告的批复</w:t>
      </w:r>
    </w:p>
    <w:p w14:paraId="32833E52">
      <w:pPr>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5.</w:t>
      </w:r>
      <w:r>
        <w:rPr>
          <w:rFonts w:hint="default" w:ascii="Times New Roman" w:hAnsi="Times New Roman" w:eastAsia="宋体" w:cs="Times New Roman"/>
          <w:color w:val="auto"/>
          <w:sz w:val="22"/>
          <w:szCs w:val="18"/>
        </w:rPr>
        <w:t>初步设计及概算的批复</w:t>
      </w:r>
    </w:p>
    <w:p w14:paraId="79C5930D">
      <w:pPr>
        <w:pStyle w:val="491"/>
        <w:snapToGrid/>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6.“三区三线”</w:t>
      </w:r>
      <w:r>
        <w:rPr>
          <w:rFonts w:hint="default" w:ascii="Times New Roman" w:hAnsi="Times New Roman" w:eastAsia="宋体" w:cs="Times New Roman"/>
          <w:color w:val="auto"/>
          <w:sz w:val="22"/>
          <w:szCs w:val="18"/>
        </w:rPr>
        <w:t>叠加分析图</w:t>
      </w:r>
    </w:p>
    <w:p w14:paraId="63F2163B">
      <w:pPr>
        <w:pStyle w:val="491"/>
        <w:snapToGrid/>
        <w:ind w:left="480" w:leftChars="200" w:firstLine="0" w:firstLineChars="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7.</w:t>
      </w:r>
      <w:r>
        <w:rPr>
          <w:rFonts w:hint="default" w:ascii="Times New Roman" w:hAnsi="Times New Roman" w:eastAsia="宋体" w:cs="Times New Roman"/>
          <w:color w:val="auto"/>
          <w:sz w:val="22"/>
          <w:szCs w:val="18"/>
        </w:rPr>
        <w:t>项目</w:t>
      </w:r>
      <w:r>
        <w:rPr>
          <w:rFonts w:hint="default" w:ascii="Times New Roman" w:hAnsi="Times New Roman" w:eastAsia="宋体" w:cs="Times New Roman"/>
          <w:color w:val="auto"/>
          <w:sz w:val="22"/>
          <w:szCs w:val="18"/>
          <w:lang w:eastAsia="zh-CN"/>
        </w:rPr>
        <w:t>“三线一单”</w:t>
      </w:r>
      <w:r>
        <w:rPr>
          <w:rFonts w:hint="default" w:ascii="Times New Roman" w:hAnsi="Times New Roman" w:eastAsia="宋体" w:cs="Times New Roman"/>
          <w:color w:val="auto"/>
          <w:sz w:val="22"/>
          <w:szCs w:val="18"/>
        </w:rPr>
        <w:t>查询结果</w:t>
      </w:r>
    </w:p>
    <w:p w14:paraId="4632CFD1">
      <w:pPr>
        <w:ind w:firstLine="48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8.</w:t>
      </w:r>
      <w:r>
        <w:rPr>
          <w:rFonts w:hint="default" w:ascii="Times New Roman" w:hAnsi="Times New Roman" w:eastAsia="宋体" w:cs="Times New Roman"/>
          <w:color w:val="auto"/>
          <w:sz w:val="22"/>
          <w:szCs w:val="18"/>
        </w:rPr>
        <w:t>项目用地预审与选址意见书</w:t>
      </w:r>
    </w:p>
    <w:p w14:paraId="0FC4CFCC">
      <w:pPr>
        <w:ind w:firstLine="48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9.元江哈尼族彝族傣族自治县</w:t>
      </w:r>
      <w:r>
        <w:rPr>
          <w:rFonts w:hint="default" w:ascii="Times New Roman" w:hAnsi="Times New Roman" w:eastAsia="宋体" w:cs="Times New Roman"/>
          <w:color w:val="auto"/>
          <w:sz w:val="22"/>
          <w:szCs w:val="18"/>
        </w:rPr>
        <w:t>自然资源局关于元江火车站站前广场配套道路5号路建设项目规划符合性说明</w:t>
      </w:r>
    </w:p>
    <w:p w14:paraId="288E5123">
      <w:pPr>
        <w:ind w:firstLine="480"/>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10.</w:t>
      </w:r>
      <w:r>
        <w:rPr>
          <w:rFonts w:hint="default" w:ascii="Times New Roman" w:hAnsi="Times New Roman" w:eastAsia="宋体" w:cs="Times New Roman"/>
          <w:color w:val="auto"/>
          <w:sz w:val="22"/>
          <w:szCs w:val="18"/>
        </w:rPr>
        <w:t>项目不占用林地草地湿地及自然保护地的审核意见</w:t>
      </w:r>
    </w:p>
    <w:p w14:paraId="33B2AEC0">
      <w:pPr>
        <w:ind w:firstLine="480"/>
        <w:rPr>
          <w:rFonts w:hint="default" w:ascii="Times New Roman" w:hAnsi="Times New Roman" w:eastAsia="宋体" w:cs="Times New Roman"/>
          <w:color w:val="auto"/>
          <w:sz w:val="22"/>
          <w:szCs w:val="18"/>
          <w:lang w:val="en-US" w:eastAsia="zh-CN"/>
        </w:rPr>
      </w:pPr>
      <w:r>
        <w:rPr>
          <w:rFonts w:hint="default" w:ascii="Times New Roman" w:hAnsi="Times New Roman" w:eastAsia="宋体" w:cs="Times New Roman"/>
          <w:color w:val="auto"/>
          <w:sz w:val="22"/>
          <w:szCs w:val="18"/>
          <w:lang w:eastAsia="zh-CN"/>
        </w:rPr>
        <w:t>11.</w:t>
      </w:r>
      <w:r>
        <w:rPr>
          <w:rFonts w:hint="default" w:ascii="Times New Roman" w:hAnsi="Times New Roman" w:eastAsia="宋体" w:cs="Times New Roman"/>
          <w:color w:val="auto"/>
          <w:sz w:val="22"/>
          <w:szCs w:val="18"/>
          <w:lang w:val="en-US" w:eastAsia="zh-CN"/>
        </w:rPr>
        <w:t>项目用地各单位选址意见</w:t>
      </w:r>
    </w:p>
    <w:p w14:paraId="14464483">
      <w:pPr>
        <w:pStyle w:val="491"/>
        <w:snapToGrid/>
        <w:rPr>
          <w:rFonts w:hint="default" w:ascii="Times New Roman" w:hAnsi="Times New Roman" w:eastAsia="宋体" w:cs="Times New Roman"/>
          <w:color w:val="auto"/>
          <w:sz w:val="22"/>
          <w:szCs w:val="18"/>
        </w:rPr>
      </w:pPr>
      <w:r>
        <w:rPr>
          <w:rFonts w:hint="default" w:ascii="Times New Roman" w:hAnsi="Times New Roman" w:eastAsia="宋体" w:cs="Times New Roman"/>
          <w:color w:val="auto"/>
          <w:sz w:val="22"/>
          <w:szCs w:val="18"/>
          <w:lang w:eastAsia="zh-CN"/>
        </w:rPr>
        <w:t>12.</w:t>
      </w:r>
      <w:r>
        <w:rPr>
          <w:rFonts w:hint="default" w:ascii="Times New Roman" w:hAnsi="Times New Roman" w:eastAsia="宋体" w:cs="Times New Roman"/>
          <w:color w:val="auto"/>
          <w:sz w:val="22"/>
          <w:szCs w:val="18"/>
        </w:rPr>
        <w:t>弃渣场各单位</w:t>
      </w:r>
      <w:r>
        <w:rPr>
          <w:rFonts w:hint="default" w:ascii="Times New Roman" w:hAnsi="Times New Roman" w:eastAsia="宋体" w:cs="Times New Roman"/>
          <w:color w:val="auto"/>
          <w:sz w:val="22"/>
          <w:szCs w:val="18"/>
        </w:rPr>
        <w:t>联</w:t>
      </w:r>
      <w:r>
        <w:rPr>
          <w:rFonts w:hint="eastAsia" w:cs="Times New Roman"/>
          <w:color w:val="auto"/>
          <w:sz w:val="22"/>
          <w:szCs w:val="18"/>
          <w:lang w:val="en-US" w:eastAsia="zh-CN"/>
        </w:rPr>
        <w:t>勘</w:t>
      </w:r>
      <w:r>
        <w:rPr>
          <w:rFonts w:hint="default" w:ascii="Times New Roman" w:hAnsi="Times New Roman" w:eastAsia="宋体" w:cs="Times New Roman"/>
          <w:color w:val="auto"/>
          <w:sz w:val="22"/>
          <w:szCs w:val="18"/>
        </w:rPr>
        <w:t>联审意见</w:t>
      </w:r>
    </w:p>
    <w:p w14:paraId="0A0D66AE">
      <w:pPr>
        <w:pStyle w:val="491"/>
        <w:snapToGrid/>
        <w:rPr>
          <w:rFonts w:hint="default" w:ascii="Times New Roman" w:hAnsi="Times New Roman" w:eastAsia="宋体" w:cs="Times New Roman"/>
          <w:color w:val="auto"/>
          <w:sz w:val="22"/>
          <w:szCs w:val="18"/>
          <w:lang w:eastAsia="zh-CN"/>
        </w:rPr>
      </w:pPr>
      <w:r>
        <w:rPr>
          <w:rFonts w:hint="eastAsia" w:cs="Times New Roman"/>
          <w:color w:val="auto"/>
          <w:sz w:val="22"/>
          <w:szCs w:val="18"/>
          <w:lang w:val="en-US" w:eastAsia="zh-CN"/>
        </w:rPr>
        <w:t>13.</w:t>
      </w:r>
      <w:r>
        <w:rPr>
          <w:rFonts w:hint="default" w:ascii="Times New Roman" w:hAnsi="Times New Roman" w:eastAsia="宋体" w:cs="Times New Roman"/>
          <w:color w:val="auto"/>
          <w:sz w:val="22"/>
          <w:szCs w:val="18"/>
          <w:lang w:eastAsia="zh-CN"/>
        </w:rPr>
        <w:t>项目现状监测报告</w:t>
      </w:r>
    </w:p>
    <w:p w14:paraId="37266C02">
      <w:pPr>
        <w:rPr>
          <w:rFonts w:hint="default"/>
          <w:color w:val="auto"/>
          <w:sz w:val="22"/>
          <w:szCs w:val="18"/>
          <w:lang w:eastAsia="zh-CN"/>
        </w:rPr>
      </w:pPr>
      <w:r>
        <w:rPr>
          <w:rFonts w:hint="default"/>
          <w:color w:val="auto"/>
          <w:sz w:val="22"/>
          <w:szCs w:val="18"/>
          <w:lang w:eastAsia="zh-CN"/>
        </w:rPr>
        <w:t>14</w:t>
      </w:r>
      <w:r>
        <w:rPr>
          <w:rFonts w:hint="eastAsia"/>
          <w:color w:val="auto"/>
          <w:sz w:val="22"/>
          <w:szCs w:val="18"/>
          <w:lang w:val="en-US" w:eastAsia="zh-CN"/>
        </w:rPr>
        <w:t>.</w:t>
      </w:r>
      <w:r>
        <w:rPr>
          <w:rFonts w:hint="default"/>
          <w:color w:val="auto"/>
          <w:sz w:val="22"/>
          <w:szCs w:val="18"/>
          <w:lang w:eastAsia="zh-CN"/>
        </w:rPr>
        <w:t>云南省水利厅关于划分省级水土流失重点预防区和重点治理区的公告</w:t>
      </w:r>
    </w:p>
    <w:p w14:paraId="2B5B83E3">
      <w:pPr>
        <w:rPr>
          <w:rFonts w:hint="eastAsia"/>
          <w:color w:val="auto"/>
          <w:sz w:val="22"/>
          <w:szCs w:val="18"/>
          <w:lang w:val="en-US" w:eastAsia="zh-CN"/>
        </w:rPr>
      </w:pPr>
      <w:r>
        <w:rPr>
          <w:rFonts w:hint="eastAsia"/>
          <w:color w:val="auto"/>
          <w:sz w:val="22"/>
          <w:szCs w:val="18"/>
          <w:lang w:val="en-US" w:eastAsia="zh-CN"/>
        </w:rPr>
        <w:t>15.项目合同</w:t>
      </w:r>
    </w:p>
    <w:p w14:paraId="43B23EDE">
      <w:pPr>
        <w:rPr>
          <w:rFonts w:hint="default"/>
          <w:color w:val="auto"/>
          <w:sz w:val="22"/>
          <w:szCs w:val="18"/>
          <w:lang w:val="en-US" w:eastAsia="zh-CN"/>
        </w:rPr>
      </w:pPr>
      <w:r>
        <w:rPr>
          <w:rFonts w:hint="default"/>
          <w:color w:val="auto"/>
          <w:sz w:val="22"/>
          <w:szCs w:val="18"/>
          <w:lang w:val="en-US" w:eastAsia="zh-CN"/>
        </w:rPr>
        <w:t>16</w:t>
      </w:r>
      <w:r>
        <w:rPr>
          <w:rFonts w:hint="eastAsia"/>
          <w:color w:val="auto"/>
          <w:sz w:val="22"/>
          <w:szCs w:val="18"/>
          <w:lang w:val="en-US" w:eastAsia="zh-CN"/>
        </w:rPr>
        <w:t>.</w:t>
      </w:r>
      <w:r>
        <w:rPr>
          <w:rFonts w:hint="default"/>
          <w:color w:val="auto"/>
          <w:sz w:val="22"/>
          <w:szCs w:val="18"/>
          <w:lang w:val="en-US" w:eastAsia="zh-CN"/>
        </w:rPr>
        <w:t>关于元江火车站站前广场配套道路5号路建设项目环境影响评价标准的确认函</w:t>
      </w:r>
    </w:p>
    <w:p w14:paraId="5B04F06E">
      <w:pPr>
        <w:rPr>
          <w:rFonts w:hint="default"/>
          <w:color w:val="auto"/>
          <w:sz w:val="22"/>
          <w:szCs w:val="18"/>
          <w:lang w:val="en-US" w:eastAsia="zh-CN"/>
        </w:rPr>
      </w:pPr>
      <w:r>
        <w:rPr>
          <w:rFonts w:hint="default"/>
          <w:color w:val="auto"/>
          <w:sz w:val="22"/>
          <w:szCs w:val="18"/>
          <w:lang w:val="en-US" w:eastAsia="zh-CN"/>
        </w:rPr>
        <w:t>1</w:t>
      </w:r>
      <w:r>
        <w:rPr>
          <w:rFonts w:hint="eastAsia"/>
          <w:color w:val="auto"/>
          <w:sz w:val="22"/>
          <w:szCs w:val="18"/>
          <w:lang w:val="en-US" w:eastAsia="zh-CN"/>
        </w:rPr>
        <w:t>7.</w:t>
      </w:r>
      <w:r>
        <w:rPr>
          <w:rFonts w:hint="default"/>
          <w:color w:val="auto"/>
          <w:sz w:val="22"/>
          <w:szCs w:val="18"/>
          <w:lang w:val="en-US" w:eastAsia="zh-CN"/>
        </w:rPr>
        <w:t>项目进度表</w:t>
      </w:r>
    </w:p>
    <w:p w14:paraId="3F1E31FB">
      <w:pPr>
        <w:rPr>
          <w:rFonts w:hint="default"/>
          <w:color w:val="auto"/>
          <w:sz w:val="22"/>
          <w:szCs w:val="18"/>
          <w:lang w:val="en-US" w:eastAsia="zh-CN"/>
        </w:rPr>
      </w:pPr>
      <w:r>
        <w:rPr>
          <w:rFonts w:hint="default"/>
          <w:color w:val="auto"/>
          <w:sz w:val="22"/>
          <w:szCs w:val="18"/>
          <w:lang w:val="en-US" w:eastAsia="zh-CN"/>
        </w:rPr>
        <w:t>1</w:t>
      </w:r>
      <w:r>
        <w:rPr>
          <w:rFonts w:hint="eastAsia"/>
          <w:color w:val="auto"/>
          <w:sz w:val="22"/>
          <w:szCs w:val="18"/>
          <w:lang w:val="en-US" w:eastAsia="zh-CN"/>
        </w:rPr>
        <w:t>8.</w:t>
      </w:r>
      <w:r>
        <w:rPr>
          <w:rFonts w:hint="default"/>
          <w:color w:val="auto"/>
          <w:sz w:val="22"/>
          <w:szCs w:val="18"/>
          <w:lang w:val="en-US" w:eastAsia="zh-CN"/>
        </w:rPr>
        <w:t>三级审核单</w:t>
      </w:r>
    </w:p>
    <w:p w14:paraId="31E2888E">
      <w:pPr>
        <w:rPr>
          <w:rFonts w:hint="default"/>
          <w:color w:val="auto"/>
          <w:sz w:val="22"/>
          <w:szCs w:val="18"/>
          <w:lang w:val="en-US" w:eastAsia="zh-CN"/>
        </w:rPr>
      </w:pPr>
      <w:r>
        <w:rPr>
          <w:rFonts w:hint="default"/>
          <w:color w:val="auto"/>
          <w:sz w:val="22"/>
          <w:szCs w:val="18"/>
          <w:lang w:val="en-US" w:eastAsia="zh-CN"/>
        </w:rPr>
        <w:t>1</w:t>
      </w:r>
      <w:r>
        <w:rPr>
          <w:rFonts w:hint="eastAsia"/>
          <w:color w:val="auto"/>
          <w:sz w:val="22"/>
          <w:szCs w:val="18"/>
          <w:lang w:val="en-US" w:eastAsia="zh-CN"/>
        </w:rPr>
        <w:t>9.</w:t>
      </w:r>
      <w:r>
        <w:rPr>
          <w:rFonts w:hint="default"/>
          <w:color w:val="auto"/>
          <w:sz w:val="22"/>
          <w:szCs w:val="18"/>
          <w:lang w:val="en-US" w:eastAsia="zh-CN"/>
        </w:rPr>
        <w:t>专家评审意见及签字表</w:t>
      </w:r>
    </w:p>
    <w:p w14:paraId="430BF559">
      <w:pPr>
        <w:rPr>
          <w:rFonts w:hint="default"/>
          <w:color w:val="auto"/>
          <w:sz w:val="22"/>
          <w:szCs w:val="18"/>
          <w:lang w:val="en-US" w:eastAsia="zh-CN"/>
        </w:rPr>
      </w:pPr>
      <w:r>
        <w:rPr>
          <w:rFonts w:hint="eastAsia"/>
          <w:color w:val="auto"/>
          <w:sz w:val="22"/>
          <w:szCs w:val="18"/>
          <w:lang w:val="en-US" w:eastAsia="zh-CN"/>
        </w:rPr>
        <w:t>20.修改对照清单</w:t>
      </w:r>
    </w:p>
    <w:p w14:paraId="612B2A05">
      <w:pPr>
        <w:ind w:firstLine="0" w:firstLineChars="0"/>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附图：</w:t>
      </w:r>
    </w:p>
    <w:p w14:paraId="6C057FE0">
      <w:pPr>
        <w:pStyle w:val="491"/>
        <w:numPr>
          <w:ilvl w:val="0"/>
          <w:numId w:val="0"/>
        </w:numPr>
        <w:snapToGrid/>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4"/>
          <w:sz w:val="21"/>
          <w:szCs w:val="21"/>
          <w:lang w:val="en-US" w:eastAsia="zh-CN" w:bidi="ar-SA"/>
        </w:rPr>
        <w:t>1</w:t>
      </w:r>
      <w:r>
        <w:rPr>
          <w:rFonts w:hint="eastAsia" w:cs="Times New Roman"/>
          <w:color w:val="auto"/>
          <w:kern w:val="24"/>
          <w:sz w:val="21"/>
          <w:szCs w:val="21"/>
          <w:lang w:val="en-US" w:eastAsia="zh-CN" w:bidi="ar-SA"/>
        </w:rPr>
        <w:t>.</w:t>
      </w:r>
      <w:r>
        <w:rPr>
          <w:rFonts w:hint="default" w:ascii="Times New Roman" w:hAnsi="Times New Roman" w:eastAsia="宋体" w:cs="Times New Roman"/>
          <w:color w:val="auto"/>
          <w:sz w:val="21"/>
          <w:szCs w:val="21"/>
        </w:rPr>
        <w:t>项目区地理位置图</w:t>
      </w:r>
    </w:p>
    <w:p w14:paraId="442700A1">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2</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项目周边路网关系图</w:t>
      </w:r>
    </w:p>
    <w:p w14:paraId="65F759E5">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3</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项目区水系图</w:t>
      </w:r>
    </w:p>
    <w:p w14:paraId="52747583">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4</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项目平、纵面缩图</w:t>
      </w:r>
    </w:p>
    <w:p w14:paraId="1D114141">
      <w:pPr>
        <w:pStyle w:val="491"/>
        <w:numPr>
          <w:ilvl w:val="0"/>
          <w:numId w:val="0"/>
        </w:numPr>
        <w:snapToGrid/>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4"/>
          <w:sz w:val="21"/>
          <w:szCs w:val="21"/>
          <w:lang w:val="en-US" w:eastAsia="zh-CN" w:bidi="ar-SA"/>
        </w:rPr>
        <w:t>5</w:t>
      </w:r>
      <w:r>
        <w:rPr>
          <w:rFonts w:hint="eastAsia" w:cs="Times New Roman"/>
          <w:color w:val="auto"/>
          <w:kern w:val="24"/>
          <w:sz w:val="21"/>
          <w:szCs w:val="21"/>
          <w:lang w:val="en-US" w:eastAsia="zh-CN" w:bidi="ar-SA"/>
        </w:rPr>
        <w:t>.</w:t>
      </w:r>
      <w:r>
        <w:rPr>
          <w:rFonts w:hint="default" w:ascii="Times New Roman" w:hAnsi="Times New Roman" w:eastAsia="宋体" w:cs="Times New Roman"/>
          <w:color w:val="auto"/>
          <w:sz w:val="21"/>
          <w:szCs w:val="21"/>
        </w:rPr>
        <w:t>项目土地利用现状图</w:t>
      </w:r>
    </w:p>
    <w:p w14:paraId="6F56363D">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6</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项目与云南省主体功能区划位置关系图</w:t>
      </w:r>
    </w:p>
    <w:p w14:paraId="0A74EC01">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7</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项目与云南省生态功能区划位置关系图</w:t>
      </w:r>
    </w:p>
    <w:p w14:paraId="622BCE05">
      <w:pPr>
        <w:numPr>
          <w:ilvl w:val="0"/>
          <w:numId w:val="0"/>
        </w:numPr>
        <w:ind w:firstLine="420" w:firstLineChars="2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bidi="ar-SA"/>
        </w:rPr>
        <w:t>8</w:t>
      </w:r>
      <w:r>
        <w:rPr>
          <w:rFonts w:hint="eastAsia" w:cs="Times New Roman"/>
          <w:color w:val="auto"/>
          <w:sz w:val="21"/>
          <w:szCs w:val="21"/>
          <w:lang w:val="en-US" w:eastAsia="zh-CN" w:bidi="ar-SA"/>
        </w:rPr>
        <w:t>.</w:t>
      </w:r>
      <w:r>
        <w:rPr>
          <w:rFonts w:hint="default" w:ascii="Times New Roman" w:hAnsi="Times New Roman" w:eastAsia="宋体" w:cs="Times New Roman"/>
          <w:color w:val="auto"/>
          <w:sz w:val="21"/>
          <w:szCs w:val="21"/>
        </w:rPr>
        <w:t>项目路线平面图</w:t>
      </w:r>
    </w:p>
    <w:p w14:paraId="66486088">
      <w:pPr>
        <w:numPr>
          <w:ilvl w:val="0"/>
          <w:numId w:val="0"/>
        </w:numPr>
        <w:ind w:firstLine="420" w:firstLineChars="200"/>
        <w:rPr>
          <w:rFonts w:hint="default" w:ascii="Times New Roman" w:hAnsi="Times New Roman" w:eastAsia="宋体" w:cs="Times New Roman"/>
          <w:color w:val="auto"/>
          <w:sz w:val="21"/>
          <w:szCs w:val="21"/>
          <w:lang w:val="en-US" w:eastAsia="zh-CN" w:bidi="ar-SA"/>
        </w:rPr>
      </w:pPr>
      <w:r>
        <w:rPr>
          <w:rFonts w:hint="default" w:ascii="Times New Roman" w:hAnsi="Times New Roman" w:eastAsia="宋体" w:cs="Times New Roman"/>
          <w:color w:val="auto"/>
          <w:sz w:val="21"/>
          <w:szCs w:val="21"/>
          <w:lang w:val="en-US" w:eastAsia="zh-CN" w:bidi="ar-SA"/>
        </w:rPr>
        <w:t>9</w:t>
      </w:r>
      <w:r>
        <w:rPr>
          <w:rFonts w:hint="eastAsia" w:ascii="Times New Roman" w:hAnsi="Times New Roman" w:eastAsia="宋体" w:cs="Times New Roman"/>
          <w:color w:val="auto"/>
          <w:sz w:val="21"/>
          <w:szCs w:val="21"/>
          <w:lang w:val="en-US" w:eastAsia="zh-CN" w:bidi="ar-SA"/>
        </w:rPr>
        <w:t>.</w:t>
      </w:r>
      <w:r>
        <w:rPr>
          <w:rFonts w:hint="default" w:ascii="Times New Roman" w:hAnsi="Times New Roman" w:eastAsia="宋体" w:cs="Times New Roman"/>
          <w:color w:val="auto"/>
          <w:sz w:val="21"/>
          <w:szCs w:val="21"/>
          <w:lang w:val="en-US" w:eastAsia="zh-CN" w:bidi="ar-SA"/>
        </w:rPr>
        <w:t>项目评价区植被类型图</w:t>
      </w:r>
    </w:p>
    <w:p w14:paraId="246C0DDD">
      <w:pPr>
        <w:pStyle w:val="2"/>
        <w:keepNext w:val="0"/>
        <w:keepLines w:val="0"/>
        <w:pageBreakBefore w:val="0"/>
        <w:widowControl w:val="0"/>
        <w:kinsoku/>
        <w:wordWrap/>
        <w:overflowPunct/>
        <w:topLinePunct w:val="0"/>
        <w:autoSpaceDE/>
        <w:autoSpaceDN/>
        <w:bidi w:val="0"/>
        <w:adjustRightInd w:val="0"/>
        <w:snapToGrid w:val="0"/>
        <w:spacing w:before="0" w:after="0" w:line="360" w:lineRule="auto"/>
        <w:textAlignment w:val="baseline"/>
        <w:rPr>
          <w:rFonts w:hint="default" w:ascii="Times New Roman" w:hAnsi="Times New Roman" w:eastAsia="宋体" w:cs="Times New Roman"/>
          <w:color w:val="auto"/>
        </w:rPr>
        <w:sectPr>
          <w:footerReference r:id="rId5" w:type="default"/>
          <w:pgSz w:w="11906" w:h="16838"/>
          <w:pgMar w:top="1440" w:right="1797" w:bottom="1440" w:left="1797" w:header="851" w:footer="992" w:gutter="0"/>
          <w:pgNumType w:fmt="decimal" w:start="1"/>
          <w:cols w:space="720" w:num="1"/>
          <w:docGrid w:linePitch="312" w:charSpace="0"/>
        </w:sectPr>
      </w:pPr>
    </w:p>
    <w:p w14:paraId="05D10276">
      <w:pPr>
        <w:pStyle w:val="2"/>
        <w:keepNext w:val="0"/>
        <w:keepLines w:val="0"/>
        <w:pageBreakBefore w:val="0"/>
        <w:widowControl w:val="0"/>
        <w:kinsoku/>
        <w:wordWrap/>
        <w:overflowPunct/>
        <w:topLinePunct w:val="0"/>
        <w:autoSpaceDE/>
        <w:autoSpaceDN/>
        <w:bidi w:val="0"/>
        <w:adjustRightInd w:val="0"/>
        <w:snapToGrid w:val="0"/>
        <w:spacing w:before="0" w:after="0" w:line="360" w:lineRule="auto"/>
        <w:textAlignment w:val="baseline"/>
        <w:rPr>
          <w:rFonts w:hint="default" w:ascii="Times New Roman" w:hAnsi="Times New Roman" w:eastAsia="宋体" w:cs="Times New Roman"/>
          <w:color w:val="auto"/>
        </w:rPr>
      </w:pPr>
      <w:bookmarkStart w:id="0" w:name="_Toc11418"/>
      <w:r>
        <w:rPr>
          <w:rFonts w:hint="default" w:ascii="Times New Roman" w:hAnsi="Times New Roman" w:eastAsia="宋体" w:cs="Times New Roman"/>
          <w:color w:val="auto"/>
        </w:rPr>
        <w:t>概述</w:t>
      </w:r>
      <w:bookmarkEnd w:id="0"/>
    </w:p>
    <w:p w14:paraId="25DA2D6C">
      <w:pPr>
        <w:ind w:firstLine="0" w:firstLineChars="0"/>
        <w:rPr>
          <w:rFonts w:hint="default" w:ascii="Times New Roman" w:hAnsi="Times New Roman" w:eastAsia="宋体" w:cs="Times New Roman"/>
          <w:b/>
          <w:bCs/>
          <w:color w:val="auto"/>
          <w:sz w:val="28"/>
          <w:szCs w:val="28"/>
        </w:rPr>
      </w:pPr>
      <w:r>
        <w:rPr>
          <w:rFonts w:hint="default" w:ascii="Times New Roman" w:hAnsi="Times New Roman" w:eastAsia="宋体" w:cs="Times New Roman"/>
          <w:b/>
          <w:bCs/>
          <w:color w:val="auto"/>
          <w:sz w:val="28"/>
          <w:szCs w:val="28"/>
        </w:rPr>
        <w:t>一、项目由来</w:t>
      </w:r>
    </w:p>
    <w:p w14:paraId="05A48C61">
      <w:pPr>
        <w:keepNext w:val="0"/>
        <w:keepLines w:val="0"/>
        <w:widowControl/>
        <w:suppressLineNumbers w:val="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kern w:val="0"/>
          <w:sz w:val="24"/>
          <w:szCs w:val="24"/>
          <w:lang w:val="en-US" w:eastAsia="zh-CN" w:bidi="ar"/>
        </w:rPr>
        <w:t>元江站，位于云南省玉溪市元江哈尼族彝族傣族自治县甘庄街道，为中国铁路昆明局集团有限公司管辖的铁路车站，是中老昆万铁路上的车站，距离县城区约14公里。元江站于2021年4月8日进行站前广场工程建设工作；于2021年12月3日投用运营。为确保</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站能够高效营运，满足旅客便捷出行需求，建设与之配套的站前广场道路成为当务之急。站前广场</w:t>
      </w:r>
      <w:r>
        <w:rPr>
          <w:rFonts w:hint="eastAsia" w:cs="Times New Roman"/>
          <w:color w:val="auto"/>
          <w:kern w:val="0"/>
          <w:sz w:val="24"/>
          <w:szCs w:val="24"/>
          <w:lang w:val="en-US" w:eastAsia="zh-CN" w:bidi="ar"/>
        </w:rPr>
        <w:t>5号</w:t>
      </w:r>
      <w:r>
        <w:rPr>
          <w:rFonts w:hint="default" w:ascii="Times New Roman" w:hAnsi="Times New Roman" w:eastAsia="宋体" w:cs="Times New Roman"/>
          <w:color w:val="auto"/>
          <w:kern w:val="0"/>
          <w:sz w:val="24"/>
          <w:szCs w:val="24"/>
          <w:lang w:val="en-US" w:eastAsia="zh-CN" w:bidi="ar"/>
        </w:rPr>
        <w:t>公路作为连接</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站与城市交通网络的关键纽带，对于提升</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站的交通疏解能力起着至关重要的作用</w:t>
      </w:r>
      <w:r>
        <w:rPr>
          <w:rFonts w:hint="eastAsia" w:ascii="Times New Roman" w:hAnsi="Times New Roman" w:eastAsia="宋体" w:cs="Times New Roman"/>
          <w:color w:val="auto"/>
          <w:kern w:val="0"/>
          <w:sz w:val="24"/>
          <w:szCs w:val="24"/>
          <w:lang w:val="en-US" w:eastAsia="zh-CN" w:bidi="ar"/>
        </w:rPr>
        <w:t>，而且本项目的建设有利于加强</w:t>
      </w:r>
      <w:r>
        <w:rPr>
          <w:rFonts w:hint="default" w:ascii="Times New Roman" w:hAnsi="Times New Roman" w:eastAsia="宋体" w:cs="Times New Roman"/>
          <w:color w:val="auto"/>
          <w:kern w:val="0"/>
          <w:sz w:val="24"/>
          <w:szCs w:val="24"/>
          <w:lang w:val="en-US" w:eastAsia="zh-CN" w:bidi="ar"/>
        </w:rPr>
        <w:t>元江火车站铁路</w:t>
      </w:r>
      <w:r>
        <w:rPr>
          <w:rFonts w:hint="default" w:ascii="Times New Roman" w:hAnsi="Times New Roman" w:eastAsia="宋体" w:cs="Times New Roman"/>
          <w:color w:val="auto"/>
          <w:kern w:val="0"/>
          <w:sz w:val="24"/>
          <w:szCs w:val="24"/>
          <w:lang w:val="en-US" w:eastAsia="zh-CN" w:bidi="ar"/>
        </w:rPr>
        <w:t>货运站</w:t>
      </w:r>
      <w:r>
        <w:rPr>
          <w:rFonts w:hint="default" w:ascii="Times New Roman" w:hAnsi="Times New Roman" w:eastAsia="宋体" w:cs="Times New Roman"/>
          <w:color w:val="auto"/>
          <w:kern w:val="0"/>
          <w:sz w:val="24"/>
          <w:szCs w:val="24"/>
          <w:lang w:val="en-US" w:eastAsia="zh-CN" w:bidi="ar"/>
        </w:rPr>
        <w:t>与甘庄工业园区的衔接，增加物流运输能力</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且</w:t>
      </w:r>
      <w:r>
        <w:rPr>
          <w:rFonts w:hint="default" w:ascii="Times New Roman" w:hAnsi="Times New Roman" w:eastAsia="宋体" w:cs="Times New Roman"/>
          <w:color w:val="auto"/>
        </w:rPr>
        <w:t>G213线甘庄段道路穿越集镇核心区，交通安全隐患突出</w:t>
      </w:r>
      <w:r>
        <w:rPr>
          <w:rFonts w:hint="default"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对集镇居民影响较大，本项目的建设能</w:t>
      </w:r>
      <w:r>
        <w:rPr>
          <w:rFonts w:hint="default" w:ascii="Times New Roman" w:hAnsi="Times New Roman" w:eastAsia="宋体" w:cs="Times New Roman"/>
          <w:color w:val="auto"/>
        </w:rPr>
        <w:t>提高国道</w:t>
      </w:r>
      <w:r>
        <w:rPr>
          <w:rFonts w:hint="default" w:ascii="Times New Roman" w:hAnsi="Times New Roman" w:eastAsia="宋体" w:cs="Times New Roman"/>
          <w:color w:val="auto"/>
          <w:lang w:val="en-US" w:eastAsia="zh-CN"/>
        </w:rPr>
        <w:t>213</w:t>
      </w:r>
      <w:r>
        <w:rPr>
          <w:rFonts w:hint="default" w:ascii="Times New Roman" w:hAnsi="Times New Roman" w:eastAsia="宋体" w:cs="Times New Roman"/>
          <w:color w:val="auto"/>
        </w:rPr>
        <w:t>交通承载能力，</w:t>
      </w:r>
      <w:r>
        <w:rPr>
          <w:rFonts w:hint="eastAsia" w:ascii="Times New Roman" w:hAnsi="Times New Roman" w:eastAsia="宋体" w:cs="Times New Roman"/>
          <w:color w:val="auto"/>
          <w:lang w:val="en-US" w:eastAsia="zh-CN"/>
        </w:rPr>
        <w:t>并</w:t>
      </w:r>
      <w:r>
        <w:rPr>
          <w:rFonts w:hint="default" w:ascii="Times New Roman" w:hAnsi="Times New Roman" w:eastAsia="宋体" w:cs="Times New Roman"/>
          <w:color w:val="auto"/>
        </w:rPr>
        <w:t>减轻</w:t>
      </w:r>
      <w:r>
        <w:rPr>
          <w:rFonts w:hint="default" w:ascii="Times New Roman" w:hAnsi="Times New Roman" w:eastAsia="宋体" w:cs="Times New Roman"/>
          <w:color w:val="auto"/>
          <w:lang w:val="en-US" w:eastAsia="zh-CN"/>
        </w:rPr>
        <w:t>集镇</w:t>
      </w:r>
      <w:r>
        <w:rPr>
          <w:rFonts w:hint="eastAsia" w:ascii="Times New Roman" w:hAnsi="Times New Roman" w:eastAsia="宋体" w:cs="Times New Roman"/>
          <w:color w:val="auto"/>
          <w:lang w:val="en-US" w:eastAsia="zh-CN"/>
        </w:rPr>
        <w:t>交通</w:t>
      </w:r>
      <w:r>
        <w:rPr>
          <w:rFonts w:hint="default" w:ascii="Times New Roman" w:hAnsi="Times New Roman" w:eastAsia="宋体" w:cs="Times New Roman"/>
          <w:color w:val="auto"/>
        </w:rPr>
        <w:t>管理压力，</w:t>
      </w:r>
      <w:r>
        <w:rPr>
          <w:rFonts w:hint="eastAsia" w:ascii="Times New Roman" w:hAnsi="Times New Roman" w:eastAsia="宋体" w:cs="Times New Roman"/>
          <w:color w:val="auto"/>
          <w:lang w:val="en-US" w:eastAsia="zh-CN"/>
        </w:rPr>
        <w:t>且</w:t>
      </w:r>
      <w:r>
        <w:rPr>
          <w:rFonts w:hint="default" w:ascii="Times New Roman" w:hAnsi="Times New Roman" w:eastAsia="宋体" w:cs="Times New Roman"/>
          <w:color w:val="auto"/>
          <w:lang w:val="en-US" w:eastAsia="zh-CN"/>
        </w:rPr>
        <w:t>该项目已列入</w:t>
      </w:r>
      <w:r>
        <w:rPr>
          <w:rFonts w:hint="default" w:ascii="Times New Roman" w:hAnsi="Times New Roman" w:eastAsia="宋体" w:cs="Times New Roman"/>
          <w:color w:val="auto"/>
          <w:lang w:val="en-US" w:eastAsia="zh-CN"/>
        </w:rPr>
        <w:t>《元江县“十四五”综合交通运输发展规划》</w:t>
      </w:r>
      <w:r>
        <w:rPr>
          <w:rFonts w:hint="default" w:ascii="Times New Roman" w:hAnsi="Times New Roman" w:eastAsia="宋体" w:cs="Times New Roman"/>
          <w:color w:val="auto"/>
          <w:lang w:val="en-US" w:eastAsia="zh-CN"/>
        </w:rPr>
        <w:t>，属于县级改移新建交通建设项目。</w:t>
      </w:r>
    </w:p>
    <w:p w14:paraId="4E73CDB2">
      <w:pPr>
        <w:ind w:firstLine="0" w:firstLineChars="0"/>
        <w:rPr>
          <w:rFonts w:hint="default" w:ascii="Times New Roman" w:hAnsi="Times New Roman" w:eastAsia="宋体" w:cs="Times New Roman"/>
          <w:color w:val="auto"/>
          <w:sz w:val="28"/>
          <w:szCs w:val="28"/>
        </w:rPr>
      </w:pPr>
      <w:r>
        <w:rPr>
          <w:rFonts w:hint="default" w:ascii="Times New Roman" w:hAnsi="Times New Roman" w:eastAsia="宋体" w:cs="Times New Roman"/>
          <w:b/>
          <w:bCs/>
          <w:color w:val="auto"/>
          <w:sz w:val="28"/>
          <w:szCs w:val="28"/>
        </w:rPr>
        <w:t>二、建设项目的特点</w:t>
      </w:r>
    </w:p>
    <w:p w14:paraId="3251FE3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本项目为公路建设项目，具有</w:t>
      </w:r>
      <w:r>
        <w:rPr>
          <w:rFonts w:hint="default" w:ascii="Times New Roman" w:hAnsi="Times New Roman" w:eastAsia="宋体" w:cs="Times New Roman"/>
          <w:color w:val="auto"/>
          <w:lang w:eastAsia="zh-CN"/>
        </w:rPr>
        <w:t>以下特点：</w:t>
      </w:r>
    </w:p>
    <w:p w14:paraId="01E9638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（1）路线方案</w:t>
      </w:r>
    </w:p>
    <w:p w14:paraId="4B7DE31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元江火车站站前广场配套道路5号路建设项目设计范围起点K0+000起于甘庄街道西南侧接老G213国道，道路呈南北走向，沿跑马山往甘庄街道西侧绕行，止点桩号K1+447.858</w:t>
      </w:r>
      <w:r>
        <w:rPr>
          <w:rFonts w:hint="default" w:ascii="Times New Roman" w:hAnsi="Times New Roman" w:eastAsia="宋体" w:cs="Times New Roman"/>
          <w:color w:val="auto"/>
          <w:lang w:eastAsia="zh-CN"/>
        </w:rPr>
        <w:t>位于</w:t>
      </w:r>
      <w:r>
        <w:rPr>
          <w:rFonts w:hint="default" w:ascii="Times New Roman" w:hAnsi="Times New Roman" w:eastAsia="宋体" w:cs="Times New Roman"/>
          <w:color w:val="auto"/>
        </w:rPr>
        <w:t>规划3号路与老G213国道交叉口处，沿线与规划18m道路、2号路、规划24m道路相交，道路全长1448m。</w:t>
      </w:r>
    </w:p>
    <w:p w14:paraId="3C59783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（2）主要控制点为：起点、与G213国道交叉口、止点。</w:t>
      </w:r>
    </w:p>
    <w:p w14:paraId="59AC032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项目按速度V=60km/h的一级公路标准建设，路面类型为沥青混凝土路面，路基宽度24m，路面宽度15m。车行道采用4cm细粒式沥青混凝土（AC-13C）+7cm中粒式沥青混凝土（AC-20C）+沥青透层、0.6cm稀浆封层+36cm水泥稳定碎石+15cm级配碎石，全线共计路面20993.94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，涵洞3道，设置平面交叉3处。</w:t>
      </w:r>
    </w:p>
    <w:p w14:paraId="22FEA63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（4）路线占用土地共计139.61亩，</w:t>
      </w:r>
      <w:r>
        <w:rPr>
          <w:rFonts w:hint="default" w:ascii="Times New Roman" w:hAnsi="Times New Roman" w:eastAsia="宋体" w:cs="Times New Roman"/>
          <w:color w:val="auto"/>
          <w:lang w:eastAsia="zh-CN"/>
        </w:rPr>
        <w:t>面积93073</w:t>
      </w:r>
      <w:r>
        <w:rPr>
          <w:rFonts w:hint="default" w:ascii="Times New Roman" w:hAnsi="Times New Roman" w:eastAsia="宋体" w:cs="Times New Roman"/>
          <w:color w:val="auto"/>
        </w:rPr>
        <w:t>.79m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r>
        <w:rPr>
          <w:rFonts w:hint="default" w:ascii="Times New Roman" w:hAnsi="Times New Roman" w:eastAsia="宋体" w:cs="Times New Roman"/>
          <w:color w:val="auto"/>
        </w:rPr>
        <w:t>拆迁建筑物共计</w:t>
      </w:r>
      <w:r>
        <w:rPr>
          <w:rFonts w:hint="eastAsia" w:cs="Times New Roman"/>
          <w:color w:val="auto"/>
          <w:lang w:val="en-US" w:eastAsia="zh-CN"/>
        </w:rPr>
        <w:t>774.75</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r>
        <w:rPr>
          <w:rFonts w:hint="default" w:ascii="Times New Roman" w:hAnsi="Times New Roman" w:eastAsia="宋体" w:cs="Times New Roman"/>
          <w:color w:val="auto"/>
        </w:rPr>
        <w:t>主线全线路基土石方共计985596m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，平均每公里土石方680727m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。全线路面工程量共计20993.9m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，排水防护工程3063.32m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p>
    <w:p w14:paraId="5DF7DCD4">
      <w:pPr>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高填深挖情况，</w:t>
      </w:r>
      <w:r>
        <w:rPr>
          <w:rFonts w:hint="default" w:ascii="Times New Roman" w:hAnsi="Times New Roman" w:eastAsia="宋体" w:cs="Times New Roman"/>
          <w:color w:val="auto"/>
          <w:kern w:val="0"/>
          <w:sz w:val="24"/>
          <w:szCs w:val="24"/>
          <w:lang w:eastAsia="zh-CN" w:bidi="ar"/>
        </w:rPr>
        <w:t>本次路堑高边坡设计主要为桩号K0+360～K0+707左侧、K0+320～K0+640右侧、K0+856.7～K1+180左侧路堑边坡，道路在此段路中线挖方高度从8.5～49m不等，左，右侧均为山体，如采用放坡形式，8m一台并设置2m碎落台形式，则最高挖方高度达65.9m，针对此段边坡位置，设计综合景观、投资、用地等因素，对该路堑高边坡进行处理。</w:t>
      </w:r>
    </w:p>
    <w:p w14:paraId="0D2AFFA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项目路段不涉及桥梁和隧道，不涉及</w:t>
      </w:r>
      <w:r>
        <w:rPr>
          <w:rFonts w:hint="default" w:ascii="Times New Roman" w:hAnsi="Times New Roman" w:eastAsia="宋体" w:cs="Times New Roman"/>
          <w:color w:val="auto"/>
        </w:rPr>
        <w:t>伴行或跨越水体情况，</w:t>
      </w:r>
      <w:r>
        <w:rPr>
          <w:rFonts w:hint="default" w:ascii="Times New Roman" w:hAnsi="Times New Roman" w:eastAsia="宋体" w:cs="Times New Roman"/>
          <w:color w:val="auto"/>
          <w:lang w:val="en-US" w:eastAsia="zh-CN"/>
        </w:rPr>
        <w:t>不涉及</w:t>
      </w:r>
      <w:r>
        <w:rPr>
          <w:rFonts w:hint="default" w:ascii="Times New Roman" w:hAnsi="Times New Roman" w:eastAsia="宋体" w:cs="Times New Roman"/>
          <w:color w:val="auto"/>
        </w:rPr>
        <w:t>配套管廊等工程及附属设施。</w:t>
      </w:r>
    </w:p>
    <w:p w14:paraId="40F2C0CD">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项目</w:t>
      </w:r>
      <w:r>
        <w:rPr>
          <w:rFonts w:hint="default" w:ascii="Times New Roman" w:hAnsi="Times New Roman" w:eastAsia="宋体" w:cs="Times New Roman"/>
          <w:color w:val="auto"/>
        </w:rPr>
        <w:t>沿线涉及西南诸河高山峡谷国家级水土流失重点治理区，用地</w:t>
      </w:r>
      <w:r>
        <w:rPr>
          <w:rFonts w:hint="default" w:ascii="Times New Roman" w:hAnsi="Times New Roman" w:eastAsia="宋体" w:cs="Times New Roman"/>
          <w:color w:val="auto"/>
          <w:lang w:val="en-US" w:eastAsia="zh-CN"/>
        </w:rPr>
        <w:t>不</w:t>
      </w:r>
      <w:r>
        <w:rPr>
          <w:rFonts w:hint="default" w:ascii="Times New Roman" w:hAnsi="Times New Roman" w:eastAsia="宋体" w:cs="Times New Roman"/>
          <w:color w:val="auto"/>
        </w:rPr>
        <w:t>涉及</w:t>
      </w:r>
      <w:r>
        <w:rPr>
          <w:rFonts w:hint="default" w:ascii="Times New Roman" w:hAnsi="Times New Roman" w:eastAsia="宋体" w:cs="Times New Roman"/>
          <w:color w:val="auto"/>
          <w:lang w:val="en-US" w:eastAsia="zh-CN"/>
        </w:rPr>
        <w:t>占用</w:t>
      </w:r>
      <w:r>
        <w:rPr>
          <w:rFonts w:hint="default" w:ascii="Times New Roman" w:hAnsi="Times New Roman" w:eastAsia="宋体" w:cs="Times New Roman"/>
          <w:color w:val="auto"/>
        </w:rPr>
        <w:t>永久基本农田</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不涉及生态红线、不涉及占用耕地，不涉及各级自然保护区</w:t>
      </w:r>
      <w:r>
        <w:rPr>
          <w:rFonts w:hint="default" w:ascii="Times New Roman" w:hAnsi="Times New Roman" w:eastAsia="宋体" w:cs="Times New Roman"/>
          <w:color w:val="auto"/>
          <w:lang w:eastAsia="zh-CN"/>
        </w:rPr>
        <w:t>。</w:t>
      </w:r>
    </w:p>
    <w:p w14:paraId="469A1267">
      <w:pPr>
        <w:ind w:firstLine="0" w:firstLineChars="0"/>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lang w:val="en-US" w:eastAsia="zh-CN"/>
        </w:rPr>
        <w:t>三</w:t>
      </w:r>
      <w:r>
        <w:rPr>
          <w:rFonts w:hint="default" w:ascii="Times New Roman" w:hAnsi="Times New Roman" w:eastAsia="宋体" w:cs="Times New Roman"/>
          <w:b/>
          <w:bCs/>
          <w:color w:val="auto"/>
        </w:rPr>
        <w:t>、环境影响评价工作过程</w:t>
      </w:r>
    </w:p>
    <w:p w14:paraId="732EACC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2024年10月31日</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项目取得</w:t>
      </w:r>
      <w:r>
        <w:rPr>
          <w:rFonts w:hint="default" w:ascii="Times New Roman" w:hAnsi="Times New Roman" w:eastAsia="宋体" w:cs="Times New Roman"/>
          <w:color w:val="auto"/>
        </w:rPr>
        <w:t>元江县发展和改革局出具</w:t>
      </w:r>
      <w:r>
        <w:rPr>
          <w:rFonts w:hint="eastAsia" w:ascii="Times New Roman" w:hAnsi="Times New Roman" w:cs="Times New Roman"/>
          <w:color w:val="auto"/>
          <w:lang w:val="en-US" w:eastAsia="zh-CN"/>
        </w:rPr>
        <w:t>的</w:t>
      </w:r>
      <w:r>
        <w:rPr>
          <w:rFonts w:hint="default" w:ascii="Times New Roman" w:hAnsi="Times New Roman" w:eastAsia="宋体" w:cs="Times New Roman"/>
          <w:color w:val="auto"/>
        </w:rPr>
        <w:t>《关于元江火车站站前广场配套道路5号路建设项目立项的通知》（元发改〔2024〕88号），同意项目立项。</w:t>
      </w:r>
    </w:p>
    <w:p w14:paraId="481597DD">
      <w:pPr>
        <w:ind w:firstLine="480"/>
        <w:rPr>
          <w:rFonts w:hint="eastAsia" w:ascii="Times New Roman" w:hAnsi="Times New Roman" w:cs="Times New Roman"/>
          <w:color w:val="auto"/>
          <w:lang w:eastAsia="zh-CN"/>
        </w:rPr>
      </w:pPr>
      <w:r>
        <w:rPr>
          <w:rFonts w:hint="default" w:ascii="Times New Roman" w:hAnsi="Times New Roman" w:eastAsia="宋体" w:cs="Times New Roman"/>
          <w:color w:val="auto"/>
        </w:rPr>
        <w:t>建设单位</w:t>
      </w:r>
      <w:r>
        <w:rPr>
          <w:rFonts w:hint="eastAsia" w:ascii="Times New Roman" w:hAnsi="Times New Roman" w:cs="Times New Roman"/>
          <w:color w:val="auto"/>
          <w:lang w:val="en-US" w:eastAsia="zh-CN"/>
        </w:rPr>
        <w:t>于2024年</w:t>
      </w:r>
      <w:r>
        <w:rPr>
          <w:rFonts w:hint="default" w:ascii="Times New Roman" w:hAnsi="Times New Roman" w:eastAsia="宋体" w:cs="Times New Roman"/>
          <w:color w:val="auto"/>
        </w:rPr>
        <w:t>委托云南平捷工程设计咨询有限公司编制完成了《元江火车站站前广场配套道路5号路建设项目可行性研究报告》，并于2024年12月4日取得元江县发展和改革局出具的《关于元江火车站站前广场配套道路5号路建设项目可行性研究报告的批复》（元发改〔2024〕89号）</w:t>
      </w:r>
      <w:r>
        <w:rPr>
          <w:rFonts w:hint="eastAsia" w:ascii="Times New Roman" w:hAnsi="Times New Roman" w:cs="Times New Roman"/>
          <w:color w:val="auto"/>
          <w:lang w:eastAsia="zh-CN"/>
        </w:rPr>
        <w:t>。</w:t>
      </w:r>
    </w:p>
    <w:p w14:paraId="49D2E3A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项目于2025年5月编制完成了《元江火车站站前广场配套道路5号路建设项目一阶段初步设计》，并于2025年9月1日取得了</w:t>
      </w:r>
      <w:r>
        <w:rPr>
          <w:rFonts w:hint="default" w:ascii="Times New Roman" w:hAnsi="Times New Roman" w:eastAsia="宋体" w:cs="Times New Roman"/>
          <w:color w:val="auto"/>
          <w:lang w:eastAsia="zh-CN"/>
        </w:rPr>
        <w:t>元江哈尼族彝族傣族自治县交通运输局</w:t>
      </w:r>
      <w:r>
        <w:rPr>
          <w:rFonts w:hint="default" w:ascii="Times New Roman" w:hAnsi="Times New Roman" w:eastAsia="宋体" w:cs="Times New Roman"/>
          <w:color w:val="auto"/>
        </w:rPr>
        <w:t>《关于元江火车站站前广场配套道路5号路建设项目一阶段初步设计及概算的批复》（元交运发〔2025〕34号）。</w:t>
      </w:r>
    </w:p>
    <w:p w14:paraId="4CDC8F86">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根据《云南省水利厅关于划分省级水土流失重点预防区和重点治理区的公告》和2019年玉溪市水利局《关于划分玉溪市市级水土流失重点预防区和重点治理区的公告》中“甘庄街道属西南诸河高山峡谷国家级水土流失重点治理区”，</w:t>
      </w:r>
      <w:r>
        <w:rPr>
          <w:rFonts w:hint="default" w:ascii="Times New Roman" w:hAnsi="Times New Roman" w:eastAsia="宋体" w:cs="Times New Roman"/>
          <w:color w:val="auto"/>
          <w:lang w:val="en-US" w:eastAsia="zh-CN"/>
        </w:rPr>
        <w:t>根据国家级水土流失重点预防区和重点治理区查询系统查询，项目部分路段涉及</w:t>
      </w:r>
      <w:r>
        <w:rPr>
          <w:rFonts w:hint="default" w:ascii="Times New Roman" w:hAnsi="Times New Roman" w:eastAsia="宋体" w:cs="Times New Roman"/>
          <w:color w:val="auto"/>
        </w:rPr>
        <w:t>西南诸河高山峡谷国家级水土流失重点治理区</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查询图如下所示：</w:t>
      </w:r>
    </w:p>
    <w:p w14:paraId="53EABECC">
      <w:pPr>
        <w:ind w:left="0" w:leftChars="0"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rPr>
        <mc:AlternateContent>
          <mc:Choice Requires="wps">
            <w:drawing>
              <wp:anchor distT="0" distB="0" distL="114300" distR="114300" simplePos="0" relativeHeight="251669504" behindDoc="0" locked="0" layoutInCell="1" allowOverlap="1">
                <wp:simplePos x="0" y="0"/>
                <wp:positionH relativeFrom="column">
                  <wp:posOffset>3172460</wp:posOffset>
                </wp:positionH>
                <wp:positionV relativeFrom="paragraph">
                  <wp:posOffset>1245870</wp:posOffset>
                </wp:positionV>
                <wp:extent cx="914400" cy="609600"/>
                <wp:effectExtent l="0" t="0" r="0" b="0"/>
                <wp:wrapNone/>
                <wp:docPr id="25" name="线形标注 1 25"/>
                <wp:cNvGraphicFramePr/>
                <a:graphic xmlns:a="http://schemas.openxmlformats.org/drawingml/2006/main">
                  <a:graphicData uri="http://schemas.microsoft.com/office/word/2010/wordprocessingShape">
                    <wps:wsp>
                      <wps:cNvSpPr/>
                      <wps:spPr>
                        <a:xfrm>
                          <a:off x="0" y="0"/>
                          <a:ext cx="914400" cy="609600"/>
                        </a:xfrm>
                        <a:prstGeom prst="borderCallout1">
                          <a:avLst>
                            <a:gd name="adj1" fmla="val 18769"/>
                            <a:gd name="adj2" fmla="val -8338"/>
                            <a:gd name="adj3" fmla="val 56356"/>
                            <a:gd name="adj4" fmla="val -8329"/>
                          </a:avLst>
                        </a:prstGeom>
                        <a:noFill/>
                        <a:ln w="15875">
                          <a:noFill/>
                        </a:ln>
                      </wps:spPr>
                      <wps:txbx>
                        <w:txbxContent>
                          <w:p w14:paraId="17FDFAAD">
                            <w:pPr>
                              <w:ind w:left="0" w:leftChars="0" w:firstLine="0" w:firstLineChars="0"/>
                              <w:rPr>
                                <w:rFonts w:hint="default" w:eastAsia="宋体"/>
                                <w:b/>
                                <w:bCs/>
                                <w:color w:val="00B0F0"/>
                                <w:lang w:val="en-US" w:eastAsia="zh-CN"/>
                              </w:rPr>
                            </w:pPr>
                            <w:r>
                              <w:rPr>
                                <w:rFonts w:hint="eastAsia"/>
                                <w:b/>
                                <w:bCs/>
                                <w:color w:val="00B0F0"/>
                                <w:lang w:val="en-US" w:eastAsia="zh-CN"/>
                              </w:rPr>
                              <w:t>项目区域</w:t>
                            </w:r>
                          </w:p>
                        </w:txbxContent>
                      </wps:txbx>
                      <wps:bodyPr upright="1"/>
                    </wps:wsp>
                  </a:graphicData>
                </a:graphic>
              </wp:anchor>
            </w:drawing>
          </mc:Choice>
          <mc:Fallback>
            <w:pict>
              <v:shape id="_x0000_s1026" o:spid="_x0000_s1026" o:spt="47" type="#_x0000_t47" style="position:absolute;left:0pt;margin-left:249.8pt;margin-top:98.1pt;height:48pt;width:72pt;z-index:251669504;mso-width-relative:page;mso-height-relative:page;" filled="f" stroked="f" coordsize="21600,21600" o:gfxdata="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r0th9gAAAALAQAADwAAAAAAAAABACAAAAAiAAAAZHJzL2Rvd25yZXYueG1s&#10;UEsBAhQAFAAAAAgAh07iQM7BA734AQAA9wMAAA4AAAAAAAAAAQAgAAAAJwEAAGRycy9lMm9Eb2Mu&#10;eG1sUEsFBgAAAAAGAAYAWQEAAJEFAAAAAA==&#10;" adj="-1799,12173,-1801,4054">
                <v:fill on="f" focussize="0,0"/>
                <v:stroke on="f" weight="1.25pt"/>
                <v:imagedata o:title=""/>
                <o:lock v:ext="edit" aspectratio="f"/>
                <v:textbox>
                  <w:txbxContent>
                    <w:p w14:paraId="17FDFAAD">
                      <w:pPr>
                        <w:ind w:left="0" w:leftChars="0" w:firstLine="0" w:firstLineChars="0"/>
                        <w:rPr>
                          <w:rFonts w:hint="default" w:eastAsia="宋体"/>
                          <w:b/>
                          <w:bCs/>
                          <w:color w:val="00B0F0"/>
                          <w:lang w:val="en-US" w:eastAsia="zh-CN"/>
                        </w:rPr>
                      </w:pPr>
                      <w:r>
                        <w:rPr>
                          <w:rFonts w:hint="eastAsia"/>
                          <w:b/>
                          <w:bCs/>
                          <w:color w:val="00B0F0"/>
                          <w:lang w:val="en-US" w:eastAsia="zh-CN"/>
                        </w:rPr>
                        <w:t>项目区域</w:t>
                      </w:r>
                    </w:p>
                  </w:txbxContent>
                </v:textbox>
              </v:shape>
            </w:pict>
          </mc:Fallback>
        </mc:AlternateContent>
      </w:r>
      <w:r>
        <w:rPr>
          <w:rFonts w:hint="default" w:ascii="Times New Roman" w:hAnsi="Times New Roman" w:eastAsia="宋体" w:cs="Times New Roman"/>
          <w:color w:val="auto"/>
          <w:lang w:val="en-US" w:eastAsia="zh-CN"/>
        </w:rPr>
        <w:drawing>
          <wp:inline distT="0" distB="0" distL="114300" distR="114300">
            <wp:extent cx="5269865" cy="3281680"/>
            <wp:effectExtent l="9525" t="9525" r="16510" b="23495"/>
            <wp:docPr id="18" name="图片 33" descr="41c7d24e8f0c11dc6b673748c820e2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3" descr="41c7d24e8f0c11dc6b673748c820e2d6"/>
                    <pic:cNvPicPr>
                      <a:picLocks noChangeAspect="1"/>
                    </pic:cNvPicPr>
                  </pic:nvPicPr>
                  <pic:blipFill>
                    <a:blip r:embed="rId20"/>
                    <a:stretch>
                      <a:fillRect/>
                    </a:stretch>
                  </pic:blipFill>
                  <pic:spPr>
                    <a:xfrm>
                      <a:off x="0" y="0"/>
                      <a:ext cx="5269865" cy="328168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445CAFBE">
      <w:pPr>
        <w:ind w:firstLine="480"/>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图1-1  项目水土流失查询图</w:t>
      </w:r>
    </w:p>
    <w:p w14:paraId="5AF07F74">
      <w:pPr>
        <w:keepNext w:val="0"/>
        <w:keepLines w:val="0"/>
        <w:pageBreakBefore w:val="0"/>
        <w:widowControl w:val="0"/>
        <w:kinsoku/>
        <w:wordWrap/>
        <w:overflowPunct/>
        <w:topLinePunct w:val="0"/>
        <w:autoSpaceDE/>
        <w:autoSpaceDN/>
        <w:bidi w:val="0"/>
        <w:adjustRightInd w:val="0"/>
        <w:snapToGrid w:val="0"/>
        <w:spacing w:line="360" w:lineRule="auto"/>
        <w:ind w:firstLine="480"/>
        <w:textAlignment w:val="auto"/>
        <w:rPr>
          <w:rFonts w:hint="default" w:ascii="Times New Roman" w:hAnsi="Times New Roman" w:eastAsia="宋体" w:cs="Times New Roman"/>
          <w:color w:val="auto"/>
          <w:spacing w:val="7"/>
          <w:sz w:val="24"/>
          <w:szCs w:val="24"/>
          <w:lang w:val="en-US" w:eastAsia="zh-CN"/>
        </w:rPr>
      </w:pPr>
      <w:r>
        <w:rPr>
          <w:rFonts w:hint="eastAsia" w:ascii="Times New Roman" w:hAnsi="Times New Roman" w:cs="Times New Roman"/>
          <w:color w:val="auto"/>
          <w:spacing w:val="7"/>
          <w:sz w:val="24"/>
          <w:szCs w:val="24"/>
          <w:lang w:val="en-US" w:eastAsia="zh-CN"/>
        </w:rPr>
        <w:t>根据</w:t>
      </w:r>
      <w:r>
        <w:rPr>
          <w:rFonts w:hint="default" w:ascii="Times New Roman" w:hAnsi="Times New Roman" w:eastAsia="宋体" w:cs="Times New Roman"/>
          <w:color w:val="auto"/>
          <w:spacing w:val="7"/>
          <w:sz w:val="24"/>
          <w:szCs w:val="24"/>
          <w:lang w:val="en-US" w:eastAsia="zh-CN"/>
        </w:rPr>
        <w:t>对照《</w:t>
      </w:r>
      <w:r>
        <w:rPr>
          <w:rFonts w:hint="default" w:ascii="Times New Roman" w:hAnsi="Times New Roman" w:eastAsia="宋体" w:cs="Times New Roman"/>
          <w:color w:val="auto"/>
          <w:spacing w:val="7"/>
          <w:sz w:val="24"/>
          <w:szCs w:val="24"/>
        </w:rPr>
        <w:t>建设项目环境影响评价分类管理名录</w:t>
      </w:r>
      <w:r>
        <w:rPr>
          <w:rFonts w:hint="default" w:ascii="Times New Roman" w:hAnsi="Times New Roman" w:eastAsia="宋体" w:cs="Times New Roman"/>
          <w:color w:val="auto"/>
          <w:spacing w:val="7"/>
          <w:sz w:val="24"/>
          <w:szCs w:val="24"/>
          <w:lang w:eastAsia="zh-CN"/>
        </w:rPr>
        <w:t>（</w:t>
      </w:r>
      <w:r>
        <w:rPr>
          <w:rFonts w:hint="default" w:ascii="Times New Roman" w:hAnsi="Times New Roman" w:eastAsia="宋体" w:cs="Times New Roman"/>
          <w:color w:val="auto"/>
          <w:spacing w:val="7"/>
          <w:sz w:val="24"/>
          <w:szCs w:val="24"/>
        </w:rPr>
        <w:t>2021年版</w:t>
      </w:r>
      <w:r>
        <w:rPr>
          <w:rFonts w:hint="default" w:ascii="Times New Roman" w:hAnsi="Times New Roman" w:eastAsia="宋体" w:cs="Times New Roman"/>
          <w:color w:val="auto"/>
          <w:spacing w:val="7"/>
          <w:sz w:val="24"/>
          <w:szCs w:val="24"/>
          <w:lang w:eastAsia="zh-CN"/>
        </w:rPr>
        <w:t>）</w:t>
      </w:r>
      <w:r>
        <w:rPr>
          <w:rFonts w:hint="default" w:ascii="Times New Roman" w:hAnsi="Times New Roman" w:eastAsia="宋体" w:cs="Times New Roman"/>
          <w:color w:val="auto"/>
          <w:spacing w:val="7"/>
          <w:sz w:val="24"/>
          <w:szCs w:val="24"/>
          <w:lang w:val="en-US" w:eastAsia="zh-CN"/>
        </w:rPr>
        <w:t>》，项目类别判定如下：</w:t>
      </w:r>
    </w:p>
    <w:p w14:paraId="7D4012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pacing w:val="7"/>
          <w:sz w:val="21"/>
          <w:szCs w:val="21"/>
          <w:lang w:val="en-US" w:eastAsia="zh-CN"/>
        </w:rPr>
        <w:t>表1 项目类别判定表</w:t>
      </w:r>
    </w:p>
    <w:tbl>
      <w:tblPr>
        <w:tblStyle w:val="59"/>
        <w:tblW w:w="49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5"/>
        <w:gridCol w:w="1656"/>
        <w:gridCol w:w="3719"/>
        <w:gridCol w:w="1512"/>
        <w:gridCol w:w="1157"/>
      </w:tblGrid>
      <w:tr w14:paraId="0BF69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noWrap w:val="0"/>
            <w:vAlign w:val="center"/>
          </w:tcPr>
          <w:p w14:paraId="0887663D">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序号</w:t>
            </w:r>
          </w:p>
        </w:tc>
        <w:tc>
          <w:tcPr>
            <w:tcW w:w="975" w:type="pct"/>
            <w:noWrap w:val="0"/>
            <w:vAlign w:val="center"/>
          </w:tcPr>
          <w:p w14:paraId="13BDBE17">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工程名称</w:t>
            </w:r>
          </w:p>
        </w:tc>
        <w:tc>
          <w:tcPr>
            <w:tcW w:w="2190" w:type="pct"/>
            <w:noWrap w:val="0"/>
            <w:vAlign w:val="center"/>
          </w:tcPr>
          <w:p w14:paraId="5075082D">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lang w:val="en-US" w:eastAsia="zh-CN"/>
              </w:rPr>
              <w:t>环境影响评价类别</w:t>
            </w:r>
          </w:p>
        </w:tc>
        <w:tc>
          <w:tcPr>
            <w:tcW w:w="890" w:type="pct"/>
            <w:noWrap w:val="0"/>
            <w:vAlign w:val="center"/>
          </w:tcPr>
          <w:p w14:paraId="3CE74C7F">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项目所属类别</w:t>
            </w:r>
          </w:p>
        </w:tc>
        <w:tc>
          <w:tcPr>
            <w:tcW w:w="681" w:type="pct"/>
            <w:noWrap w:val="0"/>
            <w:vAlign w:val="center"/>
          </w:tcPr>
          <w:p w14:paraId="2408DC27">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环评价文件类别</w:t>
            </w:r>
          </w:p>
        </w:tc>
      </w:tr>
      <w:tr w14:paraId="729FF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2" w:type="pct"/>
            <w:noWrap w:val="0"/>
            <w:vAlign w:val="center"/>
          </w:tcPr>
          <w:p w14:paraId="2A8DA252">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1</w:t>
            </w:r>
          </w:p>
        </w:tc>
        <w:tc>
          <w:tcPr>
            <w:tcW w:w="975" w:type="pct"/>
            <w:noWrap w:val="0"/>
            <w:vAlign w:val="center"/>
          </w:tcPr>
          <w:p w14:paraId="7D45AB47">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元江火车站站前广场配套道路5号路建设项目</w:t>
            </w:r>
          </w:p>
        </w:tc>
        <w:tc>
          <w:tcPr>
            <w:tcW w:w="2190" w:type="pct"/>
            <w:noWrap w:val="0"/>
            <w:vAlign w:val="center"/>
          </w:tcPr>
          <w:p w14:paraId="5AF75AEC">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“五十二、交通运输业、管道运输业”中“130等级公路（不含维护；不含生命救援、应急保通工程及国防交通保障项目；不含改扩建四级公路）”中“新建涉及环境敏感区的二级及以上等级公路”</w:t>
            </w:r>
          </w:p>
        </w:tc>
        <w:tc>
          <w:tcPr>
            <w:tcW w:w="890" w:type="pct"/>
            <w:noWrap w:val="0"/>
            <w:vAlign w:val="center"/>
          </w:tcPr>
          <w:p w14:paraId="540391F9">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一级公路</w:t>
            </w:r>
          </w:p>
          <w:p w14:paraId="555C1992">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项目涉及水土流失重点治理区，为环境敏感区</w:t>
            </w:r>
          </w:p>
        </w:tc>
        <w:tc>
          <w:tcPr>
            <w:tcW w:w="681" w:type="pct"/>
            <w:noWrap w:val="0"/>
            <w:vAlign w:val="center"/>
          </w:tcPr>
          <w:p w14:paraId="689D6317">
            <w:pPr>
              <w:keepNext w:val="0"/>
              <w:keepLines w:val="0"/>
              <w:pageBreakBefore w:val="0"/>
              <w:widowControl w:val="0"/>
              <w:kinsoku/>
              <w:wordWrap/>
              <w:overflowPunct/>
              <w:topLinePunct/>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报告书</w:t>
            </w:r>
          </w:p>
        </w:tc>
      </w:tr>
    </w:tbl>
    <w:p w14:paraId="5CEEB82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综上所述，</w:t>
      </w:r>
      <w:r>
        <w:rPr>
          <w:rFonts w:hint="default" w:ascii="Times New Roman" w:hAnsi="Times New Roman" w:eastAsia="宋体" w:cs="Times New Roman"/>
          <w:color w:val="auto"/>
        </w:rPr>
        <w:t>项目</w:t>
      </w:r>
      <w:r>
        <w:rPr>
          <w:rFonts w:hint="default" w:ascii="Times New Roman" w:hAnsi="Times New Roman" w:eastAsia="宋体" w:cs="Times New Roman"/>
          <w:color w:val="auto"/>
          <w:lang w:val="en-US" w:eastAsia="zh-CN"/>
        </w:rPr>
        <w:t>涉及</w:t>
      </w:r>
      <w:r>
        <w:rPr>
          <w:rFonts w:hint="default" w:ascii="Times New Roman" w:hAnsi="Times New Roman" w:eastAsia="宋体" w:cs="Times New Roman"/>
          <w:color w:val="auto"/>
        </w:rPr>
        <w:t>水土流失重点治理区，</w:t>
      </w:r>
      <w:r>
        <w:rPr>
          <w:rFonts w:hint="default" w:ascii="Times New Roman" w:hAnsi="Times New Roman" w:eastAsia="宋体" w:cs="Times New Roman"/>
          <w:color w:val="auto"/>
          <w:lang w:val="en-US" w:eastAsia="zh-CN"/>
        </w:rPr>
        <w:t>为一级公路</w:t>
      </w:r>
      <w:r>
        <w:rPr>
          <w:rFonts w:hint="default" w:ascii="Times New Roman" w:hAnsi="Times New Roman" w:eastAsia="宋体" w:cs="Times New Roman"/>
          <w:color w:val="auto"/>
        </w:rPr>
        <w:t>，故本项目应编制建设项目环境影响报告书，经审查批准后，作为环境管理和项目环保工程设计的技术依据。</w:t>
      </w:r>
    </w:p>
    <w:p w14:paraId="31D19B79">
      <w:pPr>
        <w:pStyle w:val="493"/>
        <w:spacing w:after="0" w:line="360" w:lineRule="auto"/>
        <w:ind w:firstLine="480"/>
        <w:rPr>
          <w:rStyle w:val="232"/>
          <w:rFonts w:hint="default" w:ascii="Times New Roman" w:hAnsi="Times New Roman" w:eastAsia="宋体" w:cs="Times New Roman"/>
          <w:color w:val="auto"/>
          <w:sz w:val="24"/>
          <w:szCs w:val="24"/>
        </w:rPr>
      </w:pPr>
      <w:r>
        <w:rPr>
          <w:rStyle w:val="232"/>
          <w:rFonts w:hint="eastAsia" w:ascii="Times New Roman" w:hAnsi="Times New Roman" w:cs="Times New Roman"/>
          <w:color w:val="auto"/>
          <w:sz w:val="24"/>
          <w:szCs w:val="24"/>
          <w:lang w:val="en-US"/>
        </w:rPr>
        <w:t>建设单位于2025年</w:t>
      </w:r>
      <w:r>
        <w:rPr>
          <w:rStyle w:val="232"/>
          <w:rFonts w:hint="default" w:ascii="Times New Roman" w:hAnsi="Times New Roman" w:eastAsia="宋体" w:cs="Times New Roman"/>
          <w:color w:val="auto"/>
          <w:sz w:val="24"/>
          <w:szCs w:val="24"/>
        </w:rPr>
        <w:t>委托云南绿诚环境科技有限公司承担本项目环境影响报告书的编制工作。接受委托后，根据委托方提供的主要控制点、拟建标准和主要技术指标，我公司组织技术人员于2025年1月奔赴现场，对路线进行踏勘，了解熟悉地形，调查分析路线走向，并对沿线工程地质、水文地质和筑路材料等进行了深入的调查、踏勘，收集地形、地质、水文、交通、经济等方面资料。</w:t>
      </w:r>
      <w:r>
        <w:rPr>
          <w:rStyle w:val="232"/>
          <w:rFonts w:hint="eastAsia" w:ascii="Times New Roman" w:hAnsi="Times New Roman" w:cs="Times New Roman"/>
          <w:color w:val="auto"/>
          <w:sz w:val="24"/>
          <w:szCs w:val="24"/>
          <w:lang w:val="en-US"/>
        </w:rPr>
        <w:t>我公司</w:t>
      </w:r>
      <w:r>
        <w:rPr>
          <w:rStyle w:val="232"/>
          <w:rFonts w:hint="default" w:ascii="Times New Roman" w:hAnsi="Times New Roman" w:eastAsia="宋体" w:cs="Times New Roman"/>
          <w:color w:val="auto"/>
          <w:sz w:val="24"/>
          <w:szCs w:val="24"/>
        </w:rPr>
        <w:t>于2025年1月21日在“玉溪高古楼”网站上进行了第一次环境信息公示（公示网站链接：https://www.gaogulou.com/thread-1840681-1-1.html）。根据收集到的环境质量现状资料和项目的产排污特征制定了环境现状监测方案，</w:t>
      </w:r>
      <w:r>
        <w:rPr>
          <w:rStyle w:val="232"/>
          <w:rFonts w:hint="eastAsia" w:ascii="Times New Roman" w:hAnsi="Times New Roman" w:cs="Times New Roman"/>
          <w:color w:val="auto"/>
          <w:sz w:val="24"/>
          <w:szCs w:val="24"/>
          <w:lang w:val="en-US"/>
        </w:rPr>
        <w:t>我公司</w:t>
      </w:r>
      <w:r>
        <w:rPr>
          <w:rStyle w:val="232"/>
          <w:rFonts w:hint="default" w:ascii="Times New Roman" w:hAnsi="Times New Roman" w:eastAsia="宋体" w:cs="Times New Roman"/>
          <w:color w:val="auto"/>
          <w:sz w:val="24"/>
          <w:szCs w:val="24"/>
        </w:rPr>
        <w:t>于2025年12月委托云南长源环境检测技术有限公司对评价区的噪声环境质量现状进行补充监测。</w:t>
      </w:r>
      <w:r>
        <w:rPr>
          <w:rStyle w:val="232"/>
          <w:rFonts w:hint="eastAsia" w:ascii="Times New Roman" w:hAnsi="Times New Roman" w:cs="Times New Roman"/>
          <w:color w:val="auto"/>
          <w:sz w:val="24"/>
          <w:szCs w:val="24"/>
          <w:lang w:val="en-US"/>
        </w:rPr>
        <w:t>我公司于</w:t>
      </w:r>
      <w:r>
        <w:rPr>
          <w:rStyle w:val="232"/>
          <w:rFonts w:hint="default" w:ascii="Times New Roman" w:hAnsi="Times New Roman" w:eastAsia="宋体" w:cs="Times New Roman"/>
          <w:color w:val="auto"/>
          <w:sz w:val="24"/>
          <w:szCs w:val="24"/>
        </w:rPr>
        <w:t>2026年1月26日编制完成环境影响报告书征求意见稿，环评报告征求意见稿完成后，</w:t>
      </w:r>
      <w:r>
        <w:rPr>
          <w:rStyle w:val="232"/>
          <w:rFonts w:hint="default" w:ascii="Times New Roman" w:hAnsi="Times New Roman" w:eastAsia="宋体" w:cs="Times New Roman"/>
          <w:color w:val="auto"/>
          <w:sz w:val="24"/>
          <w:szCs w:val="24"/>
        </w:rPr>
        <w:t>于2026年1月27日～2026年2月9日在玉溪高古</w:t>
      </w:r>
      <w:r>
        <w:rPr>
          <w:rStyle w:val="232"/>
          <w:rFonts w:hint="default" w:ascii="Times New Roman" w:hAnsi="Times New Roman" w:eastAsia="宋体" w:cs="Times New Roman"/>
          <w:color w:val="auto"/>
          <w:sz w:val="24"/>
          <w:szCs w:val="24"/>
        </w:rPr>
        <w:t>楼网站上进行了网络平台公示，并在项目所在地进行了现场公示，同时在甘庄街道存放报告书供公众查阅；2026年1月30日、2月3日两次在云南信息报进行了报纸公示；征求意见稿三种方式公示时间均为10个工作日。</w:t>
      </w:r>
    </w:p>
    <w:p w14:paraId="46193A17">
      <w:pPr>
        <w:pStyle w:val="493"/>
        <w:spacing w:after="0" w:line="360" w:lineRule="auto"/>
        <w:ind w:left="0" w:leftChars="0" w:firstLine="0" w:firstLineChars="0"/>
        <w:rPr>
          <w:rStyle w:val="232"/>
          <w:rFonts w:hint="default" w:ascii="Times New Roman" w:hAnsi="Times New Roman" w:eastAsia="宋体" w:cs="Times New Roman"/>
          <w:b/>
          <w:bCs/>
          <w:color w:val="auto"/>
          <w:sz w:val="28"/>
          <w:szCs w:val="28"/>
          <w:lang w:val="en-US" w:eastAsia="zh-CN"/>
        </w:rPr>
      </w:pPr>
      <w:r>
        <w:rPr>
          <w:rStyle w:val="232"/>
          <w:rFonts w:hint="eastAsia" w:ascii="Times New Roman" w:hAnsi="Times New Roman" w:eastAsia="宋体" w:cs="Times New Roman"/>
          <w:b/>
          <w:bCs/>
          <w:color w:val="auto"/>
          <w:sz w:val="28"/>
          <w:szCs w:val="28"/>
          <w:lang w:val="en-US" w:eastAsia="zh-CN"/>
        </w:rPr>
        <w:t>四、项目工作程序</w:t>
      </w:r>
    </w:p>
    <w:p w14:paraId="27AAD6AE">
      <w:pPr>
        <w:pStyle w:val="493"/>
        <w:spacing w:after="0" w:line="360" w:lineRule="auto"/>
        <w:ind w:firstLine="480"/>
        <w:rPr>
          <w:rStyle w:val="232"/>
          <w:rFonts w:hint="default" w:ascii="Times New Roman" w:hAnsi="Times New Roman" w:eastAsia="宋体" w:cs="Times New Roman"/>
          <w:color w:val="auto"/>
          <w:sz w:val="24"/>
          <w:szCs w:val="24"/>
        </w:rPr>
      </w:pPr>
      <w:r>
        <w:rPr>
          <w:rStyle w:val="232"/>
          <w:rFonts w:hint="default" w:ascii="Times New Roman" w:hAnsi="Times New Roman" w:eastAsia="宋体" w:cs="Times New Roman"/>
          <w:color w:val="auto"/>
          <w:sz w:val="24"/>
          <w:szCs w:val="24"/>
          <w:lang w:val="en-US" w:eastAsia="zh-CN"/>
        </w:rPr>
        <w:t>环境影响评价工作开展前应分析项目选址选线与国家和地方有关生态环境法律法规、标准、政策、规范、国土空间规划等相关规划、生态环境分区管控以及规划环境影响评价要求的符合性，对不符合上述要求的应提出选址选线优化调整建议。环境影响评价工作一般分为三个阶段。</w:t>
      </w:r>
      <w:r>
        <w:rPr>
          <w:rStyle w:val="232"/>
          <w:rFonts w:hint="default" w:ascii="Times New Roman" w:hAnsi="Times New Roman" w:eastAsia="宋体" w:cs="Times New Roman"/>
          <w:color w:val="auto"/>
          <w:sz w:val="24"/>
          <w:szCs w:val="24"/>
        </w:rPr>
        <w:t>具体流程详见图1。</w:t>
      </w:r>
    </w:p>
    <w:p w14:paraId="154A12D0">
      <w:pPr>
        <w:pStyle w:val="493"/>
        <w:spacing w:after="0" w:line="360" w:lineRule="auto"/>
        <w:ind w:firstLine="480"/>
        <w:rPr>
          <w:rStyle w:val="232"/>
          <w:rFonts w:hint="default" w:ascii="Times New Roman" w:hAnsi="Times New Roman" w:eastAsia="宋体" w:cs="Times New Roman"/>
          <w:color w:val="auto"/>
          <w:sz w:val="24"/>
          <w:szCs w:val="24"/>
        </w:rPr>
      </w:pPr>
      <w:r>
        <w:rPr>
          <w:rStyle w:val="232"/>
          <w:rFonts w:hint="default" w:ascii="Times New Roman" w:hAnsi="Times New Roman" w:eastAsia="宋体" w:cs="Times New Roman"/>
          <w:color w:val="auto"/>
          <w:sz w:val="24"/>
          <w:szCs w:val="24"/>
          <w:lang w:val="en-US" w:eastAsia="zh-CN"/>
        </w:rPr>
        <w:t>第一阶段，收集项目前期工程技术资料和其他相关文件，明确工程概况，进行环境影响识别，筛选评价因子，明确环境保护目标，确定评价等级、评价范围和评价标准，明确各环境要素评价重点。</w:t>
      </w:r>
    </w:p>
    <w:p w14:paraId="36ACB71A">
      <w:pPr>
        <w:pStyle w:val="493"/>
        <w:spacing w:after="0" w:line="360" w:lineRule="auto"/>
        <w:ind w:firstLine="480"/>
        <w:rPr>
          <w:rStyle w:val="232"/>
          <w:rFonts w:hint="default" w:ascii="Times New Roman" w:hAnsi="Times New Roman" w:eastAsia="宋体" w:cs="Times New Roman"/>
          <w:color w:val="auto"/>
          <w:sz w:val="24"/>
          <w:szCs w:val="24"/>
        </w:rPr>
      </w:pPr>
      <w:r>
        <w:rPr>
          <w:rStyle w:val="232"/>
          <w:rFonts w:hint="default" w:ascii="Times New Roman" w:hAnsi="Times New Roman" w:eastAsia="宋体" w:cs="Times New Roman"/>
          <w:color w:val="auto"/>
          <w:sz w:val="24"/>
          <w:szCs w:val="24"/>
          <w:lang w:val="en-US" w:eastAsia="zh-CN"/>
        </w:rPr>
        <w:t>第二阶段，开展生态环境现状调查与评价，进行生态环境影响预测与评价，明确影响的范围和程度，对具备工程可行性的局部替代方案进行生态环境影响比选。</w:t>
      </w:r>
    </w:p>
    <w:p w14:paraId="5A4A32F1">
      <w:pPr>
        <w:pStyle w:val="493"/>
        <w:spacing w:after="0" w:line="360" w:lineRule="auto"/>
        <w:ind w:firstLine="480"/>
        <w:rPr>
          <w:rStyle w:val="232"/>
          <w:rFonts w:hint="default" w:ascii="Times New Roman" w:hAnsi="Times New Roman" w:eastAsia="宋体" w:cs="Times New Roman"/>
          <w:color w:val="auto"/>
        </w:rPr>
      </w:pPr>
      <w:r>
        <w:rPr>
          <w:rStyle w:val="232"/>
          <w:rFonts w:hint="default" w:ascii="Times New Roman" w:hAnsi="Times New Roman" w:eastAsia="宋体" w:cs="Times New Roman"/>
          <w:color w:val="auto"/>
          <w:sz w:val="24"/>
          <w:szCs w:val="24"/>
          <w:lang w:val="en-US" w:eastAsia="zh-CN"/>
        </w:rPr>
        <w:t>第三阶段，提出预防或减轻不利生态环境影响的对策和措施，制定生态环境管理和监测计划，从生态环境保护角度给出公路建设项目是否可行的结论。</w:t>
      </w:r>
    </w:p>
    <w:p w14:paraId="09511C09">
      <w:pPr>
        <w:pStyle w:val="493"/>
        <w:spacing w:after="0" w:line="360" w:lineRule="auto"/>
        <w:ind w:firstLine="0" w:firstLineChars="0"/>
        <w:jc w:val="center"/>
        <w:rPr>
          <w:rStyle w:val="232"/>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val="en-US"/>
        </w:rPr>
        <w:object>
          <v:shape id="_x0000_i1025" o:spt="75" type="#_x0000_t75" style="height:509.2pt;width:319.9pt;" o:ole="t" filled="f" o:preferrelative="t" stroked="f" coordsize="21600,21600">
            <v:path/>
            <v:fill on="f" focussize="0,0"/>
            <v:stroke on="f"/>
            <v:imagedata r:id="rId22" o:title=""/>
            <o:lock v:ext="edit" aspectratio="t"/>
            <w10:wrap type="none"/>
            <w10:anchorlock/>
          </v:shape>
          <o:OLEObject Type="Embed" ProgID="Visio.Drawing.11" ShapeID="_x0000_i1025" DrawAspect="Content" ObjectID="_1468075725" r:id="rId21">
            <o:LockedField>false</o:LockedField>
          </o:OLEObject>
        </w:object>
      </w:r>
    </w:p>
    <w:p w14:paraId="23BB3A79">
      <w:pPr>
        <w:pStyle w:val="493"/>
        <w:spacing w:after="0" w:line="360" w:lineRule="auto"/>
        <w:ind w:firstLine="0" w:firstLineChars="0"/>
        <w:jc w:val="center"/>
        <w:rPr>
          <w:rStyle w:val="232"/>
          <w:rFonts w:hint="default" w:ascii="Times New Roman" w:hAnsi="Times New Roman" w:eastAsia="宋体" w:cs="Times New Roman"/>
          <w:b/>
          <w:bCs/>
          <w:color w:val="auto"/>
          <w:sz w:val="21"/>
          <w:szCs w:val="21"/>
        </w:rPr>
      </w:pPr>
      <w:r>
        <w:rPr>
          <w:rStyle w:val="232"/>
          <w:rFonts w:hint="default" w:ascii="Times New Roman" w:hAnsi="Times New Roman" w:eastAsia="宋体" w:cs="Times New Roman"/>
          <w:b/>
          <w:bCs/>
          <w:color w:val="auto"/>
          <w:sz w:val="21"/>
          <w:szCs w:val="21"/>
        </w:rPr>
        <w:t xml:space="preserve">图1  </w:t>
      </w:r>
      <w:r>
        <w:rPr>
          <w:rStyle w:val="232"/>
          <w:rFonts w:hint="default" w:ascii="Times New Roman" w:hAnsi="Times New Roman" w:eastAsia="宋体" w:cs="Times New Roman"/>
          <w:b/>
          <w:bCs/>
          <w:color w:val="auto"/>
          <w:sz w:val="21"/>
          <w:szCs w:val="21"/>
          <w:lang w:val="en-US"/>
        </w:rPr>
        <w:t>公路建设项目</w:t>
      </w:r>
      <w:r>
        <w:rPr>
          <w:rStyle w:val="232"/>
          <w:rFonts w:hint="default" w:ascii="Times New Roman" w:hAnsi="Times New Roman" w:eastAsia="宋体" w:cs="Times New Roman"/>
          <w:b/>
          <w:bCs/>
          <w:color w:val="auto"/>
          <w:sz w:val="21"/>
          <w:szCs w:val="21"/>
        </w:rPr>
        <w:t>环境影响评价工作程序图</w:t>
      </w:r>
    </w:p>
    <w:p w14:paraId="47BC9924">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lang w:val="en-US" w:eastAsia="zh-CN"/>
        </w:rPr>
        <w:t>五</w:t>
      </w:r>
      <w:r>
        <w:rPr>
          <w:rFonts w:hint="default" w:ascii="Times New Roman" w:hAnsi="Times New Roman" w:eastAsia="宋体" w:cs="Times New Roman"/>
          <w:b/>
          <w:bCs/>
          <w:color w:val="auto"/>
        </w:rPr>
        <w:t>、</w:t>
      </w:r>
      <w:r>
        <w:rPr>
          <w:rFonts w:hint="eastAsia" w:ascii="Times New Roman" w:hAnsi="Times New Roman" w:eastAsia="宋体" w:cs="Times New Roman"/>
          <w:b/>
          <w:bCs/>
          <w:color w:val="auto"/>
          <w:lang w:val="en-US" w:eastAsia="zh-CN"/>
        </w:rPr>
        <w:t>项目选址选线</w:t>
      </w:r>
      <w:r>
        <w:rPr>
          <w:rFonts w:hint="default" w:ascii="Times New Roman" w:hAnsi="Times New Roman" w:eastAsia="宋体" w:cs="Times New Roman"/>
          <w:b/>
          <w:bCs/>
          <w:color w:val="auto"/>
        </w:rPr>
        <w:t>分析判定相关情况</w:t>
      </w:r>
    </w:p>
    <w:p w14:paraId="612B13CD">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rPr>
        <w:t>与产业政策的符合性分析</w:t>
      </w:r>
    </w:p>
    <w:p w14:paraId="19C3FB2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bCs/>
          <w:color w:val="auto"/>
        </w:rPr>
        <w:t>根据《产业结构调整指导目录（2024年本）》判定</w:t>
      </w:r>
      <w:r>
        <w:rPr>
          <w:rFonts w:hint="default" w:ascii="Times New Roman" w:hAnsi="Times New Roman" w:eastAsia="宋体" w:cs="Times New Roman"/>
          <w:color w:val="auto"/>
          <w:kern w:val="0"/>
          <w:lang w:val="en-US" w:eastAsia="zh-CN" w:bidi="ar"/>
        </w:rPr>
        <w:t>，</w:t>
      </w:r>
      <w:r>
        <w:rPr>
          <w:rFonts w:hint="default" w:ascii="Times New Roman" w:hAnsi="Times New Roman" w:eastAsia="宋体" w:cs="Times New Roman"/>
          <w:color w:val="auto"/>
          <w:kern w:val="0"/>
          <w:sz w:val="24"/>
          <w:lang w:val="en-US" w:eastAsia="zh-CN"/>
        </w:rPr>
        <w:t>项目不属于鼓励类、限制类和淘汰类</w:t>
      </w:r>
      <w:r>
        <w:rPr>
          <w:rFonts w:hint="eastAsia" w:cs="Times New Roman"/>
          <w:color w:val="auto"/>
          <w:kern w:val="0"/>
          <w:sz w:val="24"/>
          <w:lang w:val="en-US" w:eastAsia="zh-CN"/>
        </w:rPr>
        <w:t>，为允许类</w:t>
      </w:r>
      <w:r>
        <w:rPr>
          <w:rFonts w:hint="default" w:ascii="Times New Roman" w:hAnsi="Times New Roman" w:eastAsia="宋体" w:cs="Times New Roman"/>
          <w:color w:val="auto"/>
          <w:kern w:val="0"/>
          <w:lang w:val="en-US" w:eastAsia="zh-CN" w:bidi="ar"/>
        </w:rPr>
        <w:t>，</w:t>
      </w:r>
      <w:r>
        <w:rPr>
          <w:rFonts w:hint="default" w:ascii="Times New Roman" w:hAnsi="Times New Roman" w:eastAsia="宋体" w:cs="Times New Roman"/>
          <w:color w:val="auto"/>
          <w:kern w:val="0"/>
          <w:lang w:bidi="ar"/>
        </w:rPr>
        <w:t>且</w:t>
      </w:r>
      <w:r>
        <w:rPr>
          <w:rFonts w:hint="default" w:ascii="Times New Roman" w:hAnsi="Times New Roman" w:eastAsia="宋体" w:cs="Times New Roman"/>
          <w:color w:val="auto"/>
        </w:rPr>
        <w:t>本项目于2024年12月4日取得元江县发展和改革局出具的《关于元江火车站站前广场配套道路5号路建设项目可行性研究报告的批复》（元发改〔2024〕89号）；于2025年6月17日取得元江县自然资源局出具的《建设项目用地预审与选址意见书》（5304282025XS0002578）</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同意项目选址，</w:t>
      </w:r>
      <w:r>
        <w:rPr>
          <w:rFonts w:hint="default" w:ascii="Times New Roman" w:hAnsi="Times New Roman" w:eastAsia="宋体" w:cs="Times New Roman"/>
          <w:color w:val="auto"/>
        </w:rPr>
        <w:t>因此，项目</w:t>
      </w:r>
      <w:r>
        <w:rPr>
          <w:rFonts w:hint="default" w:ascii="Times New Roman" w:hAnsi="Times New Roman" w:eastAsia="宋体" w:cs="Times New Roman"/>
          <w:color w:val="auto"/>
          <w:lang w:val="en-US" w:eastAsia="zh-CN"/>
        </w:rPr>
        <w:t>的选址和</w:t>
      </w:r>
      <w:r>
        <w:rPr>
          <w:rFonts w:hint="default" w:ascii="Times New Roman" w:hAnsi="Times New Roman" w:eastAsia="宋体" w:cs="Times New Roman"/>
          <w:color w:val="auto"/>
        </w:rPr>
        <w:t>建设符合国家相关产业政策。</w:t>
      </w:r>
    </w:p>
    <w:p w14:paraId="0C4B94DA">
      <w:pPr>
        <w:keepNext w:val="0"/>
        <w:keepLines w:val="0"/>
        <w:widowControl/>
        <w:suppressLineNumbers w:val="0"/>
        <w:ind w:left="0" w:leftChars="0" w:firstLine="482" w:firstLineChars="200"/>
        <w:jc w:val="left"/>
        <w:rPr>
          <w:rFonts w:hint="default" w:ascii="Times New Roman" w:hAnsi="Times New Roman" w:cs="Times New Roman"/>
          <w:b/>
          <w:bCs/>
          <w:color w:val="auto"/>
        </w:rPr>
      </w:pPr>
      <w:r>
        <w:rPr>
          <w:rFonts w:hint="eastAsia" w:cs="Times New Roman"/>
          <w:b/>
          <w:bCs/>
          <w:color w:val="auto"/>
          <w:kern w:val="0"/>
          <w:sz w:val="24"/>
          <w:szCs w:val="24"/>
          <w:lang w:val="en-US" w:eastAsia="zh-CN" w:bidi="ar"/>
        </w:rPr>
        <w:t>2</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与</w:t>
      </w:r>
      <w:r>
        <w:rPr>
          <w:rFonts w:hint="default" w:ascii="Times New Roman" w:hAnsi="Times New Roman" w:eastAsia="宋体" w:cs="Times New Roman"/>
          <w:b/>
          <w:bCs/>
          <w:color w:val="auto"/>
          <w:kern w:val="0"/>
          <w:sz w:val="24"/>
          <w:szCs w:val="24"/>
          <w:lang w:val="en-US" w:eastAsia="zh-CN" w:bidi="ar"/>
        </w:rPr>
        <w:t>相关生态功能区协调性</w:t>
      </w:r>
    </w:p>
    <w:p w14:paraId="3E566CCB">
      <w:pPr>
        <w:adjustRightInd w:val="0"/>
        <w:snapToGrid w:val="0"/>
        <w:spacing w:before="120" w:beforeLines="50"/>
        <w:ind w:firstLine="482"/>
        <w:rPr>
          <w:rFonts w:hint="default" w:ascii="Times New Roman" w:hAnsi="Times New Roman" w:eastAsia="宋体" w:cs="Times New Roman"/>
          <w:color w:val="auto"/>
        </w:rPr>
      </w:pPr>
      <w:r>
        <w:rPr>
          <w:rFonts w:hint="default" w:ascii="Times New Roman" w:hAnsi="Times New Roman" w:eastAsia="宋体" w:cs="Times New Roman"/>
          <w:b/>
          <w:bCs/>
          <w:color w:val="auto"/>
        </w:rPr>
        <w:t>（</w:t>
      </w:r>
      <w:r>
        <w:rPr>
          <w:rFonts w:hint="eastAsia"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rPr>
        <w:t>）与</w:t>
      </w:r>
      <w:r>
        <w:rPr>
          <w:rFonts w:hint="default" w:ascii="Times New Roman" w:hAnsi="Times New Roman" w:eastAsia="宋体" w:cs="Times New Roman"/>
          <w:b/>
          <w:bCs/>
          <w:color w:val="auto"/>
          <w:kern w:val="0"/>
        </w:rPr>
        <w:t>《云南省主体功能区规划》符合性分析</w:t>
      </w:r>
    </w:p>
    <w:p w14:paraId="03C92690">
      <w:pPr>
        <w:adjustRightInd w:val="0"/>
        <w:snapToGrid w:val="0"/>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根据《云南省人民政府关于印发云南省主体功能区规划的通知》（云政发﹝2014﹞1号），本项目所涉及的</w:t>
      </w:r>
      <w:r>
        <w:rPr>
          <w:rFonts w:hint="default" w:ascii="Times New Roman" w:hAnsi="Times New Roman" w:eastAsia="宋体" w:cs="Times New Roman"/>
          <w:color w:val="auto"/>
          <w:lang w:eastAsia="zh-CN"/>
        </w:rPr>
        <w:t>元江县</w:t>
      </w:r>
      <w:r>
        <w:rPr>
          <w:rFonts w:hint="default" w:ascii="Times New Roman" w:hAnsi="Times New Roman" w:eastAsia="宋体" w:cs="Times New Roman"/>
          <w:color w:val="auto"/>
          <w:lang w:val="en-US" w:eastAsia="zh-CN"/>
        </w:rPr>
        <w:t>位于《云南省主体功能区规划》（2014 年1月）中的</w:t>
      </w:r>
      <w:r>
        <w:rPr>
          <w:rFonts w:hint="default" w:ascii="Times New Roman" w:hAnsi="Times New Roman" w:eastAsia="宋体" w:cs="Times New Roman"/>
          <w:color w:val="auto"/>
          <w:lang w:eastAsia="zh-CN"/>
        </w:rPr>
        <w:t>国家农产品主产区</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lang w:eastAsia="zh-CN"/>
        </w:rPr>
        <w:t>属于限制开发区。</w:t>
      </w:r>
      <w:r>
        <w:rPr>
          <w:rFonts w:hint="default" w:ascii="Times New Roman" w:hAnsi="Times New Roman" w:eastAsia="宋体" w:cs="Times New Roman"/>
          <w:color w:val="auto"/>
          <w:lang w:val="en-US" w:eastAsia="zh-CN"/>
        </w:rPr>
        <w:t>项目属于交通基础设施项目，项目的建设</w:t>
      </w:r>
      <w:r>
        <w:rPr>
          <w:rFonts w:hint="eastAsia" w:cs="Times New Roman"/>
          <w:color w:val="auto"/>
          <w:lang w:val="en-US" w:eastAsia="zh-CN"/>
        </w:rPr>
        <w:t>能</w:t>
      </w:r>
      <w:r>
        <w:rPr>
          <w:rFonts w:hint="default" w:ascii="Times New Roman" w:hAnsi="Times New Roman" w:eastAsia="宋体" w:cs="Times New Roman"/>
          <w:color w:val="auto"/>
          <w:lang w:val="en-US" w:eastAsia="zh-CN"/>
        </w:rPr>
        <w:t>促进元江县作为农产品主产区主要功能区的发挥，且不涉及国务院、国家有关部门、省（自治区、直辖市）人民政府、市、县人民政府规定的饮用水水源保护区、自然保护区、风景名胜区、生态功能保护区、森林公园、地质公园、世界遗产地、国家重点文物保护单位、历史文化保护地，区内无国家规定的保护动植物，因此符合《云南省主体功能区规划》的发展方向，且工程全线长仅</w:t>
      </w:r>
      <w:r>
        <w:rPr>
          <w:rFonts w:hint="default" w:ascii="Times New Roman" w:hAnsi="Times New Roman" w:eastAsia="宋体" w:cs="Times New Roman"/>
          <w:color w:val="auto"/>
          <w:lang w:val="en-US" w:eastAsia="zh-CN"/>
        </w:rPr>
        <w:t>1.447858km</w:t>
      </w:r>
      <w:r>
        <w:rPr>
          <w:rFonts w:hint="default" w:ascii="Times New Roman" w:hAnsi="Times New Roman" w:eastAsia="宋体" w:cs="Times New Roman"/>
          <w:color w:val="auto"/>
          <w:lang w:val="en-US" w:eastAsia="zh-CN"/>
        </w:rPr>
        <w:t>，施工期和营运期采取了相关生态环境保护措施，</w:t>
      </w:r>
      <w:r>
        <w:rPr>
          <w:rFonts w:hint="default" w:ascii="Times New Roman" w:hAnsi="Times New Roman" w:eastAsia="宋体" w:cs="Times New Roman"/>
          <w:color w:val="auto"/>
          <w:lang w:eastAsia="zh-CN"/>
        </w:rPr>
        <w:t>符合《云南省主体功能区规划》开发和管制原则，</w:t>
      </w:r>
      <w:r>
        <w:rPr>
          <w:rFonts w:hint="default" w:ascii="Times New Roman" w:hAnsi="Times New Roman" w:eastAsia="宋体" w:cs="Times New Roman"/>
          <w:color w:val="auto"/>
          <w:lang w:val="en-US" w:eastAsia="zh-CN"/>
        </w:rPr>
        <w:t>与《云南省主体功能区规划》不冲突</w:t>
      </w:r>
      <w:r>
        <w:rPr>
          <w:rFonts w:hint="default" w:ascii="Times New Roman" w:hAnsi="Times New Roman" w:eastAsia="宋体" w:cs="Times New Roman"/>
          <w:color w:val="auto"/>
        </w:rPr>
        <w:t>。</w:t>
      </w:r>
    </w:p>
    <w:p w14:paraId="097620E2">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r>
        <w:rPr>
          <w:rFonts w:hint="eastAsia" w:ascii="Times New Roman" w:hAnsi="Times New Roman" w:eastAsia="宋体" w:cs="Times New Roman"/>
          <w:b/>
          <w:bCs/>
          <w:color w:val="auto"/>
          <w:lang w:val="en-US" w:eastAsia="zh-CN"/>
        </w:rPr>
        <w:t>2</w:t>
      </w:r>
      <w:r>
        <w:rPr>
          <w:rFonts w:hint="default" w:ascii="Times New Roman" w:hAnsi="Times New Roman" w:eastAsia="宋体" w:cs="Times New Roman"/>
          <w:b/>
          <w:bCs/>
          <w:color w:val="auto"/>
        </w:rPr>
        <w:t>）与云南省生态功能区划的协调性分析</w:t>
      </w:r>
    </w:p>
    <w:p w14:paraId="79D0A70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根据《云南省生态功能区划》，</w:t>
      </w:r>
      <w:r>
        <w:rPr>
          <w:rFonts w:hint="eastAsia" w:ascii="宋体" w:hAnsi="宋体" w:eastAsia="宋体" w:cs="宋体"/>
          <w:color w:val="auto"/>
          <w:kern w:val="0"/>
          <w:sz w:val="24"/>
          <w:szCs w:val="24"/>
          <w:lang w:val="en-US" w:eastAsia="zh-CN" w:bidi="ar"/>
        </w:rPr>
        <w:t>工程位于本项目所在区域</w:t>
      </w:r>
      <w:r>
        <w:rPr>
          <w:rFonts w:hint="eastAsia" w:ascii="宋体" w:hAnsi="宋体" w:eastAsia="宋体" w:cs="宋体"/>
          <w:color w:val="auto"/>
          <w:kern w:val="0"/>
          <w:sz w:val="24"/>
          <w:szCs w:val="24"/>
          <w:lang w:val="en-US" w:eastAsia="zh-CN" w:bidi="ar"/>
        </w:rPr>
        <w:t>属于</w:t>
      </w:r>
      <w:r>
        <w:rPr>
          <w:rFonts w:hint="eastAsia"/>
          <w:color w:val="auto"/>
          <w:lang w:val="en-US" w:eastAsia="zh-CN"/>
        </w:rPr>
        <w:t>Ⅱ4-2元江干热河谷水土保持与林业生态功能区</w:t>
      </w:r>
      <w:r>
        <w:rPr>
          <w:rFonts w:hint="default" w:ascii="Times New Roman" w:hAnsi="Times New Roman" w:eastAsia="宋体" w:cs="Times New Roman"/>
          <w:color w:val="auto"/>
        </w:rPr>
        <w:t>。</w:t>
      </w:r>
    </w:p>
    <w:p w14:paraId="0D7565D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主要保护措施及发展方向见下表。</w:t>
      </w:r>
    </w:p>
    <w:p w14:paraId="5A04FE62">
      <w:pPr>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eastAsia" w:ascii="Times New Roman" w:hAnsi="Times New Roman" w:eastAsia="宋体" w:cs="Times New Roman"/>
          <w:b/>
          <w:color w:val="auto"/>
          <w:sz w:val="21"/>
          <w:szCs w:val="21"/>
          <w:lang w:val="en-US" w:eastAsia="zh-CN"/>
        </w:rPr>
        <w:t>2</w:t>
      </w:r>
      <w:r>
        <w:rPr>
          <w:rFonts w:hint="default" w:ascii="Times New Roman" w:hAnsi="Times New Roman" w:eastAsia="宋体" w:cs="Times New Roman"/>
          <w:b/>
          <w:color w:val="auto"/>
          <w:sz w:val="21"/>
          <w:szCs w:val="21"/>
        </w:rPr>
        <w:t xml:space="preserve"> </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rPr>
        <w:t>本项目所在区生态功能区划</w:t>
      </w:r>
    </w:p>
    <w:tbl>
      <w:tblPr>
        <w:tblStyle w:val="58"/>
        <w:tblW w:w="48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014"/>
        <w:gridCol w:w="1014"/>
        <w:gridCol w:w="1964"/>
        <w:gridCol w:w="816"/>
        <w:gridCol w:w="849"/>
        <w:gridCol w:w="866"/>
        <w:gridCol w:w="1160"/>
      </w:tblGrid>
      <w:tr w14:paraId="6B736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1615" w:type="pct"/>
            <w:gridSpan w:val="3"/>
            <w:noWrap w:val="0"/>
            <w:vAlign w:val="center"/>
          </w:tcPr>
          <w:p w14:paraId="54942F20">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生态功能分区单元</w:t>
            </w:r>
          </w:p>
        </w:tc>
        <w:tc>
          <w:tcPr>
            <w:tcW w:w="1174" w:type="pct"/>
            <w:vMerge w:val="restart"/>
            <w:noWrap w:val="0"/>
            <w:vAlign w:val="center"/>
          </w:tcPr>
          <w:p w14:paraId="39032A2D">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主要生态特征</w:t>
            </w:r>
          </w:p>
        </w:tc>
        <w:tc>
          <w:tcPr>
            <w:tcW w:w="488" w:type="pct"/>
            <w:vMerge w:val="restart"/>
            <w:noWrap w:val="0"/>
            <w:vAlign w:val="center"/>
          </w:tcPr>
          <w:p w14:paraId="4AFB3E20">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主要生态环境问题</w:t>
            </w:r>
          </w:p>
        </w:tc>
        <w:tc>
          <w:tcPr>
            <w:tcW w:w="508" w:type="pct"/>
            <w:vMerge w:val="restart"/>
            <w:noWrap w:val="0"/>
            <w:vAlign w:val="center"/>
          </w:tcPr>
          <w:p w14:paraId="2724E1F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生态环境敏感性</w:t>
            </w:r>
          </w:p>
        </w:tc>
        <w:tc>
          <w:tcPr>
            <w:tcW w:w="518" w:type="pct"/>
            <w:vMerge w:val="restart"/>
            <w:noWrap w:val="0"/>
            <w:vAlign w:val="center"/>
          </w:tcPr>
          <w:p w14:paraId="1DEFB30A">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主要生态系统服务功能</w:t>
            </w:r>
          </w:p>
        </w:tc>
        <w:tc>
          <w:tcPr>
            <w:tcW w:w="694" w:type="pct"/>
            <w:vMerge w:val="restart"/>
            <w:noWrap w:val="0"/>
            <w:vAlign w:val="center"/>
          </w:tcPr>
          <w:p w14:paraId="5C7373A1">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保护措施与发展方向</w:t>
            </w:r>
          </w:p>
        </w:tc>
      </w:tr>
      <w:tr w14:paraId="2845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402" w:type="pct"/>
            <w:noWrap w:val="0"/>
            <w:vAlign w:val="center"/>
          </w:tcPr>
          <w:p w14:paraId="4F9BD8E9">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生态区</w:t>
            </w:r>
          </w:p>
        </w:tc>
        <w:tc>
          <w:tcPr>
            <w:tcW w:w="606" w:type="pct"/>
            <w:noWrap w:val="0"/>
            <w:vAlign w:val="center"/>
          </w:tcPr>
          <w:p w14:paraId="61ECAF80">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生态亚区</w:t>
            </w:r>
          </w:p>
        </w:tc>
        <w:tc>
          <w:tcPr>
            <w:tcW w:w="606" w:type="pct"/>
            <w:noWrap w:val="0"/>
            <w:vAlign w:val="center"/>
          </w:tcPr>
          <w:p w14:paraId="2C40F063">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bCs w:val="0"/>
                <w:color w:val="auto"/>
              </w:rPr>
            </w:pPr>
            <w:r>
              <w:rPr>
                <w:rFonts w:hint="default" w:ascii="Times New Roman" w:hAnsi="Times New Roman" w:eastAsia="宋体" w:cs="Times New Roman"/>
                <w:b/>
                <w:bCs w:val="0"/>
                <w:color w:val="auto"/>
              </w:rPr>
              <w:t>生态功能区</w:t>
            </w:r>
          </w:p>
        </w:tc>
        <w:tc>
          <w:tcPr>
            <w:tcW w:w="1174" w:type="pct"/>
            <w:vMerge w:val="continue"/>
            <w:noWrap w:val="0"/>
            <w:vAlign w:val="center"/>
          </w:tcPr>
          <w:p w14:paraId="1648742A">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p>
        </w:tc>
        <w:tc>
          <w:tcPr>
            <w:tcW w:w="488" w:type="pct"/>
            <w:vMerge w:val="continue"/>
            <w:noWrap w:val="0"/>
            <w:vAlign w:val="center"/>
          </w:tcPr>
          <w:p w14:paraId="7F13DE32">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p>
        </w:tc>
        <w:tc>
          <w:tcPr>
            <w:tcW w:w="508" w:type="pct"/>
            <w:vMerge w:val="continue"/>
            <w:noWrap w:val="0"/>
            <w:vAlign w:val="center"/>
          </w:tcPr>
          <w:p w14:paraId="2480EFD8">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p>
        </w:tc>
        <w:tc>
          <w:tcPr>
            <w:tcW w:w="518" w:type="pct"/>
            <w:vMerge w:val="continue"/>
            <w:noWrap w:val="0"/>
            <w:vAlign w:val="center"/>
          </w:tcPr>
          <w:p w14:paraId="2C87155B">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p>
        </w:tc>
        <w:tc>
          <w:tcPr>
            <w:tcW w:w="694" w:type="pct"/>
            <w:vMerge w:val="continue"/>
            <w:noWrap w:val="0"/>
            <w:vAlign w:val="center"/>
          </w:tcPr>
          <w:p w14:paraId="7173661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p>
        </w:tc>
      </w:tr>
      <w:tr w14:paraId="5B2E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noWrap w:val="0"/>
            <w:vAlign w:val="center"/>
          </w:tcPr>
          <w:p w14:paraId="1BC6EF1A">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II高原亚热带南部常绿阔叶林生态区</w:t>
            </w:r>
          </w:p>
        </w:tc>
        <w:tc>
          <w:tcPr>
            <w:tcW w:w="606" w:type="pct"/>
            <w:noWrap w:val="0"/>
            <w:vAlign w:val="center"/>
          </w:tcPr>
          <w:p w14:paraId="51CE2A10">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II 4蒙自、元江岩溶山原暖性针叶林生态亚区</w:t>
            </w:r>
          </w:p>
        </w:tc>
        <w:tc>
          <w:tcPr>
            <w:tcW w:w="606" w:type="pct"/>
            <w:noWrap w:val="0"/>
            <w:vAlign w:val="center"/>
          </w:tcPr>
          <w:p w14:paraId="7841CF99">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II 4-2元江干热河谷水土保持与林业生态功能区</w:t>
            </w:r>
          </w:p>
        </w:tc>
        <w:tc>
          <w:tcPr>
            <w:tcW w:w="1174" w:type="pct"/>
            <w:noWrap w:val="0"/>
            <w:vAlign w:val="center"/>
          </w:tcPr>
          <w:p w14:paraId="2C54DA19">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以中山河谷地貌为主。海拔1300</w:t>
            </w:r>
            <w:r>
              <w:rPr>
                <w:rFonts w:hint="default" w:ascii="Times New Roman" w:hAnsi="Times New Roman" w:eastAsia="宋体" w:cs="Times New Roman"/>
                <w:b w:val="0"/>
                <w:bCs/>
                <w:color w:val="auto"/>
                <w:lang w:eastAsia="zh-CN"/>
              </w:rPr>
              <w:t>米以下</w:t>
            </w:r>
            <w:r>
              <w:rPr>
                <w:rFonts w:hint="default" w:ascii="Times New Roman" w:hAnsi="Times New Roman" w:eastAsia="宋体" w:cs="Times New Roman"/>
                <w:b w:val="0"/>
                <w:bCs/>
                <w:color w:val="auto"/>
              </w:rPr>
              <w:t>的河谷地带热量高</w:t>
            </w:r>
            <w:r>
              <w:rPr>
                <w:rFonts w:hint="default" w:ascii="Times New Roman" w:hAnsi="Times New Roman" w:eastAsia="宋体" w:cs="Times New Roman"/>
                <w:b w:val="0"/>
                <w:bCs/>
                <w:color w:val="auto"/>
                <w:lang w:eastAsia="zh-CN"/>
              </w:rPr>
              <w:t>、雨量</w:t>
            </w:r>
            <w:r>
              <w:rPr>
                <w:rFonts w:hint="default" w:ascii="Times New Roman" w:hAnsi="Times New Roman" w:eastAsia="宋体" w:cs="Times New Roman"/>
                <w:b w:val="0"/>
                <w:bCs/>
                <w:color w:val="auto"/>
              </w:rPr>
              <w:t>偏少，大部分地区降雨量在800毫米以下，山地垂直带</w:t>
            </w:r>
            <w:r>
              <w:rPr>
                <w:rFonts w:hint="eastAsia" w:ascii="Times New Roman" w:cs="Times New Roman"/>
                <w:b w:val="0"/>
                <w:bCs/>
                <w:color w:val="auto"/>
                <w:lang w:val="en-US" w:eastAsia="zh-CN"/>
              </w:rPr>
              <w:t>分布</w:t>
            </w:r>
            <w:r>
              <w:rPr>
                <w:rFonts w:hint="default" w:ascii="Times New Roman" w:hAnsi="Times New Roman" w:eastAsia="宋体" w:cs="Times New Roman"/>
                <w:b w:val="0"/>
                <w:bCs/>
                <w:color w:val="auto"/>
              </w:rPr>
              <w:t>明显，地带性植被为季风常绿阔叶林，河谷地带的植被主要是稀树灌木草丛。主要土壤类型为燥红土、赤红壤及紫色土</w:t>
            </w:r>
          </w:p>
        </w:tc>
        <w:tc>
          <w:tcPr>
            <w:tcW w:w="488" w:type="pct"/>
            <w:noWrap w:val="0"/>
            <w:vAlign w:val="center"/>
          </w:tcPr>
          <w:p w14:paraId="3612D3FE">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森林覆盖率低、土地退化严重</w:t>
            </w:r>
          </w:p>
        </w:tc>
        <w:tc>
          <w:tcPr>
            <w:tcW w:w="508" w:type="pct"/>
            <w:noWrap w:val="0"/>
            <w:vAlign w:val="center"/>
          </w:tcPr>
          <w:p w14:paraId="45A4E0AE">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土地利用不当而存在潜在的荒漠化</w:t>
            </w:r>
          </w:p>
        </w:tc>
        <w:tc>
          <w:tcPr>
            <w:tcW w:w="518" w:type="pct"/>
            <w:noWrap w:val="0"/>
            <w:vAlign w:val="center"/>
          </w:tcPr>
          <w:p w14:paraId="036107E1">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维护生态脆弱区和生态交错地带的生态安全</w:t>
            </w:r>
          </w:p>
        </w:tc>
        <w:tc>
          <w:tcPr>
            <w:tcW w:w="694" w:type="pct"/>
            <w:noWrap w:val="0"/>
            <w:vAlign w:val="center"/>
          </w:tcPr>
          <w:p w14:paraId="4B024F4B">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哀牢山西坡封山育林、河谷地带调整产业结构，发展热带经济林木，减少土地的过度利用带来的土地退化</w:t>
            </w:r>
          </w:p>
        </w:tc>
      </w:tr>
    </w:tbl>
    <w:p w14:paraId="6A4ABD4F">
      <w:pPr>
        <w:adjustRightInd w:val="0"/>
        <w:snapToGrid w:val="0"/>
        <w:spacing w:before="120" w:beforeLines="50"/>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rPr>
        <w:t>本项目为元江火车站站</w:t>
      </w:r>
      <w:r>
        <w:rPr>
          <w:rFonts w:hint="default" w:ascii="Times New Roman" w:hAnsi="Times New Roman" w:eastAsia="宋体" w:cs="Times New Roman"/>
          <w:color w:val="auto"/>
        </w:rPr>
        <w:t>前广场配套道路5号路建设项目，</w:t>
      </w:r>
      <w:r>
        <w:rPr>
          <w:rFonts w:hint="eastAsia" w:ascii="宋体" w:hAnsi="宋体" w:eastAsia="宋体" w:cs="宋体"/>
          <w:color w:val="auto"/>
          <w:kern w:val="0"/>
          <w:sz w:val="24"/>
          <w:szCs w:val="24"/>
          <w:lang w:val="en-US" w:eastAsia="zh-CN" w:bidi="ar"/>
        </w:rPr>
        <w:t>不属于水体污染和流域区的面源污染建设项目，</w:t>
      </w:r>
      <w:r>
        <w:rPr>
          <w:rFonts w:hint="default" w:ascii="Times New Roman" w:hAnsi="Times New Roman" w:eastAsia="宋体" w:cs="Times New Roman"/>
          <w:color w:val="auto"/>
        </w:rPr>
        <w:t>沿线</w:t>
      </w:r>
      <w:r>
        <w:rPr>
          <w:rFonts w:hint="eastAsia" w:ascii="Times New Roman" w:hAnsi="Times New Roman" w:eastAsia="宋体" w:cs="Times New Roman"/>
          <w:color w:val="auto"/>
          <w:lang w:val="en-US" w:eastAsia="zh-CN"/>
        </w:rPr>
        <w:t>用地</w:t>
      </w:r>
      <w:r>
        <w:rPr>
          <w:rFonts w:hint="default" w:ascii="Times New Roman" w:hAnsi="Times New Roman" w:eastAsia="宋体" w:cs="Times New Roman"/>
          <w:color w:val="auto"/>
        </w:rPr>
        <w:t>以园地</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荒地</w:t>
      </w:r>
      <w:r>
        <w:rPr>
          <w:rFonts w:hint="default" w:ascii="Times New Roman" w:hAnsi="Times New Roman" w:eastAsia="宋体" w:cs="Times New Roman"/>
          <w:color w:val="auto"/>
        </w:rPr>
        <w:t>为主，不涉及占用永久基本农田、林地、生态保护红线。本项目的建设对原有生境的切割不可避免，但路线长度较短，占地面积不大，</w:t>
      </w:r>
      <w:r>
        <w:rPr>
          <w:rFonts w:hint="default" w:ascii="Times New Roman" w:hAnsi="Times New Roman" w:eastAsia="宋体" w:cs="Times New Roman"/>
          <w:color w:val="auto"/>
          <w:spacing w:val="-1"/>
        </w:rPr>
        <w:t>施工结束后及时实施生态修复，可有效控制水土流失造成的损失。</w:t>
      </w:r>
      <w:r>
        <w:rPr>
          <w:rFonts w:hint="default" w:ascii="Times New Roman" w:hAnsi="Times New Roman" w:eastAsia="宋体" w:cs="Times New Roman"/>
          <w:color w:val="auto"/>
        </w:rPr>
        <w:t>因此，项目与《云南省生态功能区划》不冲突。</w:t>
      </w:r>
    </w:p>
    <w:p w14:paraId="159D31B2">
      <w:pPr>
        <w:widowControl/>
        <w:ind w:left="0" w:leftChars="0" w:firstLine="482" w:firstLineChars="200"/>
        <w:jc w:val="left"/>
        <w:rPr>
          <w:rFonts w:hint="default" w:ascii="Times New Roman" w:hAnsi="Times New Roman" w:eastAsia="宋体" w:cs="Times New Roman"/>
          <w:color w:val="auto"/>
          <w:kern w:val="0"/>
          <w:lang w:val="en-US" w:eastAsia="zh-CN" w:bidi="ar"/>
        </w:rPr>
      </w:pPr>
      <w:r>
        <w:rPr>
          <w:rFonts w:hint="eastAsia" w:ascii="Times New Roman" w:hAnsi="Times New Roman" w:eastAsia="宋体" w:cs="Times New Roman"/>
          <w:b/>
          <w:bCs/>
          <w:color w:val="auto"/>
          <w:lang w:val="en-US" w:eastAsia="zh-CN"/>
        </w:rPr>
        <w:t>4.</w:t>
      </w:r>
      <w:r>
        <w:rPr>
          <w:rFonts w:hint="default" w:ascii="Times New Roman" w:hAnsi="Times New Roman" w:eastAsia="宋体" w:cs="Times New Roman"/>
          <w:b/>
          <w:bCs/>
          <w:color w:val="auto"/>
        </w:rPr>
        <w:t>与玉溪市生态环境分区管控的符合性分析</w:t>
      </w:r>
    </w:p>
    <w:p w14:paraId="274F08B9">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2024年7月6日，玉溪市生态环境局发布了《玉溪市生态环境分区管控动态更新调整方案（2023年）》（玉市环〔2024〕40号），根据《玉溪市生态环境分区管控动态更新调整方案（2023年）》，元江县共划分9个生态环境管控单元，包括3个优先保护单元、5个重点管控单元和1个一般管控单元。</w:t>
      </w:r>
    </w:p>
    <w:p w14:paraId="2138F597">
      <w:pPr>
        <w:widowControl/>
        <w:ind w:firstLine="480"/>
        <w:rPr>
          <w:rFonts w:hint="default" w:ascii="Times New Roman" w:hAnsi="Times New Roman" w:eastAsia="宋体" w:cs="Times New Roman"/>
          <w:color w:val="auto"/>
          <w:kern w:val="0"/>
          <w:lang w:bidi="ar"/>
        </w:rPr>
      </w:pPr>
      <w:r>
        <w:rPr>
          <w:rFonts w:hint="default" w:ascii="Times New Roman" w:hAnsi="Times New Roman" w:eastAsia="宋体" w:cs="Times New Roman"/>
          <w:bCs/>
          <w:color w:val="auto"/>
        </w:rPr>
        <w:t>本项目选址位于元江县甘庄街道，根据云南省生态环境分区管控公共服务查询平台的查询结果，项目占地涉及</w:t>
      </w:r>
      <w:r>
        <w:rPr>
          <w:rFonts w:hint="default" w:ascii="Times New Roman" w:hAnsi="Times New Roman" w:eastAsia="宋体" w:cs="Times New Roman"/>
          <w:color w:val="auto"/>
          <w:kern w:val="0"/>
          <w:lang w:bidi="ar"/>
        </w:rPr>
        <w:t>元江县一般管控单元（ZH53042830001）、</w:t>
      </w:r>
      <w:r>
        <w:rPr>
          <w:rFonts w:hint="default" w:ascii="Times New Roman" w:hAnsi="Times New Roman" w:eastAsia="宋体" w:cs="Times New Roman"/>
          <w:color w:val="auto"/>
        </w:rPr>
        <w:t>元江县乡镇生活污染重点管控单元（ZH53042820005）</w:t>
      </w:r>
      <w:r>
        <w:rPr>
          <w:rFonts w:hint="default" w:ascii="Times New Roman" w:hAnsi="Times New Roman" w:eastAsia="宋体" w:cs="Times New Roman"/>
          <w:color w:val="auto"/>
          <w:kern w:val="0"/>
          <w:lang w:bidi="ar"/>
        </w:rPr>
        <w:t>。</w:t>
      </w:r>
    </w:p>
    <w:p w14:paraId="45484CF4">
      <w:pPr>
        <w:widowControl/>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4520565" cy="5855335"/>
            <wp:effectExtent l="9525" t="9525" r="22860" b="21590"/>
            <wp:docPr id="22" name="图片 35" descr="管控单元截图20260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5" descr="管控单元截图20260114"/>
                    <pic:cNvPicPr>
                      <a:picLocks noChangeAspect="1"/>
                    </pic:cNvPicPr>
                  </pic:nvPicPr>
                  <pic:blipFill>
                    <a:blip r:embed="rId23"/>
                    <a:stretch>
                      <a:fillRect/>
                    </a:stretch>
                  </pic:blipFill>
                  <pic:spPr>
                    <a:xfrm>
                      <a:off x="0" y="0"/>
                      <a:ext cx="4520565" cy="5855335"/>
                    </a:xfrm>
                    <a:prstGeom prst="rect">
                      <a:avLst/>
                    </a:prstGeom>
                    <a:noFill/>
                    <a:ln w="9525" cap="flat" cmpd="sng">
                      <a:solidFill>
                        <a:srgbClr val="000000"/>
                      </a:solidFill>
                      <a:prstDash val="solid"/>
                      <a:round/>
                      <a:headEnd type="none" w="med" len="med"/>
                      <a:tailEnd type="none" w="med" len="med"/>
                    </a:ln>
                  </pic:spPr>
                </pic:pic>
              </a:graphicData>
            </a:graphic>
          </wp:inline>
        </w:drawing>
      </w:r>
    </w:p>
    <w:p w14:paraId="5F17D054">
      <w:pPr>
        <w:widowControl/>
        <w:ind w:firstLine="422"/>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图1  项目生态环境分区管控单元查询截图</w:t>
      </w:r>
    </w:p>
    <w:p w14:paraId="35BAC1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b/>
          <w:bCs/>
          <w:color w:val="auto"/>
          <w:sz w:val="21"/>
          <w:szCs w:val="21"/>
          <w:lang w:val="en-US" w:eastAsia="zh-CN"/>
        </w:rPr>
      </w:pPr>
      <w:r>
        <w:rPr>
          <w:rFonts w:hint="eastAsia"/>
          <w:b/>
          <w:bCs/>
          <w:color w:val="auto"/>
          <w:sz w:val="21"/>
          <w:szCs w:val="21"/>
          <w:lang w:val="en-US" w:eastAsia="zh-CN"/>
        </w:rPr>
        <w:t xml:space="preserve">表3  </w:t>
      </w:r>
      <w:r>
        <w:rPr>
          <w:rFonts w:hint="default" w:ascii="Times New Roman" w:hAnsi="Times New Roman" w:eastAsia="宋体" w:cs="Times New Roman"/>
          <w:b/>
          <w:bCs/>
          <w:color w:val="auto"/>
          <w:sz w:val="21"/>
          <w:szCs w:val="21"/>
        </w:rPr>
        <w:t>与玉溪市生态环境分区管控的符合性分析</w:t>
      </w:r>
    </w:p>
    <w:tbl>
      <w:tblPr>
        <w:tblStyle w:val="58"/>
        <w:tblpPr w:leftFromText="180" w:rightFromText="180" w:vertAnchor="text" w:tblpXSpec="left" w:tblpY="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4476"/>
        <w:gridCol w:w="3095"/>
        <w:gridCol w:w="527"/>
      </w:tblGrid>
      <w:tr w14:paraId="3318C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5D2C79A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2626" w:type="pct"/>
            <w:noWrap w:val="0"/>
            <w:vAlign w:val="center"/>
          </w:tcPr>
          <w:p w14:paraId="5FBC4B1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《通知》要求</w:t>
            </w:r>
          </w:p>
        </w:tc>
        <w:tc>
          <w:tcPr>
            <w:tcW w:w="1815" w:type="pct"/>
            <w:noWrap w:val="0"/>
            <w:vAlign w:val="center"/>
          </w:tcPr>
          <w:p w14:paraId="1C31E6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项目情况</w:t>
            </w:r>
          </w:p>
        </w:tc>
        <w:tc>
          <w:tcPr>
            <w:tcW w:w="307" w:type="pct"/>
            <w:noWrap w:val="0"/>
            <w:vAlign w:val="center"/>
          </w:tcPr>
          <w:p w14:paraId="201ADD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符合性</w:t>
            </w:r>
          </w:p>
        </w:tc>
      </w:tr>
      <w:tr w14:paraId="3C6D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2E52B0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一、生态保护红线和一般生态空间</w:t>
            </w:r>
          </w:p>
        </w:tc>
      </w:tr>
      <w:tr w14:paraId="02BDA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30B567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2626" w:type="pct"/>
            <w:noWrap w:val="0"/>
            <w:vAlign w:val="center"/>
          </w:tcPr>
          <w:p w14:paraId="4852127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执行《云南省人民政府关于发布云南省生态保护红线的通知》（云政发〔2018〕32号），生态保护红线评估调整成果获批后，按照批准成果执行。将未划入生态保护红线的自然保护地、饮用水水源保护区、重要湿地、基本草原、生态公益林、天然林等生态功能重要、生态环境敏感区域划为一般生态空间。</w:t>
            </w:r>
          </w:p>
        </w:tc>
        <w:tc>
          <w:tcPr>
            <w:tcW w:w="1815" w:type="pct"/>
            <w:noWrap w:val="0"/>
            <w:vAlign w:val="center"/>
          </w:tcPr>
          <w:p w14:paraId="7824DE5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本项目位于元江县甘庄街道，评价范围内不涉及自然保护区、风景名胜区、世界文化和自然遗产地、森林公园、饮用水源保护区、基本农田等生态敏感区，不涉及占用元江县生态保护红线和一般生态空间。</w:t>
            </w:r>
          </w:p>
        </w:tc>
        <w:tc>
          <w:tcPr>
            <w:tcW w:w="307" w:type="pct"/>
            <w:noWrap w:val="0"/>
            <w:vAlign w:val="center"/>
          </w:tcPr>
          <w:p w14:paraId="44B5A5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26F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159BD36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二、环境质量底线</w:t>
            </w:r>
          </w:p>
        </w:tc>
      </w:tr>
      <w:tr w14:paraId="0F10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3011A41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2626" w:type="pct"/>
            <w:noWrap w:val="0"/>
            <w:vAlign w:val="center"/>
          </w:tcPr>
          <w:p w14:paraId="24F57E1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环境质量底线。到2025年，全市水环境质量持续改善，纳入国家和省级考核的地表水监测断面水质优良率稳步提升。抚仙湖水质稳定保持Ⅰ类水质标准，星云湖、杞麓湖水质指标均达到Ⅴ类水质标准。中心城区及县城集中式饮用水水源地水质达标率为100%。到2035年，全市水环境质量总体改善，水生生态系统功能恢复。地表水水体水质优良率全面提升，彻底消除劣V类水体。抚仙湖水质稳定保持Ⅰ类水质标准，星云湖和杞麓湖水质持续稳定向好。</w:t>
            </w:r>
          </w:p>
        </w:tc>
        <w:tc>
          <w:tcPr>
            <w:tcW w:w="1815" w:type="pct"/>
            <w:noWrap w:val="0"/>
            <w:vAlign w:val="center"/>
          </w:tcPr>
          <w:p w14:paraId="11D7790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本项目涉及地表水为甘庄河，根据《元江县2024年环境质量状况（简报）》（玉溪市生态环境局元江分局，2025年1月13日），甘庄河箐门口断面：2024年水质综合评</w:t>
            </w:r>
            <w:r>
              <w:rPr>
                <w:rFonts w:hint="default" w:ascii="Times New Roman" w:hAnsi="Times New Roman" w:eastAsia="宋体" w:cs="Times New Roman"/>
                <w:b w:val="0"/>
                <w:bCs w:val="0"/>
                <w:color w:val="auto"/>
                <w:sz w:val="21"/>
                <w:szCs w:val="21"/>
                <w:lang w:eastAsia="zh-CN"/>
              </w:rPr>
              <w:t>价为</w:t>
            </w:r>
            <w:r>
              <w:rPr>
                <w:rFonts w:hint="default" w:ascii="Times New Roman" w:hAnsi="Times New Roman" w:eastAsia="宋体" w:cs="Times New Roman"/>
                <w:b w:val="0"/>
                <w:bCs w:val="0"/>
                <w:color w:val="auto"/>
                <w:sz w:val="21"/>
                <w:szCs w:val="21"/>
              </w:rPr>
              <w:t>Ⅱ类，水质符合功能区划要求；甘庄河收费站断面（甘庄立交）：2024年水质综合评价为Ⅴ类，超标因子氨氮（0.7倍），水质不符合功能区划要求；甘庄河二塘桥断面：2024年水质综合评价Ⅲ类，水质符合功能区划要求；2024年甘庄河河流整体评价Ⅲ类，水质状况良好，水质符合功能区划要求。</w:t>
            </w:r>
          </w:p>
        </w:tc>
        <w:tc>
          <w:tcPr>
            <w:tcW w:w="307" w:type="pct"/>
            <w:noWrap w:val="0"/>
            <w:vAlign w:val="center"/>
          </w:tcPr>
          <w:p w14:paraId="66A2D3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6682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094411D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2626" w:type="pct"/>
            <w:noWrap w:val="0"/>
            <w:vAlign w:val="center"/>
          </w:tcPr>
          <w:p w14:paraId="4435C66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大气环境质量底线。到2025年，全市环境空气质量稳中向好，中心城区城市空气质量优良天数比率保持稳定，主要污染物排放量达到国家和省级污染物总量控制要求，单位GDP二氧化碳排放控制在省下达指标内。到2035年，全市环境空气质量持续保持优良，实现稳中向好，主要污染物排放总量和二氧化碳排放量持续减少。</w:t>
            </w:r>
          </w:p>
        </w:tc>
        <w:tc>
          <w:tcPr>
            <w:tcW w:w="1815" w:type="pct"/>
            <w:noWrap w:val="0"/>
            <w:vAlign w:val="center"/>
          </w:tcPr>
          <w:p w14:paraId="3C0E225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项目区域属于环境空气二类功能区，根据2024年元江县环境空气质量自动监测数据，元江县环境空气PM</w:t>
            </w:r>
            <w:r>
              <w:rPr>
                <w:rFonts w:hint="default" w:ascii="Times New Roman" w:hAnsi="Times New Roman" w:eastAsia="宋体" w:cs="Times New Roman"/>
                <w:b w:val="0"/>
                <w:bCs w:val="0"/>
                <w:color w:val="auto"/>
                <w:sz w:val="21"/>
                <w:szCs w:val="21"/>
                <w:vertAlign w:val="subscript"/>
              </w:rPr>
              <w:t>10</w:t>
            </w:r>
            <w:r>
              <w:rPr>
                <w:rFonts w:hint="default" w:ascii="Times New Roman" w:hAnsi="Times New Roman" w:eastAsia="宋体" w:cs="Times New Roman"/>
                <w:b w:val="0"/>
                <w:bCs w:val="0"/>
                <w:color w:val="auto"/>
                <w:sz w:val="21"/>
                <w:szCs w:val="21"/>
              </w:rPr>
              <w:t>、PM</w:t>
            </w:r>
            <w:r>
              <w:rPr>
                <w:rFonts w:hint="default" w:ascii="Times New Roman" w:hAnsi="Times New Roman" w:eastAsia="宋体" w:cs="Times New Roman"/>
                <w:b w:val="0"/>
                <w:bCs w:val="0"/>
                <w:color w:val="auto"/>
                <w:sz w:val="21"/>
                <w:szCs w:val="21"/>
                <w:vertAlign w:val="subscript"/>
              </w:rPr>
              <w:t>2.5</w:t>
            </w:r>
            <w:r>
              <w:rPr>
                <w:rFonts w:hint="default" w:ascii="Times New Roman" w:hAnsi="Times New Roman" w:eastAsia="宋体" w:cs="Times New Roman"/>
                <w:b w:val="0"/>
                <w:bCs w:val="0"/>
                <w:color w:val="auto"/>
                <w:sz w:val="21"/>
                <w:szCs w:val="21"/>
              </w:rPr>
              <w:t>、SO</w:t>
            </w:r>
            <w:r>
              <w:rPr>
                <w:rFonts w:hint="default" w:ascii="Times New Roman" w:hAnsi="Times New Roman" w:eastAsia="宋体" w:cs="Times New Roman"/>
                <w:b w:val="0"/>
                <w:bCs w:val="0"/>
                <w:color w:val="auto"/>
                <w:sz w:val="21"/>
                <w:szCs w:val="21"/>
                <w:vertAlign w:val="subscript"/>
              </w:rPr>
              <w:t>2</w:t>
            </w:r>
            <w:r>
              <w:rPr>
                <w:rFonts w:hint="default" w:ascii="Times New Roman" w:hAnsi="Times New Roman" w:eastAsia="宋体" w:cs="Times New Roman"/>
                <w:b w:val="0"/>
                <w:bCs w:val="0"/>
                <w:color w:val="auto"/>
                <w:sz w:val="21"/>
                <w:szCs w:val="21"/>
              </w:rPr>
              <w:t>、NO</w:t>
            </w:r>
            <w:r>
              <w:rPr>
                <w:rFonts w:hint="default" w:ascii="Times New Roman" w:hAnsi="Times New Roman" w:eastAsia="宋体" w:cs="Times New Roman"/>
                <w:b w:val="0"/>
                <w:bCs w:val="0"/>
                <w:color w:val="auto"/>
                <w:sz w:val="21"/>
                <w:szCs w:val="21"/>
                <w:vertAlign w:val="subscript"/>
              </w:rPr>
              <w:t>2</w:t>
            </w:r>
            <w:r>
              <w:rPr>
                <w:rFonts w:hint="default" w:ascii="Times New Roman" w:hAnsi="Times New Roman" w:eastAsia="宋体" w:cs="Times New Roman"/>
                <w:b w:val="0"/>
                <w:bCs w:val="0"/>
                <w:color w:val="auto"/>
                <w:sz w:val="21"/>
                <w:szCs w:val="21"/>
              </w:rPr>
              <w:t>、CO、O</w:t>
            </w:r>
            <w:r>
              <w:rPr>
                <w:rFonts w:hint="default" w:ascii="Times New Roman" w:hAnsi="Times New Roman" w:eastAsia="宋体" w:cs="Times New Roman"/>
                <w:b w:val="0"/>
                <w:bCs w:val="0"/>
                <w:color w:val="auto"/>
                <w:sz w:val="21"/>
                <w:szCs w:val="21"/>
                <w:vertAlign w:val="subscript"/>
              </w:rPr>
              <w:t>3</w:t>
            </w:r>
            <w:r>
              <w:rPr>
                <w:rFonts w:hint="default" w:ascii="Times New Roman" w:hAnsi="Times New Roman" w:eastAsia="宋体" w:cs="Times New Roman"/>
                <w:b w:val="0"/>
                <w:bCs w:val="0"/>
                <w:color w:val="auto"/>
                <w:sz w:val="21"/>
                <w:szCs w:val="21"/>
              </w:rPr>
              <w:t>六项污染物均满足《环境空气质量标准》（GB 3095-20</w:t>
            </w:r>
            <w:r>
              <w:rPr>
                <w:rFonts w:hint="default" w:ascii="Times New Roman" w:hAnsi="Times New Roman" w:eastAsia="宋体" w:cs="Times New Roman"/>
                <w:b w:val="0"/>
                <w:bCs w:val="0"/>
                <w:color w:val="auto"/>
                <w:sz w:val="21"/>
                <w:szCs w:val="21"/>
                <w:lang w:val="en-US" w:eastAsia="zh-CN"/>
              </w:rPr>
              <w:t>26</w:t>
            </w:r>
            <w:r>
              <w:rPr>
                <w:rFonts w:hint="default" w:ascii="Times New Roman" w:hAnsi="Times New Roman" w:eastAsia="宋体" w:cs="Times New Roman"/>
                <w:b w:val="0"/>
                <w:bCs w:val="0"/>
                <w:color w:val="auto"/>
                <w:sz w:val="21"/>
                <w:szCs w:val="21"/>
              </w:rPr>
              <w:t>）的二级标准浓度限值要求。因此，项目所在区域属于环境空气质量达标区。</w:t>
            </w:r>
          </w:p>
        </w:tc>
        <w:tc>
          <w:tcPr>
            <w:tcW w:w="307" w:type="pct"/>
            <w:noWrap w:val="0"/>
            <w:vAlign w:val="center"/>
          </w:tcPr>
          <w:p w14:paraId="49A33A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0D68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79E9E20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2626" w:type="pct"/>
            <w:noWrap w:val="0"/>
            <w:vAlign w:val="center"/>
          </w:tcPr>
          <w:p w14:paraId="426D84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土壤环境风险防控底线。到2025年，全市土壤环境风险防范体系进一步完善，受污染耕地安全利用率和污染地块安全利用率达到省下达的目标要求。到2035年，全市土壤环境质量稳中向好，农用地和建设用地土壤环境安全得到有效保障，受污染耕地安全利用率和污染地块安全利用率进一步提高，土壤环境风险得到全面管控。</w:t>
            </w:r>
          </w:p>
        </w:tc>
        <w:tc>
          <w:tcPr>
            <w:tcW w:w="1815" w:type="pct"/>
            <w:noWrap w:val="0"/>
            <w:vAlign w:val="center"/>
          </w:tcPr>
          <w:p w14:paraId="295B00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项目为公路建设项目，线路分布地段不涉及自然保护区、风景名胜区、基本农田，占用土地主要为园地。项目施工期施工场地布置废水沉淀池；拆迁产生的建筑垃圾充分回收利用；工程施工弃土集中堆置在弃</w:t>
            </w:r>
            <w:r>
              <w:rPr>
                <w:rFonts w:hint="eastAsia" w:hAnsi="Times New Roman" w:cs="Times New Roman"/>
                <w:b w:val="0"/>
                <w:bCs w:val="0"/>
                <w:color w:val="auto"/>
                <w:sz w:val="21"/>
                <w:szCs w:val="21"/>
                <w:lang w:val="en-US" w:eastAsia="zh-CN"/>
              </w:rPr>
              <w:t>渣</w:t>
            </w:r>
            <w:r>
              <w:rPr>
                <w:rFonts w:hint="default" w:ascii="Times New Roman" w:hAnsi="Times New Roman" w:eastAsia="宋体" w:cs="Times New Roman"/>
                <w:b w:val="0"/>
                <w:bCs w:val="0"/>
                <w:color w:val="auto"/>
                <w:sz w:val="21"/>
                <w:szCs w:val="21"/>
              </w:rPr>
              <w:t>场；施工人员生活垃圾收集后运送至环卫部门指定的堆存场所；施工临时占地等在建设完成后将进行生态恢复，对土壤环境影响较小。项目</w:t>
            </w:r>
            <w:r>
              <w:rPr>
                <w:rFonts w:hint="eastAsia" w:hAnsi="Times New Roman" w:cs="Times New Roman"/>
                <w:b w:val="0"/>
                <w:bCs w:val="0"/>
                <w:color w:val="auto"/>
                <w:sz w:val="21"/>
                <w:szCs w:val="21"/>
                <w:lang w:eastAsia="zh-CN"/>
              </w:rPr>
              <w:t>营运期</w:t>
            </w:r>
            <w:r>
              <w:rPr>
                <w:rFonts w:hint="default" w:ascii="Times New Roman" w:hAnsi="Times New Roman" w:eastAsia="宋体" w:cs="Times New Roman"/>
                <w:b w:val="0"/>
                <w:bCs w:val="0"/>
                <w:color w:val="auto"/>
                <w:sz w:val="21"/>
                <w:szCs w:val="21"/>
              </w:rPr>
              <w:t>降雨产生的路面径流污水经排水沟排入沟渠，路面垃圾由环卫部门组织人员定期清扫，对周边土壤环境影响较小。</w:t>
            </w:r>
          </w:p>
        </w:tc>
        <w:tc>
          <w:tcPr>
            <w:tcW w:w="307" w:type="pct"/>
            <w:noWrap w:val="0"/>
            <w:vAlign w:val="center"/>
          </w:tcPr>
          <w:p w14:paraId="396897A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343C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299224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三、资源利用上线</w:t>
            </w:r>
          </w:p>
        </w:tc>
      </w:tr>
      <w:tr w14:paraId="7C08F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451D817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2626" w:type="pct"/>
            <w:noWrap w:val="0"/>
            <w:vAlign w:val="center"/>
          </w:tcPr>
          <w:p w14:paraId="1AF9552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强化资源能源节约集约利用，持续提升资源能源利用效率，水资源、土地资源、能源消耗等达到或优于省下达的总量和强度控制目标。</w:t>
            </w:r>
          </w:p>
        </w:tc>
        <w:tc>
          <w:tcPr>
            <w:tcW w:w="1815" w:type="pct"/>
            <w:noWrap w:val="0"/>
            <w:vAlign w:val="center"/>
          </w:tcPr>
          <w:p w14:paraId="432AD7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本项目在建设过程中，将对临时占地、边坡等处进行绿化，提高土地节约集约利用水平。</w:t>
            </w:r>
          </w:p>
        </w:tc>
        <w:tc>
          <w:tcPr>
            <w:tcW w:w="307" w:type="pct"/>
            <w:noWrap w:val="0"/>
            <w:vAlign w:val="center"/>
          </w:tcPr>
          <w:p w14:paraId="0230DD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422F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665769A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四、玉溪市生态环境分区管控总体要求</w:t>
            </w:r>
          </w:p>
        </w:tc>
      </w:tr>
      <w:tr w14:paraId="5F1C3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502C8B9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空间布局约束</w:t>
            </w:r>
          </w:p>
        </w:tc>
        <w:tc>
          <w:tcPr>
            <w:tcW w:w="2626" w:type="pct"/>
            <w:noWrap w:val="0"/>
            <w:vAlign w:val="center"/>
          </w:tcPr>
          <w:p w14:paraId="74C8E2F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严格落实国家产业政策、国家产业结构调整指导目录。坚决遏制高耗能、高排放、低水平项目盲目发展，项目审批严格落实国家和云南省相关政策要求。严格落实钢铁、水泥、平板玻璃、电解铝等行业产能置换相关政策，严管严控新增电解铝和工业硅产能。</w:t>
            </w:r>
          </w:p>
          <w:p w14:paraId="507187A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加强河湖水域岸线空间管控，严格落实九大高原湖泊（抚仙湖、星云湖、杞麓湖）“两线三区”相关管控要求。加快推动重点区域、重点流域落后和过剩产能退出。依法加快城市建成区重污染企业搬迁改造或关闭退出。</w:t>
            </w:r>
          </w:p>
          <w:p w14:paraId="1AC39B9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禁止在合规园区外新建、扩建钢铁、石化、化工、焦化、建材、有色、制浆造纸行业中的高污染项目。禁止新建、扩建不符合国家石化、现代煤化工等产业布局规划的项目。禁止列入《云南省城镇人口密集区危险化学品生产企业搬迁改造名单》的搬迁改造企业在原址新建、扩建危险化学品生产项目。新建、改建、扩建“两高”项目须符合生态环境保护法律法规和相关法定规划，满足重点污染物排放总量控制、碳排放达峰目标、生态环境准入清单、相关规划环评和相应行业建设项目环境准入条件、环评文件审批原则要求。</w:t>
            </w:r>
          </w:p>
          <w:p w14:paraId="03D920C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4.禁止在九大高原湖泊（抚仙湖、星云湖、杞麓湖）流域内新建、改建、扩建污染环境、高耗水、高耗能、破坏生态平衡和自然景观的项目。</w:t>
            </w:r>
          </w:p>
          <w:p w14:paraId="05F9ECB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5.落实云南省碳达峰碳中和相关要求，处理好发展和减排、整体和局部、长远目标和短期目标、政府和市场的关系，坚定不移走生态优先、绿色低碳的高质量发展道路。</w:t>
            </w:r>
          </w:p>
        </w:tc>
        <w:tc>
          <w:tcPr>
            <w:tcW w:w="1815" w:type="pct"/>
            <w:noWrap w:val="0"/>
            <w:vAlign w:val="center"/>
          </w:tcPr>
          <w:p w14:paraId="35A341F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1.本项目为公路建设项目，符合国家产业政策，不属于高耗能、高排放、低水平项目，不涉及钢铁、水泥、平板玻璃、电解铝等行业。</w:t>
            </w:r>
          </w:p>
          <w:p w14:paraId="7BDC144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2.项目选址不在九大高原湖泊（抚仙湖、星云湖、杞麓湖）“两线三区”范围内，不涉及过剩产能和淘汰落后产能。</w:t>
            </w:r>
          </w:p>
          <w:p w14:paraId="41A0C2D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3、4.</w:t>
            </w:r>
            <w:r>
              <w:rPr>
                <w:rFonts w:hint="default" w:ascii="Times New Roman" w:hAnsi="Times New Roman" w:eastAsia="宋体" w:cs="Times New Roman"/>
                <w:b w:val="0"/>
                <w:bCs w:val="0"/>
                <w:color w:val="auto"/>
                <w:sz w:val="21"/>
                <w:szCs w:val="21"/>
                <w:lang w:eastAsia="zh-CN"/>
              </w:rPr>
              <w:t>项目</w:t>
            </w:r>
            <w:r>
              <w:rPr>
                <w:rFonts w:hint="default" w:ascii="Times New Roman" w:hAnsi="Times New Roman" w:eastAsia="宋体" w:cs="Times New Roman"/>
                <w:b w:val="0"/>
                <w:bCs w:val="0"/>
                <w:color w:val="auto"/>
                <w:sz w:val="21"/>
                <w:szCs w:val="21"/>
              </w:rPr>
              <w:t>不涉及。</w:t>
            </w:r>
          </w:p>
          <w:p w14:paraId="52E14A9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5.项目落实云南省碳达峰碳中和相关要求，走生态优先、绿色低碳的高质量发展道路。</w:t>
            </w:r>
          </w:p>
        </w:tc>
        <w:tc>
          <w:tcPr>
            <w:tcW w:w="307" w:type="pct"/>
            <w:noWrap w:val="0"/>
            <w:vAlign w:val="center"/>
          </w:tcPr>
          <w:p w14:paraId="6D111FF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ADC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5DC3E10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污染物排放管控</w:t>
            </w:r>
          </w:p>
        </w:tc>
        <w:tc>
          <w:tcPr>
            <w:tcW w:w="2626" w:type="pct"/>
            <w:noWrap w:val="0"/>
            <w:vAlign w:val="center"/>
          </w:tcPr>
          <w:p w14:paraId="4C2D314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1.严格落实强制性清洁生产审核要求，引导重点行业实施清洁生产改造，到2025年底，重点行业企业基本达到国内清洁生产先进水平。</w:t>
            </w:r>
          </w:p>
          <w:p w14:paraId="6303173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加大“三湖”（抚仙湖、星云湖、杞麓湖）及“两江”（南盘江干流、红河水系玉溪段）流域的保护和治理，推进流域环湖截污治污，加强湖泊内源污染风险防范，开展污水处理提质增效、农业面源污染治理、入河排污口整治、开发区污染治理、“三磷”和重金属行业排查等专项行动，建立水环境质量管理长效机制，持续巩固治理成效。持续打好城市黑臭水体治理攻坚战，有效控制入河污染物排放，强化溯源整治，推进城镇污水管网全覆盖。</w:t>
            </w:r>
          </w:p>
          <w:p w14:paraId="648A174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3.严格保护城乡饮用水水源地，整治饮用水水源保护区内的污染源，确保饮水安全。</w:t>
            </w:r>
          </w:p>
          <w:p w14:paraId="3F6E0A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开展细颗粒物和臭氧协同控制、挥发性有机物和氮氧化物协同减排。石化、化工、包装印刷、工业涂装等VOCs排放重点源，纳入重点排污单位名录，推进挥发性有机物综合治理，实施原辅材料和产品源头替代工程，排污口安装自动监控设施。推进运输结构调整，开展清洁柴油车（机）、清洁油品、车用尿素等专项行动，开展建筑施工工地扬尘专项治理；加大餐饮油烟污染、恶臭异味治理力度，强化秸秆综合利用和禁烧管控。推动有色金属、钢铁、磷化工、建材等重点行业节能降碳升级改造，淘汰落后工艺技术和生产装置，实施煤电、水泥、焦化企业超低排放改造，到2025年，钢铁行业全面完成超低排放改造。</w:t>
            </w:r>
          </w:p>
          <w:p w14:paraId="68D9C5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5.加大环境污染物减排力度，到2025年，实现氮氧化物减排1224吨，挥发性有机物减排1393吨，化学需氧量减排2461吨，氨氮减排230吨。</w:t>
            </w:r>
          </w:p>
          <w:p w14:paraId="24FA365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严格管控农用地，不得在特定农产品禁止生产区域种植食用农产品；安全利用农用地，制定受污染耕地安全利用方案，降低农产品超标风险。合理规划污染地块土地用途，从严管控农药、化工、有色金属等行业企业重度污染地块开发利用，对列入建设用地土壤污染风险管控和修复名录的地块不得作为住宅、公共管理与公共服务用地，不得办理土地征收、收回、收购、土地供应以及改变土地用途等手续，应当依法开展土壤污染状况调查、治理与修复，并符合相应规划用地土壤环境质量要求后，方可进入用地程序。</w:t>
            </w:r>
          </w:p>
          <w:p w14:paraId="6579515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加快“无废城市”建设，产生工业固体废物的单位应当建立健全工业固体废物产生、收集、贮存、运输、利用、处置全过程的污染环境防治责任制度，按照国家有关规定建立工业固体废物管理台账，加强重金属污染物排放管理，落实区域“减量替代”和“等量替代”要求，重金属污染物排放量2025年比2020年削减4%。</w:t>
            </w:r>
          </w:p>
        </w:tc>
        <w:tc>
          <w:tcPr>
            <w:tcW w:w="1815" w:type="pct"/>
            <w:noWrap w:val="0"/>
            <w:vAlign w:val="center"/>
          </w:tcPr>
          <w:p w14:paraId="457E0BF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1.本项目为公路建设项目，不涉及重点行业。</w:t>
            </w:r>
          </w:p>
          <w:p w14:paraId="296A822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2.项目选址不在九大高原湖泊（抚仙湖、星云湖、杞麓湖）“两线三区”范围内。</w:t>
            </w:r>
          </w:p>
          <w:p w14:paraId="2830A30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3.项目区不涉及城乡饮用水水源地。</w:t>
            </w:r>
          </w:p>
          <w:p w14:paraId="6B00D64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eastAsia="zh-CN"/>
              </w:rPr>
              <w:t>4</w:t>
            </w:r>
            <w:r>
              <w:rPr>
                <w:rFonts w:hint="default" w:ascii="Times New Roman" w:hAnsi="Times New Roman" w:eastAsia="宋体" w:cs="Times New Roman"/>
                <w:b w:val="0"/>
                <w:bCs w:val="0"/>
                <w:color w:val="auto"/>
                <w:sz w:val="21"/>
                <w:szCs w:val="21"/>
              </w:rPr>
              <w:t>.项目施工期在施工工地设置硬质围挡，并采取覆盖、分段作业、择时施工、洒水抑尘等有效防尘降尘措施。建筑土方、工程渣土、建筑垃圾及时清运；在场地内堆存的，采用密闭式防尘网遮盖。项目投入运营后，汽车尾气是影响公路沿线环境空气的主要污染源，随着科技进步，高能耗、高排污的车种比例减少，新能源车比例进一步提高，可降低汽车尾气对周边大气环境的影响。</w:t>
            </w:r>
          </w:p>
          <w:p w14:paraId="0AD9FED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6.项目建设占地不涉及农用地、土壤污染风险管控和修复名录的地块。</w:t>
            </w:r>
          </w:p>
          <w:p w14:paraId="65CA256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7.项目施工期建筑土方、工程渣土、建筑垃圾及时清运；在场地内堆存的，采用密闭式防尘网遮盖。工程产生的弃渣运至项目规划的弃渣场堆放。</w:t>
            </w:r>
            <w:r>
              <w:rPr>
                <w:rFonts w:hint="eastAsia" w:hAnsi="Times New Roman" w:cs="Times New Roman"/>
                <w:b w:val="0"/>
                <w:bCs w:val="0"/>
                <w:color w:val="auto"/>
                <w:sz w:val="21"/>
                <w:szCs w:val="21"/>
                <w:lang w:eastAsia="zh-CN"/>
              </w:rPr>
              <w:t>营运期</w:t>
            </w:r>
            <w:r>
              <w:rPr>
                <w:rFonts w:hint="default" w:ascii="Times New Roman" w:hAnsi="Times New Roman" w:eastAsia="宋体" w:cs="Times New Roman"/>
                <w:b w:val="0"/>
                <w:bCs w:val="0"/>
                <w:color w:val="auto"/>
                <w:sz w:val="21"/>
                <w:szCs w:val="21"/>
              </w:rPr>
              <w:t>固体废物主要来源于沿线道路清扫垃圾、绿化垃圾等，道路清扫垃圾、绿化垃圾产生量不定，交由环卫部门负责，进入城市生活垃圾清运处置系统。</w:t>
            </w:r>
          </w:p>
        </w:tc>
        <w:tc>
          <w:tcPr>
            <w:tcW w:w="307" w:type="pct"/>
            <w:noWrap w:val="0"/>
            <w:vAlign w:val="center"/>
          </w:tcPr>
          <w:p w14:paraId="4A9F433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4084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63947F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环境风险防控</w:t>
            </w:r>
          </w:p>
        </w:tc>
        <w:tc>
          <w:tcPr>
            <w:tcW w:w="2626" w:type="pct"/>
            <w:noWrap w:val="0"/>
            <w:vAlign w:val="center"/>
          </w:tcPr>
          <w:p w14:paraId="1F7C88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1.强化与其他滇中城市的大气、水污染防治联防联控协作机制，加强区域内重污染天气和跨界水体风险应急联动。</w:t>
            </w:r>
          </w:p>
          <w:p w14:paraId="4BBBAAD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开展涉危险废物涉重金属企业、化工园区等重点领域环境风险调查评估，加强危险化学品运输全链条安全监管。完善环境应急管理体系，提升市县两级环境应急响应能力，推进应急物资库建设。开展涉铊企业排查整治行动。</w:t>
            </w:r>
          </w:p>
          <w:p w14:paraId="4E6C613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建立“平战结合”医疗废物应急处置体系。</w:t>
            </w:r>
          </w:p>
        </w:tc>
        <w:tc>
          <w:tcPr>
            <w:tcW w:w="1815" w:type="pct"/>
            <w:noWrap w:val="0"/>
            <w:vAlign w:val="center"/>
          </w:tcPr>
          <w:p w14:paraId="0FABF1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w:t>
            </w:r>
            <w:r>
              <w:rPr>
                <w:rFonts w:hint="eastAsia" w:hAnsi="Times New Roman" w:cs="Times New Roman"/>
                <w:b w:val="0"/>
                <w:bCs w:val="0"/>
                <w:color w:val="auto"/>
                <w:sz w:val="21"/>
                <w:szCs w:val="21"/>
                <w:lang w:eastAsia="zh-CN"/>
              </w:rPr>
              <w:t>营运期</w:t>
            </w:r>
            <w:r>
              <w:rPr>
                <w:rFonts w:hint="default" w:ascii="Times New Roman" w:hAnsi="Times New Roman" w:eastAsia="宋体" w:cs="Times New Roman"/>
                <w:b w:val="0"/>
                <w:bCs w:val="0"/>
                <w:color w:val="auto"/>
                <w:sz w:val="21"/>
                <w:szCs w:val="21"/>
              </w:rPr>
              <w:t>间产生的废气、废水、噪声、固废均得到妥善处置，对周围环境影响较小。项目建成后根据应急管理办法制定相应的应急预案与市县应急预案联防联控协作机制，加强区域内重污染天气和跨界水体风险应急联动。</w:t>
            </w:r>
          </w:p>
        </w:tc>
        <w:tc>
          <w:tcPr>
            <w:tcW w:w="307" w:type="pct"/>
            <w:noWrap w:val="0"/>
            <w:vAlign w:val="center"/>
          </w:tcPr>
          <w:p w14:paraId="0C02CDA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09C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116D2D8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资源开发效率</w:t>
            </w:r>
          </w:p>
        </w:tc>
        <w:tc>
          <w:tcPr>
            <w:tcW w:w="2626" w:type="pct"/>
            <w:noWrap w:val="0"/>
            <w:vAlign w:val="center"/>
          </w:tcPr>
          <w:p w14:paraId="01DCAA7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1.降低水、土地、能源、矿产资源消耗强度，强化约束性指标管理。</w:t>
            </w:r>
          </w:p>
          <w:p w14:paraId="2552319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2.实行最严格的水资源管理制度，严格用水总量、强度指标管理，严格取水管控，建立重点监控取水单位名录，强化重点监控取水单位管理。全市年用水总量、万元工业增加值用水量降幅等指标达到省考核要求。</w:t>
            </w:r>
          </w:p>
          <w:p w14:paraId="2E51BEF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3.坚持最严格的耕地保护制度，守住耕地保护红线。坚持节约用地，严格执行耕地占补平衡等制度，提高土地投资强度和单位面积产出水平。</w:t>
            </w:r>
          </w:p>
          <w:p w14:paraId="750023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4.全市单位GDP二氧化碳排放累计下降率完成云南省下达的指标；单位GDP能耗持续下降，到2025年，全市单位GDP能耗累计下降率14%。</w:t>
            </w:r>
          </w:p>
          <w:p w14:paraId="414BF1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5.高污染燃料禁燃区按照《高污染燃料目录》及当地有关禁燃区管理规定执行。</w:t>
            </w:r>
          </w:p>
          <w:p w14:paraId="51030EC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6.实施高效节水灌溉工程，大力推广高效节水灌溉措施，到2025年，农田灌溉水有效利用系数达到0.55。</w:t>
            </w:r>
          </w:p>
        </w:tc>
        <w:tc>
          <w:tcPr>
            <w:tcW w:w="1815" w:type="pct"/>
            <w:noWrap w:val="0"/>
            <w:vAlign w:val="center"/>
          </w:tcPr>
          <w:p w14:paraId="689329A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1.本项目为公路建设项目，不涉及占用基本农田，施工临时占地等在建设完成后将进行生态恢复。</w:t>
            </w:r>
          </w:p>
          <w:p w14:paraId="4E22BB6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2、5、6.项目不涉及。</w:t>
            </w:r>
          </w:p>
          <w:p w14:paraId="28D6C03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项目建设占地不涉及耕地。</w:t>
            </w:r>
          </w:p>
          <w:p w14:paraId="54AC389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4.项目投入运营后，汽车尾气是影响公路沿线环境空气的主要污染源，随着科技进步，高能耗、高排污的车种比例减少，新能源车比例进一步提高，可降低汽车尾气对周边大气环境的影响。</w:t>
            </w:r>
          </w:p>
        </w:tc>
        <w:tc>
          <w:tcPr>
            <w:tcW w:w="307" w:type="pct"/>
            <w:noWrap w:val="0"/>
            <w:vAlign w:val="center"/>
          </w:tcPr>
          <w:p w14:paraId="0E0894A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6119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3429368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五、元江县一般管控单元相关要求</w:t>
            </w:r>
          </w:p>
        </w:tc>
      </w:tr>
      <w:tr w14:paraId="6D6DF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4930ED1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管控领域</w:t>
            </w:r>
          </w:p>
        </w:tc>
        <w:tc>
          <w:tcPr>
            <w:tcW w:w="2626" w:type="pct"/>
            <w:noWrap w:val="0"/>
            <w:vAlign w:val="center"/>
          </w:tcPr>
          <w:p w14:paraId="27D5D5B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管控要求</w:t>
            </w:r>
          </w:p>
        </w:tc>
        <w:tc>
          <w:tcPr>
            <w:tcW w:w="1815" w:type="pct"/>
            <w:noWrap w:val="0"/>
            <w:vAlign w:val="center"/>
          </w:tcPr>
          <w:p w14:paraId="357241F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项目情况</w:t>
            </w:r>
          </w:p>
        </w:tc>
        <w:tc>
          <w:tcPr>
            <w:tcW w:w="307" w:type="pct"/>
            <w:noWrap w:val="0"/>
            <w:vAlign w:val="center"/>
          </w:tcPr>
          <w:p w14:paraId="69B96BF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符合性</w:t>
            </w:r>
          </w:p>
        </w:tc>
      </w:tr>
      <w:tr w14:paraId="2A2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20192D2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空间布局约束</w:t>
            </w:r>
          </w:p>
        </w:tc>
        <w:tc>
          <w:tcPr>
            <w:tcW w:w="2626" w:type="pct"/>
            <w:noWrap w:val="0"/>
            <w:vAlign w:val="center"/>
          </w:tcPr>
          <w:p w14:paraId="65DDC3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落实生态环境保护基本要求，项目建设和运行应满足产业准入、污染物削减、污染物排放标准等管理规定和国家法律法规要求。</w:t>
            </w:r>
          </w:p>
        </w:tc>
        <w:tc>
          <w:tcPr>
            <w:tcW w:w="1815" w:type="pct"/>
            <w:noWrap w:val="0"/>
            <w:vAlign w:val="center"/>
          </w:tcPr>
          <w:p w14:paraId="3B95B5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w:t>
            </w:r>
            <w:r>
              <w:rPr>
                <w:rFonts w:hint="eastAsia" w:hAnsi="Times New Roman" w:cs="Times New Roman"/>
                <w:b w:val="0"/>
                <w:bCs w:val="0"/>
                <w:color w:val="auto"/>
                <w:sz w:val="21"/>
                <w:szCs w:val="21"/>
                <w:lang w:val="en-US" w:eastAsia="zh-CN"/>
              </w:rPr>
              <w:t>根据对照</w:t>
            </w:r>
            <w:r>
              <w:rPr>
                <w:rFonts w:hint="default" w:ascii="Times New Roman" w:hAnsi="Times New Roman" w:eastAsia="宋体" w:cs="Times New Roman"/>
                <w:b w:val="0"/>
                <w:bCs w:val="0"/>
                <w:color w:val="auto"/>
                <w:sz w:val="21"/>
                <w:szCs w:val="21"/>
              </w:rPr>
              <w:t>《产业结构调整指导目录（2024年本）》</w:t>
            </w:r>
            <w:r>
              <w:rPr>
                <w:rFonts w:hint="eastAsia" w:hAnsi="Times New Roman" w:cs="Times New Roman"/>
                <w:b w:val="0"/>
                <w:bCs w:val="0"/>
                <w:color w:val="auto"/>
                <w:sz w:val="21"/>
                <w:szCs w:val="21"/>
                <w:lang w:eastAsia="zh-CN"/>
              </w:rPr>
              <w:t>，</w:t>
            </w:r>
            <w:r>
              <w:rPr>
                <w:rFonts w:hint="eastAsia" w:hAnsi="Times New Roman" w:cs="Times New Roman"/>
                <w:b w:val="0"/>
                <w:bCs w:val="0"/>
                <w:color w:val="auto"/>
                <w:sz w:val="21"/>
                <w:szCs w:val="21"/>
                <w:lang w:val="en-US" w:eastAsia="zh-CN"/>
              </w:rPr>
              <w:t>不属于</w:t>
            </w:r>
            <w:r>
              <w:rPr>
                <w:rFonts w:hint="default" w:ascii="Times New Roman" w:hAnsi="Times New Roman" w:eastAsia="宋体" w:cs="Times New Roman"/>
                <w:b w:val="0"/>
                <w:bCs w:val="0"/>
                <w:color w:val="auto"/>
                <w:sz w:val="21"/>
                <w:szCs w:val="21"/>
              </w:rPr>
              <w:t>鼓励、淘汰和限制类项目，</w:t>
            </w:r>
            <w:r>
              <w:rPr>
                <w:rFonts w:hint="eastAsia" w:hAnsi="Times New Roman" w:cs="Times New Roman"/>
                <w:b w:val="0"/>
                <w:bCs w:val="0"/>
                <w:color w:val="auto"/>
                <w:sz w:val="21"/>
                <w:szCs w:val="21"/>
                <w:lang w:val="en-US" w:eastAsia="zh-CN"/>
              </w:rPr>
              <w:t>为</w:t>
            </w:r>
            <w:r>
              <w:rPr>
                <w:rFonts w:hint="default" w:ascii="Times New Roman" w:hAnsi="Times New Roman" w:eastAsia="宋体" w:cs="Times New Roman"/>
                <w:b w:val="0"/>
                <w:bCs w:val="0"/>
                <w:color w:val="auto"/>
                <w:sz w:val="21"/>
                <w:szCs w:val="21"/>
              </w:rPr>
              <w:t>允许类项目，符合国家产业政策。拟建项目已对路线进行优化，不涉及占用基本农田、生态保护红线</w:t>
            </w:r>
            <w:r>
              <w:rPr>
                <w:rFonts w:hint="default" w:ascii="Times New Roman" w:hAnsi="Times New Roman" w:eastAsia="宋体" w:cs="Times New Roman"/>
                <w:b w:val="0"/>
                <w:bCs w:val="0"/>
                <w:color w:val="auto"/>
                <w:sz w:val="21"/>
                <w:szCs w:val="21"/>
                <w:lang w:eastAsia="zh-CN"/>
              </w:rPr>
              <w:t>；在</w:t>
            </w:r>
            <w:r>
              <w:rPr>
                <w:rFonts w:hint="default" w:ascii="Times New Roman" w:hAnsi="Times New Roman" w:eastAsia="宋体" w:cs="Times New Roman"/>
                <w:b w:val="0"/>
                <w:bCs w:val="0"/>
                <w:color w:val="auto"/>
                <w:sz w:val="21"/>
                <w:szCs w:val="21"/>
              </w:rPr>
              <w:t>施工过</w:t>
            </w:r>
            <w:r>
              <w:rPr>
                <w:rFonts w:hint="default" w:ascii="Times New Roman" w:hAnsi="Times New Roman" w:eastAsia="宋体" w:cs="Times New Roman"/>
                <w:b w:val="0"/>
                <w:bCs w:val="0"/>
                <w:color w:val="auto"/>
                <w:sz w:val="21"/>
                <w:szCs w:val="21"/>
                <w:lang w:eastAsia="zh-CN"/>
              </w:rPr>
              <w:t>程中</w:t>
            </w:r>
            <w:r>
              <w:rPr>
                <w:rFonts w:hint="default" w:ascii="Times New Roman" w:hAnsi="Times New Roman" w:eastAsia="宋体" w:cs="Times New Roman"/>
                <w:b w:val="0"/>
                <w:bCs w:val="0"/>
                <w:color w:val="auto"/>
                <w:sz w:val="21"/>
                <w:szCs w:val="21"/>
              </w:rPr>
              <w:t>采取措施对产生的污染进行治理；对相关区域实施有针对性的生态恢复、污染防治、水土保持等对策措施。</w:t>
            </w:r>
            <w:r>
              <w:rPr>
                <w:rFonts w:hint="eastAsia" w:hAnsi="Times New Roman" w:cs="Times New Roman"/>
                <w:b w:val="0"/>
                <w:bCs w:val="0"/>
                <w:color w:val="auto"/>
                <w:sz w:val="21"/>
                <w:szCs w:val="21"/>
                <w:lang w:eastAsia="zh-CN"/>
              </w:rPr>
              <w:t>营运期</w:t>
            </w:r>
            <w:r>
              <w:rPr>
                <w:rFonts w:hint="default" w:ascii="Times New Roman" w:hAnsi="Times New Roman" w:eastAsia="宋体" w:cs="Times New Roman"/>
                <w:b w:val="0"/>
                <w:bCs w:val="0"/>
                <w:color w:val="auto"/>
                <w:sz w:val="21"/>
                <w:szCs w:val="21"/>
              </w:rPr>
              <w:t>间产生的废气、废水、噪声、固废均得到妥善处置，对周围环境影响较小。</w:t>
            </w:r>
          </w:p>
        </w:tc>
        <w:tc>
          <w:tcPr>
            <w:tcW w:w="307" w:type="pct"/>
            <w:noWrap w:val="0"/>
            <w:vAlign w:val="center"/>
          </w:tcPr>
          <w:p w14:paraId="4ADC212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23EE2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4"/>
            <w:noWrap w:val="0"/>
            <w:vAlign w:val="center"/>
          </w:tcPr>
          <w:p w14:paraId="58C6CF9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六、元江县乡镇生活污染重点管控单元</w:t>
            </w:r>
          </w:p>
        </w:tc>
      </w:tr>
      <w:tr w14:paraId="6D08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4E12512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空间布局约束</w:t>
            </w:r>
          </w:p>
        </w:tc>
        <w:tc>
          <w:tcPr>
            <w:tcW w:w="2626" w:type="pct"/>
            <w:noWrap w:val="0"/>
            <w:vAlign w:val="center"/>
          </w:tcPr>
          <w:p w14:paraId="6B582C0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优化产业空间布局，对不符合准入要求的既有项目，依法依规实施整改、退出等分类治理方案，促进企业向园区集中，产业向园区集聚，资源集约利用。</w:t>
            </w:r>
          </w:p>
        </w:tc>
        <w:tc>
          <w:tcPr>
            <w:tcW w:w="1815" w:type="pct"/>
            <w:noWrap w:val="0"/>
            <w:vAlign w:val="center"/>
          </w:tcPr>
          <w:p w14:paraId="3661F8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w:t>
            </w:r>
            <w:r>
              <w:rPr>
                <w:rFonts w:hint="eastAsia" w:hAnsi="Times New Roman" w:cs="Times New Roman"/>
                <w:b w:val="0"/>
                <w:bCs w:val="0"/>
                <w:color w:val="auto"/>
                <w:sz w:val="21"/>
                <w:szCs w:val="21"/>
                <w:lang w:val="en-US" w:eastAsia="zh-CN"/>
              </w:rPr>
              <w:t>根据对照</w:t>
            </w:r>
            <w:r>
              <w:rPr>
                <w:rFonts w:hint="default" w:ascii="Times New Roman" w:hAnsi="Times New Roman" w:eastAsia="宋体" w:cs="Times New Roman"/>
                <w:b w:val="0"/>
                <w:bCs w:val="0"/>
                <w:color w:val="auto"/>
                <w:sz w:val="21"/>
                <w:szCs w:val="21"/>
              </w:rPr>
              <w:t>《产业结构调整指导目录（2024年本）》</w:t>
            </w:r>
            <w:r>
              <w:rPr>
                <w:rFonts w:hint="eastAsia" w:hAnsi="Times New Roman" w:cs="Times New Roman"/>
                <w:b w:val="0"/>
                <w:bCs w:val="0"/>
                <w:color w:val="auto"/>
                <w:sz w:val="21"/>
                <w:szCs w:val="21"/>
                <w:lang w:val="en-US" w:eastAsia="zh-CN"/>
              </w:rPr>
              <w:t>不属于</w:t>
            </w:r>
            <w:r>
              <w:rPr>
                <w:rFonts w:hint="default" w:ascii="Times New Roman" w:hAnsi="Times New Roman" w:eastAsia="宋体" w:cs="Times New Roman"/>
                <w:b w:val="0"/>
                <w:bCs w:val="0"/>
                <w:color w:val="auto"/>
              </w:rPr>
              <w:t>鼓励、淘汰和限制类项目，属于允许类项目</w:t>
            </w:r>
            <w:r>
              <w:rPr>
                <w:rFonts w:hint="default" w:ascii="Times New Roman" w:hAnsi="Times New Roman" w:eastAsia="宋体" w:cs="Times New Roman"/>
                <w:b w:val="0"/>
                <w:bCs w:val="0"/>
                <w:color w:val="auto"/>
                <w:sz w:val="21"/>
                <w:szCs w:val="21"/>
              </w:rPr>
              <w:t>，符合国家产业政策。</w:t>
            </w:r>
          </w:p>
        </w:tc>
        <w:tc>
          <w:tcPr>
            <w:tcW w:w="307" w:type="pct"/>
            <w:noWrap w:val="0"/>
            <w:vAlign w:val="center"/>
          </w:tcPr>
          <w:p w14:paraId="5B4168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0B5EC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 w:type="pct"/>
            <w:noWrap w:val="0"/>
            <w:vAlign w:val="center"/>
          </w:tcPr>
          <w:p w14:paraId="2457DB6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污染物排放管控</w:t>
            </w:r>
          </w:p>
        </w:tc>
        <w:tc>
          <w:tcPr>
            <w:tcW w:w="2626" w:type="pct"/>
            <w:noWrap w:val="0"/>
            <w:vAlign w:val="center"/>
          </w:tcPr>
          <w:p w14:paraId="364844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1.向城镇污水集中处理设施排放水污染物，应当符合国家或者地方规定的水污染物排放标准。</w:t>
            </w:r>
          </w:p>
          <w:p w14:paraId="467C23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2.加强城镇生活污水收集处理设施建设和提标改造，城镇驻地逐步实现雨污分流。</w:t>
            </w:r>
          </w:p>
          <w:p w14:paraId="10B5B6C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3.大力推进生活垃圾分类回收利用，建立分类投放、收集、运输、处理的生活垃圾收运处理系统。</w:t>
            </w:r>
          </w:p>
        </w:tc>
        <w:tc>
          <w:tcPr>
            <w:tcW w:w="1815" w:type="pct"/>
            <w:noWrap w:val="0"/>
            <w:vAlign w:val="center"/>
          </w:tcPr>
          <w:p w14:paraId="1251ED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本项目施工过</w:t>
            </w:r>
            <w:r>
              <w:rPr>
                <w:rFonts w:hint="default" w:ascii="Times New Roman" w:hAnsi="Times New Roman" w:eastAsia="宋体" w:cs="Times New Roman"/>
                <w:b w:val="0"/>
                <w:bCs w:val="0"/>
                <w:color w:val="auto"/>
                <w:sz w:val="21"/>
                <w:szCs w:val="21"/>
                <w:lang w:eastAsia="zh-CN"/>
              </w:rPr>
              <w:t>程中</w:t>
            </w:r>
            <w:r>
              <w:rPr>
                <w:rFonts w:hint="default" w:ascii="Times New Roman" w:hAnsi="Times New Roman" w:eastAsia="宋体" w:cs="Times New Roman"/>
                <w:b w:val="0"/>
                <w:bCs w:val="0"/>
                <w:color w:val="auto"/>
                <w:sz w:val="21"/>
                <w:szCs w:val="21"/>
              </w:rPr>
              <w:t>采取相应措施对产生的污染进行治理；对相关区域实施有针对性的生态恢复、污染防治、水土保持等对策措施。</w:t>
            </w:r>
            <w:r>
              <w:rPr>
                <w:rFonts w:hint="eastAsia" w:hAnsi="Times New Roman" w:cs="Times New Roman"/>
                <w:b w:val="0"/>
                <w:bCs w:val="0"/>
                <w:color w:val="auto"/>
                <w:sz w:val="21"/>
                <w:szCs w:val="21"/>
                <w:lang w:eastAsia="zh-CN"/>
              </w:rPr>
              <w:t>营运期</w:t>
            </w:r>
            <w:r>
              <w:rPr>
                <w:rFonts w:hint="default" w:ascii="Times New Roman" w:hAnsi="Times New Roman" w:eastAsia="宋体" w:cs="Times New Roman"/>
                <w:b w:val="0"/>
                <w:bCs w:val="0"/>
                <w:color w:val="auto"/>
                <w:sz w:val="21"/>
                <w:szCs w:val="21"/>
              </w:rPr>
              <w:t>间产生的废气、废水、噪声、固废均得到妥善处置，对周围环境影响较小。</w:t>
            </w:r>
          </w:p>
        </w:tc>
        <w:tc>
          <w:tcPr>
            <w:tcW w:w="307" w:type="pct"/>
            <w:noWrap w:val="0"/>
            <w:vAlign w:val="center"/>
          </w:tcPr>
          <w:p w14:paraId="330EE5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615D009D">
      <w:pPr>
        <w:widowControl/>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综上所述，本项目符合《玉溪生态环境分区管控动态更新调整方案（2023年）》</w:t>
      </w:r>
      <w:r>
        <w:rPr>
          <w:rFonts w:hint="default" w:ascii="Times New Roman" w:hAnsi="Times New Roman" w:eastAsia="宋体" w:cs="Times New Roman"/>
          <w:color w:val="auto"/>
        </w:rPr>
        <w:t>（玉市环〔2024〕40号）</w:t>
      </w:r>
      <w:r>
        <w:rPr>
          <w:rFonts w:hint="default" w:ascii="Times New Roman" w:hAnsi="Times New Roman" w:eastAsia="宋体" w:cs="Times New Roman"/>
          <w:color w:val="auto"/>
          <w:kern w:val="0"/>
          <w:lang w:bidi="ar"/>
        </w:rPr>
        <w:t>中的相关规定。</w:t>
      </w:r>
    </w:p>
    <w:p w14:paraId="66663CD9">
      <w:pPr>
        <w:ind w:firstLine="482"/>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5</w:t>
      </w:r>
      <w:r>
        <w:rPr>
          <w:rFonts w:hint="default" w:ascii="Times New Roman" w:hAnsi="Times New Roman" w:eastAsia="宋体" w:cs="Times New Roman"/>
          <w:b/>
          <w:bCs/>
          <w:color w:val="auto"/>
          <w:lang w:val="en-US" w:eastAsia="zh-CN"/>
        </w:rPr>
        <w:t>.</w:t>
      </w:r>
      <w:r>
        <w:rPr>
          <w:rFonts w:hint="default" w:ascii="Times New Roman" w:hAnsi="Times New Roman" w:eastAsia="宋体" w:cs="Times New Roman"/>
          <w:b/>
          <w:bCs/>
          <w:color w:val="auto"/>
        </w:rPr>
        <w:t>与</w:t>
      </w:r>
      <w:r>
        <w:rPr>
          <w:rFonts w:hint="default" w:ascii="Times New Roman" w:hAnsi="Times New Roman" w:eastAsia="宋体" w:cs="Times New Roman"/>
          <w:b/>
          <w:bCs/>
          <w:color w:val="auto"/>
          <w:lang w:val="en-US" w:eastAsia="zh-CN"/>
        </w:rPr>
        <w:t>其他</w:t>
      </w:r>
      <w:r>
        <w:rPr>
          <w:rFonts w:hint="default" w:ascii="Times New Roman" w:hAnsi="Times New Roman" w:eastAsia="宋体" w:cs="Times New Roman"/>
          <w:b/>
          <w:bCs/>
          <w:color w:val="auto"/>
        </w:rPr>
        <w:t>规划符合性分析</w:t>
      </w:r>
    </w:p>
    <w:p w14:paraId="39362B76">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（1）与《国家公路网规划</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rPr>
        <w:t>2013</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rPr>
        <w:t>2030年</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rPr>
        <w:t>》的相符性分析</w:t>
      </w:r>
    </w:p>
    <w:p w14:paraId="411F2E6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2013年编制的《国家公路网规划（2013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2030年）》是公路交通基础设施的中长期布局规划，体现了国家发展综合交通运输的战略方针，是指导国家公路长远发展的纲领性文件。</w:t>
      </w:r>
    </w:p>
    <w:p w14:paraId="1078F42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国家公路网规划总规模40.1万公里，由普通国道和国家高速公路两个路网层次构成。其中普通国道网由12条首都放射线、47条北南纵线、60条东西横线和81条联络线组成，总规模约26.5万公里。按照“主体保留、局部优化，扩大覆盖、完善网络”的思路，调整拓展普通国道网：保留原国道网的主体，优化路线走向，恢复被高速公路占用的普通国道路段；补充连接地级行政中心和县级节点、重要的交通枢纽、物流节点城市和边境口岸；增加可有效提高路网运行效率和应急保障能力的部分路线；增设沿边沿海路线，维持普通国道网相对独立。</w:t>
      </w:r>
    </w:p>
    <w:p w14:paraId="72CB376B">
      <w:pPr>
        <w:ind w:firstLine="480"/>
        <w:rPr>
          <w:rFonts w:hint="default" w:ascii="Times New Roman" w:hAnsi="Times New Roman" w:eastAsia="宋体" w:cs="Times New Roman"/>
          <w:color w:val="auto"/>
          <w:szCs w:val="32"/>
          <w:lang w:val="zh-CN"/>
        </w:rPr>
      </w:pPr>
      <w:r>
        <w:rPr>
          <w:rFonts w:hint="default" w:ascii="Times New Roman" w:hAnsi="Times New Roman" w:eastAsia="宋体" w:cs="Times New Roman"/>
          <w:color w:val="auto"/>
        </w:rPr>
        <w:t>本项目为元江火车站站前广场配套道路5号路建设项目，是</w:t>
      </w:r>
      <w:r>
        <w:rPr>
          <w:rFonts w:hint="default" w:ascii="Times New Roman" w:hAnsi="Times New Roman" w:eastAsia="宋体" w:cs="Times New Roman"/>
          <w:color w:val="auto"/>
          <w:lang w:eastAsia="zh-CN"/>
        </w:rPr>
        <w:t>国家</w:t>
      </w:r>
      <w:r>
        <w:rPr>
          <w:rFonts w:hint="default" w:ascii="Times New Roman" w:hAnsi="Times New Roman" w:eastAsia="宋体" w:cs="Times New Roman"/>
          <w:color w:val="auto"/>
        </w:rPr>
        <w:t>公路网规划中国道213线元江段的一部分。项目的实施有利于完善国道路网布局、改善区域交通状况、提高公路运输通达深度、促进元江县交通跨越式发展。本项目建设与《国家公路网规划（2013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2030年）》相符。</w:t>
      </w:r>
    </w:p>
    <w:p w14:paraId="65869E70">
      <w:pPr>
        <w:widowControl/>
        <w:ind w:firstLine="482"/>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r>
        <w:rPr>
          <w:rFonts w:hint="eastAsia" w:cs="Times New Roman"/>
          <w:b/>
          <w:bCs/>
          <w:color w:val="auto"/>
          <w:lang w:val="en-US" w:eastAsia="zh-CN"/>
        </w:rPr>
        <w:t>2</w:t>
      </w: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kern w:val="0"/>
          <w:lang w:bidi="ar"/>
        </w:rPr>
        <w:t>与《云南省道网规划修编（2016年～2030年）环境影响报告书》审查意见的相符性分析</w:t>
      </w:r>
    </w:p>
    <w:p w14:paraId="1708605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根据《云南省环境保护厅关于“云南省道网规划修编（2016~2030 年）环境影响报告书”审查意见》（云环函</w:t>
      </w:r>
      <w:r>
        <w:rPr>
          <w:rFonts w:hint="default" w:ascii="Times New Roman" w:hAnsi="Times New Roman" w:eastAsia="宋体" w:cs="Times New Roman"/>
          <w:color w:val="auto"/>
        </w:rPr>
        <w:t>〔2018〕</w:t>
      </w:r>
      <w:r>
        <w:rPr>
          <w:rFonts w:hint="default" w:ascii="Times New Roman" w:hAnsi="Times New Roman" w:eastAsia="宋体" w:cs="Times New Roman"/>
          <w:color w:val="auto"/>
          <w:kern w:val="0"/>
          <w:lang w:bidi="ar"/>
        </w:rPr>
        <w:t>239号），拟建项目与《云南省道网规划修编（2016年～2030年）环境影响报告书》审查意见的相关符合性分析如下：</w:t>
      </w:r>
    </w:p>
    <w:p w14:paraId="30AF4A74">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w:t>
      </w:r>
      <w:r>
        <w:rPr>
          <w:rFonts w:hint="eastAsia"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rPr>
        <w:t xml:space="preserve">  项目与《云南省道网规划修编（2016年～2030年）环境影响报告书》审查意见的符合性 </w:t>
      </w:r>
    </w:p>
    <w:tbl>
      <w:tblPr>
        <w:tblStyle w:val="58"/>
        <w:tblW w:w="87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4965"/>
        <w:gridCol w:w="2610"/>
        <w:gridCol w:w="694"/>
      </w:tblGrid>
      <w:tr w14:paraId="6E09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7903836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4965" w:type="dxa"/>
            <w:noWrap w:val="0"/>
            <w:vAlign w:val="center"/>
          </w:tcPr>
          <w:p w14:paraId="0C7E69D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审查意见</w:t>
            </w:r>
          </w:p>
        </w:tc>
        <w:tc>
          <w:tcPr>
            <w:tcW w:w="2610" w:type="dxa"/>
            <w:noWrap w:val="0"/>
            <w:vAlign w:val="center"/>
          </w:tcPr>
          <w:p w14:paraId="209E411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拟建项目情况</w:t>
            </w:r>
          </w:p>
        </w:tc>
        <w:tc>
          <w:tcPr>
            <w:tcW w:w="694" w:type="dxa"/>
            <w:noWrap w:val="0"/>
            <w:vAlign w:val="center"/>
          </w:tcPr>
          <w:p w14:paraId="29607AC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2838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42C4A7C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4965" w:type="dxa"/>
            <w:noWrap w:val="0"/>
            <w:vAlign w:val="center"/>
          </w:tcPr>
          <w:p w14:paraId="629D28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一）坚持生态优先、绿色公路理念。进一步充实《规划》的生态定位，突出“生态公路”相关要求和规划理念，将环境保护作为《规划》实施的硬性约束。针对我省生态系统脆弱敏感问题，从维护生态系统完整性和生态功能、格局稳定的角度，加强生态空间保护，将生态环境保护和生态环境修复作为《规划》的重要组成部分，进一步优化《规划》方案。</w:t>
            </w:r>
          </w:p>
        </w:tc>
        <w:tc>
          <w:tcPr>
            <w:tcW w:w="2610" w:type="dxa"/>
            <w:noWrap w:val="0"/>
            <w:vAlign w:val="center"/>
          </w:tcPr>
          <w:p w14:paraId="25334F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拟建项目已委托相关单位进行水土保持方案设计，临时占地等在建设完成后将进行生态恢复。</w:t>
            </w:r>
          </w:p>
        </w:tc>
        <w:tc>
          <w:tcPr>
            <w:tcW w:w="694" w:type="dxa"/>
            <w:noWrap w:val="0"/>
            <w:vAlign w:val="center"/>
          </w:tcPr>
          <w:p w14:paraId="25A13A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0950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5D2E6A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4965" w:type="dxa"/>
            <w:noWrap w:val="0"/>
            <w:vAlign w:val="center"/>
          </w:tcPr>
          <w:p w14:paraId="1B4AEE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二）树立底线思维和红线意识。严格遵守法律法规底线和生态保护红线，全面落实《规划》实施可能涉及的自然保护区、风景名胜区、世界遗产地、地质公园、森林公园、国家公园、饮用水水源保护区、水产种质资源保护区等环境敏感区的保护要求，结合云南省生态保护红线划定情况，统筹保护好水陆域自然生态空间。对优先保护、重点保护的环境敏感区、生态保护地，应优先采取避让措施；对重要保护动植物，应针对物种的保护需求，采取相应的保护措施；对重要生态功能区、生物多样性保护优先区等重要生态保护区域，《规划》实施时应尽量减少对主导生态功能的影响，努力促进主导生态功能的恢复，对公路建设涉及的水土流失严重区域、石漠化区域进行治理修复；对相关区域、水域实施有针对性的生态恢复、污染防治、水土保持等对策措施。</w:t>
            </w:r>
          </w:p>
        </w:tc>
        <w:tc>
          <w:tcPr>
            <w:tcW w:w="2610" w:type="dxa"/>
            <w:noWrap w:val="0"/>
            <w:vAlign w:val="center"/>
          </w:tcPr>
          <w:p w14:paraId="408696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本项目在详细规划编制路线过程中已完全</w:t>
            </w:r>
            <w:r>
              <w:rPr>
                <w:rFonts w:hint="default" w:ascii="Times New Roman" w:hAnsi="Times New Roman" w:eastAsia="宋体" w:cs="Times New Roman"/>
                <w:b w:val="0"/>
                <w:bCs w:val="0"/>
                <w:color w:val="auto"/>
                <w:sz w:val="21"/>
                <w:szCs w:val="21"/>
                <w:lang w:eastAsia="zh-CN"/>
              </w:rPr>
              <w:t>避让</w:t>
            </w:r>
            <w:r>
              <w:rPr>
                <w:rFonts w:hint="default" w:ascii="Times New Roman" w:hAnsi="Times New Roman" w:eastAsia="宋体" w:cs="Times New Roman"/>
                <w:b w:val="0"/>
                <w:bCs w:val="0"/>
                <w:color w:val="auto"/>
                <w:sz w:val="21"/>
                <w:szCs w:val="21"/>
              </w:rPr>
              <w:t>生态保护红线，不占用生态红线，通过采取一定的环保措施，最终选线方案</w:t>
            </w:r>
            <w:r>
              <w:rPr>
                <w:rFonts w:hint="default" w:ascii="Times New Roman" w:hAnsi="Times New Roman" w:eastAsia="宋体" w:cs="Times New Roman"/>
                <w:b w:val="0"/>
                <w:bCs w:val="0"/>
                <w:color w:val="auto"/>
                <w:sz w:val="21"/>
                <w:szCs w:val="21"/>
                <w:lang w:eastAsia="zh-CN"/>
              </w:rPr>
              <w:t>是</w:t>
            </w:r>
            <w:r>
              <w:rPr>
                <w:rFonts w:hint="default" w:ascii="Times New Roman" w:hAnsi="Times New Roman" w:eastAsia="宋体" w:cs="Times New Roman"/>
                <w:b w:val="0"/>
                <w:bCs w:val="0"/>
                <w:color w:val="auto"/>
                <w:sz w:val="21"/>
                <w:szCs w:val="21"/>
              </w:rPr>
              <w:t>建设项目可行、生态环境能接受的方案；施工过</w:t>
            </w:r>
            <w:r>
              <w:rPr>
                <w:rFonts w:hint="default" w:ascii="Times New Roman" w:hAnsi="Times New Roman" w:eastAsia="宋体" w:cs="Times New Roman"/>
                <w:b w:val="0"/>
                <w:bCs w:val="0"/>
                <w:color w:val="auto"/>
                <w:sz w:val="21"/>
                <w:szCs w:val="21"/>
                <w:lang w:eastAsia="zh-CN"/>
              </w:rPr>
              <w:t>程中</w:t>
            </w:r>
            <w:r>
              <w:rPr>
                <w:rFonts w:hint="default" w:ascii="Times New Roman" w:hAnsi="Times New Roman" w:eastAsia="宋体" w:cs="Times New Roman"/>
                <w:b w:val="0"/>
                <w:bCs w:val="0"/>
                <w:color w:val="auto"/>
                <w:sz w:val="21"/>
                <w:szCs w:val="21"/>
              </w:rPr>
              <w:t>采取相应措施对产生的污染进行治理；对相关区域实施有针对性的生态恢复、污染防治、水土保持等对策措施。</w:t>
            </w:r>
          </w:p>
        </w:tc>
        <w:tc>
          <w:tcPr>
            <w:tcW w:w="694" w:type="dxa"/>
            <w:noWrap w:val="0"/>
            <w:vAlign w:val="center"/>
          </w:tcPr>
          <w:p w14:paraId="0AA4E48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BC21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7CEC28A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4965" w:type="dxa"/>
            <w:noWrap w:val="0"/>
            <w:vAlign w:val="center"/>
          </w:tcPr>
          <w:p w14:paraId="3561470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三）进一步优化涉及环境敏感目标的线路方案。按照“避让优先，严格控制”原则，确保与自然保护区等环境敏感区保护要求相协调。对于涉及环境敏感区的隔界河至德钦、德钦至元江县等公路和可能对亚洲象等重点保护物种造成较大影响的普洱至江城、绿春至江城至勐醒等公路，应结合环境敏感区分布情况、动植物重要生境及</w:t>
            </w:r>
            <w:r>
              <w:rPr>
                <w:rFonts w:hint="default" w:ascii="Times New Roman" w:hAnsi="Times New Roman" w:eastAsia="宋体" w:cs="Times New Roman"/>
                <w:b w:val="0"/>
                <w:bCs w:val="0"/>
                <w:color w:val="auto"/>
                <w:sz w:val="21"/>
                <w:szCs w:val="21"/>
                <w:lang w:eastAsia="zh-CN"/>
              </w:rPr>
              <w:t>通道</w:t>
            </w:r>
            <w:r>
              <w:rPr>
                <w:rFonts w:hint="default" w:ascii="Times New Roman" w:hAnsi="Times New Roman" w:eastAsia="宋体" w:cs="Times New Roman"/>
                <w:b w:val="0"/>
                <w:bCs w:val="0"/>
                <w:color w:val="auto"/>
                <w:sz w:val="21"/>
                <w:szCs w:val="21"/>
              </w:rPr>
              <w:t>分布情况，进一步明确需要优化和调整的路段，统筹考虑采取避让、隧洞穿越、区域生境恢复等措施，减缓对区域生态环境的不利影响。项目建设前应在充分</w:t>
            </w:r>
            <w:r>
              <w:rPr>
                <w:rFonts w:hint="default" w:ascii="Times New Roman" w:hAnsi="Times New Roman" w:eastAsia="宋体" w:cs="Times New Roman"/>
                <w:b w:val="0"/>
                <w:bCs w:val="0"/>
                <w:color w:val="auto"/>
                <w:sz w:val="21"/>
                <w:szCs w:val="21"/>
                <w:lang w:eastAsia="zh-CN"/>
              </w:rPr>
              <w:t>调查</w:t>
            </w:r>
            <w:r>
              <w:rPr>
                <w:rFonts w:hint="default" w:ascii="Times New Roman" w:hAnsi="Times New Roman" w:eastAsia="宋体" w:cs="Times New Roman"/>
                <w:b w:val="0"/>
                <w:bCs w:val="0"/>
                <w:color w:val="auto"/>
                <w:sz w:val="21"/>
                <w:szCs w:val="21"/>
              </w:rPr>
              <w:t>和跟踪评价的基础上，论证隧洞穿越特殊环境敏感区的可行性，维护区域生态系统功能</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并开展长期的生态环境跟踪监测。临时辅助设施应尽量避让环境敏感区。</w:t>
            </w:r>
          </w:p>
        </w:tc>
        <w:tc>
          <w:tcPr>
            <w:tcW w:w="2610" w:type="dxa"/>
            <w:noWrap w:val="0"/>
            <w:vAlign w:val="center"/>
          </w:tcPr>
          <w:p w14:paraId="398030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拟建项目已结合环境敏感区分布情况、动植物重要生境及通道分布情况，对路线进行优化，最大程度避让生态红线、动植物重要生境及通道。</w:t>
            </w:r>
          </w:p>
        </w:tc>
        <w:tc>
          <w:tcPr>
            <w:tcW w:w="694" w:type="dxa"/>
            <w:noWrap w:val="0"/>
            <w:vAlign w:val="center"/>
          </w:tcPr>
          <w:p w14:paraId="0324AB3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E84F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5B99322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4965" w:type="dxa"/>
            <w:noWrap w:val="0"/>
            <w:vAlign w:val="center"/>
          </w:tcPr>
          <w:p w14:paraId="2430B44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四）在路线勘察设计阶段要深入论证路线走向与地表水体的相互关系。对于可能涉及饮用水源保护区的泸水至片马、界头至腾冲等公路，必须避让一级保护区，并尽可能避让二级保护区，经论证后确实无法避让二级保护区的，须采用桥涵跨越方式，设置桥面径流收集系统，减小对地表水体的影响。线路应尽量绕避I类、Ⅱ类敏感水体，无法绕避的，要尽可能减少涉水施工，减小对水体的扰动，并做好上部构筑物的防撞和雨污水收集、沉淀、处理工作，完善事故应急设施，确保水环境安全。</w:t>
            </w:r>
          </w:p>
        </w:tc>
        <w:tc>
          <w:tcPr>
            <w:tcW w:w="2610" w:type="dxa"/>
            <w:noWrap w:val="0"/>
            <w:vAlign w:val="center"/>
          </w:tcPr>
          <w:p w14:paraId="07B9980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拟建项目不涉及饮用水源保护区，施工期环评提出尽可能减少涉水施工，减小对水体的扰动，并做好上部构筑物的防撞和雨污水收集、沉淀、处理工作，完善事故应急设施，确保水环境安全。</w:t>
            </w:r>
          </w:p>
        </w:tc>
        <w:tc>
          <w:tcPr>
            <w:tcW w:w="694" w:type="dxa"/>
            <w:noWrap w:val="0"/>
            <w:vAlign w:val="center"/>
          </w:tcPr>
          <w:p w14:paraId="483E430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EF7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0926D0F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4965" w:type="dxa"/>
            <w:noWrap w:val="0"/>
            <w:vAlign w:val="center"/>
          </w:tcPr>
          <w:p w14:paraId="26ADCB1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（五）公路规划布线应充分考虑地质危害影响，尽量避开地质灾害危险区。规划路线在确有较大扰动的区域，应优化技术指标，降低对生态环境的影响程度。</w:t>
            </w:r>
          </w:p>
        </w:tc>
        <w:tc>
          <w:tcPr>
            <w:tcW w:w="2610" w:type="dxa"/>
            <w:noWrap w:val="0"/>
            <w:vAlign w:val="center"/>
          </w:tcPr>
          <w:p w14:paraId="44FCC9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拟建项目路线已尽量避开地质灾害危险区。优化路线，降低对生态及环境的影响</w:t>
            </w:r>
            <w:r>
              <w:rPr>
                <w:rFonts w:hint="default" w:ascii="Times New Roman" w:hAnsi="Times New Roman" w:eastAsia="宋体" w:cs="Times New Roman"/>
                <w:b w:val="0"/>
                <w:bCs w:val="0"/>
                <w:color w:val="auto"/>
                <w:sz w:val="21"/>
                <w:szCs w:val="21"/>
                <w:lang w:eastAsia="zh-CN"/>
              </w:rPr>
              <w:t>程度。</w:t>
            </w:r>
          </w:p>
        </w:tc>
        <w:tc>
          <w:tcPr>
            <w:tcW w:w="694" w:type="dxa"/>
            <w:noWrap w:val="0"/>
            <w:vAlign w:val="center"/>
          </w:tcPr>
          <w:p w14:paraId="5414CC6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6DB4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4C54419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w:t>
            </w:r>
          </w:p>
        </w:tc>
        <w:tc>
          <w:tcPr>
            <w:tcW w:w="4965" w:type="dxa"/>
            <w:noWrap w:val="0"/>
            <w:vAlign w:val="center"/>
          </w:tcPr>
          <w:p w14:paraId="1E911DF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（六）高度重视公路项目突发环境风险事故， 编制公路项目突发环境事件应急预案，识别主要环境风险源，确定环境保护目标，分析风险源事故环境影响，建立预警机制，明确组织机构、人员配置、应急原则和应急措施，确保突发环境事件能够得到及时妥善处置，减少事故对环境安全的影响。</w:t>
            </w:r>
          </w:p>
        </w:tc>
        <w:tc>
          <w:tcPr>
            <w:tcW w:w="2610" w:type="dxa"/>
            <w:noWrap w:val="0"/>
            <w:vAlign w:val="center"/>
          </w:tcPr>
          <w:p w14:paraId="522051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拟建项目后续将委托有关单位进行公路突发环境风险</w:t>
            </w:r>
            <w:r>
              <w:rPr>
                <w:rFonts w:hint="default" w:ascii="Times New Roman" w:hAnsi="Times New Roman" w:eastAsia="宋体" w:cs="Times New Roman"/>
                <w:b w:val="0"/>
                <w:bCs w:val="0"/>
                <w:color w:val="auto"/>
                <w:sz w:val="21"/>
                <w:szCs w:val="21"/>
                <w:lang w:eastAsia="zh-CN"/>
              </w:rPr>
              <w:t>评估，</w:t>
            </w:r>
            <w:r>
              <w:rPr>
                <w:rFonts w:hint="default" w:ascii="Times New Roman" w:hAnsi="Times New Roman" w:eastAsia="宋体" w:cs="Times New Roman"/>
                <w:b w:val="0"/>
                <w:bCs w:val="0"/>
                <w:color w:val="auto"/>
                <w:sz w:val="21"/>
                <w:szCs w:val="21"/>
              </w:rPr>
              <w:t>并办理相关应急预案手续，减少事故对环境安全的影响。</w:t>
            </w:r>
          </w:p>
        </w:tc>
        <w:tc>
          <w:tcPr>
            <w:tcW w:w="694" w:type="dxa"/>
            <w:noWrap w:val="0"/>
            <w:vAlign w:val="center"/>
          </w:tcPr>
          <w:p w14:paraId="26C0FBD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4E99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021C13D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w:t>
            </w:r>
          </w:p>
        </w:tc>
        <w:tc>
          <w:tcPr>
            <w:tcW w:w="4965" w:type="dxa"/>
            <w:noWrap w:val="0"/>
            <w:vAlign w:val="center"/>
          </w:tcPr>
          <w:p w14:paraId="4DD357D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（七）注重与其他行业规划之间的相互协调</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进一步加强与铁路、机场、管道、航运等的协调。注意耕地资源、文化遗产和文物资源的保护，避让城镇规划中的居住区、疗养区等功能区。通过科学选线</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实现通道资源的高效利用，加快构建资源节约型、环境友好型的现代综合交通体系。</w:t>
            </w:r>
          </w:p>
        </w:tc>
        <w:tc>
          <w:tcPr>
            <w:tcW w:w="2610" w:type="dxa"/>
            <w:noWrap w:val="0"/>
            <w:vAlign w:val="center"/>
          </w:tcPr>
          <w:p w14:paraId="2701183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拟建项目为元江火车站站前广场配套道路5号路，是完善元江站配套基础建设的重要举措，也是元江产业园区甘庄片区的重要交通通道；已避开文化遗产和文物资源、城镇居住区和疗养区等功能区。</w:t>
            </w:r>
          </w:p>
        </w:tc>
        <w:tc>
          <w:tcPr>
            <w:tcW w:w="694" w:type="dxa"/>
            <w:noWrap w:val="0"/>
            <w:vAlign w:val="center"/>
          </w:tcPr>
          <w:p w14:paraId="3EC8F9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74ACF5E4">
      <w:pPr>
        <w:ind w:firstLine="480"/>
        <w:rPr>
          <w:rFonts w:hint="default" w:ascii="Times New Roman" w:hAnsi="Times New Roman" w:eastAsia="宋体" w:cs="Times New Roman"/>
          <w:b/>
          <w:bCs/>
          <w:color w:val="auto"/>
        </w:rPr>
      </w:pPr>
      <w:r>
        <w:rPr>
          <w:rFonts w:hint="default" w:ascii="Times New Roman" w:hAnsi="Times New Roman" w:eastAsia="宋体" w:cs="Times New Roman"/>
          <w:color w:val="auto"/>
        </w:rPr>
        <w:t>综上所述，项目与《云南省道网规划修编（2016年～2030年）环境影响报告书》审查意见相符。</w:t>
      </w:r>
    </w:p>
    <w:p w14:paraId="1A008BE3">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（3）与《云南省公路网中长期布局规划（2016～2030年）》环境影响报告书审查意见的符合性分析</w:t>
      </w:r>
    </w:p>
    <w:p w14:paraId="506CF0C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根据“云南省环境保护厅关于《云南省公路网中长期布局规划（2016年～2030年）环境影响报告书》的审查意见（云环函〔2017〕133号）”，拟建项目相关符合性分析如下：</w:t>
      </w:r>
    </w:p>
    <w:p w14:paraId="5926814A">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w:t>
      </w: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 xml:space="preserve">  与《云南省公路网中长期布局规划（2016～2030年）》环境影响报告书审查意见的符合性分析</w:t>
      </w:r>
    </w:p>
    <w:tbl>
      <w:tblPr>
        <w:tblStyle w:val="58"/>
        <w:tblW w:w="87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
        <w:gridCol w:w="4445"/>
        <w:gridCol w:w="3130"/>
        <w:gridCol w:w="694"/>
      </w:tblGrid>
      <w:tr w14:paraId="1DD0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2CBE0CC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序号</w:t>
            </w:r>
          </w:p>
        </w:tc>
        <w:tc>
          <w:tcPr>
            <w:tcW w:w="4445" w:type="dxa"/>
            <w:noWrap w:val="0"/>
            <w:vAlign w:val="center"/>
          </w:tcPr>
          <w:p w14:paraId="585CFEF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审查意见</w:t>
            </w:r>
          </w:p>
        </w:tc>
        <w:tc>
          <w:tcPr>
            <w:tcW w:w="3130" w:type="dxa"/>
            <w:noWrap w:val="0"/>
            <w:vAlign w:val="center"/>
          </w:tcPr>
          <w:p w14:paraId="691EB5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拟建项目情况</w:t>
            </w:r>
          </w:p>
        </w:tc>
        <w:tc>
          <w:tcPr>
            <w:tcW w:w="694" w:type="dxa"/>
            <w:noWrap w:val="0"/>
            <w:vAlign w:val="center"/>
          </w:tcPr>
          <w:p w14:paraId="120492D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相符性</w:t>
            </w:r>
          </w:p>
        </w:tc>
      </w:tr>
      <w:tr w14:paraId="7FD5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4572B85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4445" w:type="dxa"/>
            <w:noWrap w:val="0"/>
            <w:vAlign w:val="center"/>
          </w:tcPr>
          <w:p w14:paraId="535826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对《云南省道网规划</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2016</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2030年</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》公路网布局方案进行调整，提出了“五纵五横一边两环二十联”公路网布局方案，编制《云南省公路网中长期布局规划</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2016</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2030年</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规划总里程约14500公里。其中，已建成公路4005公里，“十三五”时期实施公路里程6690公里，中长期重点研究路段里程约3800公里。至2030年，云南省公路面积密度将达38公里</w:t>
            </w:r>
            <w:r>
              <w:rPr>
                <w:rFonts w:hint="default" w:ascii="Times New Roman" w:hAnsi="Times New Roman" w:eastAsia="宋体" w:cs="Times New Roman"/>
                <w:b w:val="0"/>
                <w:bCs w:val="0"/>
                <w:color w:val="auto"/>
                <w:sz w:val="21"/>
                <w:szCs w:val="21"/>
                <w:lang w:eastAsia="zh-CN"/>
              </w:rPr>
              <w:t>/百平方公里</w:t>
            </w:r>
            <w:r>
              <w:rPr>
                <w:rFonts w:hint="default" w:ascii="Times New Roman" w:hAnsi="Times New Roman" w:eastAsia="宋体" w:cs="Times New Roman"/>
                <w:b w:val="0"/>
                <w:bCs w:val="0"/>
                <w:color w:val="auto"/>
                <w:sz w:val="21"/>
                <w:szCs w:val="21"/>
              </w:rPr>
              <w:t>。</w:t>
            </w:r>
          </w:p>
        </w:tc>
        <w:tc>
          <w:tcPr>
            <w:tcW w:w="3130" w:type="dxa"/>
            <w:noWrap w:val="0"/>
            <w:vAlign w:val="center"/>
          </w:tcPr>
          <w:p w14:paraId="57D99F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本次元江火车站站前广场配套道路5号路建设项目位于元江县甘庄街道，项目起、止点与G213相接，符合《云南省道网规划</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2016</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2030年</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》和《云南省公路网中长期布局规划</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2016</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2030年</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》的相关要求。</w:t>
            </w:r>
          </w:p>
        </w:tc>
        <w:tc>
          <w:tcPr>
            <w:tcW w:w="694" w:type="dxa"/>
            <w:noWrap w:val="0"/>
            <w:vAlign w:val="center"/>
          </w:tcPr>
          <w:p w14:paraId="529B03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3F1D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2F2D828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4445" w:type="dxa"/>
            <w:noWrap w:val="0"/>
            <w:vAlign w:val="center"/>
          </w:tcPr>
          <w:p w14:paraId="42C20E6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《规划》与相关总体规划协调，但部分规划项目涉及环境敏感区，可能造成一定程度的不良环境影响。《规划》实施可能加剧现有生态环境问题，应在维护区域</w:t>
            </w:r>
            <w:r>
              <w:rPr>
                <w:rFonts w:hint="default" w:ascii="Times New Roman" w:hAnsi="Times New Roman" w:eastAsia="宋体" w:cs="Times New Roman"/>
                <w:b w:val="0"/>
                <w:bCs w:val="0"/>
                <w:color w:val="auto"/>
                <w:sz w:val="21"/>
                <w:szCs w:val="21"/>
                <w:lang w:eastAsia="zh-CN"/>
              </w:rPr>
              <w:t>生态</w:t>
            </w:r>
            <w:r>
              <w:rPr>
                <w:rFonts w:hint="default" w:ascii="Times New Roman" w:hAnsi="Times New Roman" w:eastAsia="宋体" w:cs="Times New Roman"/>
                <w:b w:val="0"/>
                <w:bCs w:val="0"/>
                <w:color w:val="auto"/>
                <w:sz w:val="21"/>
                <w:szCs w:val="21"/>
              </w:rPr>
              <w:t>安全的总体目标下，妥善处理公路建设与环境保护的关系，依据《报告书》结论和审查小组意见，在进一步优化《规划》方案的基础上，完善并认真落实各项环保对策措施，有效预防和减缓《规划》实施可能产生的不良环境影响。</w:t>
            </w:r>
          </w:p>
        </w:tc>
        <w:tc>
          <w:tcPr>
            <w:tcW w:w="3130" w:type="dxa"/>
            <w:noWrap w:val="0"/>
            <w:vAlign w:val="center"/>
          </w:tcPr>
          <w:p w14:paraId="289718C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拟建项目占地不涉及各级</w:t>
            </w:r>
            <w:r>
              <w:rPr>
                <w:rFonts w:hint="default" w:ascii="Times New Roman" w:hAnsi="Times New Roman" w:eastAsia="宋体" w:cs="Times New Roman"/>
                <w:b w:val="0"/>
                <w:bCs w:val="0"/>
                <w:color w:val="auto"/>
                <w:sz w:val="21"/>
                <w:szCs w:val="21"/>
                <w:lang w:eastAsia="zh-CN"/>
              </w:rPr>
              <w:t>自然保护区</w:t>
            </w:r>
            <w:r>
              <w:rPr>
                <w:rFonts w:hint="default" w:ascii="Times New Roman" w:hAnsi="Times New Roman" w:eastAsia="宋体" w:cs="Times New Roman"/>
                <w:b w:val="0"/>
                <w:bCs w:val="0"/>
                <w:color w:val="auto"/>
                <w:sz w:val="21"/>
                <w:szCs w:val="21"/>
              </w:rPr>
              <w:t>、国家公园、风景名胜区、集中式</w:t>
            </w:r>
            <w:r>
              <w:rPr>
                <w:rFonts w:hint="default" w:ascii="Times New Roman" w:hAnsi="Times New Roman" w:eastAsia="宋体" w:cs="Times New Roman"/>
                <w:b w:val="0"/>
                <w:bCs w:val="0"/>
                <w:color w:val="auto"/>
                <w:sz w:val="21"/>
                <w:szCs w:val="21"/>
                <w:lang w:eastAsia="zh-CN"/>
              </w:rPr>
              <w:t>饮用水源</w:t>
            </w:r>
            <w:r>
              <w:rPr>
                <w:rFonts w:hint="default" w:ascii="Times New Roman" w:hAnsi="Times New Roman" w:eastAsia="宋体" w:cs="Times New Roman"/>
                <w:b w:val="0"/>
                <w:bCs w:val="0"/>
                <w:color w:val="auto"/>
                <w:sz w:val="21"/>
                <w:szCs w:val="21"/>
              </w:rPr>
              <w:t>保护区等环境敏感区，不涉及国家</w:t>
            </w:r>
            <w:r>
              <w:rPr>
                <w:rFonts w:hint="default" w:ascii="Times New Roman" w:hAnsi="Times New Roman" w:eastAsia="宋体" w:cs="Times New Roman"/>
                <w:b w:val="0"/>
                <w:bCs w:val="0"/>
                <w:color w:val="auto"/>
                <w:sz w:val="21"/>
                <w:szCs w:val="21"/>
                <w:lang w:eastAsia="zh-CN"/>
              </w:rPr>
              <w:t>或</w:t>
            </w:r>
            <w:r>
              <w:rPr>
                <w:rFonts w:hint="default" w:ascii="Times New Roman" w:hAnsi="Times New Roman" w:eastAsia="宋体" w:cs="Times New Roman"/>
                <w:b w:val="0"/>
                <w:bCs w:val="0"/>
                <w:color w:val="auto"/>
                <w:sz w:val="21"/>
                <w:szCs w:val="21"/>
              </w:rPr>
              <w:t>省级禁止开发区。最终选线方案是对建设项目可行、生态环境能接受的方案。本环评论述了项目对周边生态环境、地表水环境、地下水环境、环境空气、声环境及环境风险等</w:t>
            </w:r>
            <w:r>
              <w:rPr>
                <w:rFonts w:hint="default" w:ascii="Times New Roman" w:hAnsi="Times New Roman" w:eastAsia="宋体" w:cs="Times New Roman"/>
                <w:b w:val="0"/>
                <w:bCs w:val="0"/>
                <w:color w:val="auto"/>
                <w:sz w:val="21"/>
                <w:szCs w:val="21"/>
                <w:lang w:eastAsia="zh-CN"/>
              </w:rPr>
              <w:t>方</w:t>
            </w:r>
            <w:r>
              <w:rPr>
                <w:rFonts w:hint="default" w:ascii="Times New Roman" w:hAnsi="Times New Roman" w:eastAsia="宋体" w:cs="Times New Roman"/>
                <w:b w:val="0"/>
                <w:bCs w:val="0"/>
                <w:color w:val="auto"/>
                <w:sz w:val="21"/>
                <w:szCs w:val="21"/>
              </w:rPr>
              <w:t>面的</w:t>
            </w:r>
            <w:r>
              <w:rPr>
                <w:rFonts w:hint="default" w:ascii="Times New Roman" w:hAnsi="Times New Roman" w:eastAsia="宋体" w:cs="Times New Roman"/>
                <w:b w:val="0"/>
                <w:bCs w:val="0"/>
                <w:color w:val="auto"/>
                <w:sz w:val="21"/>
                <w:szCs w:val="21"/>
                <w:lang w:eastAsia="zh-CN"/>
              </w:rPr>
              <w:t>影响。</w:t>
            </w:r>
            <w:r>
              <w:rPr>
                <w:rFonts w:hint="default" w:ascii="Times New Roman" w:hAnsi="Times New Roman" w:eastAsia="宋体" w:cs="Times New Roman"/>
                <w:b w:val="0"/>
                <w:bCs w:val="0"/>
                <w:color w:val="auto"/>
                <w:sz w:val="21"/>
                <w:szCs w:val="21"/>
              </w:rPr>
              <w:t>施工时建设单位将严格控制</w:t>
            </w:r>
            <w:r>
              <w:rPr>
                <w:rFonts w:hint="default" w:ascii="Times New Roman" w:hAnsi="Times New Roman" w:eastAsia="宋体" w:cs="Times New Roman"/>
                <w:b w:val="0"/>
                <w:bCs w:val="0"/>
                <w:color w:val="auto"/>
                <w:sz w:val="21"/>
                <w:szCs w:val="21"/>
                <w:lang w:eastAsia="zh-CN"/>
              </w:rPr>
              <w:t>公路</w:t>
            </w:r>
            <w:r>
              <w:rPr>
                <w:rFonts w:hint="default" w:ascii="Times New Roman" w:hAnsi="Times New Roman" w:eastAsia="宋体" w:cs="Times New Roman"/>
                <w:b w:val="0"/>
                <w:bCs w:val="0"/>
                <w:color w:val="auto"/>
                <w:sz w:val="21"/>
                <w:szCs w:val="21"/>
              </w:rPr>
              <w:t>建设扰动强度，优化建设方案，同时本</w:t>
            </w:r>
            <w:r>
              <w:rPr>
                <w:rFonts w:hint="default" w:ascii="Times New Roman" w:hAnsi="Times New Roman" w:eastAsia="宋体" w:cs="Times New Roman"/>
                <w:b w:val="0"/>
                <w:bCs w:val="0"/>
                <w:color w:val="auto"/>
                <w:sz w:val="21"/>
                <w:szCs w:val="21"/>
                <w:lang w:eastAsia="zh-CN"/>
              </w:rPr>
              <w:t>环评</w:t>
            </w:r>
            <w:r>
              <w:rPr>
                <w:rFonts w:hint="default" w:ascii="Times New Roman" w:hAnsi="Times New Roman" w:eastAsia="宋体" w:cs="Times New Roman"/>
                <w:b w:val="0"/>
                <w:bCs w:val="0"/>
                <w:color w:val="auto"/>
                <w:sz w:val="21"/>
                <w:szCs w:val="21"/>
              </w:rPr>
              <w:t>也提出了各项环境保护对策措施，以预防和减轻项目实施可能产生的不利环境影响，并减少对周边生态环境的影响。</w:t>
            </w:r>
          </w:p>
        </w:tc>
        <w:tc>
          <w:tcPr>
            <w:tcW w:w="694" w:type="dxa"/>
            <w:noWrap w:val="0"/>
            <w:vAlign w:val="center"/>
          </w:tcPr>
          <w:p w14:paraId="453A7FE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67077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331AE74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4445" w:type="dxa"/>
            <w:noWrap w:val="0"/>
            <w:vAlign w:val="center"/>
          </w:tcPr>
          <w:p w14:paraId="545F446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对《规划》优化调整和实施过程中的意见</w:t>
            </w:r>
            <w:r>
              <w:rPr>
                <w:rFonts w:hint="default" w:ascii="Times New Roman" w:hAnsi="Times New Roman" w:eastAsia="宋体" w:cs="Times New Roman"/>
                <w:b w:val="0"/>
                <w:bCs w:val="0"/>
                <w:color w:val="auto"/>
                <w:sz w:val="21"/>
                <w:szCs w:val="21"/>
                <w:lang w:eastAsia="zh-CN"/>
              </w:rPr>
              <w:t>：</w:t>
            </w:r>
          </w:p>
          <w:p w14:paraId="2EE64F5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突发环境事件时能够得到合理的控制</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一</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坚持生态优先，树立底线思维和红线意识。</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二</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严格控制公路建设扰动强度。</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三</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在路线勘察设计阶段要深入论证路线走向与地表水的相互关系。</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四</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公路规划布线应充分考虑地质危害影响；尽量避开地质灾害危险区。规划路线在确有较大扰动的区域，应优化技术指标，降低对生态及环境的影响程度。</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五</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高度重视公路突发环境风险，编制公路项目突发环境应急预案，识别主要环境风险源，确定环境保护目标，分析风险源事故环境影响，建立预警机制，确定组织机构、人员配置、应急原则和应急措施，使规划公路突发环境事件时能够得到合理的控制和处置，减少事故对环境安全的影响。（六）注重与其他行业规划之间的相互协调，进一步加强与铁路、机场、管道、航运等的协调。注意耕地资源、文化遗产和文物资源的保护，避让城镇规划中的居住区、疗养区等功能区。通过科学选线，实现通道资源的高效利用，加快构建资源节约型环境友好型的现代综合交通体系。</w:t>
            </w:r>
          </w:p>
        </w:tc>
        <w:tc>
          <w:tcPr>
            <w:tcW w:w="3130" w:type="dxa"/>
            <w:noWrap w:val="0"/>
            <w:vAlign w:val="center"/>
          </w:tcPr>
          <w:p w14:paraId="12A42D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eastAsia="zh-CN"/>
              </w:rPr>
              <w:t>（1）</w:t>
            </w:r>
            <w:r>
              <w:rPr>
                <w:rFonts w:hint="default" w:ascii="Times New Roman" w:hAnsi="Times New Roman" w:eastAsia="宋体" w:cs="Times New Roman"/>
                <w:b w:val="0"/>
                <w:bCs w:val="0"/>
                <w:color w:val="auto"/>
                <w:sz w:val="21"/>
                <w:szCs w:val="21"/>
              </w:rPr>
              <w:t>项目用地不涉及自然保护区、国家公园、风景名胜区等环境敏感区，不涉及国家或省级禁止开发区，在选线过程中已避让生态红线。最终选线方案是对建设项目可行、生态环境能接受的方案。（2</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施工时建设单位将严格控制</w:t>
            </w:r>
            <w:r>
              <w:rPr>
                <w:rFonts w:hint="default" w:ascii="Times New Roman" w:hAnsi="Times New Roman" w:eastAsia="宋体" w:cs="Times New Roman"/>
                <w:b w:val="0"/>
                <w:bCs w:val="0"/>
                <w:color w:val="auto"/>
                <w:sz w:val="21"/>
                <w:szCs w:val="21"/>
                <w:lang w:eastAsia="zh-CN"/>
              </w:rPr>
              <w:t>公路</w:t>
            </w:r>
            <w:r>
              <w:rPr>
                <w:rFonts w:hint="default" w:ascii="Times New Roman" w:hAnsi="Times New Roman" w:eastAsia="宋体" w:cs="Times New Roman"/>
                <w:b w:val="0"/>
                <w:bCs w:val="0"/>
                <w:color w:val="auto"/>
                <w:sz w:val="21"/>
                <w:szCs w:val="21"/>
              </w:rPr>
              <w:t>建设扰动强度，优化建设方案，同时本</w:t>
            </w:r>
            <w:r>
              <w:rPr>
                <w:rFonts w:hint="default" w:ascii="Times New Roman" w:hAnsi="Times New Roman" w:eastAsia="宋体" w:cs="Times New Roman"/>
                <w:b w:val="0"/>
                <w:bCs w:val="0"/>
                <w:color w:val="auto"/>
                <w:sz w:val="21"/>
                <w:szCs w:val="21"/>
                <w:lang w:eastAsia="zh-CN"/>
              </w:rPr>
              <w:t>环评</w:t>
            </w:r>
            <w:r>
              <w:rPr>
                <w:rFonts w:hint="default" w:ascii="Times New Roman" w:hAnsi="Times New Roman" w:eastAsia="宋体" w:cs="Times New Roman"/>
                <w:b w:val="0"/>
                <w:bCs w:val="0"/>
                <w:color w:val="auto"/>
                <w:sz w:val="21"/>
                <w:szCs w:val="21"/>
              </w:rPr>
              <w:t>也提出了各项环境保护对策措施，以预防和减轻项目实施可能产生的不利环境影响，并减少对周边生态环境的影响。（3）项目路线所经区域无地表水出露，不涉及饮用水源保护区，施工期环评提出尽可能减少涉水施工，减小对水体的扰动，并做好上部构筑物的防撞和雨污水收集、沉淀、处理工作，完善事故应急设施，确保水环境安全。（4）</w:t>
            </w:r>
            <w:r>
              <w:rPr>
                <w:rFonts w:hint="default" w:ascii="Times New Roman" w:hAnsi="Times New Roman" w:eastAsia="宋体" w:cs="Times New Roman"/>
                <w:b w:val="0"/>
                <w:bCs w:val="0"/>
                <w:color w:val="auto"/>
                <w:sz w:val="21"/>
                <w:szCs w:val="21"/>
                <w:lang w:eastAsia="zh-CN"/>
              </w:rPr>
              <w:t>拟建项目</w:t>
            </w:r>
            <w:r>
              <w:rPr>
                <w:rFonts w:hint="default" w:ascii="Times New Roman" w:hAnsi="Times New Roman" w:eastAsia="宋体" w:cs="Times New Roman"/>
                <w:b w:val="0"/>
                <w:bCs w:val="0"/>
                <w:color w:val="auto"/>
                <w:sz w:val="21"/>
                <w:szCs w:val="21"/>
              </w:rPr>
              <w:t>路线尽量避开地质灾害危险区。（5）拟建项目后续将委托有关单位进行公路突发环境风险</w:t>
            </w:r>
            <w:r>
              <w:rPr>
                <w:rFonts w:hint="default" w:ascii="Times New Roman" w:hAnsi="Times New Roman" w:eastAsia="宋体" w:cs="Times New Roman"/>
                <w:b w:val="0"/>
                <w:bCs w:val="0"/>
                <w:color w:val="auto"/>
                <w:sz w:val="21"/>
                <w:szCs w:val="21"/>
                <w:lang w:eastAsia="zh-CN"/>
              </w:rPr>
              <w:t>评估，</w:t>
            </w:r>
            <w:r>
              <w:rPr>
                <w:rFonts w:hint="default" w:ascii="Times New Roman" w:hAnsi="Times New Roman" w:eastAsia="宋体" w:cs="Times New Roman"/>
                <w:b w:val="0"/>
                <w:bCs w:val="0"/>
                <w:color w:val="auto"/>
                <w:sz w:val="21"/>
                <w:szCs w:val="21"/>
              </w:rPr>
              <w:t>并办理相关应急预案手续，减少事故对环境安全的影响。（6）拟建项目为元江火车站站前广场配套道路5号路，是完善元江站配套基础建设的重要举措，也是元江产业园区甘庄片区的重要交通通道；已避开文化遗产和文物资源、城镇居住区和疗养区等功能区。</w:t>
            </w:r>
          </w:p>
        </w:tc>
        <w:tc>
          <w:tcPr>
            <w:tcW w:w="694" w:type="dxa"/>
            <w:noWrap w:val="0"/>
            <w:vAlign w:val="center"/>
          </w:tcPr>
          <w:p w14:paraId="4958E6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0E4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 w:type="dxa"/>
            <w:noWrap w:val="0"/>
            <w:vAlign w:val="center"/>
          </w:tcPr>
          <w:p w14:paraId="52B9F0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4445" w:type="dxa"/>
            <w:noWrap w:val="0"/>
            <w:vAlign w:val="center"/>
          </w:tcPr>
          <w:p w14:paraId="29AFA3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规划》所包含的建设项目在开展环境影响评价时，规划协调性分析等内容可适当简化，重点分析与规划环评要求的符合性。应结合生态空间保护与管控要求，在落实生态保护、治理、修复方案基础上，深入论证规划布局方案的环境合理性，以及项目建设可能产生的声环境、水环境、生态环境影响和对环境敏感区的影响，制定切实可行的环境保护对策措施，预防和减轻项目实施可能产生的不利环境影响。</w:t>
            </w:r>
          </w:p>
        </w:tc>
        <w:tc>
          <w:tcPr>
            <w:tcW w:w="3130" w:type="dxa"/>
            <w:noWrap w:val="0"/>
            <w:vAlign w:val="center"/>
          </w:tcPr>
          <w:p w14:paraId="6AEB5FC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已重点分析与规划环评要求的符合性；结合生态空间保护与管控要求，在落实生态保护、治理、修复方案基础上，进行环境合理性评估：已针对项目建设可能产生的声环境、水环境、生态环境影响和对环境敏感区的影响，制定切实可行的环境保护对策措施，预防和减轻项目实施可能产生的不利环境影响。</w:t>
            </w:r>
          </w:p>
        </w:tc>
        <w:tc>
          <w:tcPr>
            <w:tcW w:w="694" w:type="dxa"/>
            <w:noWrap w:val="0"/>
            <w:vAlign w:val="center"/>
          </w:tcPr>
          <w:p w14:paraId="6DC49F1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55E8541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综上所述，项目与《云南省公路网中长期布局规划（2016～2030年）》环境影响报告书审查意见相符。</w:t>
      </w:r>
    </w:p>
    <w:p w14:paraId="2B69B9AE">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（4）与元江县的“十四五”交通规划的相符性分析</w:t>
      </w:r>
    </w:p>
    <w:p w14:paraId="606514B4">
      <w:pPr>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w:t>
      </w:r>
      <w:r>
        <w:rPr>
          <w:rFonts w:hint="default" w:ascii="Times New Roman" w:hAnsi="Times New Roman" w:eastAsia="宋体" w:cs="Times New Roman"/>
          <w:color w:val="auto"/>
          <w:lang w:val="zh-CN"/>
        </w:rPr>
        <w:t>元江哈尼族彝族傣族自治县国民经济和社会发展第十四个五年规划和二〇三五年远景目标纲要</w:t>
      </w:r>
      <w:r>
        <w:rPr>
          <w:rFonts w:hint="default" w:ascii="Times New Roman" w:hAnsi="Times New Roman" w:eastAsia="宋体" w:cs="Times New Roman"/>
          <w:color w:val="auto"/>
        </w:rPr>
        <w:t>》，</w:t>
      </w:r>
      <w:r>
        <w:rPr>
          <w:rFonts w:hint="default" w:ascii="Times New Roman" w:hAnsi="Times New Roman" w:eastAsia="宋体" w:cs="Times New Roman"/>
          <w:b/>
          <w:bCs/>
          <w:color w:val="auto"/>
        </w:rPr>
        <w:t>完善综合交通基础设施网络布局：</w:t>
      </w:r>
      <w:r>
        <w:rPr>
          <w:rFonts w:hint="default" w:ascii="Times New Roman" w:hAnsi="Times New Roman" w:eastAsia="宋体" w:cs="Times New Roman"/>
          <w:color w:val="auto"/>
        </w:rPr>
        <w:t>以国省干线为主体，构建覆盖空间大、通达程度深、惠及面广的综合交通基础服务网络。推进实施G553、G213、S316等普通国省道提级改造工程。加快“四好农村路”建设，完善农村公路网络，重点推进自然村进村道路通畅工程，加强资源路、旅游路、产业路升级改造，提升与相邻县市、乡镇</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街道</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之间和建制村之间互联互通水平，加强农村公路养护管理，完善农村公路安全生命防护设施，实施危桥改造及新建桥梁项目，逐步形成县、乡</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镇</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、村、组四级快速转换和无缝衔接路网结构。</w:t>
      </w:r>
      <w:r>
        <w:rPr>
          <w:rFonts w:hint="default" w:ascii="Times New Roman" w:hAnsi="Times New Roman" w:eastAsia="宋体" w:cs="Times New Roman"/>
          <w:b/>
          <w:bCs/>
          <w:color w:val="auto"/>
        </w:rPr>
        <w:t>加快运输服务一体化进程：</w:t>
      </w:r>
      <w:r>
        <w:rPr>
          <w:rFonts w:hint="default" w:ascii="Times New Roman" w:hAnsi="Times New Roman" w:eastAsia="宋体" w:cs="Times New Roman"/>
          <w:color w:val="auto"/>
        </w:rPr>
        <w:t>加快综合交通运输组织管理系统建设，构建多层次、一体化、高效率客货综合交通运输网络，提升运输服务质量和水平。重点打造玉磨铁路元江火车站和红河谷农产品物流与交易园区。推进元江通用机场和县、乡、村三级物流配送中心建设。形成层次分明、功能清晰、衔接便捷、运转高效的综合交通运输服务体系。</w:t>
      </w:r>
    </w:p>
    <w:p w14:paraId="38E5A9CF">
      <w:pPr>
        <w:pStyle w:val="71"/>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272405" cy="3603625"/>
            <wp:effectExtent l="0" t="0" r="4445" b="15875"/>
            <wp:docPr id="19" name="图片 36" descr="a317b642-f53d-4328-82bf-50a9b9804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6" descr="a317b642-f53d-4328-82bf-50a9b9804fcf"/>
                    <pic:cNvPicPr>
                      <a:picLocks noChangeAspect="1"/>
                    </pic:cNvPicPr>
                  </pic:nvPicPr>
                  <pic:blipFill>
                    <a:blip r:embed="rId24"/>
                    <a:srcRect b="3288"/>
                    <a:stretch>
                      <a:fillRect/>
                    </a:stretch>
                  </pic:blipFill>
                  <pic:spPr>
                    <a:xfrm>
                      <a:off x="0" y="0"/>
                      <a:ext cx="5272405" cy="3603625"/>
                    </a:xfrm>
                    <a:prstGeom prst="rect">
                      <a:avLst/>
                    </a:prstGeom>
                    <a:noFill/>
                    <a:ln>
                      <a:noFill/>
                    </a:ln>
                  </pic:spPr>
                </pic:pic>
              </a:graphicData>
            </a:graphic>
          </wp:inline>
        </w:drawing>
      </w:r>
    </w:p>
    <w:p w14:paraId="4AFBCCE7">
      <w:pPr>
        <w:adjustRightInd w:val="0"/>
        <w:snapToGrid w:val="0"/>
        <w:ind w:firstLine="0" w:firstLineChars="0"/>
        <w:jc w:val="center"/>
        <w:rPr>
          <w:rFonts w:hint="default"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lang w:eastAsia="zh-CN"/>
        </w:rPr>
        <w:drawing>
          <wp:inline distT="0" distB="0" distL="114300" distR="114300">
            <wp:extent cx="5269865" cy="2665730"/>
            <wp:effectExtent l="0" t="0" r="6985" b="1270"/>
            <wp:docPr id="20" name="图片 37" descr="8cffce38-cd40-47ee-98dd-7c76cc172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7" descr="8cffce38-cd40-47ee-98dd-7c76cc172d26"/>
                    <pic:cNvPicPr>
                      <a:picLocks noChangeAspect="1"/>
                    </pic:cNvPicPr>
                  </pic:nvPicPr>
                  <pic:blipFill>
                    <a:blip r:embed="rId25"/>
                    <a:stretch>
                      <a:fillRect/>
                    </a:stretch>
                  </pic:blipFill>
                  <pic:spPr>
                    <a:xfrm>
                      <a:off x="0" y="0"/>
                      <a:ext cx="5269865" cy="2665730"/>
                    </a:xfrm>
                    <a:prstGeom prst="rect">
                      <a:avLst/>
                    </a:prstGeom>
                    <a:noFill/>
                    <a:ln>
                      <a:noFill/>
                    </a:ln>
                  </pic:spPr>
                </pic:pic>
              </a:graphicData>
            </a:graphic>
          </wp:inline>
        </w:drawing>
      </w:r>
    </w:p>
    <w:p w14:paraId="57D06036">
      <w:pPr>
        <w:adjustRightInd w:val="0"/>
        <w:snapToGrid w:val="0"/>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图2  元江县综合交通规划图</w:t>
      </w:r>
    </w:p>
    <w:p w14:paraId="1B73501A">
      <w:pPr>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本项目为元江火车站站前广场配套道路5号路建设项目，建设路线起、止点与G213国道相接</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是G213国道线提升改造工程元江段的一部分，是完善元江站配套基础建设的重要举措，也是元江产业园区甘庄片区的重要交通通道，符合元江县“十四五”规划相关要求。</w:t>
      </w:r>
    </w:p>
    <w:p w14:paraId="15AB6759">
      <w:pPr>
        <w:pStyle w:val="71"/>
        <w:ind w:firstLine="482"/>
        <w:jc w:val="both"/>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（5）与</w:t>
      </w: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sz w:val="24"/>
          <w:szCs w:val="24"/>
        </w:rPr>
        <w:t>元江哈尼族彝族傣族自治县国土空间总体规划（2021—2035年）</w:t>
      </w: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sz w:val="24"/>
          <w:szCs w:val="24"/>
        </w:rPr>
        <w:t>符合性分析</w:t>
      </w:r>
    </w:p>
    <w:p w14:paraId="75248352">
      <w:pPr>
        <w:pStyle w:val="73"/>
        <w:ind w:firstLine="496"/>
        <w:rPr>
          <w:rFonts w:hint="default" w:ascii="Times New Roman" w:hAnsi="Times New Roman" w:eastAsia="宋体" w:cs="Times New Roman"/>
          <w:color w:val="auto"/>
          <w:lang w:val="en-US"/>
        </w:rPr>
      </w:pPr>
      <w:r>
        <w:rPr>
          <w:rFonts w:hint="default" w:ascii="Times New Roman" w:hAnsi="Times New Roman" w:eastAsia="宋体" w:cs="Times New Roman"/>
          <w:color w:val="auto"/>
          <w:lang w:val="en-US"/>
        </w:rPr>
        <w:t>项目与《元江哈尼族彝族傣族自治县国土空间总体规划（2021—2035年）》相符性分析如下：</w:t>
      </w:r>
    </w:p>
    <w:p w14:paraId="3750248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bCs/>
          <w:color w:val="auto"/>
          <w:sz w:val="21"/>
          <w:szCs w:val="21"/>
        </w:rPr>
        <w:t>表</w:t>
      </w:r>
      <w:r>
        <w:rPr>
          <w:rFonts w:hint="eastAsia" w:ascii="Times New Roman" w:hAnsi="Times New Roman" w:eastAsia="宋体" w:cs="Times New Roman"/>
          <w:b/>
          <w:bCs/>
          <w:color w:val="auto"/>
          <w:sz w:val="21"/>
          <w:szCs w:val="21"/>
          <w:lang w:val="en-US" w:eastAsia="zh-CN"/>
        </w:rPr>
        <w:t>6</w:t>
      </w:r>
      <w:r>
        <w:rPr>
          <w:rFonts w:hint="default" w:ascii="Times New Roman" w:hAnsi="Times New Roman" w:eastAsia="宋体" w:cs="Times New Roman"/>
          <w:b/>
          <w:bCs/>
          <w:color w:val="auto"/>
          <w:sz w:val="21"/>
          <w:szCs w:val="21"/>
        </w:rPr>
        <w:t xml:space="preserve">  与《元江哈尼族彝族傣族自治县国土空间总体规划（2021—2035年）》符合性分析</w:t>
      </w:r>
    </w:p>
    <w:tbl>
      <w:tblPr>
        <w:tblStyle w:val="58"/>
        <w:tblW w:w="87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
        <w:gridCol w:w="5444"/>
        <w:gridCol w:w="2186"/>
        <w:gridCol w:w="694"/>
      </w:tblGrid>
      <w:tr w14:paraId="7337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415CED0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5444" w:type="dxa"/>
            <w:noWrap w:val="0"/>
            <w:vAlign w:val="center"/>
          </w:tcPr>
          <w:p w14:paraId="20CD0B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相关要求</w:t>
            </w:r>
          </w:p>
        </w:tc>
        <w:tc>
          <w:tcPr>
            <w:tcW w:w="2186" w:type="dxa"/>
            <w:noWrap w:val="0"/>
            <w:vAlign w:val="center"/>
          </w:tcPr>
          <w:p w14:paraId="2D847AB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拟建项目情况</w:t>
            </w:r>
          </w:p>
        </w:tc>
        <w:tc>
          <w:tcPr>
            <w:tcW w:w="694" w:type="dxa"/>
            <w:noWrap w:val="0"/>
            <w:vAlign w:val="center"/>
          </w:tcPr>
          <w:p w14:paraId="6C11151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558F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7" w:type="dxa"/>
            <w:gridSpan w:val="4"/>
            <w:noWrap w:val="0"/>
            <w:vAlign w:val="center"/>
          </w:tcPr>
          <w:p w14:paraId="17DACA1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统筹划定“三条控制线”</w:t>
            </w:r>
          </w:p>
        </w:tc>
      </w:tr>
      <w:tr w14:paraId="0E5A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261DF1B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5444" w:type="dxa"/>
            <w:noWrap w:val="0"/>
            <w:vAlign w:val="center"/>
          </w:tcPr>
          <w:p w14:paraId="7DCA15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坚决落实党中央、国务院和省委、省政府、市委、市政府遏制耕地“非农化”、防止耕地“非粮化”决策部署，压实地方党委、政府耕地保护和粮食安全主体责任，坚持“严起来”的总基调，采取“长牙齿”的硬措施，聚焦耕地保护突出问题，紧盯重点任务，加强耕地用途管制，严格管控耕地转为其他用地，筑牢耕地保护红线，夯实粮食安全根基。从严管控非农建设占用基本农田，永久基本农田一经划定，任何单位和个人不得擅自占用或者擅自改变用途，严禁未经审批违法违规占用。</w:t>
            </w:r>
          </w:p>
        </w:tc>
        <w:tc>
          <w:tcPr>
            <w:tcW w:w="2186" w:type="dxa"/>
            <w:vMerge w:val="restart"/>
            <w:noWrap w:val="0"/>
            <w:vAlign w:val="center"/>
          </w:tcPr>
          <w:p w14:paraId="27D50CD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为公路建设项目，根据元江县自然资源局提供的拟建项目与“三区三线”叠加分析图，项目建设不涉及占用永久基本农田、生态保护红线；根据《元江县林业和草原局关于元江火车站站前广场配套道路5号路建设项目涉及占用林地草地湿地及自然保护地审核意见》，项目用地范围不涉及林地、湿地、草地；根据元江县自然资源局提供的拟建项目规划符合性的情况说明，建设路线不位于生态保护红线范围内，不位于各级保护区，符合</w:t>
            </w:r>
            <w:r>
              <w:rPr>
                <w:rFonts w:hint="default" w:ascii="Times New Roman" w:hAnsi="Times New Roman" w:eastAsia="宋体" w:cs="Times New Roman"/>
                <w:b w:val="0"/>
                <w:bCs w:val="0"/>
                <w:color w:val="auto"/>
                <w:sz w:val="21"/>
                <w:szCs w:val="21"/>
                <w:lang w:eastAsia="zh-CN"/>
              </w:rPr>
              <w:t>城镇开发边界</w:t>
            </w:r>
            <w:r>
              <w:rPr>
                <w:rFonts w:hint="default" w:ascii="Times New Roman" w:hAnsi="Times New Roman" w:eastAsia="宋体" w:cs="Times New Roman"/>
                <w:b w:val="0"/>
                <w:bCs w:val="0"/>
                <w:color w:val="auto"/>
                <w:sz w:val="21"/>
                <w:szCs w:val="21"/>
              </w:rPr>
              <w:t>管控规则。</w:t>
            </w:r>
          </w:p>
        </w:tc>
        <w:tc>
          <w:tcPr>
            <w:tcW w:w="694" w:type="dxa"/>
            <w:noWrap w:val="0"/>
            <w:vAlign w:val="center"/>
          </w:tcPr>
          <w:p w14:paraId="331270E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025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2223D2F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5444" w:type="dxa"/>
            <w:noWrap w:val="0"/>
            <w:vAlign w:val="center"/>
          </w:tcPr>
          <w:p w14:paraId="67677D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态保护红线内，自然保护地核心保护区原则上禁止人为活动；自然保护地核心保护区外禁止开发性、生产性建设活动。有限人为活动应尽量避让自然保护区、风景名胜区等自然保护地、饮用水水源保护区、重要湿地等特殊区域，确实无法避让的应符合现行相关法律法规规定。生态保护红线一经划定，未经批准，严禁擅自调整。</w:t>
            </w:r>
          </w:p>
        </w:tc>
        <w:tc>
          <w:tcPr>
            <w:tcW w:w="2186" w:type="dxa"/>
            <w:vMerge w:val="continue"/>
            <w:noWrap w:val="0"/>
            <w:vAlign w:val="center"/>
          </w:tcPr>
          <w:p w14:paraId="6209C7F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4" w:type="dxa"/>
            <w:noWrap w:val="0"/>
            <w:vAlign w:val="center"/>
          </w:tcPr>
          <w:p w14:paraId="2EB80E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2CBBE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241D7FF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5444" w:type="dxa"/>
            <w:noWrap w:val="0"/>
            <w:vAlign w:val="center"/>
          </w:tcPr>
          <w:p w14:paraId="591904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城镇开发边界内实施“详细规划+规划许可”的管制方式，城镇开发边界外的建设，按照主导用途分区，实行“详细规划+规划许可”和“约束指标+分区准入”的管制方式。城镇建设应避让地质灾害高风险区、地震断裂带、采煤塌陷区、洪涝风险易发区等区域，确实无法避让的应当充分论证，并严格开展地质灾害危险性评估，论证建设的可行性，明确减缓不良影响的防护措施。在评估完成并对地质灾害进行治理前，不得实施建设工程，保障城镇建设安全。并加强与水体保护线、绿地系统线、基础设施建设控制线、历史文化保护线等控制线的协同管控。</w:t>
            </w:r>
          </w:p>
        </w:tc>
        <w:tc>
          <w:tcPr>
            <w:tcW w:w="2186" w:type="dxa"/>
            <w:vMerge w:val="continue"/>
            <w:noWrap w:val="0"/>
            <w:vAlign w:val="center"/>
          </w:tcPr>
          <w:p w14:paraId="51BA03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4" w:type="dxa"/>
            <w:noWrap w:val="0"/>
            <w:vAlign w:val="center"/>
          </w:tcPr>
          <w:p w14:paraId="6EE2086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4551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27" w:type="dxa"/>
            <w:gridSpan w:val="4"/>
            <w:noWrap w:val="0"/>
            <w:vAlign w:val="center"/>
          </w:tcPr>
          <w:p w14:paraId="78F563C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综合交通体系</w:t>
            </w:r>
          </w:p>
        </w:tc>
      </w:tr>
      <w:tr w14:paraId="060A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1EFE54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5444" w:type="dxa"/>
            <w:noWrap w:val="0"/>
            <w:vAlign w:val="center"/>
          </w:tcPr>
          <w:p w14:paraId="71614B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规划建设建水至元江铁路，线路全长约110公里。保障元江火车站用地空间，提升元江对外交通水平，满足出行需求。预留产业园区铁路专用线规划实施用地，实现中心城区、物流园区与工业区货运快速联系。研究预留元江至金水河铁路，自玉磨铁路元江站引出后，向东南方向顺元江而行，充分发挥元江“通道”优势，提升对外开放水平。</w:t>
            </w:r>
          </w:p>
        </w:tc>
        <w:tc>
          <w:tcPr>
            <w:tcW w:w="2186" w:type="dxa"/>
            <w:vMerge w:val="restart"/>
            <w:noWrap w:val="0"/>
            <w:vAlign w:val="center"/>
          </w:tcPr>
          <w:p w14:paraId="727436A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拟建项目为元江火车站站前广场配套道路5号路，建设路线起、止点与G213相接</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是国道213线扩容提升改造工程元江段的一部分，是完善元江站配套基础建设的重要举措，也是元江产业园区甘庄片区的重要交通通道。</w:t>
            </w:r>
          </w:p>
        </w:tc>
        <w:tc>
          <w:tcPr>
            <w:tcW w:w="694" w:type="dxa"/>
            <w:noWrap w:val="0"/>
            <w:vAlign w:val="center"/>
          </w:tcPr>
          <w:p w14:paraId="3DFF16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E0F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3" w:type="dxa"/>
            <w:noWrap w:val="0"/>
            <w:vAlign w:val="center"/>
          </w:tcPr>
          <w:p w14:paraId="6215C89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5444" w:type="dxa"/>
            <w:noWrap w:val="0"/>
            <w:vAlign w:val="center"/>
          </w:tcPr>
          <w:p w14:paraId="42F2E17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以国省干线为主体，构建覆盖空间大、通达程度深、惠及面广的综合交通基础服务网络。推进G553、G213、S316等普通国省道提级改造。完善农村公路网络，加强资源路、旅游路、产业路升级改造，提升与相邻县市、乡（镇、街道）之间和建制村之间互联互通水平，逐步形成县、乡（镇、街道）、村、组四级快速转换和无缝衔接路网结构。</w:t>
            </w:r>
          </w:p>
        </w:tc>
        <w:tc>
          <w:tcPr>
            <w:tcW w:w="2186" w:type="dxa"/>
            <w:vMerge w:val="continue"/>
            <w:noWrap w:val="0"/>
            <w:vAlign w:val="center"/>
          </w:tcPr>
          <w:p w14:paraId="48FB644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4" w:type="dxa"/>
            <w:noWrap w:val="0"/>
            <w:vAlign w:val="center"/>
          </w:tcPr>
          <w:p w14:paraId="1C5C97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59969A52">
      <w:pPr>
        <w:ind w:firstLine="482"/>
        <w:rPr>
          <w:rFonts w:hint="eastAsia" w:ascii="Times New Roman" w:hAnsi="Times New Roman" w:eastAsia="宋体" w:cs="Times New Roman"/>
          <w:b w:val="0"/>
          <w:bCs w:val="0"/>
          <w:color w:val="auto"/>
          <w:lang w:val="en-US" w:eastAsia="zh-CN"/>
        </w:rPr>
      </w:pPr>
      <w:r>
        <w:rPr>
          <w:rFonts w:hint="eastAsia" w:ascii="Times New Roman" w:hAnsi="Times New Roman" w:eastAsia="宋体" w:cs="Times New Roman"/>
          <w:b w:val="0"/>
          <w:bCs w:val="0"/>
          <w:color w:val="auto"/>
          <w:lang w:val="en-US" w:eastAsia="zh-CN"/>
        </w:rPr>
        <w:t>综上，项目选址选线满足</w:t>
      </w:r>
      <w:r>
        <w:rPr>
          <w:rFonts w:hint="default" w:ascii="Times New Roman" w:hAnsi="Times New Roman" w:eastAsia="宋体" w:cs="Times New Roman"/>
          <w:b w:val="0"/>
          <w:bCs w:val="0"/>
          <w:color w:val="auto"/>
        </w:rPr>
        <w:t>《</w:t>
      </w:r>
      <w:r>
        <w:rPr>
          <w:rFonts w:hint="default" w:ascii="Times New Roman" w:hAnsi="Times New Roman" w:eastAsia="宋体" w:cs="Times New Roman"/>
          <w:b w:val="0"/>
          <w:bCs w:val="0"/>
          <w:color w:val="auto"/>
          <w:sz w:val="24"/>
          <w:szCs w:val="24"/>
        </w:rPr>
        <w:t>元江哈尼族彝族傣族自治县国土空间总体规划（2021—2035年）</w:t>
      </w:r>
      <w:r>
        <w:rPr>
          <w:rFonts w:hint="default" w:ascii="Times New Roman" w:hAnsi="Times New Roman" w:eastAsia="宋体" w:cs="Times New Roman"/>
          <w:b w:val="0"/>
          <w:bCs w:val="0"/>
          <w:color w:val="auto"/>
        </w:rPr>
        <w:t>》</w:t>
      </w:r>
      <w:r>
        <w:rPr>
          <w:rFonts w:hint="eastAsia" w:ascii="Times New Roman" w:hAnsi="Times New Roman" w:eastAsia="宋体" w:cs="Times New Roman"/>
          <w:b w:val="0"/>
          <w:bCs w:val="0"/>
          <w:color w:val="auto"/>
          <w:lang w:val="en-US" w:eastAsia="zh-CN"/>
        </w:rPr>
        <w:t>相关要求。</w:t>
      </w:r>
    </w:p>
    <w:p w14:paraId="6280AE77">
      <w:pPr>
        <w:ind w:firstLine="482"/>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eastAsia="zh-CN"/>
        </w:rPr>
        <w:t>（</w:t>
      </w:r>
      <w:r>
        <w:rPr>
          <w:rFonts w:hint="eastAsia" w:ascii="Times New Roman" w:hAnsi="Times New Roman" w:eastAsia="宋体" w:cs="Times New Roman"/>
          <w:b/>
          <w:bCs/>
          <w:color w:val="auto"/>
          <w:lang w:val="en-US" w:eastAsia="zh-CN"/>
        </w:rPr>
        <w:t>6</w:t>
      </w:r>
      <w:r>
        <w:rPr>
          <w:rFonts w:hint="eastAsia" w:ascii="Times New Roman" w:hAnsi="Times New Roman" w:eastAsia="宋体" w:cs="Times New Roman"/>
          <w:b/>
          <w:bCs/>
          <w:color w:val="auto"/>
          <w:lang w:eastAsia="zh-CN"/>
        </w:rPr>
        <w:t>）</w:t>
      </w:r>
      <w:r>
        <w:rPr>
          <w:rFonts w:hint="default" w:ascii="Times New Roman" w:hAnsi="Times New Roman" w:eastAsia="宋体" w:cs="Times New Roman"/>
          <w:b/>
          <w:bCs/>
          <w:color w:val="auto"/>
        </w:rPr>
        <w:t>与《长江经济带发展负面清单指南（试行），2022年版》符合性分析</w:t>
      </w:r>
    </w:p>
    <w:p w14:paraId="578C9DF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根据《长江经济带发展负面清单指南</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试行</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2022年版</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》（长江办〔2022〕7号），本项目与其符合性详见如下：</w:t>
      </w:r>
    </w:p>
    <w:p w14:paraId="57DC0CDA">
      <w:pPr>
        <w:pStyle w:val="304"/>
        <w:adjustRightInd w:val="0"/>
        <w:snapToGrid w:val="0"/>
        <w:spacing w:beforeLines="0" w:afterLines="0"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 xml:space="preserve">  本项目与长江经济带发展负面清单指南相关规定要求对照表</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6"/>
        <w:gridCol w:w="2993"/>
        <w:gridCol w:w="849"/>
      </w:tblGrid>
      <w:tr w14:paraId="15D9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5383F483">
            <w:pPr>
              <w:pStyle w:val="304"/>
              <w:adjustRightInd w:val="0"/>
              <w:snapToGrid w:val="0"/>
              <w:spacing w:beforeLines="0" w:afterLines="0"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规定保护要求</w:t>
            </w:r>
          </w:p>
        </w:tc>
        <w:tc>
          <w:tcPr>
            <w:tcW w:w="2375" w:type="dxa"/>
            <w:tcBorders>
              <w:top w:val="single" w:color="auto" w:sz="4" w:space="0"/>
              <w:left w:val="nil"/>
              <w:bottom w:val="single" w:color="auto" w:sz="4" w:space="0"/>
              <w:right w:val="single" w:color="auto" w:sz="4" w:space="0"/>
            </w:tcBorders>
            <w:noWrap w:val="0"/>
            <w:vAlign w:val="center"/>
          </w:tcPr>
          <w:p w14:paraId="0F381907">
            <w:pPr>
              <w:pStyle w:val="304"/>
              <w:adjustRightInd w:val="0"/>
              <w:snapToGrid w:val="0"/>
              <w:spacing w:beforeLines="0" w:afterLines="0"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本项目保护情况</w:t>
            </w:r>
          </w:p>
        </w:tc>
        <w:tc>
          <w:tcPr>
            <w:tcW w:w="673" w:type="dxa"/>
            <w:tcBorders>
              <w:top w:val="single" w:color="auto" w:sz="4" w:space="0"/>
              <w:left w:val="nil"/>
              <w:bottom w:val="single" w:color="auto" w:sz="4" w:space="0"/>
              <w:right w:val="single" w:color="auto" w:sz="4" w:space="0"/>
            </w:tcBorders>
            <w:noWrap w:val="0"/>
            <w:vAlign w:val="center"/>
          </w:tcPr>
          <w:p w14:paraId="7F592C86">
            <w:pPr>
              <w:pStyle w:val="304"/>
              <w:adjustRightInd w:val="0"/>
              <w:snapToGrid w:val="0"/>
              <w:spacing w:beforeLines="0" w:afterLines="0"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符合性</w:t>
            </w:r>
          </w:p>
        </w:tc>
      </w:tr>
      <w:tr w14:paraId="744E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57F87EF7">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禁止建设不符合全国和省级港口布局规划以及港口总体规划的码头项目，禁止建设不符合《长江干线过江通道布局规划》的过长江通道项目。</w:t>
            </w:r>
          </w:p>
        </w:tc>
        <w:tc>
          <w:tcPr>
            <w:tcW w:w="2375" w:type="dxa"/>
            <w:tcBorders>
              <w:top w:val="single" w:color="auto" w:sz="4" w:space="0"/>
              <w:left w:val="nil"/>
              <w:bottom w:val="single" w:color="auto" w:sz="4" w:space="0"/>
              <w:right w:val="single" w:color="auto" w:sz="4" w:space="0"/>
            </w:tcBorders>
            <w:noWrap w:val="0"/>
            <w:vAlign w:val="center"/>
          </w:tcPr>
          <w:p w14:paraId="0528F7FA">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本项目不属于码头项目，不涉及过长江通道项目。</w:t>
            </w:r>
          </w:p>
        </w:tc>
        <w:tc>
          <w:tcPr>
            <w:tcW w:w="673" w:type="dxa"/>
            <w:tcBorders>
              <w:top w:val="single" w:color="auto" w:sz="4" w:space="0"/>
              <w:left w:val="nil"/>
              <w:bottom w:val="single" w:color="auto" w:sz="4" w:space="0"/>
              <w:right w:val="single" w:color="auto" w:sz="4" w:space="0"/>
            </w:tcBorders>
            <w:noWrap w:val="0"/>
            <w:vAlign w:val="center"/>
          </w:tcPr>
          <w:p w14:paraId="57A946A1">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F876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36E8E6B3">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禁止在自然保护区核心区、缓冲区的岸线和河段范围内投资建设旅游和生产经营项目。禁止在风景名胜区核心景区的岸线和河段范围内投资建设与风景名胜资源保护无关的项目。</w:t>
            </w:r>
          </w:p>
        </w:tc>
        <w:tc>
          <w:tcPr>
            <w:tcW w:w="2375" w:type="dxa"/>
            <w:tcBorders>
              <w:top w:val="single" w:color="auto" w:sz="4" w:space="0"/>
              <w:left w:val="nil"/>
              <w:bottom w:val="single" w:color="auto" w:sz="4" w:space="0"/>
              <w:right w:val="single" w:color="auto" w:sz="4" w:space="0"/>
            </w:tcBorders>
            <w:noWrap w:val="0"/>
            <w:vAlign w:val="center"/>
          </w:tcPr>
          <w:p w14:paraId="299DC7F6">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项目不涉及自然保护区及风景名胜区范围。</w:t>
            </w:r>
          </w:p>
        </w:tc>
        <w:tc>
          <w:tcPr>
            <w:tcW w:w="673" w:type="dxa"/>
            <w:tcBorders>
              <w:top w:val="single" w:color="auto" w:sz="4" w:space="0"/>
              <w:left w:val="nil"/>
              <w:bottom w:val="single" w:color="auto" w:sz="4" w:space="0"/>
              <w:right w:val="single" w:color="auto" w:sz="4" w:space="0"/>
            </w:tcBorders>
            <w:noWrap w:val="0"/>
            <w:vAlign w:val="center"/>
          </w:tcPr>
          <w:p w14:paraId="7171B671">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092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6816C606">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2375" w:type="dxa"/>
            <w:tcBorders>
              <w:top w:val="single" w:color="auto" w:sz="4" w:space="0"/>
              <w:left w:val="nil"/>
              <w:bottom w:val="single" w:color="auto" w:sz="4" w:space="0"/>
              <w:right w:val="single" w:color="auto" w:sz="4" w:space="0"/>
            </w:tcBorders>
            <w:noWrap w:val="0"/>
            <w:vAlign w:val="center"/>
          </w:tcPr>
          <w:p w14:paraId="69AC5713">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项目不在饮用水水源地保护区。</w:t>
            </w:r>
          </w:p>
        </w:tc>
        <w:tc>
          <w:tcPr>
            <w:tcW w:w="673" w:type="dxa"/>
            <w:tcBorders>
              <w:top w:val="single" w:color="auto" w:sz="4" w:space="0"/>
              <w:left w:val="nil"/>
              <w:bottom w:val="single" w:color="auto" w:sz="4" w:space="0"/>
              <w:right w:val="single" w:color="auto" w:sz="4" w:space="0"/>
            </w:tcBorders>
            <w:noWrap w:val="0"/>
            <w:vAlign w:val="center"/>
          </w:tcPr>
          <w:p w14:paraId="328A215C">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097C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6CB44E9F">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2375" w:type="dxa"/>
            <w:tcBorders>
              <w:top w:val="single" w:color="auto" w:sz="4" w:space="0"/>
              <w:left w:val="nil"/>
              <w:bottom w:val="single" w:color="auto" w:sz="4" w:space="0"/>
              <w:right w:val="single" w:color="auto" w:sz="4" w:space="0"/>
            </w:tcBorders>
            <w:noWrap w:val="0"/>
            <w:vAlign w:val="center"/>
          </w:tcPr>
          <w:p w14:paraId="6CF2D2FF">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项目不在水产种质资源保护区及国家湿地公园范围。</w:t>
            </w:r>
          </w:p>
        </w:tc>
        <w:tc>
          <w:tcPr>
            <w:tcW w:w="673" w:type="dxa"/>
            <w:tcBorders>
              <w:top w:val="single" w:color="auto" w:sz="4" w:space="0"/>
              <w:left w:val="nil"/>
              <w:bottom w:val="single" w:color="auto" w:sz="4" w:space="0"/>
              <w:right w:val="single" w:color="auto" w:sz="4" w:space="0"/>
            </w:tcBorders>
            <w:noWrap w:val="0"/>
            <w:vAlign w:val="center"/>
          </w:tcPr>
          <w:p w14:paraId="0B14BA13">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087BA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7555CD31">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2375" w:type="dxa"/>
            <w:tcBorders>
              <w:top w:val="single" w:color="auto" w:sz="4" w:space="0"/>
              <w:left w:val="nil"/>
              <w:bottom w:val="single" w:color="auto" w:sz="4" w:space="0"/>
              <w:right w:val="single" w:color="auto" w:sz="4" w:space="0"/>
            </w:tcBorders>
            <w:noWrap w:val="0"/>
            <w:vAlign w:val="center"/>
          </w:tcPr>
          <w:p w14:paraId="779C35C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项目不涉及利用、占用长江流域河湖岸线。</w:t>
            </w:r>
          </w:p>
        </w:tc>
        <w:tc>
          <w:tcPr>
            <w:tcW w:w="673" w:type="dxa"/>
            <w:tcBorders>
              <w:top w:val="single" w:color="auto" w:sz="4" w:space="0"/>
              <w:left w:val="nil"/>
              <w:bottom w:val="single" w:color="auto" w:sz="4" w:space="0"/>
              <w:right w:val="single" w:color="auto" w:sz="4" w:space="0"/>
            </w:tcBorders>
            <w:noWrap w:val="0"/>
            <w:vAlign w:val="center"/>
          </w:tcPr>
          <w:p w14:paraId="07FDBB36">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D70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4787E8FC">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禁止未经许可在长江干支流及湖泊新设、改设或扩大排污口。</w:t>
            </w:r>
          </w:p>
        </w:tc>
        <w:tc>
          <w:tcPr>
            <w:tcW w:w="2375" w:type="dxa"/>
            <w:tcBorders>
              <w:top w:val="single" w:color="auto" w:sz="4" w:space="0"/>
              <w:left w:val="nil"/>
              <w:bottom w:val="single" w:color="auto" w:sz="4" w:space="0"/>
              <w:right w:val="single" w:color="auto" w:sz="4" w:space="0"/>
            </w:tcBorders>
            <w:noWrap w:val="0"/>
            <w:vAlign w:val="center"/>
          </w:tcPr>
          <w:p w14:paraId="6544C9C1">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项目不在长江干支流范围。</w:t>
            </w:r>
          </w:p>
        </w:tc>
        <w:tc>
          <w:tcPr>
            <w:tcW w:w="673" w:type="dxa"/>
            <w:tcBorders>
              <w:top w:val="single" w:color="auto" w:sz="4" w:space="0"/>
              <w:left w:val="nil"/>
              <w:bottom w:val="single" w:color="auto" w:sz="4" w:space="0"/>
              <w:right w:val="single" w:color="auto" w:sz="4" w:space="0"/>
            </w:tcBorders>
            <w:noWrap w:val="0"/>
            <w:vAlign w:val="center"/>
          </w:tcPr>
          <w:p w14:paraId="4AECB076">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0782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0E7B1C47">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禁止在“一江一口两湖七河”和332个水生生物保护区开展生产性捕捞。</w:t>
            </w:r>
          </w:p>
        </w:tc>
        <w:tc>
          <w:tcPr>
            <w:tcW w:w="2375" w:type="dxa"/>
            <w:tcBorders>
              <w:top w:val="single" w:color="auto" w:sz="4" w:space="0"/>
              <w:left w:val="nil"/>
              <w:bottom w:val="single" w:color="auto" w:sz="4" w:space="0"/>
              <w:right w:val="single" w:color="auto" w:sz="4" w:space="0"/>
            </w:tcBorders>
            <w:noWrap w:val="0"/>
            <w:vAlign w:val="center"/>
          </w:tcPr>
          <w:p w14:paraId="15F7C737">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项目不在“一江一口两湖七河”和332个水生生物保护区，且本项目不涉及生产性捕捞。</w:t>
            </w:r>
          </w:p>
        </w:tc>
        <w:tc>
          <w:tcPr>
            <w:tcW w:w="673" w:type="dxa"/>
            <w:tcBorders>
              <w:top w:val="single" w:color="auto" w:sz="4" w:space="0"/>
              <w:left w:val="nil"/>
              <w:bottom w:val="single" w:color="auto" w:sz="4" w:space="0"/>
              <w:right w:val="single" w:color="auto" w:sz="4" w:space="0"/>
            </w:tcBorders>
            <w:noWrap w:val="0"/>
            <w:vAlign w:val="center"/>
          </w:tcPr>
          <w:p w14:paraId="6234B853">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DFB9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0CC4292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2375" w:type="dxa"/>
            <w:tcBorders>
              <w:top w:val="single" w:color="auto" w:sz="4" w:space="0"/>
              <w:left w:val="nil"/>
              <w:bottom w:val="single" w:color="auto" w:sz="4" w:space="0"/>
              <w:right w:val="single" w:color="auto" w:sz="4" w:space="0"/>
            </w:tcBorders>
            <w:noWrap w:val="0"/>
            <w:vAlign w:val="center"/>
          </w:tcPr>
          <w:p w14:paraId="5D50A337">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项目不在长江干支流、重要湖泊岸线一公里范围内、长江干流岸线三公里范围内和重要支流岸线一公里范围内。</w:t>
            </w:r>
          </w:p>
        </w:tc>
        <w:tc>
          <w:tcPr>
            <w:tcW w:w="673" w:type="dxa"/>
            <w:tcBorders>
              <w:top w:val="single" w:color="auto" w:sz="4" w:space="0"/>
              <w:left w:val="nil"/>
              <w:bottom w:val="single" w:color="auto" w:sz="4" w:space="0"/>
              <w:right w:val="single" w:color="auto" w:sz="4" w:space="0"/>
            </w:tcBorders>
            <w:noWrap w:val="0"/>
            <w:vAlign w:val="center"/>
          </w:tcPr>
          <w:p w14:paraId="13784F5F">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050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0F0FF63E">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禁止在合规园区外新建、扩建钢铁、石化、化工、焦化、建材、有色、制浆造纸等高污染项目。</w:t>
            </w:r>
          </w:p>
        </w:tc>
        <w:tc>
          <w:tcPr>
            <w:tcW w:w="2375" w:type="dxa"/>
            <w:tcBorders>
              <w:top w:val="single" w:color="auto" w:sz="4" w:space="0"/>
              <w:left w:val="nil"/>
              <w:bottom w:val="single" w:color="auto" w:sz="4" w:space="0"/>
              <w:right w:val="single" w:color="auto" w:sz="4" w:space="0"/>
            </w:tcBorders>
            <w:noWrap w:val="0"/>
            <w:vAlign w:val="center"/>
          </w:tcPr>
          <w:p w14:paraId="75E0D83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项目不涉及</w:t>
            </w:r>
          </w:p>
        </w:tc>
        <w:tc>
          <w:tcPr>
            <w:tcW w:w="673" w:type="dxa"/>
            <w:tcBorders>
              <w:top w:val="single" w:color="auto" w:sz="4" w:space="0"/>
              <w:left w:val="nil"/>
              <w:bottom w:val="single" w:color="auto" w:sz="4" w:space="0"/>
              <w:right w:val="single" w:color="auto" w:sz="4" w:space="0"/>
            </w:tcBorders>
            <w:noWrap w:val="0"/>
            <w:vAlign w:val="center"/>
          </w:tcPr>
          <w:p w14:paraId="082C9B6E">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7837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3DBCF1A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禁止新建、扩建不符合国家石化、现代煤化工等产业布局规划的项目。</w:t>
            </w:r>
          </w:p>
        </w:tc>
        <w:tc>
          <w:tcPr>
            <w:tcW w:w="2375" w:type="dxa"/>
            <w:tcBorders>
              <w:top w:val="single" w:color="auto" w:sz="4" w:space="0"/>
              <w:left w:val="nil"/>
              <w:bottom w:val="single" w:color="auto" w:sz="4" w:space="0"/>
              <w:right w:val="single" w:color="auto" w:sz="4" w:space="0"/>
            </w:tcBorders>
            <w:noWrap w:val="0"/>
            <w:vAlign w:val="center"/>
          </w:tcPr>
          <w:p w14:paraId="7BB6A650">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项目为公路建设项目，不属于国家石化、现代煤化工等产业布局规划的项目。</w:t>
            </w:r>
          </w:p>
        </w:tc>
        <w:tc>
          <w:tcPr>
            <w:tcW w:w="673" w:type="dxa"/>
            <w:tcBorders>
              <w:top w:val="single" w:color="auto" w:sz="4" w:space="0"/>
              <w:left w:val="nil"/>
              <w:bottom w:val="single" w:color="auto" w:sz="4" w:space="0"/>
              <w:right w:val="single" w:color="auto" w:sz="4" w:space="0"/>
            </w:tcBorders>
            <w:noWrap w:val="0"/>
            <w:vAlign w:val="center"/>
          </w:tcPr>
          <w:p w14:paraId="08DEC589">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6D0E8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718" w:type="dxa"/>
            <w:tcBorders>
              <w:top w:val="single" w:color="auto" w:sz="4" w:space="0"/>
              <w:left w:val="single" w:color="auto" w:sz="4" w:space="0"/>
              <w:bottom w:val="single" w:color="auto" w:sz="4" w:space="0"/>
              <w:right w:val="single" w:color="auto" w:sz="4" w:space="0"/>
            </w:tcBorders>
            <w:noWrap w:val="0"/>
            <w:vAlign w:val="center"/>
          </w:tcPr>
          <w:p w14:paraId="68D08E6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禁止新建、扩建法律法规和相关政策明令禁止的落后产能项目。禁止新建、扩建不符合国家产能置换要求的严重过剩产能行业的项目。禁止新建、扩建不符合要求的高耗能高排放项目。</w:t>
            </w:r>
          </w:p>
        </w:tc>
        <w:tc>
          <w:tcPr>
            <w:tcW w:w="2375" w:type="dxa"/>
            <w:tcBorders>
              <w:top w:val="single" w:color="auto" w:sz="4" w:space="0"/>
              <w:left w:val="nil"/>
              <w:bottom w:val="single" w:color="auto" w:sz="4" w:space="0"/>
              <w:right w:val="single" w:color="auto" w:sz="4" w:space="0"/>
            </w:tcBorders>
            <w:noWrap w:val="0"/>
            <w:vAlign w:val="center"/>
          </w:tcPr>
          <w:p w14:paraId="5C4A172B">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项目为公路建设项目，不属于法律法规和相关政策明令禁止的落后产能项目，不属于高耗能项目。</w:t>
            </w:r>
          </w:p>
        </w:tc>
        <w:tc>
          <w:tcPr>
            <w:tcW w:w="673" w:type="dxa"/>
            <w:tcBorders>
              <w:top w:val="single" w:color="auto" w:sz="4" w:space="0"/>
              <w:left w:val="nil"/>
              <w:bottom w:val="single" w:color="auto" w:sz="4" w:space="0"/>
              <w:right w:val="single" w:color="auto" w:sz="4" w:space="0"/>
            </w:tcBorders>
            <w:noWrap w:val="0"/>
            <w:vAlign w:val="center"/>
          </w:tcPr>
          <w:p w14:paraId="0C37C79E">
            <w:pPr>
              <w:pStyle w:val="304"/>
              <w:adjustRightInd w:val="0"/>
              <w:snapToGrid w:val="0"/>
              <w:spacing w:beforeLines="0" w:afterLines="0"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658569FF">
      <w:pPr>
        <w:autoSpaceDE w:val="0"/>
        <w:autoSpaceDN w:val="0"/>
        <w:adjustRightInd w:val="0"/>
        <w:snapToGrid w:val="0"/>
        <w:ind w:firstLine="480"/>
        <w:jc w:val="left"/>
        <w:rPr>
          <w:rFonts w:hint="default" w:ascii="Times New Roman" w:hAnsi="Times New Roman" w:eastAsia="宋体" w:cs="Times New Roman"/>
          <w:b/>
          <w:bCs/>
          <w:color w:val="auto"/>
        </w:rPr>
      </w:pPr>
      <w:r>
        <w:rPr>
          <w:rFonts w:hint="default" w:ascii="Times New Roman" w:hAnsi="Times New Roman" w:eastAsia="宋体" w:cs="Times New Roman"/>
          <w:color w:val="auto"/>
        </w:rPr>
        <w:t>综上所述，项目与《长江经济带发展负面清单指南</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试行，2022年版</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》（长江办〔2022〕7号）相符。</w:t>
      </w:r>
    </w:p>
    <w:p w14:paraId="03A25E07">
      <w:pPr>
        <w:autoSpaceDE w:val="0"/>
        <w:autoSpaceDN w:val="0"/>
        <w:adjustRightInd w:val="0"/>
        <w:snapToGrid w:val="0"/>
        <w:ind w:firstLine="482"/>
        <w:jc w:val="left"/>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eastAsia="zh-CN"/>
        </w:rPr>
        <w:t>（</w:t>
      </w:r>
      <w:r>
        <w:rPr>
          <w:rFonts w:hint="eastAsia" w:ascii="Times New Roman" w:hAnsi="Times New Roman" w:eastAsia="宋体" w:cs="Times New Roman"/>
          <w:b/>
          <w:bCs/>
          <w:color w:val="auto"/>
          <w:lang w:val="en-US" w:eastAsia="zh-CN"/>
        </w:rPr>
        <w:t>7</w:t>
      </w:r>
      <w:r>
        <w:rPr>
          <w:rFonts w:hint="eastAsia" w:ascii="Times New Roman" w:hAnsi="Times New Roman" w:eastAsia="宋体" w:cs="Times New Roman"/>
          <w:b/>
          <w:bCs/>
          <w:color w:val="auto"/>
          <w:lang w:eastAsia="zh-CN"/>
        </w:rPr>
        <w:t>）</w:t>
      </w:r>
      <w:r>
        <w:rPr>
          <w:rFonts w:hint="default" w:ascii="Times New Roman" w:hAnsi="Times New Roman" w:eastAsia="宋体" w:cs="Times New Roman"/>
          <w:b/>
          <w:bCs/>
          <w:color w:val="auto"/>
        </w:rPr>
        <w:t>与</w:t>
      </w:r>
      <w:r>
        <w:rPr>
          <w:rFonts w:hint="default" w:ascii="Times New Roman" w:hAnsi="Times New Roman" w:eastAsia="宋体" w:cs="Times New Roman"/>
          <w:b/>
          <w:bCs/>
          <w:color w:val="auto"/>
          <w:kern w:val="0"/>
        </w:rPr>
        <w:t>《云南省长江经济带发展负面清单指南实施细则（试行，2022年版）》</w:t>
      </w:r>
      <w:r>
        <w:rPr>
          <w:rFonts w:hint="default" w:ascii="Times New Roman" w:hAnsi="Times New Roman" w:eastAsia="宋体" w:cs="Times New Roman"/>
          <w:b/>
          <w:bCs/>
          <w:color w:val="auto"/>
        </w:rPr>
        <w:t>符合性分析</w:t>
      </w:r>
    </w:p>
    <w:p w14:paraId="0C6FDBFF">
      <w:pPr>
        <w:pStyle w:val="24"/>
        <w:widowControl/>
        <w:snapToGrid w:val="0"/>
        <w:spacing w:after="0"/>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云南省推动长江经济带发展领导小组办公室关于印发《云南省长江经济带发展负面清单指南实施细则（试行），2022年版》的通知（云发改基础〔2022〕894号），项目与云发改基础〔2022〕894号的符合性分析见下表。</w:t>
      </w:r>
    </w:p>
    <w:p w14:paraId="7D035946">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466568B2">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23780E18">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31B76624">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1AD780BC">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63D7A780">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2494570B">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062736CC">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0FF94DF4">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6E5876A5">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53F106B4">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1DF69B52">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0B0423B2">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0EFA76EB">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20A745D0">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1D2B066E">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15AB51B2">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4C9FE7B8">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74A6F73B">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39A45B97">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36911A7C">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2F530152">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0AC856C6">
      <w:pPr>
        <w:pStyle w:val="24"/>
        <w:widowControl/>
        <w:snapToGrid w:val="0"/>
        <w:spacing w:after="0" w:line="240" w:lineRule="auto"/>
        <w:ind w:firstLine="0" w:firstLineChars="0"/>
        <w:jc w:val="center"/>
        <w:rPr>
          <w:rFonts w:hint="default" w:ascii="Times New Roman" w:hAnsi="Times New Roman" w:eastAsia="宋体" w:cs="Times New Roman"/>
          <w:b/>
          <w:bCs/>
          <w:color w:val="auto"/>
          <w:sz w:val="21"/>
        </w:rPr>
      </w:pPr>
    </w:p>
    <w:p w14:paraId="1030DE54">
      <w:pPr>
        <w:pStyle w:val="24"/>
        <w:widowControl/>
        <w:snapToGrid w:val="0"/>
        <w:spacing w:after="0"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sz w:val="21"/>
        </w:rPr>
        <w:t>表</w:t>
      </w:r>
      <w:r>
        <w:rPr>
          <w:rFonts w:hint="eastAsia" w:ascii="Times New Roman" w:hAnsi="Times New Roman" w:eastAsia="宋体" w:cs="Times New Roman"/>
          <w:b/>
          <w:bCs/>
          <w:color w:val="auto"/>
          <w:sz w:val="21"/>
          <w:lang w:val="en-US" w:eastAsia="zh-CN"/>
        </w:rPr>
        <w:t>8</w:t>
      </w:r>
      <w:r>
        <w:rPr>
          <w:rFonts w:hint="default" w:ascii="Times New Roman" w:hAnsi="Times New Roman" w:eastAsia="宋体" w:cs="Times New Roman"/>
          <w:b/>
          <w:bCs/>
          <w:color w:val="auto"/>
          <w:sz w:val="21"/>
        </w:rPr>
        <w:t xml:space="preserve"> </w:t>
      </w:r>
      <w:r>
        <w:rPr>
          <w:rFonts w:hint="default" w:ascii="Times New Roman" w:hAnsi="Times New Roman" w:eastAsia="宋体" w:cs="Times New Roman"/>
          <w:b/>
          <w:bCs/>
          <w:color w:val="auto"/>
          <w:sz w:val="21"/>
          <w:lang w:val="en-US" w:eastAsia="zh-CN"/>
        </w:rPr>
        <w:t xml:space="preserve"> </w:t>
      </w:r>
      <w:r>
        <w:rPr>
          <w:rFonts w:hint="default" w:ascii="Times New Roman" w:hAnsi="Times New Roman" w:eastAsia="宋体" w:cs="Times New Roman"/>
          <w:b/>
          <w:bCs/>
          <w:color w:val="auto"/>
          <w:sz w:val="21"/>
        </w:rPr>
        <w:t>项目与云南省长江经济带发展负面清单指南实施细则的符合性分析</w:t>
      </w:r>
    </w:p>
    <w:tbl>
      <w:tblPr>
        <w:tblStyle w:val="58"/>
        <w:tblpPr w:leftFromText="180" w:rightFromText="180" w:vertAnchor="text" w:tblpXSpec="center" w:tblpY="1"/>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4546"/>
        <w:gridCol w:w="2423"/>
        <w:gridCol w:w="865"/>
      </w:tblGrid>
      <w:tr w14:paraId="74D5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4" w:type="pct"/>
            <w:noWrap w:val="0"/>
            <w:vAlign w:val="center"/>
          </w:tcPr>
          <w:p w14:paraId="361DE26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序号</w:t>
            </w:r>
          </w:p>
        </w:tc>
        <w:tc>
          <w:tcPr>
            <w:tcW w:w="2666" w:type="pct"/>
            <w:noWrap w:val="0"/>
            <w:vAlign w:val="center"/>
          </w:tcPr>
          <w:p w14:paraId="717D008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要求</w:t>
            </w:r>
          </w:p>
        </w:tc>
        <w:tc>
          <w:tcPr>
            <w:tcW w:w="1421" w:type="pct"/>
            <w:noWrap w:val="0"/>
            <w:vAlign w:val="center"/>
          </w:tcPr>
          <w:p w14:paraId="27060E8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项目情况</w:t>
            </w:r>
          </w:p>
        </w:tc>
        <w:tc>
          <w:tcPr>
            <w:tcW w:w="507" w:type="pct"/>
            <w:noWrap w:val="0"/>
            <w:vAlign w:val="center"/>
          </w:tcPr>
          <w:p w14:paraId="7F3C9DF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符合性</w:t>
            </w:r>
          </w:p>
        </w:tc>
      </w:tr>
      <w:tr w14:paraId="3B104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42CBC48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2666" w:type="pct"/>
            <w:noWrap w:val="0"/>
            <w:vAlign w:val="center"/>
          </w:tcPr>
          <w:p w14:paraId="5D04996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新建、改建和扩建不符合《全国内河航道与港口布局规划》等全国港口规划和《昭通市港口码头岸线规划（金沙江段2019年—2035年）》、《景洪港总体规划（2019—2035年）》等州（市）级以上港口布局规划以及港口总体规划的码头项目。责任单位：省交通运输厅等。</w:t>
            </w:r>
          </w:p>
        </w:tc>
        <w:tc>
          <w:tcPr>
            <w:tcW w:w="1421" w:type="pct"/>
            <w:noWrap w:val="0"/>
            <w:vAlign w:val="center"/>
          </w:tcPr>
          <w:p w14:paraId="4BDBAA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本项目为公路建设项目，不属于码头项目。</w:t>
            </w:r>
          </w:p>
        </w:tc>
        <w:tc>
          <w:tcPr>
            <w:tcW w:w="507" w:type="pct"/>
            <w:noWrap w:val="0"/>
            <w:vAlign w:val="center"/>
          </w:tcPr>
          <w:p w14:paraId="3128A0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hAnsi="Times New Roman" w:cs="Times New Roman"/>
                <w:b w:val="0"/>
                <w:bCs w:val="0"/>
                <w:color w:val="auto"/>
                <w:sz w:val="21"/>
                <w:szCs w:val="21"/>
                <w:lang w:val="en-US" w:eastAsia="zh-CN"/>
              </w:rPr>
              <w:t>不涉及</w:t>
            </w:r>
          </w:p>
        </w:tc>
      </w:tr>
      <w:tr w14:paraId="0A09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3B7EBA4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2666" w:type="pct"/>
            <w:noWrap w:val="0"/>
            <w:vAlign w:val="center"/>
          </w:tcPr>
          <w:p w14:paraId="5E8AA5A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责任单位：省林草局等。</w:t>
            </w:r>
          </w:p>
        </w:tc>
        <w:tc>
          <w:tcPr>
            <w:tcW w:w="1421" w:type="pct"/>
            <w:noWrap w:val="0"/>
            <w:vAlign w:val="center"/>
          </w:tcPr>
          <w:p w14:paraId="512FCD7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项目不在自然保护区核心区、缓冲区的岸线和河段范围内。</w:t>
            </w:r>
          </w:p>
        </w:tc>
        <w:tc>
          <w:tcPr>
            <w:tcW w:w="507" w:type="pct"/>
            <w:noWrap w:val="0"/>
            <w:vAlign w:val="center"/>
          </w:tcPr>
          <w:p w14:paraId="3B42E9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6D74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7D9AAAE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2666" w:type="pct"/>
            <w:noWrap w:val="0"/>
            <w:vAlign w:val="center"/>
          </w:tcPr>
          <w:p w14:paraId="563B3D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责任单位：省林草局等。</w:t>
            </w:r>
          </w:p>
        </w:tc>
        <w:tc>
          <w:tcPr>
            <w:tcW w:w="1421" w:type="pct"/>
            <w:noWrap w:val="0"/>
            <w:vAlign w:val="center"/>
          </w:tcPr>
          <w:p w14:paraId="093332A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本项目为公路建设项目，不在风景名胜区核心景区的岸线和河段范围内。</w:t>
            </w:r>
          </w:p>
        </w:tc>
        <w:tc>
          <w:tcPr>
            <w:tcW w:w="507" w:type="pct"/>
            <w:noWrap w:val="0"/>
            <w:vAlign w:val="center"/>
          </w:tcPr>
          <w:p w14:paraId="43298F8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54DB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0D7992A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2666" w:type="pct"/>
            <w:noWrap w:val="0"/>
            <w:vAlign w:val="center"/>
          </w:tcPr>
          <w:p w14:paraId="48574E9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责任单位：省生态环境厅等。</w:t>
            </w:r>
          </w:p>
        </w:tc>
        <w:tc>
          <w:tcPr>
            <w:tcW w:w="1421" w:type="pct"/>
            <w:noWrap w:val="0"/>
            <w:vAlign w:val="center"/>
          </w:tcPr>
          <w:p w14:paraId="6587462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本项目不涉及饮用水水源保护区。</w:t>
            </w:r>
          </w:p>
        </w:tc>
        <w:tc>
          <w:tcPr>
            <w:tcW w:w="507" w:type="pct"/>
            <w:noWrap w:val="0"/>
            <w:vAlign w:val="center"/>
          </w:tcPr>
          <w:p w14:paraId="2909A40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hAnsi="Times New Roman" w:cs="Times New Roman"/>
                <w:b w:val="0"/>
                <w:bCs w:val="0"/>
                <w:color w:val="auto"/>
                <w:sz w:val="21"/>
                <w:szCs w:val="21"/>
                <w:lang w:val="en-US" w:eastAsia="zh-CN"/>
              </w:rPr>
              <w:t>不涉及</w:t>
            </w:r>
          </w:p>
        </w:tc>
      </w:tr>
      <w:tr w14:paraId="5E07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5D831A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2666" w:type="pct"/>
            <w:noWrap w:val="0"/>
            <w:vAlign w:val="center"/>
          </w:tcPr>
          <w:p w14:paraId="2BDE35D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责任单位：省农业农村厅、省林草局等。</w:t>
            </w:r>
          </w:p>
        </w:tc>
        <w:tc>
          <w:tcPr>
            <w:tcW w:w="1421" w:type="pct"/>
            <w:noWrap w:val="0"/>
            <w:vAlign w:val="center"/>
          </w:tcPr>
          <w:p w14:paraId="39565E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本项目为公路建设项目，不涉及水产种质资源保护区的岸线和河段，不涉及国家湿地公园的岸线和河段。</w:t>
            </w:r>
          </w:p>
        </w:tc>
        <w:tc>
          <w:tcPr>
            <w:tcW w:w="507" w:type="pct"/>
            <w:noWrap w:val="0"/>
            <w:vAlign w:val="center"/>
          </w:tcPr>
          <w:p w14:paraId="5BD542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577E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6311483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w:t>
            </w:r>
          </w:p>
        </w:tc>
        <w:tc>
          <w:tcPr>
            <w:tcW w:w="2666" w:type="pct"/>
            <w:noWrap w:val="0"/>
            <w:vAlign w:val="center"/>
          </w:tcPr>
          <w:p w14:paraId="1D677D4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责任单位：省水利厅等。</w:t>
            </w:r>
          </w:p>
        </w:tc>
        <w:tc>
          <w:tcPr>
            <w:tcW w:w="1421" w:type="pct"/>
            <w:noWrap w:val="0"/>
            <w:vAlign w:val="center"/>
          </w:tcPr>
          <w:p w14:paraId="6BA97F7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本项目不在长江流域河湖岸线及岸线保护区</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重要江河湖泊水功能区，不涉及金沙江岸线及干流、九大高原湖泊保护区、保留区。</w:t>
            </w:r>
          </w:p>
        </w:tc>
        <w:tc>
          <w:tcPr>
            <w:tcW w:w="507" w:type="pct"/>
            <w:noWrap w:val="0"/>
            <w:vAlign w:val="center"/>
          </w:tcPr>
          <w:p w14:paraId="4D45D1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31CF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7F96E4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w:t>
            </w:r>
          </w:p>
        </w:tc>
        <w:tc>
          <w:tcPr>
            <w:tcW w:w="2666" w:type="pct"/>
            <w:noWrap w:val="0"/>
            <w:vAlign w:val="center"/>
          </w:tcPr>
          <w:p w14:paraId="0E59376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金沙江干流、长江一级支流建设除党中央、国务院、国家投资主管部门、省级有关部门批复同意以外的过江基础设施项目；禁止未经许可在金沙江干流、长江一级支流、九大高原湖泊流域新设、改设或扩大排污口。责任单位：省发展改革委、省生态环境厅等。</w:t>
            </w:r>
          </w:p>
        </w:tc>
        <w:tc>
          <w:tcPr>
            <w:tcW w:w="1421" w:type="pct"/>
            <w:noWrap w:val="0"/>
            <w:vAlign w:val="center"/>
          </w:tcPr>
          <w:p w14:paraId="1E3195F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本项目不涉及金沙江干流、长江一级</w:t>
            </w:r>
            <w:r>
              <w:rPr>
                <w:rFonts w:hint="default" w:ascii="Times New Roman" w:hAnsi="Times New Roman" w:eastAsia="宋体" w:cs="Times New Roman"/>
                <w:b w:val="0"/>
                <w:bCs w:val="0"/>
                <w:color w:val="auto"/>
                <w:sz w:val="21"/>
                <w:szCs w:val="21"/>
                <w:lang w:eastAsia="zh-CN"/>
              </w:rPr>
              <w:t>支流</w:t>
            </w:r>
            <w:r>
              <w:rPr>
                <w:rFonts w:hint="default" w:ascii="Times New Roman" w:hAnsi="Times New Roman" w:eastAsia="宋体" w:cs="Times New Roman"/>
                <w:b w:val="0"/>
                <w:bCs w:val="0"/>
                <w:color w:val="auto"/>
                <w:sz w:val="21"/>
                <w:szCs w:val="21"/>
              </w:rPr>
              <w:t>。</w:t>
            </w:r>
          </w:p>
        </w:tc>
        <w:tc>
          <w:tcPr>
            <w:tcW w:w="507" w:type="pct"/>
            <w:noWrap w:val="0"/>
            <w:vAlign w:val="center"/>
          </w:tcPr>
          <w:p w14:paraId="26235F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hAnsi="Times New Roman" w:cs="Times New Roman"/>
                <w:b w:val="0"/>
                <w:bCs w:val="0"/>
                <w:color w:val="auto"/>
                <w:sz w:val="21"/>
                <w:szCs w:val="21"/>
                <w:lang w:val="en-US" w:eastAsia="zh-CN"/>
              </w:rPr>
              <w:t>不涉及</w:t>
            </w:r>
          </w:p>
        </w:tc>
      </w:tr>
      <w:tr w14:paraId="44FA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178E68E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w:t>
            </w:r>
          </w:p>
        </w:tc>
        <w:tc>
          <w:tcPr>
            <w:tcW w:w="2666" w:type="pct"/>
            <w:noWrap w:val="0"/>
            <w:vAlign w:val="center"/>
          </w:tcPr>
          <w:p w14:paraId="25BCDF3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禁止在金沙江干流、长江一级支流、水生生物保护区和长江流域禁捕水域开展天然渔业资源生产性捕捞。责任单位：省农业农村厅、省水利厅等。</w:t>
            </w:r>
          </w:p>
        </w:tc>
        <w:tc>
          <w:tcPr>
            <w:tcW w:w="1421" w:type="pct"/>
            <w:noWrap w:val="0"/>
            <w:vAlign w:val="center"/>
          </w:tcPr>
          <w:p w14:paraId="7566FDC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项目为公路建设项目，不存在生产性捕捞。</w:t>
            </w:r>
          </w:p>
        </w:tc>
        <w:tc>
          <w:tcPr>
            <w:tcW w:w="507" w:type="pct"/>
            <w:noWrap w:val="0"/>
            <w:vAlign w:val="center"/>
          </w:tcPr>
          <w:p w14:paraId="7314340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2AB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644C9BF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w:t>
            </w:r>
          </w:p>
        </w:tc>
        <w:tc>
          <w:tcPr>
            <w:tcW w:w="2666" w:type="pct"/>
            <w:noWrap w:val="0"/>
            <w:vAlign w:val="center"/>
          </w:tcPr>
          <w:p w14:paraId="26E3D4D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责任单位：省工业和信息化厅、省水利厅等。</w:t>
            </w:r>
          </w:p>
        </w:tc>
        <w:tc>
          <w:tcPr>
            <w:tcW w:w="1421" w:type="pct"/>
            <w:noWrap w:val="0"/>
            <w:vAlign w:val="center"/>
          </w:tcPr>
          <w:p w14:paraId="6DBD7B3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项目为公路建设项目，不属于化工园区和化工项目，不属于尾矿库、冶炼渣库和磷石膏库；本项目不涉及金沙江干流，长江一级支流和九大高原湖泊岸线。</w:t>
            </w:r>
          </w:p>
        </w:tc>
        <w:tc>
          <w:tcPr>
            <w:tcW w:w="507" w:type="pct"/>
            <w:noWrap w:val="0"/>
            <w:vAlign w:val="center"/>
          </w:tcPr>
          <w:p w14:paraId="7F42BF9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7168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5B63452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w:t>
            </w:r>
          </w:p>
        </w:tc>
        <w:tc>
          <w:tcPr>
            <w:tcW w:w="2666" w:type="pct"/>
            <w:noWrap w:val="0"/>
            <w:vAlign w:val="center"/>
          </w:tcPr>
          <w:p w14:paraId="69CD07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禁止在合规园区外新建、扩建钢铁、石化、化工、焦化、建材、有色、制浆造纸行业中的高污染项目。责任单位：省发展改革委、省工业和信息化厅等。</w:t>
            </w:r>
          </w:p>
        </w:tc>
        <w:tc>
          <w:tcPr>
            <w:tcW w:w="1421" w:type="pct"/>
            <w:noWrap w:val="0"/>
            <w:vAlign w:val="center"/>
          </w:tcPr>
          <w:p w14:paraId="5667E3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本项目为公路建设项目，不属于禁止的高污染项目。</w:t>
            </w:r>
          </w:p>
        </w:tc>
        <w:tc>
          <w:tcPr>
            <w:tcW w:w="507" w:type="pct"/>
            <w:noWrap w:val="0"/>
            <w:vAlign w:val="center"/>
          </w:tcPr>
          <w:p w14:paraId="65755E4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r w14:paraId="1886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6FB5647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w:t>
            </w:r>
          </w:p>
        </w:tc>
        <w:tc>
          <w:tcPr>
            <w:tcW w:w="2666" w:type="pct"/>
            <w:noWrap w:val="0"/>
            <w:vAlign w:val="center"/>
          </w:tcPr>
          <w:p w14:paraId="094385B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新建、扩建不符合国家石化、现代煤化工等产业布局规划的项目。禁止列入《云南省城镇人口密集区危险化学品生产企业搬迁改造名单》的搬迁改造企业在原址新建、扩建危险化学品生产项目。责任单位：省工业和信息化厅、省发展改革委等。</w:t>
            </w:r>
          </w:p>
        </w:tc>
        <w:tc>
          <w:tcPr>
            <w:tcW w:w="1421" w:type="pct"/>
            <w:noWrap w:val="0"/>
            <w:vAlign w:val="center"/>
          </w:tcPr>
          <w:p w14:paraId="10FF9CE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本项目为公路建设项目，不涉及国家石化、现代煤化工等产业布局规划的项目。</w:t>
            </w:r>
          </w:p>
        </w:tc>
        <w:tc>
          <w:tcPr>
            <w:tcW w:w="507" w:type="pct"/>
            <w:noWrap w:val="0"/>
            <w:vAlign w:val="center"/>
          </w:tcPr>
          <w:p w14:paraId="0DDD9AB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hAnsi="Times New Roman" w:cs="Times New Roman"/>
                <w:b w:val="0"/>
                <w:bCs w:val="0"/>
                <w:color w:val="auto"/>
                <w:sz w:val="21"/>
                <w:szCs w:val="21"/>
                <w:lang w:val="en-US" w:eastAsia="zh-CN"/>
              </w:rPr>
              <w:t>不涉及</w:t>
            </w:r>
          </w:p>
        </w:tc>
      </w:tr>
      <w:tr w14:paraId="44DB8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4" w:type="pct"/>
            <w:noWrap w:val="0"/>
            <w:vAlign w:val="center"/>
          </w:tcPr>
          <w:p w14:paraId="42FAD43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w:t>
            </w:r>
          </w:p>
        </w:tc>
        <w:tc>
          <w:tcPr>
            <w:tcW w:w="2666" w:type="pct"/>
            <w:noWrap w:val="0"/>
            <w:vAlign w:val="center"/>
          </w:tcPr>
          <w:p w14:paraId="044479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聚氯乙烯等行业新增产能。责任单位：省工业和信息化厅、省发展改革委等。</w:t>
            </w:r>
          </w:p>
        </w:tc>
        <w:tc>
          <w:tcPr>
            <w:tcW w:w="1421" w:type="pct"/>
            <w:noWrap w:val="0"/>
            <w:vAlign w:val="center"/>
          </w:tcPr>
          <w:p w14:paraId="0331FA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本项目符合国家产业政策，不属于落后产能项目，不属于国家产能置换要求的严重过剩产能行业的项目，不属于高耗能高排放项目。</w:t>
            </w:r>
          </w:p>
        </w:tc>
        <w:tc>
          <w:tcPr>
            <w:tcW w:w="507" w:type="pct"/>
            <w:noWrap w:val="0"/>
            <w:vAlign w:val="center"/>
          </w:tcPr>
          <w:p w14:paraId="65A648C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符合</w:t>
            </w:r>
          </w:p>
        </w:tc>
      </w:tr>
    </w:tbl>
    <w:p w14:paraId="0869FDA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综上所述，项目与《云南省长江经济带发展负面清单指南实施细则（试行）</w:t>
      </w:r>
      <w:r>
        <w:rPr>
          <w:rFonts w:hint="default" w:ascii="Times New Roman" w:hAnsi="Times New Roman" w:eastAsia="宋体" w:cs="Times New Roman"/>
          <w:color w:val="auto"/>
          <w:lang w:eastAsia="zh-CN"/>
        </w:rPr>
        <w:t>（2022年版）</w:t>
      </w:r>
      <w:r>
        <w:rPr>
          <w:rFonts w:hint="default" w:ascii="Times New Roman" w:hAnsi="Times New Roman" w:eastAsia="宋体" w:cs="Times New Roman"/>
          <w:color w:val="auto"/>
        </w:rPr>
        <w:t>》相符。</w:t>
      </w:r>
    </w:p>
    <w:p w14:paraId="36360D80">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6.选线合理性分析</w:t>
      </w:r>
    </w:p>
    <w:p w14:paraId="56A8E8AA">
      <w:pPr>
        <w:widowControl/>
        <w:ind w:firstLine="480"/>
        <w:jc w:val="left"/>
        <w:rPr>
          <w:rFonts w:hint="default" w:ascii="Times New Roman" w:hAnsi="Times New Roman" w:eastAsia="宋体" w:cs="Times New Roman"/>
          <w:color w:val="auto"/>
          <w:szCs w:val="32"/>
        </w:rPr>
      </w:pPr>
      <w:r>
        <w:rPr>
          <w:rFonts w:hint="default" w:ascii="Times New Roman" w:hAnsi="Times New Roman" w:eastAsia="宋体" w:cs="Times New Roman"/>
          <w:color w:val="auto"/>
          <w:kern w:val="0"/>
          <w:lang w:bidi="ar"/>
        </w:rPr>
        <w:t>本项目推荐路线走向与国土空间规划、片区规划基本一致，同时也是G213改线工程，路线直接采用规划线型，</w:t>
      </w:r>
      <w:r>
        <w:rPr>
          <w:rFonts w:hint="eastAsia" w:cs="Times New Roman"/>
          <w:color w:val="auto"/>
          <w:kern w:val="0"/>
          <w:lang w:val="en-US" w:eastAsia="zh-CN" w:bidi="ar"/>
        </w:rPr>
        <w:t>且</w:t>
      </w:r>
      <w:r>
        <w:rPr>
          <w:rFonts w:hint="default" w:ascii="Times New Roman" w:hAnsi="Times New Roman" w:eastAsia="宋体" w:cs="Times New Roman"/>
          <w:color w:val="auto"/>
          <w:kern w:val="0"/>
          <w:lang w:bidi="ar"/>
        </w:rPr>
        <w:t>经复核规划线型满足规范要求</w:t>
      </w:r>
      <w:r>
        <w:rPr>
          <w:rFonts w:hint="eastAsia" w:cs="Times New Roman"/>
          <w:color w:val="auto"/>
          <w:kern w:val="0"/>
          <w:lang w:eastAsia="zh-CN" w:bidi="ar"/>
        </w:rPr>
        <w:t>，</w:t>
      </w:r>
      <w:r>
        <w:rPr>
          <w:rFonts w:hint="eastAsia" w:cs="Times New Roman"/>
          <w:color w:val="auto"/>
          <w:kern w:val="0"/>
          <w:lang w:val="en-US" w:eastAsia="zh-CN" w:bidi="ar"/>
        </w:rPr>
        <w:t>起止点较为固定，项目选址具有唯一性</w:t>
      </w:r>
      <w:r>
        <w:rPr>
          <w:rFonts w:hint="default" w:ascii="Times New Roman" w:hAnsi="Times New Roman" w:eastAsia="宋体" w:cs="Times New Roman"/>
          <w:color w:val="auto"/>
          <w:kern w:val="0"/>
          <w:lang w:bidi="ar"/>
        </w:rPr>
        <w:t>，因此全线</w:t>
      </w:r>
      <w:r>
        <w:rPr>
          <w:rFonts w:hint="eastAsia" w:cs="Times New Roman"/>
          <w:color w:val="auto"/>
          <w:kern w:val="0"/>
          <w:lang w:val="en-US" w:eastAsia="zh-CN" w:bidi="ar"/>
        </w:rPr>
        <w:t>无</w:t>
      </w:r>
      <w:r>
        <w:rPr>
          <w:rFonts w:hint="default" w:ascii="Times New Roman" w:hAnsi="Times New Roman" w:eastAsia="宋体" w:cs="Times New Roman"/>
          <w:color w:val="auto"/>
          <w:kern w:val="0"/>
          <w:lang w:bidi="ar"/>
        </w:rPr>
        <w:t>路线方案比选情况</w:t>
      </w:r>
      <w:r>
        <w:rPr>
          <w:rFonts w:hint="default" w:ascii="Times New Roman" w:hAnsi="Times New Roman" w:eastAsia="宋体" w:cs="Times New Roman"/>
          <w:color w:val="auto"/>
          <w:szCs w:val="32"/>
          <w:lang w:val="zh-CN"/>
        </w:rPr>
        <w:t>。路线起点K0+000起于甘庄街道老G213国道，道路由南向北延伸至规划3号路与老G213国道交叉口处，沿线与规划18m道路、2号路相交，道路全长1448m。</w:t>
      </w:r>
      <w:r>
        <w:rPr>
          <w:rFonts w:hint="default" w:ascii="Times New Roman" w:hAnsi="Times New Roman" w:eastAsia="宋体" w:cs="Times New Roman"/>
          <w:color w:val="auto"/>
          <w:szCs w:val="32"/>
        </w:rPr>
        <w:t>本项目立足于甘庄街道基础设施</w:t>
      </w:r>
      <w:r>
        <w:rPr>
          <w:rFonts w:hint="default" w:ascii="Times New Roman" w:hAnsi="Times New Roman" w:eastAsia="宋体" w:cs="Times New Roman"/>
          <w:color w:val="auto"/>
          <w:szCs w:val="32"/>
          <w:lang w:eastAsia="zh-CN"/>
        </w:rPr>
        <w:t>建设</w:t>
      </w:r>
      <w:r>
        <w:rPr>
          <w:rFonts w:hint="default" w:ascii="Times New Roman" w:hAnsi="Times New Roman" w:eastAsia="宋体" w:cs="Times New Roman"/>
          <w:color w:val="auto"/>
          <w:szCs w:val="32"/>
        </w:rPr>
        <w:t>，</w:t>
      </w:r>
      <w:r>
        <w:rPr>
          <w:rFonts w:hint="default" w:ascii="Times New Roman" w:hAnsi="Times New Roman" w:eastAsia="宋体" w:cs="Times New Roman"/>
          <w:color w:val="auto"/>
          <w:szCs w:val="32"/>
          <w:lang w:eastAsia="zh-CN"/>
        </w:rPr>
        <w:t>遵循</w:t>
      </w:r>
      <w:r>
        <w:rPr>
          <w:rFonts w:hint="default" w:ascii="Times New Roman" w:hAnsi="Times New Roman" w:eastAsia="宋体" w:cs="Times New Roman"/>
          <w:color w:val="auto"/>
          <w:szCs w:val="32"/>
        </w:rPr>
        <w:t>甘庄街道远景</w:t>
      </w:r>
      <w:r>
        <w:rPr>
          <w:rFonts w:hint="default" w:ascii="Times New Roman" w:hAnsi="Times New Roman" w:eastAsia="宋体" w:cs="Times New Roman"/>
          <w:color w:val="auto"/>
          <w:szCs w:val="32"/>
          <w:lang w:eastAsia="zh-CN"/>
        </w:rPr>
        <w:t>城市规划</w:t>
      </w:r>
      <w:r>
        <w:rPr>
          <w:rFonts w:hint="default" w:ascii="Times New Roman" w:hAnsi="Times New Roman" w:eastAsia="宋体" w:cs="Times New Roman"/>
          <w:color w:val="auto"/>
          <w:szCs w:val="32"/>
        </w:rPr>
        <w:t>，将原规划的城市次干路调整为一级公路，综合考虑项目</w:t>
      </w:r>
      <w:r>
        <w:rPr>
          <w:rFonts w:hint="default" w:ascii="Times New Roman" w:hAnsi="Times New Roman" w:eastAsia="宋体" w:cs="Times New Roman"/>
          <w:color w:val="auto"/>
          <w:szCs w:val="32"/>
          <w:lang w:eastAsia="zh-CN"/>
        </w:rPr>
        <w:t>实际</w:t>
      </w:r>
      <w:r>
        <w:rPr>
          <w:rFonts w:hint="default" w:ascii="Times New Roman" w:hAnsi="Times New Roman" w:eastAsia="宋体" w:cs="Times New Roman"/>
          <w:color w:val="auto"/>
          <w:szCs w:val="32"/>
        </w:rPr>
        <w:t>需要，</w:t>
      </w:r>
      <w:r>
        <w:rPr>
          <w:rFonts w:hint="default" w:ascii="Times New Roman" w:hAnsi="Times New Roman" w:eastAsia="宋体" w:cs="Times New Roman"/>
          <w:color w:val="auto"/>
          <w:szCs w:val="32"/>
          <w:lang w:eastAsia="zh-CN"/>
        </w:rPr>
        <w:t>使</w:t>
      </w:r>
      <w:r>
        <w:rPr>
          <w:rFonts w:hint="default" w:ascii="Times New Roman" w:hAnsi="Times New Roman" w:eastAsia="宋体" w:cs="Times New Roman"/>
          <w:color w:val="auto"/>
          <w:szCs w:val="32"/>
        </w:rPr>
        <w:t>快速交通与沿线路网有效联通，满足沿线城市规划及居民出行</w:t>
      </w:r>
      <w:r>
        <w:rPr>
          <w:rFonts w:hint="default" w:ascii="Times New Roman" w:hAnsi="Times New Roman" w:eastAsia="宋体" w:cs="Times New Roman"/>
          <w:color w:val="auto"/>
          <w:szCs w:val="32"/>
          <w:lang w:eastAsia="zh-CN"/>
        </w:rPr>
        <w:t>需求</w:t>
      </w:r>
      <w:r>
        <w:rPr>
          <w:rFonts w:hint="default" w:ascii="Times New Roman" w:hAnsi="Times New Roman" w:eastAsia="宋体" w:cs="Times New Roman"/>
          <w:color w:val="auto"/>
          <w:szCs w:val="32"/>
        </w:rPr>
        <w:t>。本项目</w:t>
      </w:r>
      <w:r>
        <w:rPr>
          <w:rFonts w:hint="default" w:ascii="Times New Roman" w:hAnsi="Times New Roman" w:eastAsia="宋体" w:cs="Times New Roman"/>
          <w:color w:val="auto"/>
          <w:kern w:val="0"/>
          <w:sz w:val="24"/>
          <w:szCs w:val="24"/>
          <w:lang w:val="en-US" w:eastAsia="zh-CN" w:bidi="ar"/>
        </w:rPr>
        <w:t>站前广场</w:t>
      </w:r>
      <w:r>
        <w:rPr>
          <w:rFonts w:hint="eastAsia" w:cs="Times New Roman"/>
          <w:color w:val="auto"/>
          <w:kern w:val="0"/>
          <w:sz w:val="24"/>
          <w:szCs w:val="24"/>
          <w:lang w:val="en-US" w:eastAsia="zh-CN" w:bidi="ar"/>
        </w:rPr>
        <w:t>5号</w:t>
      </w:r>
      <w:r>
        <w:rPr>
          <w:rFonts w:hint="default" w:ascii="Times New Roman" w:hAnsi="Times New Roman" w:eastAsia="宋体" w:cs="Times New Roman"/>
          <w:color w:val="auto"/>
          <w:kern w:val="0"/>
          <w:sz w:val="24"/>
          <w:szCs w:val="24"/>
          <w:lang w:val="en-US" w:eastAsia="zh-CN" w:bidi="ar"/>
        </w:rPr>
        <w:t>公路作为连接高铁站与城市交通网络的关键纽带，对于提升</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高铁站的交通疏解能力起着至关重要的作用</w:t>
      </w:r>
      <w:r>
        <w:rPr>
          <w:rFonts w:hint="eastAsia" w:ascii="Times New Roman" w:hAnsi="Times New Roman" w:eastAsia="宋体" w:cs="Times New Roman"/>
          <w:color w:val="auto"/>
          <w:kern w:val="0"/>
          <w:sz w:val="24"/>
          <w:szCs w:val="24"/>
          <w:lang w:val="en-US" w:eastAsia="zh-CN" w:bidi="ar"/>
        </w:rPr>
        <w:t>，而且本项目的建设有利于加强</w:t>
      </w:r>
      <w:r>
        <w:rPr>
          <w:rFonts w:hint="default" w:ascii="Times New Roman" w:hAnsi="Times New Roman" w:eastAsia="宋体" w:cs="Times New Roman"/>
          <w:color w:val="auto"/>
          <w:kern w:val="0"/>
          <w:sz w:val="24"/>
          <w:szCs w:val="24"/>
          <w:lang w:val="en-US" w:eastAsia="zh-CN" w:bidi="ar"/>
        </w:rPr>
        <w:t>元江火车站铁路</w:t>
      </w:r>
      <w:r>
        <w:rPr>
          <w:rFonts w:hint="eastAsia" w:cs="Times New Roman"/>
          <w:color w:val="auto"/>
          <w:kern w:val="0"/>
          <w:sz w:val="24"/>
          <w:szCs w:val="24"/>
          <w:lang w:val="en-US" w:eastAsia="zh-CN" w:bidi="ar"/>
        </w:rPr>
        <w:t>货运站</w:t>
      </w:r>
      <w:r>
        <w:rPr>
          <w:rFonts w:hint="default" w:ascii="Times New Roman" w:hAnsi="Times New Roman" w:eastAsia="宋体" w:cs="Times New Roman"/>
          <w:color w:val="auto"/>
          <w:kern w:val="0"/>
          <w:sz w:val="24"/>
          <w:szCs w:val="24"/>
          <w:lang w:val="en-US" w:eastAsia="zh-CN" w:bidi="ar"/>
        </w:rPr>
        <w:t>与甘庄工业园区的衔接，增加物流运输能力</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且</w:t>
      </w:r>
      <w:r>
        <w:rPr>
          <w:rFonts w:hint="default" w:ascii="Times New Roman" w:hAnsi="Times New Roman" w:eastAsia="宋体" w:cs="Times New Roman"/>
          <w:color w:val="auto"/>
        </w:rPr>
        <w:t>G213线甘庄段道路穿越集镇核心区，交通安全隐患突出</w:t>
      </w:r>
      <w:r>
        <w:rPr>
          <w:rFonts w:hint="default"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对集镇居民影响较大，本项目的建设能</w:t>
      </w:r>
      <w:r>
        <w:rPr>
          <w:rFonts w:hint="default" w:ascii="Times New Roman" w:hAnsi="Times New Roman" w:eastAsia="宋体" w:cs="Times New Roman"/>
          <w:color w:val="auto"/>
        </w:rPr>
        <w:t>提高国道</w:t>
      </w:r>
      <w:r>
        <w:rPr>
          <w:rFonts w:hint="default" w:ascii="Times New Roman" w:hAnsi="Times New Roman" w:eastAsia="宋体" w:cs="Times New Roman"/>
          <w:color w:val="auto"/>
          <w:lang w:val="en-US" w:eastAsia="zh-CN"/>
        </w:rPr>
        <w:t>213</w:t>
      </w:r>
      <w:r>
        <w:rPr>
          <w:rFonts w:hint="default" w:ascii="Times New Roman" w:hAnsi="Times New Roman" w:eastAsia="宋体" w:cs="Times New Roman"/>
          <w:color w:val="auto"/>
        </w:rPr>
        <w:t>交通承载能力，</w:t>
      </w:r>
      <w:r>
        <w:rPr>
          <w:rFonts w:hint="eastAsia" w:ascii="Times New Roman" w:hAnsi="Times New Roman" w:eastAsia="宋体" w:cs="Times New Roman"/>
          <w:color w:val="auto"/>
          <w:lang w:val="en-US" w:eastAsia="zh-CN"/>
        </w:rPr>
        <w:t>并</w:t>
      </w:r>
      <w:r>
        <w:rPr>
          <w:rFonts w:hint="default" w:ascii="Times New Roman" w:hAnsi="Times New Roman" w:eastAsia="宋体" w:cs="Times New Roman"/>
          <w:color w:val="auto"/>
        </w:rPr>
        <w:t>减轻</w:t>
      </w:r>
      <w:r>
        <w:rPr>
          <w:rFonts w:hint="default" w:ascii="Times New Roman" w:hAnsi="Times New Roman" w:eastAsia="宋体" w:cs="Times New Roman"/>
          <w:color w:val="auto"/>
          <w:lang w:val="en-US" w:eastAsia="zh-CN"/>
        </w:rPr>
        <w:t>集镇</w:t>
      </w:r>
      <w:r>
        <w:rPr>
          <w:rFonts w:hint="eastAsia" w:ascii="Times New Roman" w:hAnsi="Times New Roman" w:eastAsia="宋体" w:cs="Times New Roman"/>
          <w:color w:val="auto"/>
          <w:lang w:val="en-US" w:eastAsia="zh-CN"/>
        </w:rPr>
        <w:t>交通</w:t>
      </w:r>
      <w:r>
        <w:rPr>
          <w:rFonts w:hint="default" w:ascii="Times New Roman" w:hAnsi="Times New Roman" w:eastAsia="宋体" w:cs="Times New Roman"/>
          <w:color w:val="auto"/>
        </w:rPr>
        <w:t>管理压力，</w:t>
      </w:r>
      <w:r>
        <w:rPr>
          <w:rFonts w:hint="eastAsia" w:ascii="Times New Roman" w:hAnsi="Times New Roman" w:eastAsia="宋体" w:cs="Times New Roman"/>
          <w:color w:val="auto"/>
          <w:lang w:val="en-US" w:eastAsia="zh-CN"/>
        </w:rPr>
        <w:t>且</w:t>
      </w:r>
      <w:r>
        <w:rPr>
          <w:rFonts w:hint="default" w:ascii="Times New Roman" w:hAnsi="Times New Roman" w:eastAsia="宋体" w:cs="Times New Roman"/>
          <w:color w:val="auto"/>
          <w:lang w:val="en-US" w:eastAsia="zh-CN"/>
        </w:rPr>
        <w:t>该项目已列入</w:t>
      </w:r>
      <w:r>
        <w:rPr>
          <w:rFonts w:hint="default" w:ascii="Times New Roman" w:hAnsi="Times New Roman" w:eastAsia="宋体" w:cs="Times New Roman"/>
          <w:color w:val="auto"/>
          <w:lang w:val="en-US" w:eastAsia="zh-CN"/>
        </w:rPr>
        <w:t>《元江县“十四五”综合交通运输发展规划》</w:t>
      </w:r>
      <w:r>
        <w:rPr>
          <w:rFonts w:hint="default" w:ascii="Times New Roman" w:hAnsi="Times New Roman" w:eastAsia="宋体" w:cs="Times New Roman"/>
          <w:color w:val="auto"/>
          <w:lang w:val="en-US" w:eastAsia="zh-CN"/>
        </w:rPr>
        <w:t>，属于县级改移新建交通建设项目</w:t>
      </w:r>
      <w:r>
        <w:rPr>
          <w:rFonts w:hint="default" w:ascii="Times New Roman" w:hAnsi="Times New Roman" w:eastAsia="宋体" w:cs="Times New Roman"/>
          <w:color w:val="auto"/>
          <w:szCs w:val="32"/>
        </w:rPr>
        <w:t>。</w:t>
      </w:r>
    </w:p>
    <w:p w14:paraId="420D78F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线路分布地段不占用生态红线，不涉及自然保护区、风景名胜区、基本农田、林地，项目选线对生态影响较小。项目道路沿线周围无重大环境敏感点，施工过</w:t>
      </w:r>
      <w:r>
        <w:rPr>
          <w:rFonts w:hint="default" w:ascii="Times New Roman" w:hAnsi="Times New Roman" w:eastAsia="宋体" w:cs="Times New Roman"/>
          <w:color w:val="auto"/>
          <w:lang w:eastAsia="zh-CN"/>
        </w:rPr>
        <w:t>程中</w:t>
      </w:r>
      <w:r>
        <w:rPr>
          <w:rFonts w:hint="default" w:ascii="Times New Roman" w:hAnsi="Times New Roman" w:eastAsia="宋体" w:cs="Times New Roman"/>
          <w:color w:val="auto"/>
        </w:rPr>
        <w:t>采取相应措施对产生的污染进行治理，对相关区域实施有针对性的生态恢复、水土保持措施，以降低对生态环境的影响。</w:t>
      </w:r>
    </w:p>
    <w:p w14:paraId="14B83F8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综上所述，工程选线合理。</w:t>
      </w:r>
    </w:p>
    <w:p w14:paraId="4D9B04A5">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7.临时施工场地选址合理性分析</w:t>
      </w:r>
    </w:p>
    <w:p w14:paraId="7CFD5D6A">
      <w:pPr>
        <w:bidi w:val="0"/>
        <w:rPr>
          <w:rFonts w:hint="default"/>
          <w:color w:val="auto"/>
          <w:lang w:val="en-US" w:eastAsia="zh-CN"/>
        </w:rPr>
      </w:pPr>
      <w:r>
        <w:rPr>
          <w:rFonts w:hint="eastAsia" w:cs="Times New Roman"/>
          <w:b w:val="0"/>
          <w:bCs w:val="0"/>
          <w:color w:val="auto"/>
          <w:lang w:val="en-US" w:eastAsia="zh-CN"/>
        </w:rPr>
        <w:t>项目不设置专门的</w:t>
      </w:r>
      <w:r>
        <w:rPr>
          <w:rFonts w:hint="default" w:ascii="Times New Roman" w:hAnsi="Times New Roman" w:eastAsia="宋体" w:cs="Times New Roman"/>
          <w:b w:val="0"/>
          <w:bCs w:val="0"/>
          <w:color w:val="auto"/>
          <w:kern w:val="0"/>
          <w:lang w:bidi="ar"/>
        </w:rPr>
        <w:t>取土场</w:t>
      </w:r>
      <w:r>
        <w:rPr>
          <w:rFonts w:hint="eastAsia" w:cs="Times New Roman"/>
          <w:b w:val="0"/>
          <w:bCs w:val="0"/>
          <w:color w:val="auto"/>
          <w:kern w:val="0"/>
          <w:lang w:eastAsia="zh-CN" w:bidi="ar"/>
        </w:rPr>
        <w:t>、</w:t>
      </w:r>
      <w:r>
        <w:rPr>
          <w:rFonts w:hint="eastAsia" w:cs="Times New Roman"/>
          <w:b w:val="0"/>
          <w:bCs w:val="0"/>
          <w:color w:val="auto"/>
          <w:kern w:val="0"/>
          <w:lang w:val="en-US" w:eastAsia="zh-CN" w:bidi="ar"/>
        </w:rPr>
        <w:t>堆料场、</w:t>
      </w:r>
      <w:r>
        <w:rPr>
          <w:rFonts w:hint="default" w:ascii="Times New Roman" w:hAnsi="Times New Roman" w:eastAsia="宋体" w:cs="Times New Roman"/>
          <w:color w:val="auto"/>
          <w:kern w:val="0"/>
          <w:lang w:bidi="ar"/>
        </w:rPr>
        <w:t>施工营地</w:t>
      </w:r>
      <w:r>
        <w:rPr>
          <w:rFonts w:hint="eastAsia" w:cs="Times New Roman"/>
          <w:color w:val="auto"/>
          <w:kern w:val="0"/>
          <w:lang w:eastAsia="zh-CN" w:bidi="ar"/>
        </w:rPr>
        <w:t>，</w:t>
      </w:r>
      <w:r>
        <w:rPr>
          <w:rFonts w:hint="eastAsia" w:cs="Times New Roman"/>
          <w:color w:val="auto"/>
          <w:kern w:val="0"/>
          <w:lang w:val="en-US" w:eastAsia="zh-CN" w:bidi="ar"/>
        </w:rPr>
        <w:t>仅设置1处弃渣场，1处</w:t>
      </w:r>
      <w:r>
        <w:rPr>
          <w:rFonts w:hint="default"/>
          <w:color w:val="auto"/>
          <w:lang w:val="en-US" w:eastAsia="zh-CN"/>
        </w:rPr>
        <w:t>临时混凝土拌合站</w:t>
      </w:r>
      <w:r>
        <w:rPr>
          <w:rFonts w:hint="eastAsia"/>
          <w:color w:val="auto"/>
          <w:lang w:val="en-US" w:eastAsia="zh-CN"/>
        </w:rPr>
        <w:t>。</w:t>
      </w:r>
    </w:p>
    <w:p w14:paraId="55DEAC76">
      <w:pPr>
        <w:tabs>
          <w:tab w:val="left" w:pos="2694"/>
        </w:tabs>
        <w:ind w:firstLine="480"/>
        <w:rPr>
          <w:rFonts w:hint="default" w:ascii="Times New Roman" w:hAnsi="Times New Roman" w:eastAsia="宋体"/>
          <w:color w:val="auto"/>
          <w:spacing w:val="0"/>
          <w:w w:val="100"/>
          <w:sz w:val="24"/>
          <w:szCs w:val="24"/>
          <w:highlight w:val="none"/>
          <w:lang w:val="en-US" w:eastAsia="zh-CN" w:bidi="ar"/>
        </w:rPr>
      </w:pPr>
      <w:r>
        <w:rPr>
          <w:rFonts w:hint="eastAsia" w:ascii="Times New Roman" w:hAnsi="Times New Roman" w:eastAsia="宋体"/>
          <w:color w:val="auto"/>
          <w:spacing w:val="0"/>
          <w:w w:val="100"/>
          <w:sz w:val="24"/>
          <w:szCs w:val="24"/>
          <w:highlight w:val="none"/>
          <w:lang w:eastAsia="zh-CN" w:bidi="ar"/>
        </w:rPr>
        <w:t>（</w:t>
      </w:r>
      <w:r>
        <w:rPr>
          <w:rFonts w:hint="eastAsia" w:ascii="Times New Roman" w:hAnsi="Times New Roman" w:eastAsia="宋体"/>
          <w:color w:val="auto"/>
          <w:spacing w:val="0"/>
          <w:w w:val="100"/>
          <w:sz w:val="24"/>
          <w:szCs w:val="24"/>
          <w:highlight w:val="none"/>
          <w:lang w:val="en-US" w:eastAsia="zh-CN" w:bidi="ar"/>
        </w:rPr>
        <w:t>1</w:t>
      </w:r>
      <w:r>
        <w:rPr>
          <w:rFonts w:hint="eastAsia" w:ascii="Times New Roman" w:hAnsi="Times New Roman" w:eastAsia="宋体"/>
          <w:color w:val="auto"/>
          <w:spacing w:val="0"/>
          <w:w w:val="100"/>
          <w:sz w:val="24"/>
          <w:szCs w:val="24"/>
          <w:highlight w:val="none"/>
          <w:lang w:eastAsia="zh-CN" w:bidi="ar"/>
        </w:rPr>
        <w:t>）</w:t>
      </w:r>
      <w:r>
        <w:rPr>
          <w:rFonts w:hint="eastAsia" w:ascii="Times New Roman" w:hAnsi="Times New Roman" w:eastAsia="宋体"/>
          <w:color w:val="auto"/>
          <w:spacing w:val="0"/>
          <w:w w:val="100"/>
          <w:sz w:val="24"/>
          <w:szCs w:val="24"/>
          <w:highlight w:val="none"/>
          <w:lang w:val="en-US" w:eastAsia="zh-CN" w:bidi="ar"/>
        </w:rPr>
        <w:t>临时搅拌站</w:t>
      </w:r>
    </w:p>
    <w:p w14:paraId="532F2219">
      <w:pPr>
        <w:tabs>
          <w:tab w:val="left" w:pos="2694"/>
        </w:tabs>
        <w:ind w:firstLine="480"/>
        <w:rPr>
          <w:rFonts w:hint="default" w:ascii="Times New Roman" w:hAnsi="Times New Roman" w:eastAsia="宋体" w:cs="Times New Roman"/>
          <w:color w:val="auto"/>
          <w:kern w:val="0"/>
          <w:lang w:val="en-US" w:eastAsia="zh-CN" w:bidi="ar"/>
        </w:rPr>
      </w:pPr>
      <w:r>
        <w:rPr>
          <w:rFonts w:hint="eastAsia" w:ascii="Times New Roman" w:hAnsi="Times New Roman" w:eastAsia="宋体"/>
          <w:color w:val="auto"/>
          <w:spacing w:val="0"/>
          <w:w w:val="100"/>
          <w:sz w:val="24"/>
          <w:szCs w:val="24"/>
          <w:highlight w:val="none"/>
          <w:lang w:bidi="ar"/>
        </w:rPr>
        <w:t>根据《云南省生态环境厅云南省交通运输厅关于加强高等级公路建设项目施工扬尘污染防治的通知》（云环发</w:t>
      </w:r>
      <w:r>
        <w:rPr>
          <w:rFonts w:hint="eastAsia" w:ascii="宋体" w:hAnsi="宋体" w:eastAsia="宋体" w:cs="宋体"/>
          <w:color w:val="auto"/>
          <w:spacing w:val="0"/>
          <w:w w:val="100"/>
          <w:sz w:val="24"/>
          <w:szCs w:val="24"/>
          <w:highlight w:val="none"/>
          <w:lang w:bidi="ar"/>
        </w:rPr>
        <w:t>〔</w:t>
      </w:r>
      <w:r>
        <w:rPr>
          <w:rFonts w:hint="eastAsia" w:ascii="Times New Roman" w:hAnsi="Times New Roman" w:eastAsia="宋体"/>
          <w:color w:val="auto"/>
          <w:spacing w:val="0"/>
          <w:w w:val="100"/>
          <w:sz w:val="24"/>
          <w:szCs w:val="24"/>
          <w:highlight w:val="none"/>
          <w:lang w:bidi="ar"/>
        </w:rPr>
        <w:t>2021</w:t>
      </w:r>
      <w:r>
        <w:rPr>
          <w:rFonts w:hint="eastAsia" w:ascii="宋体" w:hAnsi="宋体" w:eastAsia="宋体" w:cs="宋体"/>
          <w:color w:val="auto"/>
          <w:spacing w:val="0"/>
          <w:w w:val="100"/>
          <w:sz w:val="24"/>
          <w:szCs w:val="24"/>
          <w:highlight w:val="none"/>
          <w:lang w:bidi="ar"/>
        </w:rPr>
        <w:t>〕</w:t>
      </w:r>
      <w:r>
        <w:rPr>
          <w:rFonts w:hint="eastAsia" w:ascii="Times New Roman" w:hAnsi="Times New Roman" w:eastAsia="宋体"/>
          <w:color w:val="auto"/>
          <w:spacing w:val="0"/>
          <w:w w:val="100"/>
          <w:sz w:val="24"/>
          <w:szCs w:val="24"/>
          <w:highlight w:val="none"/>
          <w:lang w:bidi="ar"/>
        </w:rPr>
        <w:t>6号）要求：“沥青搅拌场站距村庄、学校、医院及人口密集区等环境敏感目标的距离不小于300m，混合料拌和站距环境敏感目标的距离不小于200m，并应设置在当地施工季节主导风向的下风向。”</w:t>
      </w:r>
      <w:r>
        <w:rPr>
          <w:rFonts w:hint="eastAsia" w:ascii="Times New Roman" w:hAnsi="Times New Roman" w:eastAsia="宋体"/>
          <w:color w:val="auto"/>
          <w:spacing w:val="0"/>
          <w:w w:val="100"/>
          <w:sz w:val="24"/>
          <w:szCs w:val="24"/>
          <w:highlight w:val="none"/>
          <w:lang w:eastAsia="zh-CN" w:bidi="ar"/>
        </w:rPr>
        <w:t>，</w:t>
      </w:r>
      <w:r>
        <w:rPr>
          <w:rFonts w:hint="eastAsia" w:ascii="Times New Roman" w:hAnsi="Times New Roman" w:eastAsia="宋体"/>
          <w:color w:val="auto"/>
          <w:spacing w:val="0"/>
          <w:w w:val="100"/>
          <w:sz w:val="24"/>
          <w:szCs w:val="24"/>
          <w:highlight w:val="none"/>
          <w:lang w:val="en-US" w:eastAsia="zh-CN" w:bidi="ar"/>
        </w:rPr>
        <w:t>项目设置</w:t>
      </w:r>
      <w:r>
        <w:rPr>
          <w:rFonts w:hint="default"/>
          <w:color w:val="auto"/>
          <w:lang w:val="en-US" w:eastAsia="zh-CN"/>
        </w:rPr>
        <w:t>1个临时混凝土拌合站，位于K1+400右侧，</w:t>
      </w:r>
      <w:r>
        <w:rPr>
          <w:rFonts w:hint="eastAsia"/>
          <w:color w:val="auto"/>
          <w:lang w:val="en-US" w:eastAsia="zh-CN"/>
        </w:rPr>
        <w:t>位于</w:t>
      </w:r>
      <w:r>
        <w:rPr>
          <w:rFonts w:hint="default"/>
          <w:color w:val="auto"/>
          <w:lang w:val="en-US" w:eastAsia="zh-CN"/>
        </w:rPr>
        <w:t>主导风向的下风向，且</w:t>
      </w:r>
      <w:r>
        <w:rPr>
          <w:rFonts w:hint="eastAsia"/>
          <w:color w:val="auto"/>
          <w:lang w:val="en-US" w:eastAsia="zh-CN"/>
        </w:rPr>
        <w:t>周边200m范围内无</w:t>
      </w:r>
      <w:r>
        <w:rPr>
          <w:rFonts w:hint="eastAsia" w:ascii="Times New Roman" w:hAnsi="Times New Roman" w:eastAsia="宋体"/>
          <w:color w:val="auto"/>
          <w:spacing w:val="0"/>
          <w:w w:val="100"/>
          <w:sz w:val="24"/>
          <w:szCs w:val="24"/>
          <w:highlight w:val="none"/>
          <w:lang w:bidi="ar"/>
        </w:rPr>
        <w:t>村庄、学校、医院及人口密集区等环境敏感目标</w:t>
      </w:r>
      <w:r>
        <w:rPr>
          <w:rFonts w:hint="eastAsia" w:ascii="Times New Roman" w:hAnsi="Times New Roman" w:eastAsia="宋体"/>
          <w:color w:val="auto"/>
          <w:spacing w:val="0"/>
          <w:w w:val="100"/>
          <w:sz w:val="24"/>
          <w:szCs w:val="24"/>
          <w:highlight w:val="none"/>
          <w:lang w:eastAsia="zh-CN" w:bidi="ar"/>
        </w:rPr>
        <w:t>，</w:t>
      </w:r>
      <w:r>
        <w:rPr>
          <w:rFonts w:hint="eastAsia" w:ascii="Times New Roman" w:hAnsi="Times New Roman" w:eastAsia="宋体"/>
          <w:color w:val="auto"/>
          <w:spacing w:val="0"/>
          <w:w w:val="100"/>
          <w:sz w:val="24"/>
          <w:szCs w:val="24"/>
          <w:highlight w:val="none"/>
          <w:lang w:val="en-US" w:eastAsia="zh-CN" w:bidi="ar"/>
        </w:rPr>
        <w:t>选址合理。</w:t>
      </w:r>
    </w:p>
    <w:p w14:paraId="6E0ECBD8">
      <w:pPr>
        <w:tabs>
          <w:tab w:val="left" w:pos="2694"/>
        </w:tabs>
        <w:ind w:firstLine="480"/>
        <w:rPr>
          <w:rFonts w:hint="default" w:ascii="Times New Roman" w:hAnsi="Times New Roman" w:eastAsia="宋体" w:cs="Times New Roman"/>
          <w:color w:val="auto"/>
          <w:kern w:val="0"/>
          <w:lang w:val="en-US" w:eastAsia="zh-CN" w:bidi="ar"/>
        </w:rPr>
      </w:pPr>
      <w:r>
        <w:rPr>
          <w:rFonts w:hint="eastAsia" w:cs="Times New Roman"/>
          <w:color w:val="auto"/>
          <w:kern w:val="0"/>
          <w:lang w:eastAsia="zh-CN" w:bidi="ar"/>
        </w:rPr>
        <w:t>（</w:t>
      </w:r>
      <w:r>
        <w:rPr>
          <w:rFonts w:hint="eastAsia" w:cs="Times New Roman"/>
          <w:color w:val="auto"/>
          <w:kern w:val="0"/>
          <w:lang w:val="en-US" w:eastAsia="zh-CN" w:bidi="ar"/>
        </w:rPr>
        <w:t>2</w:t>
      </w:r>
      <w:r>
        <w:rPr>
          <w:rFonts w:hint="eastAsia" w:cs="Times New Roman"/>
          <w:color w:val="auto"/>
          <w:kern w:val="0"/>
          <w:lang w:eastAsia="zh-CN" w:bidi="ar"/>
        </w:rPr>
        <w:t>）</w:t>
      </w:r>
      <w:r>
        <w:rPr>
          <w:rFonts w:hint="eastAsia" w:cs="Times New Roman"/>
          <w:color w:val="auto"/>
          <w:kern w:val="0"/>
          <w:lang w:val="en-US" w:eastAsia="zh-CN" w:bidi="ar"/>
        </w:rPr>
        <w:t>弃渣场</w:t>
      </w:r>
    </w:p>
    <w:p w14:paraId="673426E1">
      <w:pPr>
        <w:tabs>
          <w:tab w:val="left" w:pos="2694"/>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弃渣场规划1处，位于元江火车站站前广场配套道路5号路建设项目起点以南沿G213老路向南约4.9km，堆渣场紧挨G213，位于老路下方一处沟道上，地理中心坐标为E101°58′39.77″、N23°39′47.31″。本项目开挖大于回填，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，无外借土石方。本工程产生的弃渣运至项目规划的弃渣场堆放</w:t>
      </w:r>
      <w:r>
        <w:rPr>
          <w:rFonts w:hint="default" w:ascii="Times New Roman" w:hAnsi="Times New Roman" w:eastAsia="宋体" w:cs="Times New Roman"/>
          <w:color w:val="auto"/>
        </w:rPr>
        <w:t>。</w:t>
      </w:r>
    </w:p>
    <w:p w14:paraId="1196A3A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⑴选址依据</w:t>
      </w:r>
    </w:p>
    <w:p w14:paraId="36CF040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从生态环境影响的角度看，尽量纵向调配全线土石方，平衡利用是减小弃渣场影响的最好办法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在进行充分的土石方平衡</w:t>
      </w:r>
      <w:r>
        <w:rPr>
          <w:rFonts w:hint="default" w:ascii="Times New Roman" w:hAnsi="Times New Roman" w:eastAsia="宋体" w:cs="Times New Roman"/>
          <w:color w:val="auto"/>
          <w:lang w:eastAsia="zh-CN"/>
        </w:rPr>
        <w:t>后</w:t>
      </w:r>
      <w:r>
        <w:rPr>
          <w:rFonts w:hint="default" w:ascii="Times New Roman" w:hAnsi="Times New Roman" w:eastAsia="宋体" w:cs="Times New Roman"/>
          <w:color w:val="auto"/>
        </w:rPr>
        <w:t>，如何选择合适的弃渣场就非常重要。根据中华人民共和国</w:t>
      </w:r>
      <w:r>
        <w:rPr>
          <w:rFonts w:hint="default" w:ascii="Times New Roman" w:hAnsi="Times New Roman" w:eastAsia="宋体" w:cs="Times New Roman"/>
          <w:color w:val="auto"/>
          <w:lang w:eastAsia="zh-CN"/>
        </w:rPr>
        <w:t>交通运输部</w:t>
      </w:r>
      <w:r>
        <w:rPr>
          <w:rFonts w:hint="default" w:ascii="Times New Roman" w:hAnsi="Times New Roman" w:eastAsia="宋体" w:cs="Times New Roman"/>
          <w:color w:val="auto"/>
        </w:rPr>
        <w:t>《关于进一步加强山区公路建设生态保护和水土保持工作的指导意见》，取弃渣场设置的总体原则为“取弃渣场应尽量减少设置数量，并进行专项设计。弃渣场的选择遵循了以下原则：</w:t>
      </w:r>
    </w:p>
    <w:p w14:paraId="6984A1A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①不占用基本农田、水土保持监测成果、生态公益林等限制因子区；</w:t>
      </w:r>
    </w:p>
    <w:p w14:paraId="3F71F8D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②不能占用自然保护区、森林公园等生态敏感区；</w:t>
      </w:r>
    </w:p>
    <w:p w14:paraId="28BAB2A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③避开公路上游，不危害居民点、水库、大型工矿等重要设施；禁止直接弃入河道和水库中（即弃渣场选址不得位于河、水库设计防洪水位以下）；</w:t>
      </w:r>
    </w:p>
    <w:p w14:paraId="6291D40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④渣场所在沟谷或山坳尽量口小肚大、容量大；不得在易引发崩塌滑坡的地区或泥石流沟道设置弃渣场；</w:t>
      </w:r>
    </w:p>
    <w:p w14:paraId="43EB9CD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 xml:space="preserve">⑤渣场离拟建公路运距近，渣场上游汇水面积尽量小；设置尽量位于公路路域视野之外，以减少对公路路域景观的影响； </w:t>
      </w:r>
    </w:p>
    <w:p w14:paraId="18DB795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⑥渣场所在位置地质条件良好，渣场下游无敏感保护目标；</w:t>
      </w:r>
    </w:p>
    <w:p w14:paraId="580C82C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⑦尽量不影响主体工程沿线景观。充分利用公路路侧山谷、缓坡等有利微地形作弃渣场进行堆置。</w:t>
      </w:r>
    </w:p>
    <w:p w14:paraId="0B5E4A7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⑵弃渣场选址合理性总体评价</w:t>
      </w:r>
    </w:p>
    <w:p w14:paraId="5AC257C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本工程布设的弃渣场，总占地面积为6.07hm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，渣场堆渣容量92万m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。本工程弃方产生后通过G213公路运输至弃渣场，本道路建设里程较短，考虑到公路沿线的敏感性、下游存在居民点等因素，因此将弃渣场规划到工程以南的位置，工程弃渣调运距离较近，</w:t>
      </w:r>
      <w:r>
        <w:rPr>
          <w:rFonts w:hint="eastAsia" w:cs="Times New Roman"/>
          <w:color w:val="auto"/>
          <w:kern w:val="0"/>
          <w:lang w:val="en-US" w:eastAsia="zh-CN" w:bidi="ar"/>
        </w:rPr>
        <w:t>周围200m范围内无敏感点分布，</w:t>
      </w:r>
      <w:r>
        <w:rPr>
          <w:rFonts w:hint="eastAsia"/>
          <w:color w:val="auto"/>
          <w:lang w:val="en-US" w:eastAsia="zh-CN"/>
        </w:rPr>
        <w:t>对周边环境影响较小</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因此，从弃渣的方便性和运距的合理性来说，沿线弃渣场选址也是合理的。</w:t>
      </w:r>
    </w:p>
    <w:p w14:paraId="2DCD375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该弃渣场已取得元江县自然资源局、玉溪市生态环境局元江分局、元江县林业和草原局、元江县水利局、元江县农业农村局、元江县甘庄街道办事处等单位联合签署的《</w:t>
      </w:r>
      <w:r>
        <w:rPr>
          <w:rFonts w:hint="default" w:ascii="Times New Roman" w:hAnsi="Times New Roman" w:eastAsia="宋体" w:cs="Times New Roman"/>
          <w:color w:val="auto"/>
        </w:rPr>
        <w:t>联</w:t>
      </w:r>
      <w:r>
        <w:rPr>
          <w:rFonts w:hint="eastAsia" w:cs="Times New Roman"/>
          <w:color w:val="auto"/>
          <w:lang w:val="en-US" w:eastAsia="zh-CN"/>
        </w:rPr>
        <w:t>勘</w:t>
      </w:r>
      <w:r>
        <w:rPr>
          <w:rFonts w:hint="default" w:ascii="Times New Roman" w:hAnsi="Times New Roman" w:eastAsia="宋体" w:cs="Times New Roman"/>
          <w:color w:val="auto"/>
        </w:rPr>
        <w:t>联审意见书》。目前已明确本工程选定的弃渣场避让了生态保护红线、水源保护区、公益林。</w:t>
      </w:r>
    </w:p>
    <w:p w14:paraId="6D8E972D">
      <w:pPr>
        <w:ind w:firstLine="0" w:firstLineChars="0"/>
        <w:rPr>
          <w:rFonts w:hint="default" w:ascii="Times New Roman" w:hAnsi="Times New Roman" w:eastAsia="宋体" w:cs="Times New Roman"/>
          <w:color w:val="auto"/>
        </w:rPr>
        <w:sectPr>
          <w:headerReference r:id="rId6" w:type="default"/>
          <w:footerReference r:id="rId7" w:type="default"/>
          <w:pgSz w:w="11906" w:h="16838"/>
          <w:pgMar w:top="1440" w:right="1797" w:bottom="1440" w:left="1797" w:header="851" w:footer="992" w:gutter="0"/>
          <w:pgNumType w:fmt="decimal" w:start="1"/>
          <w:cols w:space="720" w:num="1"/>
          <w:docGrid w:linePitch="312" w:charSpace="0"/>
        </w:sectPr>
      </w:pPr>
    </w:p>
    <w:p w14:paraId="4281583A">
      <w:pPr>
        <w:ind w:firstLine="0" w:firstLineChars="0"/>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六</w:t>
      </w:r>
      <w:r>
        <w:rPr>
          <w:rFonts w:hint="default" w:ascii="Times New Roman" w:hAnsi="Times New Roman" w:eastAsia="宋体" w:cs="Times New Roman"/>
          <w:b/>
          <w:bCs/>
          <w:color w:val="auto"/>
        </w:rPr>
        <w:t>、关注的主要环境问题及环境影响</w:t>
      </w:r>
    </w:p>
    <w:p w14:paraId="6F18787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本报告书评价关注的主要环境问题是项目施工期和营运期对沿线生态环境、声环境的影响等。</w:t>
      </w:r>
    </w:p>
    <w:p w14:paraId="27DAC15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工程建设对沿线植被、保护动植物、土地利用的影响、临时占道选址合理性及生态恢复措施；</w:t>
      </w:r>
    </w:p>
    <w:p w14:paraId="2B407E0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项目运营产生的交通噪声对沿线声环境质量及保护目标的影响；</w:t>
      </w:r>
    </w:p>
    <w:p w14:paraId="5983EC8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工程施工期扬尘、噪声、施工废污水、固废等的污染影响。</w:t>
      </w:r>
    </w:p>
    <w:p w14:paraId="417A6AE6">
      <w:pPr>
        <w:ind w:firstLine="0" w:firstLineChars="0"/>
        <w:rPr>
          <w:rFonts w:hint="default" w:ascii="Times New Roman" w:hAnsi="Times New Roman" w:eastAsia="宋体" w:cs="Times New Roman"/>
          <w:b/>
          <w:bCs/>
          <w:color w:val="auto"/>
        </w:rPr>
      </w:pPr>
      <w:r>
        <w:rPr>
          <w:rFonts w:hint="eastAsia" w:ascii="Times New Roman" w:hAnsi="Times New Roman" w:eastAsia="宋体" w:cs="Times New Roman"/>
          <w:b/>
          <w:bCs/>
          <w:color w:val="auto"/>
          <w:lang w:val="en-US" w:eastAsia="zh-CN"/>
        </w:rPr>
        <w:t>七</w:t>
      </w:r>
      <w:r>
        <w:rPr>
          <w:rFonts w:hint="default" w:ascii="Times New Roman" w:hAnsi="Times New Roman" w:eastAsia="宋体" w:cs="Times New Roman"/>
          <w:b/>
          <w:bCs/>
          <w:color w:val="auto"/>
        </w:rPr>
        <w:t>、环境影响报告书主要结论</w:t>
      </w:r>
    </w:p>
    <w:p w14:paraId="6313C43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本项目的建设符合区域路网规划，符合沿线城市总体规划，项目选址不占用各级自然保护区、风景名胜区、地质公园、森林公园、世界自然遗产以及文物保护单位等环境敏感区。</w:t>
      </w:r>
      <w:r>
        <w:rPr>
          <w:rFonts w:hint="default" w:ascii="Times New Roman" w:hAnsi="Times New Roman" w:eastAsia="宋体" w:cs="Times New Roman"/>
          <w:color w:val="auto"/>
          <w:kern w:val="0"/>
          <w:lang w:bidi="ar"/>
        </w:rPr>
        <w:t>在全面落实法律法规、沿线国土空间规划等规划控制和本报告书提出的各项防治污染、防止生态破坏的措施的前提下，项目建设所产生的不良生态环境影响可以得到一定程度的预防和减轻。因此从环境影响的角度分析，本项目的建设是可行的。</w:t>
      </w:r>
    </w:p>
    <w:p w14:paraId="0BBC5002">
      <w:pPr>
        <w:pStyle w:val="493"/>
        <w:spacing w:after="0" w:line="360" w:lineRule="auto"/>
        <w:ind w:firstLine="0" w:firstLineChars="0"/>
        <w:jc w:val="both"/>
        <w:rPr>
          <w:rStyle w:val="232"/>
          <w:rFonts w:hint="default" w:ascii="Times New Roman" w:hAnsi="Times New Roman" w:eastAsia="宋体" w:cs="Times New Roman"/>
          <w:color w:val="auto"/>
        </w:rPr>
      </w:pPr>
    </w:p>
    <w:p w14:paraId="7295EA9A">
      <w:pPr>
        <w:pStyle w:val="493"/>
        <w:spacing w:after="0" w:line="360" w:lineRule="auto"/>
        <w:ind w:firstLine="0" w:firstLineChars="0"/>
        <w:jc w:val="both"/>
        <w:rPr>
          <w:rStyle w:val="232"/>
          <w:rFonts w:hint="default" w:ascii="Times New Roman" w:hAnsi="Times New Roman" w:eastAsia="宋体" w:cs="Times New Roman"/>
          <w:color w:val="auto"/>
        </w:rPr>
      </w:pPr>
    </w:p>
    <w:p w14:paraId="52B4038F">
      <w:pPr>
        <w:pStyle w:val="493"/>
        <w:spacing w:after="0" w:line="360" w:lineRule="auto"/>
        <w:ind w:firstLine="0" w:firstLineChars="0"/>
        <w:jc w:val="both"/>
        <w:rPr>
          <w:rStyle w:val="232"/>
          <w:rFonts w:hint="default" w:ascii="Times New Roman" w:hAnsi="Times New Roman" w:eastAsia="宋体" w:cs="Times New Roman"/>
          <w:color w:val="auto"/>
        </w:rPr>
      </w:pPr>
    </w:p>
    <w:p w14:paraId="64FD1A50">
      <w:pPr>
        <w:pStyle w:val="493"/>
        <w:spacing w:after="0" w:line="360" w:lineRule="auto"/>
        <w:ind w:firstLine="0" w:firstLineChars="0"/>
        <w:jc w:val="both"/>
        <w:rPr>
          <w:rStyle w:val="232"/>
          <w:rFonts w:hint="default" w:ascii="Times New Roman" w:hAnsi="Times New Roman" w:eastAsia="宋体" w:cs="Times New Roman"/>
          <w:color w:val="auto"/>
        </w:rPr>
      </w:pPr>
    </w:p>
    <w:p w14:paraId="5A5D58F1">
      <w:pPr>
        <w:pStyle w:val="493"/>
        <w:spacing w:after="0" w:line="360" w:lineRule="auto"/>
        <w:ind w:firstLine="0" w:firstLineChars="0"/>
        <w:jc w:val="both"/>
        <w:rPr>
          <w:rStyle w:val="232"/>
          <w:rFonts w:hint="default" w:ascii="Times New Roman" w:hAnsi="Times New Roman" w:eastAsia="宋体" w:cs="Times New Roman"/>
          <w:color w:val="auto"/>
        </w:rPr>
        <w:sectPr>
          <w:headerReference r:id="rId8" w:type="default"/>
          <w:footerReference r:id="rId9" w:type="default"/>
          <w:pgSz w:w="11906" w:h="16838"/>
          <w:pgMar w:top="1440" w:right="1800" w:bottom="1440" w:left="1800" w:header="1191" w:footer="992" w:gutter="0"/>
          <w:pgNumType w:fmt="decimal"/>
          <w:cols w:space="720" w:num="1"/>
          <w:docGrid w:type="lines" w:linePitch="312" w:charSpace="0"/>
        </w:sectPr>
      </w:pPr>
    </w:p>
    <w:p w14:paraId="2448E736">
      <w:pPr>
        <w:pStyle w:val="2"/>
        <w:rPr>
          <w:rFonts w:hint="default" w:ascii="Times New Roman" w:hAnsi="Times New Roman" w:eastAsia="宋体" w:cs="Times New Roman"/>
          <w:color w:val="auto"/>
          <w:sz w:val="32"/>
          <w:szCs w:val="32"/>
        </w:rPr>
      </w:pPr>
      <w:bookmarkStart w:id="1" w:name="_Toc16925"/>
      <w:r>
        <w:rPr>
          <w:rFonts w:hint="default" w:ascii="Times New Roman" w:hAnsi="Times New Roman" w:eastAsia="宋体" w:cs="Times New Roman"/>
          <w:color w:val="auto"/>
          <w:sz w:val="32"/>
          <w:szCs w:val="32"/>
          <w:lang w:val="en-US" w:eastAsia="zh-CN"/>
        </w:rPr>
        <w:t>1</w:t>
      </w:r>
      <w:r>
        <w:rPr>
          <w:rFonts w:hint="default" w:ascii="Times New Roman" w:hAnsi="Times New Roman" w:eastAsia="宋体" w:cs="Times New Roman"/>
          <w:color w:val="auto"/>
          <w:sz w:val="32"/>
          <w:szCs w:val="32"/>
          <w:lang w:eastAsia="zh-CN"/>
        </w:rPr>
        <w:t xml:space="preserve"> </w:t>
      </w:r>
      <w:r>
        <w:rPr>
          <w:rFonts w:hint="default" w:ascii="Times New Roman" w:hAnsi="Times New Roman" w:eastAsia="宋体" w:cs="Times New Roman"/>
          <w:color w:val="auto"/>
          <w:sz w:val="32"/>
          <w:szCs w:val="32"/>
        </w:rPr>
        <w:t>总则</w:t>
      </w:r>
      <w:bookmarkEnd w:id="1"/>
    </w:p>
    <w:p w14:paraId="5319F398">
      <w:pPr>
        <w:pStyle w:val="3"/>
        <w:numPr>
          <w:ilvl w:val="0"/>
          <w:numId w:val="0"/>
        </w:numPr>
        <w:rPr>
          <w:rFonts w:hint="default" w:ascii="Times New Roman" w:hAnsi="Times New Roman" w:eastAsia="宋体" w:cs="Times New Roman"/>
          <w:color w:val="auto"/>
        </w:rPr>
      </w:pPr>
      <w:bookmarkStart w:id="2" w:name="_Toc25791"/>
      <w:r>
        <w:rPr>
          <w:rFonts w:hint="default" w:ascii="Times New Roman" w:hAnsi="Times New Roman" w:eastAsia="宋体" w:cs="Times New Roman"/>
          <w:color w:val="auto"/>
        </w:rPr>
        <w:t>1.1评价目的和评价原则</w:t>
      </w:r>
      <w:bookmarkEnd w:id="2"/>
    </w:p>
    <w:p w14:paraId="64F8DACE">
      <w:pPr>
        <w:pStyle w:val="5"/>
        <w:rPr>
          <w:rFonts w:hint="default" w:ascii="Times New Roman" w:hAnsi="Times New Roman" w:eastAsia="宋体" w:cs="Times New Roman"/>
          <w:color w:val="auto"/>
        </w:rPr>
      </w:pPr>
      <w:bookmarkStart w:id="3" w:name="_Toc28233"/>
      <w:r>
        <w:rPr>
          <w:rFonts w:hint="default" w:ascii="Times New Roman" w:hAnsi="Times New Roman" w:eastAsia="宋体" w:cs="Times New Roman"/>
          <w:color w:val="auto"/>
        </w:rPr>
        <w:t>1.1.1评价目的</w:t>
      </w:r>
      <w:bookmarkEnd w:id="3"/>
    </w:p>
    <w:p w14:paraId="2925B94B">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（1）通过对建设项目所在地周围环境的调查及现状监测，了解项目周边环境质量现状；</w:t>
      </w:r>
    </w:p>
    <w:p w14:paraId="7D094C3C">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kern w:val="0"/>
          <w:sz w:val="24"/>
          <w:szCs w:val="24"/>
          <w:lang w:val="en-US" w:eastAsia="zh-CN" w:bidi="ar"/>
        </w:rPr>
        <w:t>针对项目的性质，通过对建设项目的工程分析以及同类型项目的类比</w:t>
      </w:r>
    </w:p>
    <w:p w14:paraId="12AEDC9E">
      <w:pPr>
        <w:keepNext w:val="0"/>
        <w:keepLines w:val="0"/>
        <w:widowControl/>
        <w:suppressLineNumbers w:val="0"/>
        <w:ind w:left="0" w:leftChars="0"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val="en-US" w:eastAsia="zh-CN" w:bidi="ar"/>
        </w:rPr>
        <w:t>调研，识别项目的污染因子，确定项目的污染源强；</w:t>
      </w:r>
    </w:p>
    <w:p w14:paraId="42D7C537">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rPr>
        <w:t>（3）</w:t>
      </w:r>
      <w:r>
        <w:rPr>
          <w:rFonts w:hint="default" w:ascii="Times New Roman" w:hAnsi="Times New Roman" w:eastAsia="宋体" w:cs="Times New Roman"/>
          <w:color w:val="auto"/>
          <w:kern w:val="0"/>
          <w:sz w:val="24"/>
          <w:szCs w:val="24"/>
          <w:lang w:val="en-US" w:eastAsia="zh-CN" w:bidi="ar"/>
        </w:rPr>
        <w:t>分析、预测施工期和</w:t>
      </w:r>
      <w:r>
        <w:rPr>
          <w:rFonts w:hint="eastAsia" w:cs="Times New Roman"/>
          <w:color w:val="auto"/>
          <w:kern w:val="0"/>
          <w:sz w:val="24"/>
          <w:szCs w:val="24"/>
          <w:lang w:val="en-US" w:eastAsia="zh-CN" w:bidi="ar"/>
        </w:rPr>
        <w:t>营运期</w:t>
      </w:r>
      <w:r>
        <w:rPr>
          <w:rFonts w:hint="default" w:ascii="Times New Roman" w:hAnsi="Times New Roman" w:eastAsia="宋体" w:cs="Times New Roman"/>
          <w:color w:val="auto"/>
          <w:kern w:val="0"/>
          <w:sz w:val="24"/>
          <w:szCs w:val="24"/>
          <w:lang w:val="en-US" w:eastAsia="zh-CN" w:bidi="ar"/>
        </w:rPr>
        <w:t>项目对环境的影响程度与范围；</w:t>
      </w:r>
    </w:p>
    <w:p w14:paraId="4E2163D8">
      <w:pPr>
        <w:keepNext w:val="0"/>
        <w:keepLines w:val="0"/>
        <w:widowControl/>
        <w:suppressLineNumbers w:val="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lang w:eastAsia="zh-CN"/>
        </w:rPr>
        <w:t>）分析弃渣场等临时工程选址的环境合理性；</w:t>
      </w:r>
    </w:p>
    <w:p w14:paraId="5FB1D646">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lang w:eastAsia="zh-CN"/>
        </w:rPr>
        <w:t>）根据项目对环境的影响程度，从技术、经济角度分析拟采取的环保措施的可行性，提出优化项目环境保护设计的建议，为环保措施的设计和实施提供依据，使项目建设对环境的不利影响降至最低。</w:t>
      </w:r>
    </w:p>
    <w:p w14:paraId="6CB7EC11">
      <w:pPr>
        <w:pStyle w:val="5"/>
        <w:rPr>
          <w:rFonts w:hint="default" w:ascii="Times New Roman" w:hAnsi="Times New Roman" w:eastAsia="宋体" w:cs="Times New Roman"/>
          <w:color w:val="auto"/>
        </w:rPr>
      </w:pPr>
      <w:bookmarkStart w:id="4" w:name="_Toc27782"/>
      <w:r>
        <w:rPr>
          <w:rFonts w:hint="default" w:ascii="Times New Roman" w:hAnsi="Times New Roman" w:eastAsia="宋体" w:cs="Times New Roman"/>
          <w:color w:val="auto"/>
        </w:rPr>
        <w:t>1.1.2评价原则</w:t>
      </w:r>
      <w:bookmarkEnd w:id="4"/>
    </w:p>
    <w:p w14:paraId="4DCFF3A7">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val="en-US" w:eastAsia="zh-CN" w:bidi="ar"/>
        </w:rPr>
        <w:t>本次环境影响评价工作过程中，遵循以下原则：</w:t>
      </w:r>
    </w:p>
    <w:p w14:paraId="43218FD4">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（1）依法评价</w:t>
      </w:r>
    </w:p>
    <w:p w14:paraId="4A32C097">
      <w:pPr>
        <w:keepNext w:val="0"/>
        <w:keepLines w:val="0"/>
        <w:pageBreakBefore w:val="0"/>
        <w:widowControl w:val="0"/>
        <w:kinsoku/>
        <w:wordWrap/>
        <w:overflowPunct/>
        <w:topLinePunct w:val="0"/>
        <w:autoSpaceDE/>
        <w:autoSpaceDN/>
        <w:bidi w:val="0"/>
        <w:adjustRightInd w:val="0"/>
        <w:snapToGrid w:val="0"/>
        <w:ind w:firstLine="480"/>
        <w:jc w:val="left"/>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贯彻执行我国环境保护相关法律法规、标准、政策和规划等，优化项目建设，服务环境管理。</w:t>
      </w:r>
    </w:p>
    <w:p w14:paraId="7E5864E3">
      <w:pPr>
        <w:keepNext w:val="0"/>
        <w:keepLines w:val="0"/>
        <w:widowControl/>
        <w:suppressLineNumbers w:val="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科学评价</w:t>
      </w:r>
    </w:p>
    <w:p w14:paraId="35B1BE2A">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val="en-US" w:eastAsia="zh-CN" w:bidi="ar"/>
        </w:rPr>
        <w:t>规范环境影响评价方法，科学分析项目建设对环境质量的影响；</w:t>
      </w:r>
    </w:p>
    <w:p w14:paraId="4F801702">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（3）</w:t>
      </w:r>
      <w:r>
        <w:rPr>
          <w:rFonts w:hint="default" w:ascii="Times New Roman" w:hAnsi="Times New Roman" w:eastAsia="宋体" w:cs="Times New Roman"/>
          <w:color w:val="auto"/>
          <w:lang w:val="en-US" w:eastAsia="zh-CN"/>
        </w:rPr>
        <w:t>突出重点</w:t>
      </w:r>
    </w:p>
    <w:p w14:paraId="0C2734F6">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val="en-US" w:eastAsia="zh-CN" w:bidi="ar"/>
        </w:rPr>
        <w:t>根据建设项目的工程内容及其特点，明确与环境要素间的作用效应关系，根据规划环境影响评价结论和审查意见，充分利用符合时效的数据资料及成果，对建设项目主要环境影响予以重点分析和评价。</w:t>
      </w:r>
    </w:p>
    <w:p w14:paraId="74C26281">
      <w:pPr>
        <w:pStyle w:val="3"/>
        <w:numPr>
          <w:ilvl w:val="0"/>
          <w:numId w:val="0"/>
        </w:numPr>
        <w:rPr>
          <w:rFonts w:hint="default" w:ascii="Times New Roman" w:hAnsi="Times New Roman" w:eastAsia="宋体" w:cs="Times New Roman"/>
          <w:color w:val="auto"/>
        </w:rPr>
      </w:pPr>
      <w:bookmarkStart w:id="5" w:name="_Toc5043"/>
      <w:r>
        <w:rPr>
          <w:rFonts w:hint="default" w:ascii="Times New Roman" w:hAnsi="Times New Roman" w:eastAsia="宋体" w:cs="Times New Roman"/>
          <w:color w:val="auto"/>
        </w:rPr>
        <w:t>1.2编制依据</w:t>
      </w:r>
      <w:bookmarkEnd w:id="5"/>
    </w:p>
    <w:p w14:paraId="513DA0AD">
      <w:pPr>
        <w:pStyle w:val="5"/>
        <w:ind w:left="0" w:leftChars="0" w:firstLine="0" w:firstLineChars="0"/>
        <w:rPr>
          <w:rFonts w:hint="default" w:ascii="Times New Roman" w:hAnsi="Times New Roman" w:eastAsia="宋体" w:cs="Times New Roman"/>
          <w:color w:val="auto"/>
        </w:rPr>
      </w:pPr>
      <w:bookmarkStart w:id="6" w:name="_Toc8500"/>
      <w:r>
        <w:rPr>
          <w:rFonts w:hint="default" w:ascii="Times New Roman" w:hAnsi="Times New Roman" w:eastAsia="宋体" w:cs="Times New Roman"/>
          <w:color w:val="auto"/>
        </w:rPr>
        <w:t>1.2.1国家环保法律、法规及规章</w:t>
      </w:r>
      <w:bookmarkEnd w:id="6"/>
    </w:p>
    <w:p w14:paraId="24163A8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（1）《中华人民共和国环境保护法》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全国人大常委会，</w:t>
      </w:r>
      <w:r>
        <w:rPr>
          <w:rFonts w:hint="default" w:ascii="Times New Roman" w:hAnsi="Times New Roman" w:eastAsia="宋体" w:cs="Times New Roman"/>
          <w:color w:val="auto"/>
        </w:rPr>
        <w:t>2015年1月1日起实施</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40E29E7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（2）《中华人民共和国环境影响评价法》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2018年12月29日</w:t>
      </w:r>
      <w:r>
        <w:rPr>
          <w:rFonts w:hint="default" w:ascii="Times New Roman" w:hAnsi="Times New Roman" w:eastAsia="宋体" w:cs="Times New Roman"/>
          <w:color w:val="auto"/>
          <w:lang w:val="en-US" w:eastAsia="zh-CN"/>
        </w:rPr>
        <w:t>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566B3A2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（3）《中华人民共和国大气污染防治法》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2018年10月26日</w:t>
      </w:r>
      <w:r>
        <w:rPr>
          <w:rFonts w:hint="default" w:ascii="Times New Roman" w:hAnsi="Times New Roman" w:eastAsia="宋体" w:cs="Times New Roman"/>
          <w:color w:val="auto"/>
          <w:lang w:val="en-US" w:eastAsia="zh-CN"/>
        </w:rPr>
        <w:t>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2BBFB64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（4）《中华人民共和国水污染防治法》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w:t>
      </w:r>
      <w:r>
        <w:rPr>
          <w:rFonts w:hint="default" w:ascii="Times New Roman" w:hAnsi="Times New Roman" w:eastAsia="宋体" w:cs="Times New Roman"/>
          <w:color w:val="auto"/>
          <w:lang w:val="en-US" w:eastAsia="zh-CN"/>
        </w:rPr>
        <w:t>17</w:t>
      </w:r>
      <w:r>
        <w:rPr>
          <w:rFonts w:hint="default" w:ascii="Times New Roman" w:hAnsi="Times New Roman" w:eastAsia="宋体" w:cs="Times New Roman"/>
          <w:color w:val="auto"/>
        </w:rPr>
        <w:t>年</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月</w:t>
      </w:r>
      <w:r>
        <w:rPr>
          <w:rFonts w:hint="default" w:ascii="Times New Roman" w:hAnsi="Times New Roman" w:eastAsia="宋体" w:cs="Times New Roman"/>
          <w:color w:val="auto"/>
          <w:lang w:val="en-US" w:eastAsia="zh-CN"/>
        </w:rPr>
        <w:t>27</w:t>
      </w:r>
      <w:r>
        <w:rPr>
          <w:rFonts w:hint="default" w:ascii="Times New Roman" w:hAnsi="Times New Roman" w:eastAsia="宋体" w:cs="Times New Roman"/>
          <w:color w:val="auto"/>
        </w:rPr>
        <w:t>日</w:t>
      </w:r>
      <w:r>
        <w:rPr>
          <w:rFonts w:hint="default" w:ascii="Times New Roman" w:hAnsi="Times New Roman" w:eastAsia="宋体" w:cs="Times New Roman"/>
          <w:color w:val="auto"/>
          <w:lang w:val="en-US" w:eastAsia="zh-CN"/>
        </w:rPr>
        <w:t>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7CEB341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（5）《中华人民共和国水法》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2016年7月2日修订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1CD50F7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（6）《中华人民共和国噪声污染防治法》，（2022年6月5日起施行）；</w:t>
      </w:r>
    </w:p>
    <w:p w14:paraId="033A502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（7）《中华人民共和国固体废物污染环境防治法》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2020年9月1日起</w:t>
      </w:r>
      <w:r>
        <w:rPr>
          <w:rFonts w:hint="default" w:ascii="Times New Roman" w:hAnsi="Times New Roman" w:eastAsia="宋体" w:cs="Times New Roman"/>
          <w:color w:val="auto"/>
          <w:lang w:val="en-US" w:eastAsia="zh-CN"/>
        </w:rPr>
        <w:t>实施</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46DC278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（8）《中华人民共和国土地管理法》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2019年8月26日修订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2CBEA2A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（9）《中华人民共和国公路法》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2017年11月4日修订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0AEB2AD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（10）《中华人民共和国水土保持法》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2011年3月1日起施行</w:t>
      </w:r>
      <w:r>
        <w:rPr>
          <w:rFonts w:hint="default" w:ascii="Times New Roman" w:hAnsi="Times New Roman" w:eastAsia="宋体" w:cs="Times New Roman"/>
          <w:color w:val="auto"/>
          <w:lang w:eastAsia="zh-CN"/>
        </w:rPr>
        <w:t>）；</w:t>
      </w:r>
    </w:p>
    <w:p w14:paraId="74C7141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（11）《中华人民共和国河道管理条例》，2018年修正；</w:t>
      </w:r>
    </w:p>
    <w:p w14:paraId="217C2B8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（12）《中华人民共和国森林法》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2020年7月1日</w:t>
      </w:r>
      <w:r>
        <w:rPr>
          <w:rFonts w:hint="default" w:ascii="Times New Roman" w:hAnsi="Times New Roman" w:eastAsia="宋体" w:cs="Times New Roman"/>
          <w:color w:val="auto"/>
          <w:lang w:val="en-US" w:eastAsia="zh-CN"/>
        </w:rPr>
        <w:t>施行</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40E4241B">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rPr>
        <w:t>（13）</w:t>
      </w:r>
      <w:r>
        <w:rPr>
          <w:rFonts w:hint="default" w:ascii="Times New Roman" w:hAnsi="Times New Roman" w:eastAsia="宋体" w:cs="Times New Roman"/>
          <w:color w:val="auto"/>
          <w:kern w:val="0"/>
          <w:sz w:val="24"/>
          <w:szCs w:val="24"/>
          <w:lang w:val="en-US" w:eastAsia="zh-CN" w:bidi="ar"/>
        </w:rPr>
        <w:t>《中华人民共和国防洪法》（2016年7月2日修正）；</w:t>
      </w:r>
    </w:p>
    <w:p w14:paraId="68FD95F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（14）《中华人民共和国野生动物保护法》，20</w:t>
      </w:r>
      <w:r>
        <w:rPr>
          <w:rFonts w:hint="default" w:ascii="Times New Roman" w:hAnsi="Times New Roman" w:eastAsia="宋体" w:cs="Times New Roman"/>
          <w:color w:val="auto"/>
          <w:lang w:val="en-US" w:eastAsia="zh-CN"/>
        </w:rPr>
        <w:t>23</w:t>
      </w:r>
      <w:r>
        <w:rPr>
          <w:rFonts w:hint="default" w:ascii="Times New Roman" w:hAnsi="Times New Roman" w:eastAsia="宋体" w:cs="Times New Roman"/>
          <w:color w:val="auto"/>
        </w:rPr>
        <w:t>年</w:t>
      </w:r>
      <w:r>
        <w:rPr>
          <w:rFonts w:hint="default" w:ascii="Times New Roman" w:hAnsi="Times New Roman" w:eastAsia="宋体" w:cs="Times New Roman"/>
          <w:color w:val="auto"/>
          <w:lang w:val="en-US" w:eastAsia="zh-CN"/>
        </w:rPr>
        <w:t>5</w:t>
      </w:r>
      <w:r>
        <w:rPr>
          <w:rFonts w:hint="default" w:ascii="Times New Roman" w:hAnsi="Times New Roman" w:eastAsia="宋体" w:cs="Times New Roman"/>
          <w:color w:val="auto"/>
        </w:rPr>
        <w:t>月</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日修订；</w:t>
      </w:r>
    </w:p>
    <w:p w14:paraId="0935585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（15）《中华人民共和国文物保护法》</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w:t>
      </w:r>
      <w:r>
        <w:rPr>
          <w:rFonts w:hint="default" w:ascii="Times New Roman" w:hAnsi="Times New Roman" w:eastAsia="宋体" w:cs="Times New Roman"/>
          <w:color w:val="auto"/>
          <w:lang w:val="en-US" w:eastAsia="zh-CN"/>
        </w:rPr>
        <w:t>24</w:t>
      </w:r>
      <w:r>
        <w:rPr>
          <w:rFonts w:hint="default" w:ascii="Times New Roman" w:hAnsi="Times New Roman" w:eastAsia="宋体" w:cs="Times New Roman"/>
          <w:color w:val="auto"/>
        </w:rPr>
        <w:t>年11月</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日修订</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0B2997F4">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16</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kern w:val="0"/>
          <w:sz w:val="24"/>
          <w:szCs w:val="24"/>
          <w:lang w:val="en-US" w:eastAsia="zh-CN" w:bidi="ar"/>
        </w:rPr>
        <w:t>《中华人民共和国城乡规划法》（2019年4月23日修订）；</w:t>
      </w:r>
    </w:p>
    <w:p w14:paraId="4FE43D83">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17</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kern w:val="0"/>
          <w:sz w:val="24"/>
          <w:szCs w:val="24"/>
          <w:lang w:val="en-US" w:eastAsia="zh-CN" w:bidi="ar"/>
        </w:rPr>
        <w:t>《中华人民共和国土壤污染防治法》（2019年1月1日起施行）；</w:t>
      </w:r>
    </w:p>
    <w:p w14:paraId="1805B0A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（18）《</w:t>
      </w:r>
      <w:r>
        <w:rPr>
          <w:rFonts w:hint="default" w:ascii="Times New Roman" w:hAnsi="Times New Roman" w:eastAsia="宋体" w:cs="Times New Roman"/>
          <w:color w:val="auto"/>
          <w:lang w:val="en-US" w:eastAsia="zh-CN"/>
        </w:rPr>
        <w:t>中华人民共和国</w:t>
      </w:r>
      <w:r>
        <w:rPr>
          <w:rFonts w:hint="default" w:ascii="Times New Roman" w:hAnsi="Times New Roman" w:eastAsia="宋体" w:cs="Times New Roman"/>
          <w:color w:val="auto"/>
        </w:rPr>
        <w:t>基本农田保护条例》</w:t>
      </w:r>
      <w:r>
        <w:rPr>
          <w:rFonts w:hint="default" w:ascii="Times New Roman" w:hAnsi="Times New Roman" w:eastAsia="宋体" w:cs="Times New Roman"/>
          <w:color w:val="auto"/>
          <w:kern w:val="0"/>
          <w:sz w:val="24"/>
          <w:szCs w:val="24"/>
          <w:lang w:val="en-US" w:eastAsia="zh-CN" w:bidi="ar"/>
        </w:rPr>
        <w:t>（2024年12月14日起施行）</w:t>
      </w:r>
      <w:r>
        <w:rPr>
          <w:rFonts w:hint="default" w:ascii="Times New Roman" w:hAnsi="Times New Roman" w:eastAsia="宋体" w:cs="Times New Roman"/>
          <w:color w:val="auto"/>
        </w:rPr>
        <w:t>；</w:t>
      </w:r>
    </w:p>
    <w:p w14:paraId="73AB89D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（19）《土地复垦条例》</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2011年3月5日起施行</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4906072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（20）《</w:t>
      </w:r>
      <w:r>
        <w:rPr>
          <w:rFonts w:hint="default" w:ascii="Times New Roman" w:hAnsi="Times New Roman" w:eastAsia="宋体" w:cs="Times New Roman"/>
          <w:color w:val="auto"/>
          <w:lang w:val="en-US" w:eastAsia="zh-CN"/>
        </w:rPr>
        <w:t>自然资源部</w:t>
      </w:r>
      <w:r>
        <w:rPr>
          <w:rFonts w:hint="default" w:ascii="Times New Roman" w:hAnsi="Times New Roman" w:eastAsia="宋体" w:cs="Times New Roman"/>
          <w:color w:val="auto"/>
        </w:rPr>
        <w:t>关于严格土地利用总体规划实施管理的通知》</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国土资发〔2012〕2号</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4E45A49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（21）《中华人民共和国野生植物保护条例》</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2017年10月7日起施行</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w:t>
      </w:r>
    </w:p>
    <w:p w14:paraId="5C3CD76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（22）《产业结构调整指导目录（2024年本）》；</w:t>
      </w:r>
    </w:p>
    <w:p w14:paraId="6185074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（23）《建设项目环境保护管理条例》，中华人民共和国国务院令，第682号，2017年10月1日起施行；</w:t>
      </w:r>
    </w:p>
    <w:p w14:paraId="0934D26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（24）《危险化学品安全管理条例》，2016年修正；</w:t>
      </w:r>
    </w:p>
    <w:p w14:paraId="7906802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（25）《建设项目环境影响评价分类管理名录（2021年版）》；</w:t>
      </w:r>
    </w:p>
    <w:p w14:paraId="66DC43A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（26）《国务院办公厅关于印发国家突发环境事件应急预案的通知》，国办函〔2014〕119号，2014年12月29日</w:t>
      </w:r>
    </w:p>
    <w:p w14:paraId="63044F3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（27）中华人民共和国交通运输部《关于修改&lt;道路危险货物运输管理规定&gt;的决定》，中华人民共和国交通运输部令2016年第36号，2016年4月11日；</w:t>
      </w:r>
    </w:p>
    <w:p w14:paraId="5F8E843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（28）中华人民共和国交通运输部《关于在公路建设中实行最严格的耕地保护制度的若干意见》，交公路发〔2004〕164号，2004年4月6日；</w:t>
      </w:r>
    </w:p>
    <w:p w14:paraId="3E00074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（29）《关于切实做好征地补偿安置工作的通知》，国土资发</w:t>
      </w:r>
      <w:r>
        <w:rPr>
          <w:rFonts w:hint="default" w:ascii="Times New Roman" w:hAnsi="Times New Roman" w:eastAsia="宋体" w:cs="Times New Roman"/>
          <w:color w:val="auto"/>
          <w:lang w:eastAsia="zh-CN"/>
        </w:rPr>
        <w:t>〔2001〕358号</w:t>
      </w:r>
      <w:r>
        <w:rPr>
          <w:rFonts w:hint="default" w:ascii="Times New Roman" w:hAnsi="Times New Roman" w:eastAsia="宋体" w:cs="Times New Roman"/>
          <w:color w:val="auto"/>
        </w:rPr>
        <w:t>；</w:t>
      </w:r>
    </w:p>
    <w:p w14:paraId="3E8AB1B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（30）《关于开展交通工程环境监理工作的通知》，交环发</w:t>
      </w:r>
      <w:r>
        <w:rPr>
          <w:rFonts w:hint="default" w:ascii="Times New Roman" w:hAnsi="Times New Roman" w:eastAsia="宋体" w:cs="Times New Roman"/>
          <w:color w:val="auto"/>
          <w:lang w:eastAsia="zh-CN"/>
        </w:rPr>
        <w:t>〔2004〕314号</w:t>
      </w:r>
      <w:r>
        <w:rPr>
          <w:rFonts w:hint="default" w:ascii="Times New Roman" w:hAnsi="Times New Roman" w:eastAsia="宋体" w:cs="Times New Roman"/>
          <w:color w:val="auto"/>
        </w:rPr>
        <w:t>；</w:t>
      </w:r>
    </w:p>
    <w:p w14:paraId="44612A2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（31）《关于进一步加强环境影响评价管理防范环境风险的通知》，环发〔2012〕77号；</w:t>
      </w:r>
    </w:p>
    <w:p w14:paraId="5C2E18B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（32）《关于切实加强风险防范严格环境影响评价管理的通知》，环发〔2012〕98号；</w:t>
      </w:r>
    </w:p>
    <w:p w14:paraId="065423D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（33）《公路交通突发事件应急预案》，交公路发〔2009〕226号；</w:t>
      </w:r>
    </w:p>
    <w:p w14:paraId="35CACE1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（34）《</w:t>
      </w:r>
      <w:r>
        <w:rPr>
          <w:rFonts w:hint="default" w:ascii="Times New Roman" w:hAnsi="Times New Roman" w:eastAsia="宋体" w:cs="Times New Roman"/>
          <w:color w:val="auto"/>
          <w:lang w:eastAsia="zh-CN"/>
        </w:rPr>
        <w:t>交通运输部</w:t>
      </w:r>
      <w:r>
        <w:rPr>
          <w:rFonts w:hint="default" w:ascii="Times New Roman" w:hAnsi="Times New Roman" w:eastAsia="宋体" w:cs="Times New Roman"/>
          <w:color w:val="auto"/>
        </w:rPr>
        <w:t>关于进一步加强山区公路建设生态保护和水土保持工作的指导意见》交公路发〔2005〕441号；</w:t>
      </w:r>
    </w:p>
    <w:p w14:paraId="5CF88BE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（35）《环境影响评价公众参与办法》，生态环境部令第4号，2019年1月1日起施行；</w:t>
      </w:r>
    </w:p>
    <w:p w14:paraId="71C2428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（36）《</w:t>
      </w:r>
      <w:r>
        <w:rPr>
          <w:rFonts w:hint="default" w:ascii="Times New Roman" w:hAnsi="Times New Roman" w:eastAsia="宋体" w:cs="Times New Roman"/>
          <w:color w:val="auto"/>
          <w:lang w:eastAsia="zh-CN"/>
        </w:rPr>
        <w:t>中共中央</w:t>
      </w:r>
      <w:r>
        <w:rPr>
          <w:rFonts w:hint="eastAsia" w:cs="Times New Roman"/>
          <w:color w:val="auto"/>
          <w:lang w:val="en-US" w:eastAsia="zh-CN"/>
        </w:rPr>
        <w:t xml:space="preserve"> </w:t>
      </w:r>
      <w:r>
        <w:rPr>
          <w:rFonts w:hint="default" w:ascii="Times New Roman" w:hAnsi="Times New Roman" w:eastAsia="宋体" w:cs="Times New Roman"/>
          <w:color w:val="auto"/>
          <w:lang w:eastAsia="zh-CN"/>
        </w:rPr>
        <w:t>国务院</w:t>
      </w:r>
      <w:r>
        <w:rPr>
          <w:rFonts w:hint="default" w:ascii="Times New Roman" w:hAnsi="Times New Roman" w:eastAsia="宋体" w:cs="Times New Roman"/>
          <w:color w:val="auto"/>
        </w:rPr>
        <w:t>关于全面加强生态环境保护坚决打好污染防治攻坚战的意见》，2018年6月16日；</w:t>
      </w:r>
    </w:p>
    <w:p w14:paraId="6BCA151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（37）《关于公路、铁路（含轻轨）等建设项目环境影响评价中环境噪声有关问题的通知》，环发〔2003〕94号；</w:t>
      </w:r>
    </w:p>
    <w:p w14:paraId="7E2A70D0">
      <w:pPr>
        <w:pStyle w:val="5"/>
        <w:ind w:left="0" w:leftChars="0" w:firstLine="0" w:firstLineChars="0"/>
        <w:rPr>
          <w:rFonts w:hint="default" w:ascii="Times New Roman" w:hAnsi="Times New Roman" w:eastAsia="宋体" w:cs="Times New Roman"/>
          <w:color w:val="auto"/>
        </w:rPr>
      </w:pPr>
      <w:bookmarkStart w:id="7" w:name="_Toc30087"/>
      <w:r>
        <w:rPr>
          <w:rFonts w:hint="default" w:ascii="Times New Roman" w:hAnsi="Times New Roman" w:eastAsia="宋体" w:cs="Times New Roman"/>
          <w:color w:val="auto"/>
        </w:rPr>
        <w:t>1.2.2地方有关法规和环境保护文件</w:t>
      </w:r>
      <w:bookmarkEnd w:id="7"/>
    </w:p>
    <w:p w14:paraId="362186D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（1）《云南省实施&lt;中华人民共和国水法&gt;办法》，</w:t>
      </w:r>
      <w:r>
        <w:rPr>
          <w:rFonts w:hint="eastAsia" w:cs="Times New Roman"/>
          <w:color w:val="auto"/>
          <w:lang w:val="en-US" w:eastAsia="zh-CN"/>
        </w:rPr>
        <w:t>2005</w:t>
      </w:r>
      <w:r>
        <w:rPr>
          <w:rFonts w:hint="default" w:ascii="Times New Roman" w:hAnsi="Times New Roman" w:eastAsia="宋体" w:cs="Times New Roman"/>
          <w:color w:val="auto"/>
        </w:rPr>
        <w:t>年1</w:t>
      </w:r>
      <w:r>
        <w:rPr>
          <w:rFonts w:hint="eastAsia" w:cs="Times New Roman"/>
          <w:color w:val="auto"/>
          <w:lang w:val="en-US" w:eastAsia="zh-CN"/>
        </w:rPr>
        <w:t>0</w:t>
      </w:r>
      <w:r>
        <w:rPr>
          <w:rFonts w:hint="default" w:ascii="Times New Roman" w:hAnsi="Times New Roman" w:eastAsia="宋体" w:cs="Times New Roman"/>
          <w:color w:val="auto"/>
        </w:rPr>
        <w:t>月</w:t>
      </w:r>
      <w:r>
        <w:rPr>
          <w:rFonts w:hint="eastAsia" w:cs="Times New Roman"/>
          <w:color w:val="auto"/>
          <w:lang w:val="en-US" w:eastAsia="zh-CN"/>
        </w:rPr>
        <w:t>1日</w:t>
      </w:r>
      <w:r>
        <w:rPr>
          <w:rFonts w:hint="default" w:ascii="Times New Roman" w:hAnsi="Times New Roman" w:eastAsia="宋体" w:cs="Times New Roman"/>
          <w:color w:val="auto"/>
        </w:rPr>
        <w:t>；</w:t>
      </w:r>
    </w:p>
    <w:p w14:paraId="32FE938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（2）《云南省水土保持条例》，20</w:t>
      </w:r>
      <w:r>
        <w:rPr>
          <w:rFonts w:hint="eastAsia" w:cs="Times New Roman"/>
          <w:color w:val="auto"/>
          <w:lang w:val="en-US" w:eastAsia="zh-CN"/>
        </w:rPr>
        <w:t>18</w:t>
      </w:r>
      <w:r>
        <w:rPr>
          <w:rFonts w:hint="default" w:ascii="Times New Roman" w:hAnsi="Times New Roman" w:eastAsia="宋体" w:cs="Times New Roman"/>
          <w:color w:val="auto"/>
        </w:rPr>
        <w:t>年</w:t>
      </w:r>
      <w:r>
        <w:rPr>
          <w:rFonts w:hint="eastAsia" w:cs="Times New Roman"/>
          <w:color w:val="auto"/>
          <w:lang w:val="en-US" w:eastAsia="zh-CN"/>
        </w:rPr>
        <w:t>11</w:t>
      </w:r>
      <w:r>
        <w:rPr>
          <w:rFonts w:hint="default" w:ascii="Times New Roman" w:hAnsi="Times New Roman" w:eastAsia="宋体" w:cs="Times New Roman"/>
          <w:color w:val="auto"/>
        </w:rPr>
        <w:t>月2</w:t>
      </w:r>
      <w:r>
        <w:rPr>
          <w:rFonts w:hint="eastAsia" w:cs="Times New Roman"/>
          <w:color w:val="auto"/>
          <w:lang w:val="en-US" w:eastAsia="zh-CN"/>
        </w:rPr>
        <w:t>9</w:t>
      </w:r>
      <w:r>
        <w:rPr>
          <w:rFonts w:hint="default" w:ascii="Times New Roman" w:hAnsi="Times New Roman" w:eastAsia="宋体" w:cs="Times New Roman"/>
          <w:color w:val="auto"/>
        </w:rPr>
        <w:t>日修正；</w:t>
      </w:r>
    </w:p>
    <w:p w14:paraId="1E7EDC6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（3）《云南省生态环境保护条例》，20</w:t>
      </w:r>
      <w:r>
        <w:rPr>
          <w:rFonts w:hint="eastAsia" w:cs="Times New Roman"/>
          <w:color w:val="auto"/>
          <w:lang w:val="en-US" w:eastAsia="zh-CN"/>
        </w:rPr>
        <w:t>24</w:t>
      </w:r>
      <w:r>
        <w:rPr>
          <w:rFonts w:hint="default" w:ascii="Times New Roman" w:hAnsi="Times New Roman" w:eastAsia="宋体" w:cs="Times New Roman"/>
          <w:color w:val="auto"/>
        </w:rPr>
        <w:t>年</w:t>
      </w:r>
      <w:r>
        <w:rPr>
          <w:rFonts w:hint="eastAsia" w:cs="Times New Roman"/>
          <w:color w:val="auto"/>
          <w:lang w:val="en-US" w:eastAsia="zh-CN"/>
        </w:rPr>
        <w:t>9</w:t>
      </w:r>
      <w:r>
        <w:rPr>
          <w:rFonts w:hint="default" w:ascii="Times New Roman" w:hAnsi="Times New Roman" w:eastAsia="宋体" w:cs="Times New Roman"/>
          <w:color w:val="auto"/>
        </w:rPr>
        <w:t>月2</w:t>
      </w:r>
      <w:r>
        <w:rPr>
          <w:rFonts w:hint="eastAsia" w:cs="Times New Roman"/>
          <w:color w:val="auto"/>
          <w:lang w:val="en-US" w:eastAsia="zh-CN"/>
        </w:rPr>
        <w:t>6</w:t>
      </w:r>
      <w:r>
        <w:rPr>
          <w:rFonts w:hint="default" w:ascii="Times New Roman" w:hAnsi="Times New Roman" w:eastAsia="宋体" w:cs="Times New Roman"/>
          <w:color w:val="auto"/>
        </w:rPr>
        <w:t>日修正；</w:t>
      </w:r>
    </w:p>
    <w:p w14:paraId="009D55E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（4）《云南省陆生野生动物保护条例》，2014年7月修改；</w:t>
      </w:r>
    </w:p>
    <w:p w14:paraId="7653F38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w:t>
      </w:r>
      <w:r>
        <w:rPr>
          <w:rFonts w:ascii="宋体" w:hAnsi="宋体" w:eastAsia="宋体" w:cs="宋体"/>
          <w:color w:val="auto"/>
          <w:sz w:val="24"/>
          <w:szCs w:val="24"/>
        </w:rPr>
        <w:t>《云南省水利厅关于划分省级水土流失重点预防区和重点治理区的公告》</w:t>
      </w:r>
      <w:r>
        <w:rPr>
          <w:rFonts w:hint="default" w:ascii="Times New Roman" w:hAnsi="Times New Roman" w:eastAsia="宋体" w:cs="Times New Roman"/>
          <w:color w:val="auto"/>
        </w:rPr>
        <w:t>；</w:t>
      </w:r>
    </w:p>
    <w:p w14:paraId="2D34C87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（6）《云南省基本农田保护条例》，2000年5月；</w:t>
      </w:r>
    </w:p>
    <w:p w14:paraId="21DFD18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（7）《云南省地质环境保护条例》，2001年7月；</w:t>
      </w:r>
    </w:p>
    <w:p w14:paraId="6CB4BD7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（8）《云南省环境保护目标责任制实施办法》，1994年1月；</w:t>
      </w:r>
    </w:p>
    <w:p w14:paraId="42DB6B8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（9）《云南省珍稀濒危植物保护大纲》，1995年6月；</w:t>
      </w:r>
    </w:p>
    <w:p w14:paraId="32C4778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（10）《云南省珍稀濒危植物保护管理暂行规定》，1995年6月；</w:t>
      </w:r>
    </w:p>
    <w:p w14:paraId="5101A55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（11）《云南省声环境功能区划分（2019-2029）》（云环通〔2018〕52号）；</w:t>
      </w:r>
    </w:p>
    <w:p w14:paraId="2259A47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（12）《云南省人民政府关于进一步加强水土保持工作的通知》，1997年8月；</w:t>
      </w:r>
    </w:p>
    <w:p w14:paraId="64FCEC5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（13）《云南省建设项目环境保护规定》，2002年1月；</w:t>
      </w:r>
    </w:p>
    <w:p w14:paraId="58C4E4F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（14）《云南省珍贵树种保护条例》，2002年1月；</w:t>
      </w:r>
    </w:p>
    <w:p w14:paraId="7FBA3A3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（15）《云南省森林条例》，2003年2月；</w:t>
      </w:r>
    </w:p>
    <w:p w14:paraId="083A8A7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（16）《云南省林地管理办法》，1997年3月；</w:t>
      </w:r>
    </w:p>
    <w:p w14:paraId="3C0452A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（17）《云南省重点保护野生植物名录》，</w:t>
      </w:r>
      <w:r>
        <w:rPr>
          <w:rFonts w:hint="eastAsia" w:cs="Times New Roman"/>
          <w:color w:val="auto"/>
          <w:lang w:val="en-US" w:eastAsia="zh-CN"/>
        </w:rPr>
        <w:t>2023</w:t>
      </w:r>
      <w:r>
        <w:rPr>
          <w:rFonts w:hint="default" w:ascii="Times New Roman" w:hAnsi="Times New Roman" w:eastAsia="宋体" w:cs="Times New Roman"/>
          <w:color w:val="auto"/>
        </w:rPr>
        <w:t>年</w:t>
      </w:r>
      <w:r>
        <w:rPr>
          <w:rFonts w:hint="eastAsia" w:cs="Times New Roman"/>
          <w:color w:val="auto"/>
          <w:lang w:val="en-US" w:eastAsia="zh-CN"/>
        </w:rPr>
        <w:t>12月15日</w:t>
      </w:r>
      <w:r>
        <w:rPr>
          <w:rFonts w:hint="default" w:ascii="Times New Roman" w:hAnsi="Times New Roman" w:eastAsia="宋体" w:cs="Times New Roman"/>
          <w:color w:val="auto"/>
        </w:rPr>
        <w:t>；</w:t>
      </w:r>
    </w:p>
    <w:p w14:paraId="0B79DAB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（18）《中华人民共和国陆生野生动物保护实施条例》，（2016年修正，</w:t>
      </w:r>
      <w:r>
        <w:rPr>
          <w:rFonts w:hint="default" w:ascii="Times New Roman" w:hAnsi="Times New Roman" w:eastAsia="宋体" w:cs="Times New Roman"/>
          <w:color w:val="auto"/>
          <w:lang w:eastAsia="zh-CN"/>
        </w:rPr>
        <w:t>2016年2月6日</w:t>
      </w:r>
      <w:r>
        <w:rPr>
          <w:rFonts w:hint="default" w:ascii="Times New Roman" w:hAnsi="Times New Roman" w:eastAsia="宋体" w:cs="Times New Roman"/>
          <w:color w:val="auto"/>
        </w:rPr>
        <w:t>起施行）；</w:t>
      </w:r>
    </w:p>
    <w:p w14:paraId="54F46A2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（19）《云南省水功能区划（2014版）》，2014年3月；</w:t>
      </w:r>
    </w:p>
    <w:p w14:paraId="679AEA9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（20）《云南省生态功能区划》，2009年9月；</w:t>
      </w:r>
    </w:p>
    <w:p w14:paraId="33C18DD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（21）《云南省主体功能区规划》，2014年1月；</w:t>
      </w:r>
    </w:p>
    <w:p w14:paraId="7F00860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（22）《云南省地方公益林管理办法》，2009年3</w:t>
      </w:r>
      <w:r>
        <w:rPr>
          <w:rFonts w:hint="default" w:ascii="Times New Roman" w:hAnsi="Times New Roman" w:eastAsia="宋体" w:cs="Times New Roman"/>
          <w:color w:val="auto"/>
          <w:lang w:eastAsia="zh-CN"/>
        </w:rPr>
        <w:t>月；</w:t>
      </w:r>
    </w:p>
    <w:p w14:paraId="62F1900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（23）《云南省土壤污染防治条例》（2022年5月1日起施行）；</w:t>
      </w:r>
    </w:p>
    <w:p w14:paraId="3856DC2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（24）《云南省地下水管理办法》（2009年9月1日起施行）；</w:t>
      </w:r>
    </w:p>
    <w:p w14:paraId="67F07C3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（25）《云南省大气污染防治条例》（2019年1月1日起施行）；</w:t>
      </w:r>
    </w:p>
    <w:p w14:paraId="7D6736E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（26）《云南省固体废物污染环境防治条例》（2023年3月1日起施行）；</w:t>
      </w:r>
    </w:p>
    <w:p w14:paraId="0456735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（27）《云南省生物多样性保护条例》（2019年1月1日起施行</w:t>
      </w:r>
      <w:r>
        <w:rPr>
          <w:rFonts w:hint="default" w:ascii="Times New Roman" w:hAnsi="Times New Roman" w:eastAsia="宋体" w:cs="Times New Roman"/>
          <w:color w:val="auto"/>
          <w:lang w:eastAsia="zh-CN"/>
        </w:rPr>
        <w:t>）；</w:t>
      </w:r>
    </w:p>
    <w:p w14:paraId="3A0C801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（28）《云南省人民政府关于发布云南省生态保护红线的通知》（云政发〔2018〕32号）</w:t>
      </w:r>
      <w:r>
        <w:rPr>
          <w:rFonts w:hint="default" w:ascii="Times New Roman" w:hAnsi="Times New Roman" w:eastAsia="宋体" w:cs="Times New Roman"/>
          <w:color w:val="auto"/>
          <w:lang w:val="zh-CN"/>
        </w:rPr>
        <w:t>；</w:t>
      </w:r>
    </w:p>
    <w:p w14:paraId="112FB292">
      <w:pPr>
        <w:ind w:firstLine="480"/>
        <w:rPr>
          <w:rFonts w:hint="default" w:ascii="Times New Roman" w:hAnsi="Times New Roman" w:eastAsia="宋体" w:cs="Times New Roman"/>
          <w:color w:val="auto"/>
          <w:lang w:val="zh-CN"/>
        </w:rPr>
      </w:pPr>
      <w:r>
        <w:rPr>
          <w:rFonts w:hint="default" w:ascii="Times New Roman" w:hAnsi="Times New Roman" w:eastAsia="宋体" w:cs="Times New Roman"/>
          <w:color w:val="auto"/>
        </w:rPr>
        <w:t>（29）</w:t>
      </w:r>
      <w:r>
        <w:rPr>
          <w:rFonts w:hint="default" w:ascii="Times New Roman" w:hAnsi="Times New Roman" w:eastAsia="宋体" w:cs="Times New Roman"/>
          <w:color w:val="auto"/>
          <w:lang w:val="zh-CN"/>
        </w:rPr>
        <w:t>《云南省地方标准</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用水定额》</w:t>
      </w:r>
      <w:r>
        <w:rPr>
          <w:rFonts w:hint="default" w:ascii="Times New Roman" w:hAnsi="Times New Roman" w:eastAsia="宋体" w:cs="Times New Roman"/>
          <w:color w:val="auto"/>
          <w:lang w:val="zh-CN"/>
        </w:rPr>
        <w:t>（DB53/T168-20</w:t>
      </w:r>
      <w:r>
        <w:rPr>
          <w:rFonts w:hint="default" w:ascii="Times New Roman" w:hAnsi="Times New Roman" w:eastAsia="宋体" w:cs="Times New Roman"/>
          <w:color w:val="auto"/>
          <w:lang w:val="en-US" w:eastAsia="zh-CN"/>
        </w:rPr>
        <w:t>26</w:t>
      </w:r>
      <w:r>
        <w:rPr>
          <w:rFonts w:hint="default" w:ascii="Times New Roman" w:hAnsi="Times New Roman" w:eastAsia="宋体" w:cs="Times New Roman"/>
          <w:color w:val="auto"/>
          <w:lang w:val="zh-CN"/>
        </w:rPr>
        <w:t>）；</w:t>
      </w:r>
    </w:p>
    <w:p w14:paraId="6A3896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（30）《云南省生态保护红线》（2018年6月29日）；</w:t>
      </w:r>
    </w:p>
    <w:p w14:paraId="3F6C03B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（31）《云南省生态环境厅关于印发云南省重点行业挥发性有机物综合治理实施方案的通知》（云环通〔2019〕125号）；</w:t>
      </w:r>
    </w:p>
    <w:p w14:paraId="5C920E3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（32）《云南省长江经济带发展负面清单指南实施细则（试行）》；</w:t>
      </w:r>
    </w:p>
    <w:p w14:paraId="69F509A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（33）《关于全面加强生态环境保护坚决打好污染防治攻坚战的实施意见》（云发〔2018〕16号</w:t>
      </w:r>
      <w:r>
        <w:rPr>
          <w:rFonts w:hint="default" w:ascii="Times New Roman" w:hAnsi="Times New Roman" w:eastAsia="宋体" w:cs="Times New Roman"/>
          <w:color w:val="auto"/>
          <w:lang w:eastAsia="zh-CN"/>
        </w:rPr>
        <w:t>）；</w:t>
      </w:r>
    </w:p>
    <w:p w14:paraId="13CFA6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（34）《关于全面加强生态环境保护坚决打好污染防治攻坚战的实施意见》（玉发〔2018〕21号）；</w:t>
      </w:r>
    </w:p>
    <w:p w14:paraId="6324AD7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（35）《云南省人民政府关于实施“三线一单”生态环境分区管控的意见》（云政发〔2020〕29号）；</w:t>
      </w:r>
    </w:p>
    <w:p w14:paraId="022E84C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（36）《玉溪市“三线一单”生态环境分区管控实施意见》（玉政发〔2021〕15号）；</w:t>
      </w:r>
    </w:p>
    <w:p w14:paraId="7AA2DDEC">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（37）《玉溪市生态环境分区管控动态调整方案（2023年）》（玉市环〔2024〕40号）</w:t>
      </w:r>
      <w:r>
        <w:rPr>
          <w:rFonts w:hint="default" w:ascii="Times New Roman" w:hAnsi="Times New Roman" w:eastAsia="宋体" w:cs="Times New Roman"/>
          <w:color w:val="auto"/>
          <w:lang w:eastAsia="zh-CN"/>
        </w:rPr>
        <w:t>；</w:t>
      </w:r>
    </w:p>
    <w:p w14:paraId="2D2EDA7C">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38</w:t>
      </w:r>
      <w:r>
        <w:rPr>
          <w:rFonts w:hint="default" w:ascii="Times New Roman" w:hAnsi="Times New Roman" w:eastAsia="宋体" w:cs="Times New Roman"/>
          <w:color w:val="auto"/>
          <w:lang w:eastAsia="zh-CN"/>
        </w:rPr>
        <w:t>）《国家重点保护野生植物名录》</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2021年9月7日</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w:t>
      </w:r>
    </w:p>
    <w:p w14:paraId="1D6C0262">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39</w:t>
      </w:r>
      <w:r>
        <w:rPr>
          <w:rFonts w:hint="default" w:ascii="Times New Roman" w:hAnsi="Times New Roman" w:eastAsia="宋体" w:cs="Times New Roman"/>
          <w:color w:val="auto"/>
          <w:lang w:eastAsia="zh-CN"/>
        </w:rPr>
        <w:t>）《国家重点保护野生动物名录》</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2021年2月5日</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w:t>
      </w:r>
    </w:p>
    <w:p w14:paraId="2921D501">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40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lang w:eastAsia="zh-CN"/>
        </w:rPr>
        <w:t>重点管理外来入侵物种名录</w:t>
      </w:r>
      <w:r>
        <w:rPr>
          <w:rFonts w:hint="default" w:ascii="Times New Roman" w:hAnsi="Times New Roman" w:eastAsia="宋体" w:cs="Times New Roman"/>
          <w:color w:val="auto"/>
          <w:lang w:val="en-US" w:eastAsia="zh-CN"/>
        </w:rPr>
        <w:t>》（2023年1月1日）；</w:t>
      </w:r>
    </w:p>
    <w:p w14:paraId="6EBB252D">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（41）《云南省外来入侵物种名录（2019版）》（云南省生态环境厅等，2019年）；</w:t>
      </w:r>
    </w:p>
    <w:p w14:paraId="783B96E6">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（42）《云南省“十四五”综合交通运输发展规划》（云南省人民政府办公厅，2022年1月4日）；</w:t>
      </w:r>
    </w:p>
    <w:p w14:paraId="061F9A1A">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（43）《云南省“十四五”综合交通运输发展规划环境影响报告书》；</w:t>
      </w:r>
    </w:p>
    <w:p w14:paraId="5CF732DA">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（44）《玉溪市“十四五”综合交通运输发展规划》（2021年10月）；</w:t>
      </w:r>
    </w:p>
    <w:p w14:paraId="301F6A24">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（45）《玉溪市国土空间总体规划（2021—2035年）》</w:t>
      </w:r>
      <w:r>
        <w:rPr>
          <w:rFonts w:hint="eastAsia" w:cs="Times New Roman"/>
          <w:color w:val="auto"/>
          <w:lang w:val="en-US" w:eastAsia="zh-CN"/>
        </w:rPr>
        <w:t>；</w:t>
      </w:r>
    </w:p>
    <w:p w14:paraId="692E71AF">
      <w:pPr>
        <w:ind w:firstLine="480"/>
        <w:rPr>
          <w:rFonts w:hint="default" w:ascii="Times New Roman" w:hAnsi="Times New Roman" w:eastAsia="宋体"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46</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《云南省生态环境厅云南省交通运输厅关于加强高等级公路建设项目施工扬尘污染防治的通知》</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sz w:val="24"/>
          <w:szCs w:val="24"/>
        </w:rPr>
        <w:t>云环发〔2021〕6号</w:t>
      </w:r>
      <w:r>
        <w:rPr>
          <w:rFonts w:hint="default" w:ascii="Times New Roman" w:hAnsi="Times New Roman" w:cs="Times New Roman"/>
          <w:color w:val="auto"/>
          <w:sz w:val="24"/>
          <w:szCs w:val="24"/>
          <w:lang w:eastAsia="zh-CN"/>
        </w:rPr>
        <w:t>）</w:t>
      </w:r>
      <w:r>
        <w:rPr>
          <w:rFonts w:hint="default" w:ascii="Times New Roman" w:hAnsi="Times New Roman" w:eastAsia="宋体" w:cs="Times New Roman"/>
          <w:color w:val="auto"/>
          <w:lang w:val="en-US" w:eastAsia="zh-CN"/>
        </w:rPr>
        <w:t>。</w:t>
      </w:r>
    </w:p>
    <w:p w14:paraId="4357FDE2">
      <w:pPr>
        <w:pStyle w:val="5"/>
        <w:ind w:left="0" w:leftChars="0" w:firstLine="0" w:firstLineChars="0"/>
        <w:rPr>
          <w:rFonts w:hint="default" w:ascii="Times New Roman" w:hAnsi="Times New Roman" w:eastAsia="宋体" w:cs="Times New Roman"/>
          <w:color w:val="auto"/>
        </w:rPr>
      </w:pPr>
      <w:bookmarkStart w:id="8" w:name="_Toc12347"/>
      <w:r>
        <w:rPr>
          <w:rFonts w:hint="default" w:ascii="Times New Roman" w:hAnsi="Times New Roman" w:eastAsia="宋体" w:cs="Times New Roman"/>
          <w:color w:val="auto"/>
        </w:rPr>
        <w:t>1.2.3技术规范</w:t>
      </w:r>
      <w:bookmarkEnd w:id="8"/>
    </w:p>
    <w:p w14:paraId="7E0D8D64">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eastAsia="zh-CN"/>
        </w:rPr>
        <w:t>建设项目环境影响评价技术导则 总纲</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2.1-2016）；</w:t>
      </w:r>
    </w:p>
    <w:p w14:paraId="100E1929">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eastAsia="zh-CN"/>
        </w:rPr>
        <w:t>环境影响评价技术导则 生态影响</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19-2022）；</w:t>
      </w:r>
    </w:p>
    <w:p w14:paraId="01919F94">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（3）《</w:t>
      </w:r>
      <w:r>
        <w:rPr>
          <w:rFonts w:hint="default" w:ascii="Times New Roman" w:hAnsi="Times New Roman" w:eastAsia="宋体" w:cs="Times New Roman"/>
          <w:color w:val="auto"/>
          <w:lang w:eastAsia="zh-CN"/>
        </w:rPr>
        <w:t>环境影响评价技术导则 地下水环境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610-2016）；</w:t>
      </w:r>
    </w:p>
    <w:p w14:paraId="789F5646">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（4）《建设项目环境风险评价技术导则》（HJ</w:t>
      </w:r>
      <w:r>
        <w:rPr>
          <w:rFonts w:hint="eastAsia" w:cs="Times New Roman"/>
          <w:color w:val="auto"/>
          <w:lang w:val="en-US" w:eastAsia="zh-CN"/>
        </w:rPr>
        <w:t xml:space="preserve"> </w:t>
      </w:r>
      <w:r>
        <w:rPr>
          <w:rFonts w:hint="default" w:ascii="Times New Roman" w:hAnsi="Times New Roman" w:eastAsia="宋体" w:cs="Times New Roman"/>
          <w:color w:val="auto"/>
        </w:rPr>
        <w:t>169-2018）；</w:t>
      </w:r>
    </w:p>
    <w:p w14:paraId="37557AE6">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（5）《</w:t>
      </w:r>
      <w:r>
        <w:rPr>
          <w:rFonts w:hint="default" w:ascii="Times New Roman" w:hAnsi="Times New Roman" w:eastAsia="宋体" w:cs="Times New Roman"/>
          <w:color w:val="auto"/>
          <w:lang w:eastAsia="zh-CN"/>
        </w:rPr>
        <w:t>环境影响评价技术导则 土壤环境（试行）</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964</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2018）</w:t>
      </w:r>
    </w:p>
    <w:p w14:paraId="32A03F66">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（6）《</w:t>
      </w:r>
      <w:r>
        <w:rPr>
          <w:rFonts w:hint="default" w:ascii="Times New Roman" w:hAnsi="Times New Roman" w:eastAsia="宋体" w:cs="Times New Roman"/>
          <w:color w:val="auto"/>
          <w:lang w:eastAsia="zh-CN"/>
        </w:rPr>
        <w:t>环境影响评价技术导则 公路建设项目</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1358-2024）；</w:t>
      </w:r>
    </w:p>
    <w:p w14:paraId="6427A7CB">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（7）《民用建筑隔声设计规范》（GB</w:t>
      </w:r>
      <w:r>
        <w:rPr>
          <w:rFonts w:hint="eastAsia" w:cs="Times New Roman"/>
          <w:color w:val="auto"/>
          <w:lang w:val="en-US" w:eastAsia="zh-CN"/>
        </w:rPr>
        <w:t xml:space="preserve"> </w:t>
      </w:r>
      <w:r>
        <w:rPr>
          <w:rFonts w:hint="default" w:ascii="Times New Roman" w:hAnsi="Times New Roman" w:eastAsia="宋体" w:cs="Times New Roman"/>
          <w:color w:val="auto"/>
        </w:rPr>
        <w:t>50118-2010）；</w:t>
      </w:r>
    </w:p>
    <w:p w14:paraId="3DA20590">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（8）《</w:t>
      </w:r>
      <w:r>
        <w:rPr>
          <w:rFonts w:hint="default" w:ascii="Times New Roman" w:hAnsi="Times New Roman" w:eastAsia="宋体" w:cs="Times New Roman"/>
          <w:color w:val="auto"/>
          <w:lang w:eastAsia="zh-CN"/>
        </w:rPr>
        <w:t>生产建设项目水土保持技术标准</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GB 50433-2018</w:t>
      </w:r>
      <w:r>
        <w:rPr>
          <w:rFonts w:hint="default" w:ascii="Times New Roman" w:hAnsi="Times New Roman" w:eastAsia="宋体" w:cs="Times New Roman"/>
          <w:color w:val="auto"/>
        </w:rPr>
        <w:t>）；</w:t>
      </w:r>
    </w:p>
    <w:p w14:paraId="69719630">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（9）《声环境功能区划分技术规范》（GB/T15190-2014）；</w:t>
      </w:r>
    </w:p>
    <w:p w14:paraId="45CED47E">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（10）《公路建设项目环境影响评价规范》（JTG</w:t>
      </w:r>
      <w:r>
        <w:rPr>
          <w:rFonts w:hint="eastAsia" w:cs="Times New Roman"/>
          <w:color w:val="auto"/>
          <w:lang w:val="en-US" w:eastAsia="zh-CN"/>
        </w:rPr>
        <w:t xml:space="preserve"> </w:t>
      </w:r>
      <w:r>
        <w:rPr>
          <w:rFonts w:hint="default" w:ascii="Times New Roman" w:hAnsi="Times New Roman" w:eastAsia="宋体" w:cs="Times New Roman"/>
          <w:color w:val="auto"/>
        </w:rPr>
        <w:t>B03-2006）；</w:t>
      </w:r>
    </w:p>
    <w:p w14:paraId="1DE7A608">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（11）《公路环境保护设计规范》（JTG</w:t>
      </w:r>
      <w:r>
        <w:rPr>
          <w:rFonts w:hint="eastAsia" w:cs="Times New Roman"/>
          <w:color w:val="auto"/>
          <w:lang w:val="en-US" w:eastAsia="zh-CN"/>
        </w:rPr>
        <w:t xml:space="preserve"> </w:t>
      </w:r>
      <w:r>
        <w:rPr>
          <w:rFonts w:hint="default" w:ascii="Times New Roman" w:hAnsi="Times New Roman" w:eastAsia="宋体" w:cs="Times New Roman"/>
          <w:color w:val="auto"/>
        </w:rPr>
        <w:t>B04-2010）；</w:t>
      </w:r>
    </w:p>
    <w:p w14:paraId="4CBBEDD8">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（12）《</w:t>
      </w:r>
      <w:r>
        <w:rPr>
          <w:rFonts w:hint="default" w:ascii="Times New Roman" w:hAnsi="Times New Roman" w:eastAsia="宋体" w:cs="Times New Roman"/>
          <w:color w:val="auto"/>
          <w:lang w:eastAsia="zh-CN"/>
        </w:rPr>
        <w:t>环境影响评价技术导则 大气环境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2.2-2018）；</w:t>
      </w:r>
    </w:p>
    <w:p w14:paraId="0D0BFB73">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（13）《</w:t>
      </w:r>
      <w:r>
        <w:rPr>
          <w:rFonts w:hint="default" w:ascii="Times New Roman" w:hAnsi="Times New Roman" w:eastAsia="宋体" w:cs="Times New Roman"/>
          <w:color w:val="auto"/>
          <w:lang w:eastAsia="zh-CN"/>
        </w:rPr>
        <w:t>环境影响评价技术导则 地表水环境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2.3-2018）；</w:t>
      </w:r>
    </w:p>
    <w:p w14:paraId="246765A7">
      <w:pPr>
        <w:adjustRightInd w:val="0"/>
        <w:snapToGrid w:val="0"/>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（14）《</w:t>
      </w:r>
      <w:r>
        <w:rPr>
          <w:rFonts w:hint="default" w:ascii="Times New Roman" w:hAnsi="Times New Roman" w:eastAsia="宋体" w:cs="Times New Roman"/>
          <w:color w:val="auto"/>
          <w:lang w:eastAsia="zh-CN"/>
        </w:rPr>
        <w:t>环境影响评价技术导则 声环境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2.4-2021）；</w:t>
      </w:r>
    </w:p>
    <w:p w14:paraId="14806E29">
      <w:pPr>
        <w:pStyle w:val="5"/>
        <w:ind w:left="0" w:leftChars="0" w:firstLine="0" w:firstLineChars="0"/>
        <w:rPr>
          <w:rFonts w:hint="default" w:ascii="Times New Roman" w:hAnsi="Times New Roman" w:eastAsia="宋体" w:cs="Times New Roman"/>
          <w:color w:val="auto"/>
        </w:rPr>
      </w:pPr>
      <w:bookmarkStart w:id="9" w:name="_Toc3715"/>
      <w:r>
        <w:rPr>
          <w:rFonts w:hint="default" w:ascii="Times New Roman" w:hAnsi="Times New Roman" w:eastAsia="宋体" w:cs="Times New Roman"/>
          <w:color w:val="auto"/>
        </w:rPr>
        <w:t>1.2.4工程技术文件和其他文件依据</w:t>
      </w:r>
      <w:bookmarkEnd w:id="9"/>
    </w:p>
    <w:p w14:paraId="2FCABB3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（1）云南平捷工程设计咨询有限公司《元江火车站站前广场配套道路5号路建设项目可行性研究报告》；</w:t>
      </w:r>
    </w:p>
    <w:p w14:paraId="5EE33E4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（2）元江县发展和改革局《关于元江火车站站前广场配套道路5号路建设项目可行性研究报告的批复》（元发改〔2024〕89号）；</w:t>
      </w:r>
    </w:p>
    <w:p w14:paraId="0F4D481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（3）云南平捷工程设计咨询有限公司《元江火车站站前广场配套道路5号路建设项目一阶段初步设计》；</w:t>
      </w:r>
    </w:p>
    <w:p w14:paraId="3EFC72D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w:t>
      </w:r>
      <w:r>
        <w:rPr>
          <w:rFonts w:hint="default" w:ascii="Times New Roman" w:hAnsi="Times New Roman" w:eastAsia="宋体" w:cs="Times New Roman"/>
          <w:color w:val="auto"/>
          <w:lang w:eastAsia="zh-CN"/>
        </w:rPr>
        <w:t>元江哈尼族彝族傣族自治县交通运输局</w:t>
      </w:r>
      <w:r>
        <w:rPr>
          <w:rFonts w:hint="default" w:ascii="Times New Roman" w:hAnsi="Times New Roman" w:eastAsia="宋体" w:cs="Times New Roman"/>
          <w:color w:val="auto"/>
        </w:rPr>
        <w:t>《关于元江火车站站前广场配套道路5号路建设项目一阶段初步设计及概算的批复》（元交运发〔2025〕34号）；</w:t>
      </w:r>
    </w:p>
    <w:p w14:paraId="14F33022">
      <w:pPr>
        <w:ind w:firstLine="480"/>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（5）云南滇陇工程咨询有限公司《元江火车站站前广场配套道路5号路建设项目水土保持方案报告书》</w:t>
      </w:r>
      <w:r>
        <w:rPr>
          <w:rFonts w:hint="default" w:ascii="Times New Roman" w:hAnsi="Times New Roman" w:eastAsia="宋体" w:cs="Times New Roman"/>
          <w:color w:val="auto"/>
          <w:lang w:eastAsia="zh-CN"/>
        </w:rPr>
        <w:t>；</w:t>
      </w:r>
    </w:p>
    <w:p w14:paraId="2880C22F">
      <w:pPr>
        <w:ind w:firstLine="48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项目声环境质量现状监测报告。</w:t>
      </w:r>
    </w:p>
    <w:p w14:paraId="554A1865">
      <w:pPr>
        <w:pStyle w:val="3"/>
        <w:numPr>
          <w:ilvl w:val="0"/>
          <w:numId w:val="0"/>
        </w:numPr>
        <w:rPr>
          <w:rFonts w:hint="default" w:ascii="Times New Roman" w:hAnsi="Times New Roman" w:eastAsia="宋体" w:cs="Times New Roman"/>
          <w:color w:val="auto"/>
        </w:rPr>
      </w:pPr>
      <w:bookmarkStart w:id="10" w:name="_Toc26671"/>
      <w:r>
        <w:rPr>
          <w:rFonts w:hint="default" w:ascii="Times New Roman" w:hAnsi="Times New Roman" w:eastAsia="宋体" w:cs="Times New Roman"/>
          <w:color w:val="auto"/>
        </w:rPr>
        <w:t>1.3评价内容、因子、等级、范围及重点</w:t>
      </w:r>
      <w:bookmarkEnd w:id="10"/>
    </w:p>
    <w:p w14:paraId="1E944D0F">
      <w:pPr>
        <w:pStyle w:val="494"/>
        <w:ind w:left="0" w:leftChars="0" w:firstLine="0" w:firstLineChars="0"/>
        <w:rPr>
          <w:rFonts w:hint="default" w:ascii="Times New Roman" w:hAnsi="Times New Roman" w:eastAsia="宋体" w:cs="Times New Roman"/>
          <w:color w:val="auto"/>
        </w:rPr>
      </w:pPr>
      <w:bookmarkStart w:id="11" w:name="_Toc24209"/>
      <w:r>
        <w:rPr>
          <w:rFonts w:hint="default" w:ascii="Times New Roman" w:hAnsi="Times New Roman" w:eastAsia="宋体" w:cs="Times New Roman"/>
          <w:color w:val="auto"/>
        </w:rPr>
        <w:t>1.3.1评价内容、因子及级别</w:t>
      </w:r>
      <w:bookmarkEnd w:id="11"/>
    </w:p>
    <w:p w14:paraId="0A7BC7BA">
      <w:pPr>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lang w:val="en-US" w:eastAsia="zh-CN"/>
        </w:rPr>
        <w:t>1</w:t>
      </w: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rPr>
        <w:t>评价内容</w:t>
      </w:r>
    </w:p>
    <w:p w14:paraId="4E8CFA6C">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评价时段分两期，即施工期和</w:t>
      </w:r>
      <w:r>
        <w:rPr>
          <w:rFonts w:hint="eastAsia" w:ascii="Times New Roman" w:hAnsi="Times New Roman" w:cs="Times New Roman"/>
          <w:color w:val="auto"/>
          <w:lang w:eastAsia="zh-CN"/>
        </w:rPr>
        <w:t>营运期</w:t>
      </w:r>
      <w:r>
        <w:rPr>
          <w:rFonts w:hint="default" w:ascii="Times New Roman" w:hAnsi="Times New Roman" w:eastAsia="宋体" w:cs="Times New Roman"/>
          <w:color w:val="auto"/>
        </w:rPr>
        <w:t>；评价内容包括环境空气、交通噪声、地表水、固体废物、生态及社会影响评价或分析等。</w:t>
      </w:r>
    </w:p>
    <w:p w14:paraId="288BAE46">
      <w:pPr>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lang w:val="en-US" w:eastAsia="zh-CN"/>
        </w:rPr>
        <w:t>2</w:t>
      </w: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rPr>
        <w:t>评价因子</w:t>
      </w:r>
    </w:p>
    <w:p w14:paraId="4A621121">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本次</w:t>
      </w:r>
      <w:r>
        <w:rPr>
          <w:rFonts w:hint="default" w:ascii="Times New Roman" w:hAnsi="Times New Roman" w:eastAsia="宋体" w:cs="Times New Roman"/>
          <w:color w:val="auto"/>
        </w:rPr>
        <w:t>环境影响评价的主要评价因子选择如下：</w:t>
      </w:r>
    </w:p>
    <w:p w14:paraId="0667F58B">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cs="Times New Roman"/>
          <w:b/>
          <w:bCs/>
          <w:color w:val="auto"/>
          <w:sz w:val="21"/>
          <w:szCs w:val="21"/>
          <w:lang w:val="en-US" w:eastAsia="zh-CN"/>
        </w:rPr>
        <w:t>表1.3-1  主要</w:t>
      </w:r>
      <w:r>
        <w:rPr>
          <w:rFonts w:hint="default" w:ascii="Times New Roman" w:hAnsi="Times New Roman" w:eastAsia="宋体" w:cs="Times New Roman"/>
          <w:b/>
          <w:bCs/>
          <w:color w:val="auto"/>
          <w:sz w:val="21"/>
          <w:szCs w:val="21"/>
        </w:rPr>
        <w:t>评价</w:t>
      </w:r>
      <w:r>
        <w:rPr>
          <w:rFonts w:hint="eastAsia" w:ascii="Times New Roman" w:hAnsi="Times New Roman" w:cs="Times New Roman"/>
          <w:b/>
          <w:bCs/>
          <w:color w:val="auto"/>
          <w:sz w:val="21"/>
          <w:szCs w:val="21"/>
          <w:lang w:val="en-US" w:eastAsia="zh-CN"/>
        </w:rPr>
        <w:t>因子一览表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8"/>
        <w:gridCol w:w="2461"/>
        <w:gridCol w:w="2502"/>
        <w:gridCol w:w="2131"/>
      </w:tblGrid>
      <w:tr w14:paraId="6C59A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59963D9F">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环境要素</w:t>
            </w:r>
          </w:p>
        </w:tc>
        <w:tc>
          <w:tcPr>
            <w:tcW w:w="2461" w:type="dxa"/>
            <w:vAlign w:val="center"/>
          </w:tcPr>
          <w:p w14:paraId="3EE7822F">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现状评价</w:t>
            </w:r>
          </w:p>
        </w:tc>
        <w:tc>
          <w:tcPr>
            <w:tcW w:w="2502" w:type="dxa"/>
            <w:vAlign w:val="center"/>
          </w:tcPr>
          <w:p w14:paraId="3DD0A732">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施工期评价因子</w:t>
            </w:r>
          </w:p>
        </w:tc>
        <w:tc>
          <w:tcPr>
            <w:tcW w:w="2131" w:type="dxa"/>
            <w:vAlign w:val="center"/>
          </w:tcPr>
          <w:p w14:paraId="5A211133">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营运期评价因子</w:t>
            </w:r>
          </w:p>
        </w:tc>
      </w:tr>
      <w:tr w14:paraId="76B40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08D291F3">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生态环境</w:t>
            </w:r>
          </w:p>
        </w:tc>
        <w:tc>
          <w:tcPr>
            <w:tcW w:w="2461" w:type="dxa"/>
            <w:vAlign w:val="center"/>
          </w:tcPr>
          <w:p w14:paraId="6387FFE4">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生态系统类型、植被类型、保护动植物调查等</w:t>
            </w:r>
          </w:p>
        </w:tc>
        <w:tc>
          <w:tcPr>
            <w:tcW w:w="4633" w:type="dxa"/>
            <w:gridSpan w:val="2"/>
            <w:vAlign w:val="center"/>
          </w:tcPr>
          <w:p w14:paraId="72CC3930">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eastAsia" w:ascii="Times New Roman" w:hAnsi="Times New Roman" w:cs="Times New Roman"/>
                <w:color w:val="auto"/>
                <w:sz w:val="21"/>
                <w:szCs w:val="21"/>
                <w:vertAlign w:val="baseline"/>
                <w:lang w:val="en-US" w:eastAsia="zh-CN"/>
              </w:rPr>
              <w:t>对生态系统影响分析，对野生动植物、重点保护野生动植物影响分析</w:t>
            </w:r>
          </w:p>
        </w:tc>
      </w:tr>
      <w:tr w14:paraId="26878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7D458C2F">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地表水环境</w:t>
            </w:r>
          </w:p>
        </w:tc>
        <w:tc>
          <w:tcPr>
            <w:tcW w:w="2461" w:type="dxa"/>
            <w:vAlign w:val="center"/>
          </w:tcPr>
          <w:p w14:paraId="16F34ACC">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地表水水质：pH、COD、SS、BOD</w:t>
            </w:r>
            <w:r>
              <w:rPr>
                <w:rFonts w:hint="eastAsia" w:ascii="Times New Roman" w:hAnsi="Times New Roman" w:cs="Times New Roman"/>
                <w:color w:val="auto"/>
                <w:sz w:val="21"/>
                <w:szCs w:val="21"/>
                <w:vertAlign w:val="subscript"/>
                <w:lang w:val="en-US" w:eastAsia="zh-CN"/>
              </w:rPr>
              <w:t>5</w:t>
            </w:r>
            <w:r>
              <w:rPr>
                <w:rFonts w:hint="eastAsia" w:ascii="Times New Roman" w:hAnsi="Times New Roman" w:cs="Times New Roman"/>
                <w:color w:val="auto"/>
                <w:sz w:val="21"/>
                <w:szCs w:val="21"/>
                <w:vertAlign w:val="baseline"/>
                <w:lang w:val="en-US" w:eastAsia="zh-CN"/>
              </w:rPr>
              <w:t>、总磷、氨氮、石油类等</w:t>
            </w:r>
          </w:p>
        </w:tc>
        <w:tc>
          <w:tcPr>
            <w:tcW w:w="2502" w:type="dxa"/>
            <w:vAlign w:val="center"/>
          </w:tcPr>
          <w:p w14:paraId="55D3830B">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施工生产废水、施工人员生活污水</w:t>
            </w:r>
          </w:p>
        </w:tc>
        <w:tc>
          <w:tcPr>
            <w:tcW w:w="2131" w:type="dxa"/>
            <w:vAlign w:val="center"/>
          </w:tcPr>
          <w:p w14:paraId="38BDC729">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17B3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7A515E91">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声环境</w:t>
            </w:r>
          </w:p>
        </w:tc>
        <w:tc>
          <w:tcPr>
            <w:tcW w:w="2461" w:type="dxa"/>
            <w:vAlign w:val="center"/>
          </w:tcPr>
          <w:p w14:paraId="2F7CFD56">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Leq</w:t>
            </w:r>
          </w:p>
        </w:tc>
        <w:tc>
          <w:tcPr>
            <w:tcW w:w="2502" w:type="dxa"/>
            <w:vAlign w:val="center"/>
          </w:tcPr>
          <w:p w14:paraId="46B7D53D">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Leq</w:t>
            </w:r>
          </w:p>
        </w:tc>
        <w:tc>
          <w:tcPr>
            <w:tcW w:w="2131" w:type="dxa"/>
            <w:vAlign w:val="center"/>
          </w:tcPr>
          <w:p w14:paraId="0D90585F">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Leq</w:t>
            </w:r>
          </w:p>
        </w:tc>
      </w:tr>
      <w:tr w14:paraId="5A15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19122BDE">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大气环境</w:t>
            </w:r>
          </w:p>
        </w:tc>
        <w:tc>
          <w:tcPr>
            <w:tcW w:w="2461" w:type="dxa"/>
            <w:vAlign w:val="center"/>
          </w:tcPr>
          <w:p w14:paraId="3F77EC41">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NO</w:t>
            </w:r>
            <w:r>
              <w:rPr>
                <w:rFonts w:hint="eastAsia" w:ascii="Times New Roman" w:hAnsi="Times New Roman" w:cs="Times New Roman"/>
                <w:color w:val="auto"/>
                <w:sz w:val="21"/>
                <w:szCs w:val="21"/>
                <w:vertAlign w:val="subscript"/>
                <w:lang w:val="en-US" w:eastAsia="zh-CN"/>
              </w:rPr>
              <w:t>2</w:t>
            </w:r>
            <w:r>
              <w:rPr>
                <w:rFonts w:hint="eastAsia" w:ascii="Times New Roman" w:hAnsi="Times New Roman" w:cs="Times New Roman"/>
                <w:color w:val="auto"/>
                <w:sz w:val="21"/>
                <w:szCs w:val="21"/>
                <w:vertAlign w:val="baseline"/>
                <w:lang w:val="en-US" w:eastAsia="zh-CN"/>
              </w:rPr>
              <w:t>、PM</w:t>
            </w:r>
            <w:r>
              <w:rPr>
                <w:rFonts w:hint="eastAsia" w:ascii="Times New Roman" w:hAnsi="Times New Roman" w:cs="Times New Roman"/>
                <w:color w:val="auto"/>
                <w:sz w:val="21"/>
                <w:szCs w:val="21"/>
                <w:vertAlign w:val="subscript"/>
                <w:lang w:val="en-US" w:eastAsia="zh-CN"/>
              </w:rPr>
              <w:t>10</w:t>
            </w:r>
            <w:r>
              <w:rPr>
                <w:rFonts w:hint="eastAsia" w:ascii="Times New Roman" w:hAnsi="Times New Roman" w:cs="Times New Roman"/>
                <w:color w:val="auto"/>
                <w:sz w:val="21"/>
                <w:szCs w:val="21"/>
                <w:vertAlign w:val="baseline"/>
                <w:lang w:val="en-US" w:eastAsia="zh-CN"/>
              </w:rPr>
              <w:t>、PM</w:t>
            </w:r>
            <w:r>
              <w:rPr>
                <w:rFonts w:hint="eastAsia" w:ascii="Times New Roman" w:hAnsi="Times New Roman" w:cs="Times New Roman"/>
                <w:color w:val="auto"/>
                <w:sz w:val="21"/>
                <w:szCs w:val="21"/>
                <w:vertAlign w:val="subscript"/>
                <w:lang w:val="en-US" w:eastAsia="zh-CN"/>
              </w:rPr>
              <w:t>2.5</w:t>
            </w:r>
            <w:r>
              <w:rPr>
                <w:rFonts w:hint="eastAsia" w:ascii="Times New Roman" w:hAnsi="Times New Roman" w:cs="Times New Roman"/>
                <w:color w:val="auto"/>
                <w:sz w:val="21"/>
                <w:szCs w:val="21"/>
                <w:vertAlign w:val="baseline"/>
                <w:lang w:val="en-US" w:eastAsia="zh-CN"/>
              </w:rPr>
              <w:t>、TSP、CO、SO</w:t>
            </w:r>
            <w:r>
              <w:rPr>
                <w:rFonts w:hint="eastAsia" w:ascii="Times New Roman" w:hAnsi="Times New Roman" w:cs="Times New Roman"/>
                <w:color w:val="auto"/>
                <w:sz w:val="21"/>
                <w:szCs w:val="21"/>
                <w:vertAlign w:val="subscript"/>
                <w:lang w:val="en-US" w:eastAsia="zh-CN"/>
              </w:rPr>
              <w:t>2</w:t>
            </w:r>
            <w:r>
              <w:rPr>
                <w:rFonts w:hint="eastAsia" w:ascii="Times New Roman" w:hAnsi="Times New Roman" w:cs="Times New Roman"/>
                <w:color w:val="auto"/>
                <w:sz w:val="21"/>
                <w:szCs w:val="21"/>
                <w:vertAlign w:val="baseline"/>
                <w:lang w:val="en-US" w:eastAsia="zh-CN"/>
              </w:rPr>
              <w:t>、O</w:t>
            </w:r>
            <w:r>
              <w:rPr>
                <w:rFonts w:hint="eastAsia" w:ascii="Times New Roman" w:hAnsi="Times New Roman" w:cs="Times New Roman"/>
                <w:color w:val="auto"/>
                <w:sz w:val="21"/>
                <w:szCs w:val="21"/>
                <w:vertAlign w:val="subscript"/>
                <w:lang w:val="en-US" w:eastAsia="zh-CN"/>
              </w:rPr>
              <w:t>3</w:t>
            </w:r>
          </w:p>
        </w:tc>
        <w:tc>
          <w:tcPr>
            <w:tcW w:w="2502" w:type="dxa"/>
            <w:vAlign w:val="center"/>
          </w:tcPr>
          <w:p w14:paraId="7B58A634">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颗粒物、沥青烟</w:t>
            </w:r>
          </w:p>
        </w:tc>
        <w:tc>
          <w:tcPr>
            <w:tcW w:w="2131" w:type="dxa"/>
            <w:vAlign w:val="center"/>
          </w:tcPr>
          <w:p w14:paraId="1477F759">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rPr>
              <w:t>CO、NOx、THC</w:t>
            </w:r>
          </w:p>
        </w:tc>
      </w:tr>
      <w:tr w14:paraId="15D5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0FFAC69A">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固体废物</w:t>
            </w:r>
          </w:p>
        </w:tc>
        <w:tc>
          <w:tcPr>
            <w:tcW w:w="2461" w:type="dxa"/>
            <w:vAlign w:val="center"/>
          </w:tcPr>
          <w:p w14:paraId="1BC914F1">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2502" w:type="dxa"/>
            <w:vAlign w:val="center"/>
          </w:tcPr>
          <w:p w14:paraId="407A48BD">
            <w:pPr>
              <w:pStyle w:val="49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施工渣土、生活垃圾</w:t>
            </w:r>
          </w:p>
        </w:tc>
        <w:tc>
          <w:tcPr>
            <w:tcW w:w="2131" w:type="dxa"/>
            <w:vAlign w:val="center"/>
          </w:tcPr>
          <w:p w14:paraId="2610A107">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3CEA2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6372AC72">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环境风险</w:t>
            </w:r>
          </w:p>
        </w:tc>
        <w:tc>
          <w:tcPr>
            <w:tcW w:w="2461" w:type="dxa"/>
            <w:vAlign w:val="center"/>
          </w:tcPr>
          <w:p w14:paraId="3EBF23E1">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4633" w:type="dxa"/>
            <w:gridSpan w:val="2"/>
            <w:vAlign w:val="center"/>
          </w:tcPr>
          <w:p w14:paraId="0C7ACD59">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运输的危险品和石油类发生交通事故时危险品泄漏、爆炸，对水环境、生态环境和大气的影响</w:t>
            </w:r>
          </w:p>
        </w:tc>
      </w:tr>
      <w:tr w14:paraId="1788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14:paraId="70074599">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rPr>
              <w:t>社会环境</w:t>
            </w:r>
          </w:p>
        </w:tc>
        <w:tc>
          <w:tcPr>
            <w:tcW w:w="2461" w:type="dxa"/>
            <w:vAlign w:val="center"/>
          </w:tcPr>
          <w:p w14:paraId="3B022678">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c>
          <w:tcPr>
            <w:tcW w:w="4633" w:type="dxa"/>
            <w:gridSpan w:val="2"/>
            <w:vAlign w:val="center"/>
          </w:tcPr>
          <w:p w14:paraId="7C866060">
            <w:pPr>
              <w:pStyle w:val="496"/>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土地占用情况、基础设施、受影响人数及与</w:t>
            </w:r>
            <w:r>
              <w:rPr>
                <w:rFonts w:hint="eastAsia" w:ascii="Times New Roman" w:hAnsi="Times New Roman" w:cs="Times New Roman"/>
                <w:color w:val="auto"/>
                <w:sz w:val="21"/>
                <w:szCs w:val="21"/>
                <w:lang w:val="en-US" w:eastAsia="zh-CN"/>
              </w:rPr>
              <w:t>区域交通的影响，区域经济发展</w:t>
            </w:r>
          </w:p>
        </w:tc>
      </w:tr>
    </w:tbl>
    <w:p w14:paraId="02A51D11">
      <w:pPr>
        <w:pStyle w:val="496"/>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lang w:val="en-US" w:eastAsia="zh-CN"/>
        </w:rPr>
        <w:t>3</w:t>
      </w:r>
      <w:r>
        <w:rPr>
          <w:rFonts w:hint="default" w:ascii="Times New Roman" w:hAnsi="Times New Roman" w:eastAsia="宋体" w:cs="Times New Roman"/>
          <w:b/>
          <w:color w:val="auto"/>
          <w:lang w:eastAsia="zh-CN"/>
        </w:rPr>
        <w:t>）</w:t>
      </w:r>
      <w:r>
        <w:rPr>
          <w:rFonts w:hint="default" w:ascii="Times New Roman" w:hAnsi="Times New Roman" w:eastAsia="宋体" w:cs="Times New Roman"/>
          <w:b/>
          <w:color w:val="auto"/>
        </w:rPr>
        <w:t>评价等级</w:t>
      </w:r>
    </w:p>
    <w:p w14:paraId="5F5D3F7A">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按照《</w:t>
      </w:r>
      <w:r>
        <w:rPr>
          <w:rFonts w:hint="eastAsia" w:ascii="Times New Roman" w:hAnsi="Times New Roman" w:cs="Times New Roman"/>
          <w:color w:val="auto"/>
          <w:lang w:val="en-US" w:eastAsia="zh-CN"/>
        </w:rPr>
        <w:t>建设项目</w:t>
      </w:r>
      <w:r>
        <w:rPr>
          <w:rFonts w:hint="default" w:ascii="Times New Roman" w:hAnsi="Times New Roman" w:eastAsia="宋体" w:cs="Times New Roman"/>
          <w:color w:val="auto"/>
        </w:rPr>
        <w:t>环境影响评价技术导则</w:t>
      </w:r>
      <w:r>
        <w:rPr>
          <w:rFonts w:hint="eastAsia" w:ascii="Times New Roman" w:hAnsi="Times New Roman" w:cs="Times New Roman"/>
          <w:color w:val="auto"/>
          <w:lang w:val="en-US" w:eastAsia="zh-CN"/>
        </w:rPr>
        <w:t xml:space="preserve"> 总纲</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环境影响评价技术导则</w:t>
      </w:r>
      <w:r>
        <w:rPr>
          <w:rFonts w:hint="eastAsia" w:ascii="Times New Roman" w:hAnsi="Times New Roman"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ascii="Times New Roman" w:hAnsi="Times New Roman"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rPr>
        <w:t>要求，再结合本建设项目的工程特点和项目所在地区的环境特征，确定本次评价的等级：</w:t>
      </w:r>
    </w:p>
    <w:p w14:paraId="3C4A97F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本项目评价工作等级如下：</w:t>
      </w:r>
    </w:p>
    <w:p w14:paraId="743FA12D">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1）声环境影响评价</w:t>
      </w:r>
    </w:p>
    <w:p w14:paraId="01B7178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依据《环境影响评价技术导则 声环境》（HJ</w:t>
      </w:r>
      <w:r>
        <w:rPr>
          <w:rFonts w:hint="eastAsia" w:cs="Times New Roman"/>
          <w:color w:val="auto"/>
          <w:lang w:val="en-US" w:eastAsia="zh-CN"/>
        </w:rPr>
        <w:t xml:space="preserve"> </w:t>
      </w:r>
      <w:r>
        <w:rPr>
          <w:rFonts w:hint="default" w:ascii="Times New Roman" w:hAnsi="Times New Roman" w:eastAsia="宋体" w:cs="Times New Roman"/>
          <w:color w:val="auto"/>
        </w:rPr>
        <w:t>2.4-2021）和</w:t>
      </w:r>
      <w:r>
        <w:rPr>
          <w:rFonts w:hint="default" w:ascii="Times New Roman" w:hAnsi="Times New Roman" w:eastAsia="宋体" w:cs="Times New Roman"/>
          <w:color w:val="auto"/>
          <w:kern w:val="0"/>
          <w:lang w:bidi="ar"/>
        </w:rPr>
        <w:t>《环境影响评价技术导则公路建设项目》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rPr>
        <w:t>中有关噪声环境影响评价工作等级划分的基本原则：</w:t>
      </w:r>
    </w:p>
    <w:p w14:paraId="3AD86060">
      <w:pPr>
        <w:numPr>
          <w:ilvl w:val="0"/>
          <w:numId w:val="1"/>
        </w:num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评价范围内有适用于</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w:t>
      </w:r>
      <w:r>
        <w:rPr>
          <w:rFonts w:hint="default" w:ascii="Times New Roman" w:hAnsi="Times New Roman" w:eastAsia="宋体" w:cs="Times New Roman"/>
          <w:color w:val="auto"/>
          <w:kern w:val="0"/>
          <w:lang w:bidi="ar"/>
        </w:rPr>
        <w:t>规定的 0 类声环境功能区域，或项目建设前后评价范围内声环境保护目标噪声级增量达5dB（A）以上（不含 5dB（A）），或受噪声影响人口数量显著增加时，按一级评价；</w:t>
      </w:r>
    </w:p>
    <w:p w14:paraId="763A04D5">
      <w:pPr>
        <w:numPr>
          <w:ilvl w:val="0"/>
          <w:numId w:val="1"/>
        </w:num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项目所处的声环境功能区为</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w:t>
      </w:r>
      <w:r>
        <w:rPr>
          <w:rFonts w:hint="default" w:ascii="Times New Roman" w:hAnsi="Times New Roman" w:eastAsia="宋体" w:cs="Times New Roman"/>
          <w:color w:val="auto"/>
          <w:kern w:val="0"/>
          <w:lang w:bidi="ar"/>
        </w:rPr>
        <w:t>规定的1类、2类地区，或项目建设前后评价范围内声环境保护目标噪声级增量达 3dB（A）～5dB（A），或受噪声影响人口数量增加较多时，按二级评价；</w:t>
      </w:r>
    </w:p>
    <w:p w14:paraId="636D197C">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c）项目所处的声环境功能区为</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w:t>
      </w:r>
      <w:r>
        <w:rPr>
          <w:rFonts w:hint="default" w:ascii="Times New Roman" w:hAnsi="Times New Roman" w:eastAsia="宋体" w:cs="Times New Roman"/>
          <w:color w:val="auto"/>
          <w:kern w:val="0"/>
          <w:lang w:bidi="ar"/>
        </w:rPr>
        <w:t>规定的3类、4a类地区，或项目建设前后评价范围内声环境保护目标噪声级增量在3dB（A）以下（不含3dB（A）），且受噪声影响人口数量变化不大时，按三级评价；</w:t>
      </w:r>
    </w:p>
    <w:p w14:paraId="51B4CBE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d）当项目符合两个等级的划分原则时，按较高等级评价。</w:t>
      </w:r>
    </w:p>
    <w:p w14:paraId="28F707D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本工程位于《声环境质量标准》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kern w:val="0"/>
          <w:lang w:bidi="ar"/>
        </w:rPr>
        <w:t>中规定的2类区；</w:t>
      </w:r>
      <w:r>
        <w:rPr>
          <w:rFonts w:hint="default" w:ascii="Times New Roman" w:hAnsi="Times New Roman" w:eastAsia="宋体" w:cs="Times New Roman"/>
          <w:color w:val="auto"/>
        </w:rPr>
        <w:t>本项目为新建项目，建设前后噪声级增加量小于5dB（A）</w:t>
      </w:r>
      <w:r>
        <w:rPr>
          <w:rFonts w:hint="eastAsia" w:cs="Times New Roman"/>
          <w:color w:val="auto"/>
          <w:kern w:val="0"/>
          <w:lang w:eastAsia="zh-CN" w:bidi="ar"/>
        </w:rPr>
        <w:t>，</w:t>
      </w:r>
      <w:r>
        <w:rPr>
          <w:rFonts w:hint="eastAsia" w:cs="Times New Roman"/>
          <w:color w:val="auto"/>
          <w:kern w:val="0"/>
          <w:lang w:val="en-US" w:eastAsia="zh-CN" w:bidi="ar"/>
        </w:rPr>
        <w:t>噪声影响人数建成前后变化较少，</w:t>
      </w:r>
      <w:r>
        <w:rPr>
          <w:rFonts w:hint="default" w:ascii="Times New Roman" w:hAnsi="Times New Roman" w:eastAsia="宋体" w:cs="Times New Roman"/>
          <w:color w:val="auto"/>
          <w:kern w:val="0"/>
          <w:lang w:bidi="ar"/>
        </w:rPr>
        <w:t>因此，本评价确定声环境评价等级为二级。</w:t>
      </w:r>
    </w:p>
    <w:p w14:paraId="534494C0">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2）生态影响评价等级</w:t>
      </w:r>
    </w:p>
    <w:p w14:paraId="4324FE1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rPr>
        <w:t>对评价工作等级划分的要求。如下表所示：</w:t>
      </w:r>
    </w:p>
    <w:p w14:paraId="40838C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auto"/>
          <w:sz w:val="21"/>
          <w:szCs w:val="21"/>
        </w:rPr>
      </w:pPr>
      <w:r>
        <w:rPr>
          <w:rFonts w:hint="default"/>
          <w:b/>
          <w:bCs/>
          <w:color w:val="auto"/>
          <w:sz w:val="21"/>
          <w:szCs w:val="21"/>
        </w:rPr>
        <w:t>表1</w:t>
      </w:r>
      <w:r>
        <w:rPr>
          <w:rFonts w:hint="eastAsia"/>
          <w:b/>
          <w:bCs/>
          <w:color w:val="auto"/>
          <w:sz w:val="21"/>
          <w:szCs w:val="21"/>
          <w:lang w:val="en-US" w:eastAsia="zh-CN"/>
        </w:rPr>
        <w:t>.3</w:t>
      </w:r>
      <w:r>
        <w:rPr>
          <w:rFonts w:hint="default"/>
          <w:b/>
          <w:bCs/>
          <w:color w:val="auto"/>
          <w:sz w:val="21"/>
          <w:szCs w:val="21"/>
        </w:rPr>
        <w:t>-2</w:t>
      </w:r>
      <w:r>
        <w:rPr>
          <w:rFonts w:hint="eastAsia"/>
          <w:b/>
          <w:bCs/>
          <w:color w:val="auto"/>
          <w:sz w:val="21"/>
          <w:szCs w:val="21"/>
          <w:lang w:val="en-US" w:eastAsia="zh-CN"/>
        </w:rPr>
        <w:t xml:space="preserve">  </w:t>
      </w:r>
      <w:r>
        <w:rPr>
          <w:rFonts w:hint="default"/>
          <w:b/>
          <w:bCs/>
          <w:color w:val="auto"/>
          <w:sz w:val="21"/>
          <w:szCs w:val="21"/>
        </w:rPr>
        <w:t>生态影响评价工作等级划分表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048F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ADAE04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导则评价等级依据</w:t>
            </w:r>
          </w:p>
        </w:tc>
        <w:tc>
          <w:tcPr>
            <w:tcW w:w="2841" w:type="dxa"/>
            <w:vAlign w:val="center"/>
          </w:tcPr>
          <w:p w14:paraId="7C5AAA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本项目判别情况</w:t>
            </w:r>
          </w:p>
        </w:tc>
        <w:tc>
          <w:tcPr>
            <w:tcW w:w="2841" w:type="dxa"/>
            <w:vAlign w:val="center"/>
          </w:tcPr>
          <w:p w14:paraId="369CC02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本项目评价等级</w:t>
            </w:r>
          </w:p>
        </w:tc>
      </w:tr>
      <w:tr w14:paraId="6933D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vAlign w:val="center"/>
          </w:tcPr>
          <w:p w14:paraId="2B6BB82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HJ 1358-2024</w:t>
            </w:r>
          </w:p>
        </w:tc>
      </w:tr>
      <w:tr w14:paraId="36CB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77927A1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a）涉及国家公园、自然保护区、世界自然遗产、重要生境的路段，评价等级为一级。</w:t>
            </w:r>
          </w:p>
        </w:tc>
        <w:tc>
          <w:tcPr>
            <w:tcW w:w="2841" w:type="dxa"/>
            <w:vAlign w:val="center"/>
          </w:tcPr>
          <w:p w14:paraId="4F646BD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项目不涉及</w:t>
            </w:r>
          </w:p>
        </w:tc>
        <w:tc>
          <w:tcPr>
            <w:tcW w:w="2841" w:type="dxa"/>
            <w:vAlign w:val="center"/>
          </w:tcPr>
          <w:p w14:paraId="7CC29E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r>
      <w:tr w14:paraId="1890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484A679F">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b）涉及自然公园的路段，评价等级为二级。</w:t>
            </w:r>
          </w:p>
        </w:tc>
        <w:tc>
          <w:tcPr>
            <w:tcW w:w="2841" w:type="dxa"/>
            <w:vAlign w:val="center"/>
          </w:tcPr>
          <w:p w14:paraId="50E8B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baseline"/>
              </w:rPr>
            </w:pPr>
            <w:r>
              <w:rPr>
                <w:rFonts w:hint="eastAsia" w:cs="Times New Roman"/>
                <w:color w:val="auto"/>
                <w:sz w:val="21"/>
                <w:szCs w:val="21"/>
                <w:vertAlign w:val="baseline"/>
                <w:lang w:val="en-US" w:eastAsia="zh-CN"/>
              </w:rPr>
              <w:t>项目不涉及</w:t>
            </w:r>
          </w:p>
        </w:tc>
        <w:tc>
          <w:tcPr>
            <w:tcW w:w="2841" w:type="dxa"/>
            <w:vAlign w:val="center"/>
          </w:tcPr>
          <w:p w14:paraId="7063CF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r>
      <w:tr w14:paraId="267B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B23A43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vertAlign w:val="baseline"/>
                <w:lang w:val="en-US" w:eastAsia="zh-CN"/>
              </w:rPr>
              <w:t>c）涉及生态保护红线或占地规模大于20km</w:t>
            </w:r>
            <w:r>
              <w:rPr>
                <w:rFonts w:hint="default" w:ascii="Times New Roman" w:hAnsi="Times New Roman" w:eastAsia="宋体" w:cs="Times New Roman"/>
                <w:color w:val="auto"/>
                <w:sz w:val="21"/>
                <w:szCs w:val="21"/>
                <w:vertAlign w:val="superscript"/>
                <w:lang w:val="en-US" w:eastAsia="zh-CN"/>
              </w:rPr>
              <w:t>2</w:t>
            </w:r>
            <w:r>
              <w:rPr>
                <w:rFonts w:hint="default" w:ascii="Times New Roman" w:hAnsi="Times New Roman" w:eastAsia="宋体" w:cs="Times New Roman"/>
                <w:color w:val="auto"/>
                <w:sz w:val="21"/>
                <w:szCs w:val="21"/>
                <w:vertAlign w:val="baseline"/>
                <w:lang w:val="en-US" w:eastAsia="zh-CN"/>
              </w:rPr>
              <w:t>的路段（包括永久和临时占用陆域和水域）或根据HJ</w:t>
            </w:r>
            <w:r>
              <w:rPr>
                <w:rFonts w:hint="eastAsia" w:cs="Times New Roman"/>
                <w:color w:val="auto"/>
                <w:sz w:val="21"/>
                <w:szCs w:val="21"/>
                <w:vertAlign w:val="baseline"/>
                <w:lang w:val="en-US" w:eastAsia="zh-CN"/>
              </w:rPr>
              <w:t xml:space="preserve"> </w:t>
            </w:r>
            <w:r>
              <w:rPr>
                <w:rFonts w:hint="default" w:ascii="Times New Roman" w:hAnsi="Times New Roman" w:eastAsia="宋体" w:cs="Times New Roman"/>
                <w:color w:val="auto"/>
                <w:sz w:val="21"/>
                <w:szCs w:val="21"/>
                <w:vertAlign w:val="baseline"/>
                <w:lang w:val="en-US" w:eastAsia="zh-CN"/>
              </w:rPr>
              <w:t>610、HJ</w:t>
            </w:r>
            <w:r>
              <w:rPr>
                <w:rFonts w:hint="eastAsia" w:cs="Times New Roman"/>
                <w:color w:val="auto"/>
                <w:sz w:val="21"/>
                <w:szCs w:val="21"/>
                <w:vertAlign w:val="baseline"/>
                <w:lang w:val="en-US" w:eastAsia="zh-CN"/>
              </w:rPr>
              <w:t xml:space="preserve"> </w:t>
            </w:r>
            <w:r>
              <w:rPr>
                <w:rFonts w:hint="default" w:ascii="Times New Roman" w:hAnsi="Times New Roman" w:eastAsia="宋体" w:cs="Times New Roman"/>
                <w:color w:val="auto"/>
                <w:sz w:val="21"/>
                <w:szCs w:val="21"/>
                <w:vertAlign w:val="baseline"/>
                <w:lang w:val="en-US" w:eastAsia="zh-CN"/>
              </w:rPr>
              <w:t>964判断地下水水位或土壤影响范围内分布有天然林、公益林、湿地等生态保护目标的路段，评价等级不低于二级；</w:t>
            </w:r>
          </w:p>
        </w:tc>
        <w:tc>
          <w:tcPr>
            <w:tcW w:w="2841" w:type="dxa"/>
            <w:vAlign w:val="center"/>
          </w:tcPr>
          <w:p w14:paraId="1E9E7B4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rPr>
              <w:t>本项目</w:t>
            </w:r>
            <w:r>
              <w:rPr>
                <w:rFonts w:hint="eastAsia" w:cs="Times New Roman"/>
                <w:color w:val="auto"/>
                <w:sz w:val="21"/>
                <w:szCs w:val="21"/>
                <w:lang w:val="en-US" w:eastAsia="zh-CN"/>
              </w:rPr>
              <w:t>不涉及</w:t>
            </w:r>
            <w:r>
              <w:rPr>
                <w:rFonts w:hint="default" w:ascii="Times New Roman" w:hAnsi="Times New Roman" w:eastAsia="宋体" w:cs="Times New Roman"/>
                <w:color w:val="auto"/>
                <w:sz w:val="21"/>
                <w:szCs w:val="21"/>
                <w:vertAlign w:val="baseline"/>
                <w:lang w:val="en-US" w:eastAsia="zh-CN"/>
              </w:rPr>
              <w:t>生态保护红线</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rPr>
              <w:t>拟建公路占地面积0.0931km</w:t>
            </w:r>
            <w:r>
              <w:rPr>
                <w:rFonts w:hint="default" w:ascii="Times New Roman" w:hAnsi="Times New Roman" w:eastAsia="宋体" w:cs="Times New Roman"/>
                <w:color w:val="auto"/>
                <w:sz w:val="21"/>
                <w:szCs w:val="21"/>
                <w:vertAlign w:val="superscript"/>
              </w:rPr>
              <w:t>2</w:t>
            </w:r>
            <w:r>
              <w:rPr>
                <w:rFonts w:hint="eastAsia" w:cs="Times New Roman"/>
                <w:color w:val="auto"/>
                <w:sz w:val="21"/>
                <w:szCs w:val="21"/>
                <w:vertAlign w:val="baseline"/>
                <w:lang w:eastAsia="zh-CN"/>
              </w:rPr>
              <w:t>，</w:t>
            </w:r>
            <w:r>
              <w:rPr>
                <w:rFonts w:hint="eastAsia" w:cs="Times New Roman"/>
                <w:color w:val="auto"/>
                <w:sz w:val="21"/>
                <w:szCs w:val="21"/>
                <w:vertAlign w:val="baseline"/>
                <w:lang w:val="en-US" w:eastAsia="zh-CN"/>
              </w:rPr>
              <w:t>项目区范围不涉及</w:t>
            </w:r>
            <w:r>
              <w:rPr>
                <w:rFonts w:hint="default" w:ascii="Times New Roman" w:hAnsi="Times New Roman" w:eastAsia="宋体" w:cs="Times New Roman"/>
                <w:color w:val="auto"/>
                <w:sz w:val="21"/>
                <w:szCs w:val="21"/>
                <w:vertAlign w:val="baseline"/>
                <w:lang w:val="en-US" w:eastAsia="zh-CN"/>
              </w:rPr>
              <w:t>天然林、公益林、湿地等生态保护目标</w:t>
            </w:r>
          </w:p>
        </w:tc>
        <w:tc>
          <w:tcPr>
            <w:tcW w:w="2841" w:type="dxa"/>
            <w:vAlign w:val="center"/>
          </w:tcPr>
          <w:p w14:paraId="332DF0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w:t>
            </w:r>
          </w:p>
        </w:tc>
      </w:tr>
      <w:tr w14:paraId="7D88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21959A33">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d）除本条</w:t>
            </w:r>
            <w:r>
              <w:rPr>
                <w:rFonts w:hint="default" w:ascii="Times New Roman" w:hAnsi="Times New Roman" w:eastAsia="宋体" w:cs="Times New Roman"/>
                <w:color w:val="auto"/>
                <w:sz w:val="21"/>
                <w:szCs w:val="21"/>
                <w:vertAlign w:val="baseline"/>
                <w:lang w:val="en-US" w:eastAsia="zh-CN"/>
              </w:rPr>
              <w:t>a）</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b）</w:t>
            </w:r>
            <w:r>
              <w:rPr>
                <w:rFonts w:hint="eastAsia" w:cs="Times New Roman"/>
                <w:color w:val="auto"/>
                <w:sz w:val="21"/>
                <w:szCs w:val="21"/>
                <w:vertAlign w:val="baseline"/>
                <w:lang w:val="en-US" w:eastAsia="zh-CN"/>
              </w:rPr>
              <w:t>、</w:t>
            </w:r>
            <w:r>
              <w:rPr>
                <w:rFonts w:hint="default" w:ascii="Times New Roman" w:hAnsi="Times New Roman" w:eastAsia="宋体" w:cs="Times New Roman"/>
                <w:color w:val="auto"/>
                <w:sz w:val="21"/>
                <w:szCs w:val="21"/>
                <w:vertAlign w:val="baseline"/>
                <w:lang w:val="en-US" w:eastAsia="zh-CN"/>
              </w:rPr>
              <w:t>c）</w:t>
            </w:r>
            <w:r>
              <w:rPr>
                <w:rFonts w:hint="eastAsia" w:cs="Times New Roman"/>
                <w:color w:val="auto"/>
                <w:sz w:val="21"/>
                <w:szCs w:val="21"/>
                <w:vertAlign w:val="baseline"/>
                <w:lang w:val="en-US" w:eastAsia="zh-CN"/>
              </w:rPr>
              <w:t>以外的路段，评价等级为三级；</w:t>
            </w:r>
          </w:p>
        </w:tc>
        <w:tc>
          <w:tcPr>
            <w:tcW w:w="2841" w:type="dxa"/>
            <w:vAlign w:val="center"/>
          </w:tcPr>
          <w:p w14:paraId="1C58AB2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三级</w:t>
            </w:r>
          </w:p>
        </w:tc>
        <w:tc>
          <w:tcPr>
            <w:tcW w:w="2841" w:type="dxa"/>
            <w:vAlign w:val="center"/>
          </w:tcPr>
          <w:p w14:paraId="1F1DF2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三级</w:t>
            </w:r>
          </w:p>
        </w:tc>
      </w:tr>
      <w:tr w14:paraId="0A97E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1" w:type="dxa"/>
            <w:gridSpan w:val="2"/>
            <w:vAlign w:val="center"/>
          </w:tcPr>
          <w:p w14:paraId="0A9153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综合判定</w:t>
            </w:r>
          </w:p>
        </w:tc>
        <w:tc>
          <w:tcPr>
            <w:tcW w:w="2841" w:type="dxa"/>
            <w:vAlign w:val="center"/>
          </w:tcPr>
          <w:p w14:paraId="2B9C6E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cs="Times New Roman"/>
                <w:color w:val="auto"/>
                <w:sz w:val="21"/>
                <w:szCs w:val="21"/>
                <w:vertAlign w:val="baseline"/>
                <w:lang w:val="en-US" w:eastAsia="zh-CN"/>
              </w:rPr>
              <w:t>三级</w:t>
            </w:r>
          </w:p>
        </w:tc>
      </w:tr>
    </w:tbl>
    <w:p w14:paraId="1DE770C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根据表1.3-2可知，本项目生态影响评价工作等级应为三级。</w:t>
      </w:r>
    </w:p>
    <w:p w14:paraId="78171D20">
      <w:pPr>
        <w:numPr>
          <w:ilvl w:val="0"/>
          <w:numId w:val="0"/>
        </w:numPr>
        <w:ind w:left="60" w:leftChars="0" w:firstLine="42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2"/>
          <w:sz w:val="24"/>
          <w:szCs w:val="24"/>
          <w:lang w:val="en-US" w:eastAsia="zh-CN" w:bidi="ar-SA"/>
        </w:rPr>
        <w:t>3）</w:t>
      </w:r>
      <w:r>
        <w:rPr>
          <w:rFonts w:hint="default" w:ascii="Times New Roman" w:hAnsi="Times New Roman" w:eastAsia="宋体" w:cs="Times New Roman"/>
          <w:b/>
          <w:bCs/>
          <w:color w:val="auto"/>
        </w:rPr>
        <w:t>地表水环境影响评价等级</w:t>
      </w:r>
    </w:p>
    <w:p w14:paraId="2568C1C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）7.1.3，a）项目线位或沿线设施直接排放</w:t>
      </w:r>
      <w:r>
        <w:rPr>
          <w:rFonts w:hint="eastAsia" w:cs="Times New Roman"/>
          <w:color w:val="auto"/>
          <w:kern w:val="0"/>
          <w:lang w:val="en-US" w:eastAsia="zh-CN" w:bidi="ar"/>
        </w:rPr>
        <w:t>受</w:t>
      </w:r>
      <w:r>
        <w:rPr>
          <w:rFonts w:hint="default" w:ascii="Times New Roman" w:hAnsi="Times New Roman" w:eastAsia="宋体" w:cs="Times New Roman"/>
          <w:color w:val="auto"/>
          <w:kern w:val="0"/>
          <w:lang w:bidi="ar"/>
        </w:rPr>
        <w:t>纳</w:t>
      </w:r>
      <w:r>
        <w:rPr>
          <w:rFonts w:hint="default" w:ascii="Times New Roman" w:hAnsi="Times New Roman" w:eastAsia="宋体" w:cs="Times New Roman"/>
          <w:color w:val="auto"/>
          <w:kern w:val="0"/>
          <w:lang w:bidi="ar"/>
        </w:rPr>
        <w:t>水体影响范围涉及地表水饮用水水源保护区、集中式饮用水水源取水口的路段，跨越Ⅱ类及以上水体的路段为地表水环境敏感路段，按照《环境影响评价技术导则 地表水环境》（HJ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2.3-2018）中水污染影响型项目相关规定路段确定评价等级；b）其他路段不必进行评价等级判定。</w:t>
      </w:r>
    </w:p>
    <w:p w14:paraId="74C49B9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w:t>
      </w:r>
      <w:r>
        <w:rPr>
          <w:rFonts w:hint="default" w:ascii="Times New Roman" w:hAnsi="Times New Roman" w:eastAsia="宋体" w:cs="Times New Roman"/>
          <w:color w:val="auto"/>
          <w:kern w:val="0"/>
          <w:lang w:bidi="ar"/>
        </w:rPr>
        <w:t>线位或沿线设施不涉及直接排放</w:t>
      </w:r>
      <w:r>
        <w:rPr>
          <w:rFonts w:hint="eastAsia" w:cs="Times New Roman"/>
          <w:color w:val="auto"/>
          <w:kern w:val="0"/>
          <w:lang w:val="en-US" w:eastAsia="zh-CN" w:bidi="ar"/>
        </w:rPr>
        <w:t>受</w:t>
      </w:r>
      <w:r>
        <w:rPr>
          <w:rFonts w:hint="default" w:ascii="Times New Roman" w:hAnsi="Times New Roman" w:eastAsia="宋体" w:cs="Times New Roman"/>
          <w:color w:val="auto"/>
          <w:kern w:val="0"/>
          <w:lang w:bidi="ar"/>
        </w:rPr>
        <w:t>纳</w:t>
      </w:r>
      <w:r>
        <w:rPr>
          <w:rFonts w:hint="default" w:ascii="Times New Roman" w:hAnsi="Times New Roman" w:eastAsia="宋体" w:cs="Times New Roman"/>
          <w:color w:val="auto"/>
          <w:kern w:val="0"/>
          <w:lang w:bidi="ar"/>
        </w:rPr>
        <w:t>水体且不涉及地表水饮用水水源保护区、集中式饮用水水源取水口，因此项目地表水环境不进行评价等级判定</w:t>
      </w:r>
      <w:r>
        <w:rPr>
          <w:rFonts w:hint="default" w:ascii="Times New Roman" w:hAnsi="Times New Roman" w:eastAsia="宋体" w:cs="Times New Roman"/>
          <w:color w:val="auto"/>
        </w:rPr>
        <w:t>。</w:t>
      </w:r>
    </w:p>
    <w:p w14:paraId="6C81955B">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4）环境空气影响评价等级</w:t>
      </w:r>
    </w:p>
    <w:p w14:paraId="2BB7845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）7.1.6大气环境影响评价不必进行评价等级判定，且根据</w:t>
      </w:r>
      <w:r>
        <w:rPr>
          <w:rFonts w:hint="default" w:ascii="Times New Roman" w:hAnsi="Times New Roman" w:eastAsia="宋体" w:cs="Times New Roman"/>
          <w:color w:val="auto"/>
        </w:rPr>
        <w:t>《环境影响评价技术导则 大气环境》（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2.2-2018</w:t>
      </w:r>
      <w:r>
        <w:rPr>
          <w:rFonts w:hint="default" w:ascii="Times New Roman" w:hAnsi="Times New Roman" w:eastAsia="宋体" w:cs="Times New Roman"/>
          <w:color w:val="auto"/>
        </w:rPr>
        <w:t>）中5.3.3.3节关于评价工作等级的划分的规定：对于公路、铁路项目应分别按照项目沿线主要集中式排放源（如服务区、车站大气污染源）排放的污染物计算其评价等级，本项目无服务区，不存在集中式大气污染，沿线无集中式大气污染排放源，可不设评价等级，因此</w:t>
      </w:r>
      <w:r>
        <w:rPr>
          <w:rFonts w:hint="default" w:ascii="Times New Roman" w:hAnsi="Times New Roman" w:eastAsia="宋体" w:cs="Times New Roman"/>
          <w:color w:val="auto"/>
          <w:kern w:val="0"/>
          <w:lang w:bidi="ar"/>
        </w:rPr>
        <w:t>项目大气环境不进行评价等级判定。</w:t>
      </w:r>
    </w:p>
    <w:p w14:paraId="2FA0F7E3">
      <w:pP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5）地下水影响评价等级</w:t>
      </w:r>
    </w:p>
    <w:p w14:paraId="7DBEA20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在公路建设及运营过程中，可能造成地下水流场或地下水水位变化以及部分地下水污染。</w:t>
      </w:r>
      <w:r>
        <w:rPr>
          <w:rFonts w:hint="default" w:ascii="Times New Roman" w:hAnsi="Times New Roman" w:eastAsia="宋体" w:cs="Times New Roman"/>
          <w:color w:val="auto"/>
          <w:kern w:val="0"/>
          <w:lang w:bidi="ar"/>
        </w:rPr>
        <w:t>公路项目加油站为Ⅱ类项目，其余为Ⅳ类项目，根据《环境影响评价技术导则 地下水环境》（</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610-2016</w:t>
      </w:r>
      <w:r>
        <w:rPr>
          <w:rFonts w:hint="default" w:ascii="Times New Roman" w:hAnsi="Times New Roman" w:eastAsia="宋体" w:cs="Times New Roman"/>
          <w:color w:val="auto"/>
          <w:kern w:val="0"/>
          <w:lang w:bidi="ar"/>
        </w:rPr>
        <w:t>）4.1条：Ⅳ类项目不开展地下水环境影响评价。此外，根据《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）：“a）加油站选址涉及</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610</w:t>
      </w:r>
      <w:r>
        <w:rPr>
          <w:rFonts w:hint="default" w:ascii="Times New Roman" w:hAnsi="Times New Roman" w:eastAsia="宋体" w:cs="Times New Roman"/>
          <w:color w:val="auto"/>
          <w:kern w:val="0"/>
          <w:lang w:bidi="ar"/>
        </w:rPr>
        <w:t>中地下水</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敏感</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区域或未按照要求采取严格的防泄漏、防渗等环保措施的</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，按照</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610</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的相关规定确定评价等级；其他加油站不必进行评价等级判定。</w:t>
      </w:r>
    </w:p>
    <w:p w14:paraId="71E9E9F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本项目类别为P公路-123、公路，由于本项目沿线不设置加油站，为Ⅳ类项目，因此本项目地下水评价可不设定等级。</w:t>
      </w:r>
    </w:p>
    <w:p w14:paraId="7ABDD064">
      <w:pP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6）环境风险评价等级</w:t>
      </w:r>
    </w:p>
    <w:p w14:paraId="3B34F9A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本项目为公路交通运输项目，本身无重大危险源，</w:t>
      </w:r>
      <w:r>
        <w:rPr>
          <w:rFonts w:hint="default" w:ascii="Times New Roman" w:hAnsi="Times New Roman" w:eastAsia="宋体" w:cs="Times New Roman"/>
          <w:color w:val="auto"/>
          <w:kern w:val="0"/>
          <w:lang w:bidi="ar"/>
        </w:rPr>
        <w:t>不存在危险物质生产、使用、储存</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）：“环境风险评价不必进行评价等级判定”，</w:t>
      </w:r>
      <w:r>
        <w:rPr>
          <w:rFonts w:hint="default" w:ascii="Times New Roman" w:hAnsi="Times New Roman" w:eastAsia="宋体" w:cs="Times New Roman"/>
          <w:color w:val="auto"/>
        </w:rPr>
        <w:t>按照《建设项目环境风险评价技术导则》（</w:t>
      </w:r>
      <w:r>
        <w:rPr>
          <w:rFonts w:hint="default" w:ascii="Times New Roman" w:hAnsi="Times New Roman" w:eastAsia="宋体" w:cs="Times New Roman"/>
          <w:color w:val="auto"/>
          <w:lang w:eastAsia="zh-CN"/>
        </w:rPr>
        <w:t>HJ 169-2018</w:t>
      </w:r>
      <w:r>
        <w:rPr>
          <w:rFonts w:hint="default" w:ascii="Times New Roman" w:hAnsi="Times New Roman" w:eastAsia="宋体" w:cs="Times New Roman"/>
          <w:color w:val="auto"/>
        </w:rPr>
        <w:t>）中关于评价工作等级的划分依据，拟建项目为一级公路，不存在重大危险源，本项目不设加油站，本项目不属于风险评价对象范围，因此，本项目环境风险简单分析。</w:t>
      </w:r>
    </w:p>
    <w:p w14:paraId="5F1919DC">
      <w:pPr>
        <w:ind w:left="480" w:firstLine="0" w:firstLineChars="0"/>
        <w:rPr>
          <w:rFonts w:hint="default" w:ascii="Times New Roman" w:hAnsi="Times New Roman" w:eastAsia="宋体" w:cs="Times New Roman"/>
          <w:color w:val="auto"/>
        </w:rPr>
      </w:pPr>
      <w:r>
        <w:rPr>
          <w:rFonts w:hint="default" w:ascii="Times New Roman" w:hAnsi="Times New Roman" w:eastAsia="宋体" w:cs="Times New Roman"/>
          <w:b/>
          <w:color w:val="auto"/>
        </w:rPr>
        <w:t>7）土壤评价等级</w:t>
      </w:r>
    </w:p>
    <w:p w14:paraId="63F04E0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依据《</w:t>
      </w:r>
      <w:r>
        <w:rPr>
          <w:rFonts w:hint="default" w:ascii="Times New Roman" w:hAnsi="Times New Roman" w:eastAsia="宋体" w:cs="Times New Roman"/>
          <w:color w:val="auto"/>
          <w:lang w:eastAsia="zh-CN"/>
        </w:rPr>
        <w:t>环境影响评价技术导则 土壤环境（试行）</w:t>
      </w:r>
      <w:r>
        <w:rPr>
          <w:rFonts w:hint="default" w:ascii="Times New Roman" w:hAnsi="Times New Roman" w:eastAsia="宋体" w:cs="Times New Roman"/>
          <w:color w:val="auto"/>
        </w:rPr>
        <w:t>》（</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964-2018</w:t>
      </w:r>
      <w:r>
        <w:rPr>
          <w:rFonts w:hint="default" w:ascii="Times New Roman" w:hAnsi="Times New Roman" w:eastAsia="宋体" w:cs="Times New Roman"/>
          <w:color w:val="auto"/>
        </w:rPr>
        <w:t>）评价等级划分的规定，建设项目土壤环境影响评价工作等级的划分应依据建设项目影响类型、行业分类、项目占地规模及土壤环境敏感程度分级进行判定。依据《</w:t>
      </w:r>
      <w:r>
        <w:rPr>
          <w:rFonts w:hint="default" w:ascii="Times New Roman" w:hAnsi="Times New Roman" w:eastAsia="宋体" w:cs="Times New Roman"/>
          <w:color w:val="auto"/>
          <w:lang w:eastAsia="zh-CN"/>
        </w:rPr>
        <w:t>环境影响评价技术导则 土壤环境（试行）</w:t>
      </w:r>
      <w:r>
        <w:rPr>
          <w:rFonts w:hint="default" w:ascii="Times New Roman" w:hAnsi="Times New Roman" w:eastAsia="宋体" w:cs="Times New Roman"/>
          <w:color w:val="auto"/>
        </w:rPr>
        <w:t>》</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964-2018</w:t>
      </w:r>
      <w:r>
        <w:rPr>
          <w:rFonts w:hint="default" w:ascii="Times New Roman" w:hAnsi="Times New Roman" w:eastAsia="宋体" w:cs="Times New Roman"/>
          <w:color w:val="auto"/>
        </w:rPr>
        <w:t>）附录A，本项目属于交通运输仓储邮政业中的其他类，属于Ⅳ类项目，不需开展土壤环境影响评价。</w:t>
      </w:r>
      <w:r>
        <w:rPr>
          <w:rFonts w:hint="default" w:ascii="Times New Roman" w:hAnsi="Times New Roman" w:eastAsia="宋体" w:cs="Times New Roman"/>
          <w:color w:val="auto"/>
          <w:kern w:val="0"/>
          <w:lang w:bidi="ar"/>
        </w:rPr>
        <w:t>此外，根据《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）：“a）加油站周边土壤环境敏感程度为HJ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964中</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敏感</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且未按照要求采取严格防泄漏、防渗等环保措施的，按照HJ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964中污染影响型的相关规定确定评价等级；其他加油站不必进行评价等级判定；b）其他区段，不必进行评价等级判定”；本项目不设置加油站，因此，本项目土壤环境影响评价不设评价等级。</w:t>
      </w:r>
    </w:p>
    <w:p w14:paraId="6B4C9EBC">
      <w:pPr>
        <w:pStyle w:val="5"/>
        <w:ind w:left="0" w:leftChars="0" w:firstLine="0" w:firstLineChars="0"/>
        <w:rPr>
          <w:rFonts w:hint="default" w:ascii="Times New Roman" w:hAnsi="Times New Roman" w:eastAsia="宋体" w:cs="Times New Roman"/>
          <w:color w:val="auto"/>
        </w:rPr>
      </w:pPr>
      <w:bookmarkStart w:id="12" w:name="_Toc3689"/>
      <w:r>
        <w:rPr>
          <w:rFonts w:hint="default" w:ascii="Times New Roman" w:hAnsi="Times New Roman" w:eastAsia="宋体" w:cs="Times New Roman"/>
          <w:color w:val="auto"/>
        </w:rPr>
        <w:t>1.3.2评价范围</w:t>
      </w:r>
      <w:bookmarkEnd w:id="12"/>
    </w:p>
    <w:p w14:paraId="46CC66D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rPr>
        <w:t>和《公路建设项目环境影响评价规范》的要求，</w:t>
      </w:r>
      <w:r>
        <w:rPr>
          <w:rFonts w:hint="default" w:ascii="Times New Roman" w:hAnsi="Times New Roman" w:eastAsia="宋体" w:cs="Times New Roman"/>
          <w:color w:val="auto"/>
        </w:rPr>
        <w:t>确定本项目评价范围。</w:t>
      </w:r>
    </w:p>
    <w:p w14:paraId="10A7873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（1）声环境评价范围</w:t>
      </w:r>
    </w:p>
    <w:p w14:paraId="58612CC7">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），公路建设施工期评价范围为施工场界外扩200m。项目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声环境一级评价的范围一般为路中心线两侧各200m以内。二级、三级评价范围可根据建设项目所在区域、相邻区域的声环境功能区类别及声环境保护目标等实际情况适当缩小。</w:t>
      </w:r>
    </w:p>
    <w:p w14:paraId="376562B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若依据建设项目声源计算所得的噪声贡献值在200m处仍无法满足相应声环境功能区标准值，则需将评价范围扩大至运营中期噪声贡献值达标的距离。</w:t>
      </w:r>
    </w:p>
    <w:p w14:paraId="2DD3477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经噪声预测，本项目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噪声贡献值在夜间时，距离路中心线40m处可满足《声环境质量标准》2类标准。综上，本项目声环境评价范围确定为线路中心线两侧各200m以内区域</w:t>
      </w:r>
      <w:r>
        <w:rPr>
          <w:rFonts w:hint="default" w:ascii="Times New Roman" w:hAnsi="Times New Roman" w:eastAsia="宋体" w:cs="Times New Roman"/>
          <w:color w:val="auto"/>
        </w:rPr>
        <w:t>。</w:t>
      </w:r>
    </w:p>
    <w:p w14:paraId="671BE1A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（2）生态环境评价范围</w:t>
      </w:r>
    </w:p>
    <w:p w14:paraId="766E6C2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根据《环境影响评价技术导则 生态影响》环境保护部</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19-2022）</w:t>
      </w:r>
      <w:r>
        <w:rPr>
          <w:rFonts w:hint="default" w:ascii="Times New Roman" w:hAnsi="Times New Roman" w:eastAsia="宋体" w:cs="Times New Roman"/>
          <w:color w:val="auto"/>
        </w:rPr>
        <w:t>对评价范围的要求及参照《公路建设项目环境影响评价规范》（JTG</w:t>
      </w:r>
      <w:r>
        <w:rPr>
          <w:rFonts w:hint="eastAsia" w:cs="Times New Roman"/>
          <w:color w:val="auto"/>
          <w:lang w:val="en-US" w:eastAsia="zh-CN"/>
        </w:rPr>
        <w:t xml:space="preserve"> </w:t>
      </w:r>
      <w:r>
        <w:rPr>
          <w:rFonts w:hint="default" w:ascii="Times New Roman" w:hAnsi="Times New Roman" w:eastAsia="宋体" w:cs="Times New Roman"/>
          <w:color w:val="auto"/>
        </w:rPr>
        <w:t>B03-2006）生态影响评价范围的确定方法。确定本项目陆生生态影响评价范围为</w:t>
      </w:r>
      <w:r>
        <w:rPr>
          <w:rFonts w:hint="default" w:ascii="Times New Roman" w:hAnsi="Times New Roman" w:eastAsia="宋体" w:cs="Times New Roman"/>
          <w:color w:val="auto"/>
        </w:rPr>
        <w:t>拟建公路中心线外300m以内的区域，取料场、弃渣场、施工便道、施工营场地等临时工程周围</w:t>
      </w:r>
      <w:r>
        <w:rPr>
          <w:rFonts w:hint="eastAsia" w:cs="Times New Roman"/>
          <w:color w:val="auto"/>
          <w:lang w:val="en-US" w:eastAsia="zh-CN"/>
        </w:rPr>
        <w:t>2</w:t>
      </w:r>
      <w:r>
        <w:rPr>
          <w:rFonts w:hint="default" w:ascii="Times New Roman" w:hAnsi="Times New Roman" w:eastAsia="宋体" w:cs="Times New Roman"/>
          <w:color w:val="auto"/>
        </w:rPr>
        <w:t>00m以内区域。</w:t>
      </w:r>
    </w:p>
    <w:p w14:paraId="7136E5B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（3）地表水评价范围</w:t>
      </w:r>
    </w:p>
    <w:p w14:paraId="264EE420">
      <w:pPr>
        <w:ind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根据《环境影响评价技术导则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eastAsia" w:ascii="Times New Roman" w:hAnsi="Times New Roman" w:cs="Times New Roman"/>
          <w:color w:val="auto"/>
          <w:kern w:val="0"/>
          <w:lang w:eastAsia="zh-CN" w:bidi="ar"/>
        </w:rPr>
        <w:t>，</w:t>
      </w:r>
      <w:r>
        <w:rPr>
          <w:rFonts w:hint="eastAsia" w:ascii="Times New Roman" w:hAnsi="Times New Roman" w:cs="Times New Roman"/>
          <w:color w:val="auto"/>
          <w:lang w:val="en-US" w:eastAsia="zh-CN"/>
        </w:rPr>
        <w:t>由于不设评价等级，不设置评价范围，</w:t>
      </w:r>
      <w:r>
        <w:rPr>
          <w:rFonts w:hint="eastAsia" w:cs="Times New Roman"/>
          <w:color w:val="auto"/>
          <w:lang w:val="en-US" w:eastAsia="zh-CN"/>
        </w:rPr>
        <w:t>考虑到甘庄河（距离公路南侧约345m）作为水环境敏感区，</w:t>
      </w:r>
      <w:r>
        <w:rPr>
          <w:rFonts w:hint="eastAsia" w:ascii="Times New Roman" w:hAnsi="Times New Roman" w:cs="Times New Roman"/>
          <w:color w:val="auto"/>
          <w:lang w:val="en-US" w:eastAsia="zh-CN"/>
        </w:rPr>
        <w:t>仅</w:t>
      </w:r>
      <w:r>
        <w:rPr>
          <w:rFonts w:hint="eastAsia" w:cs="Times New Roman"/>
          <w:color w:val="auto"/>
          <w:lang w:val="en-US" w:eastAsia="zh-CN"/>
        </w:rPr>
        <w:t>进行</w:t>
      </w:r>
      <w:r>
        <w:rPr>
          <w:rFonts w:hint="default" w:ascii="Times New Roman" w:hAnsi="Times New Roman" w:eastAsia="宋体" w:cs="Times New Roman"/>
          <w:color w:val="auto"/>
        </w:rPr>
        <w:t>调查</w:t>
      </w:r>
      <w:r>
        <w:rPr>
          <w:rFonts w:hint="eastAsia" w:cs="Times New Roman"/>
          <w:color w:val="auto"/>
          <w:lang w:eastAsia="zh-CN"/>
        </w:rPr>
        <w:t>，</w:t>
      </w:r>
      <w:r>
        <w:rPr>
          <w:rFonts w:hint="eastAsia" w:cs="Times New Roman"/>
          <w:color w:val="auto"/>
          <w:lang w:val="en-US" w:eastAsia="zh-CN"/>
        </w:rPr>
        <w:t>对其进行影响分析</w:t>
      </w:r>
      <w:r>
        <w:rPr>
          <w:rFonts w:hint="eastAsia" w:cs="Times New Roman"/>
          <w:color w:val="auto"/>
          <w:lang w:eastAsia="zh-CN"/>
        </w:rPr>
        <w:t>。</w:t>
      </w:r>
    </w:p>
    <w:p w14:paraId="42E994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（4）</w:t>
      </w:r>
      <w:r>
        <w:rPr>
          <w:rFonts w:hint="default" w:ascii="Times New Roman" w:hAnsi="Times New Roman" w:eastAsia="宋体" w:cs="Times New Roman"/>
          <w:color w:val="auto"/>
          <w:kern w:val="0"/>
          <w:lang w:bidi="ar"/>
        </w:rPr>
        <w:t>环境空气评价范围</w:t>
      </w:r>
    </w:p>
    <w:p w14:paraId="30307B8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）：“大气环境影响评价不必确定评价范围”，故本项目不设置环境空气评价范围</w:t>
      </w:r>
      <w:r>
        <w:rPr>
          <w:rFonts w:hint="default" w:ascii="Times New Roman" w:hAnsi="Times New Roman" w:eastAsia="宋体" w:cs="Times New Roman"/>
          <w:color w:val="auto"/>
        </w:rPr>
        <w:t>。</w:t>
      </w:r>
    </w:p>
    <w:p w14:paraId="69054C0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（5）地下水评价范围</w:t>
      </w:r>
    </w:p>
    <w:p w14:paraId="39C24AE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w:t>
      </w:r>
      <w:r>
        <w:rPr>
          <w:rFonts w:hint="default" w:ascii="Times New Roman" w:hAnsi="Times New Roman" w:eastAsia="宋体" w:cs="Times New Roman"/>
          <w:color w:val="auto"/>
          <w:lang w:eastAsia="zh-CN"/>
        </w:rPr>
        <w:t>环境影响评价技术导则 地下水环境</w:t>
      </w:r>
      <w:r>
        <w:rPr>
          <w:rFonts w:hint="default" w:ascii="Times New Roman" w:hAnsi="Times New Roman" w:eastAsia="宋体" w:cs="Times New Roman"/>
          <w:color w:val="auto"/>
        </w:rPr>
        <w:t>》</w:t>
      </w:r>
      <w:r>
        <w:rPr>
          <w:rFonts w:hint="eastAsia" w:cs="Times New Roman"/>
          <w:color w:val="auto"/>
          <w:lang w:eastAsia="zh-CN"/>
        </w:rPr>
        <w:t>（</w:t>
      </w:r>
      <w:r>
        <w:rPr>
          <w:rFonts w:hint="default" w:ascii="Times New Roman" w:hAnsi="Times New Roman" w:eastAsia="宋体" w:cs="Times New Roman"/>
          <w:color w:val="auto"/>
        </w:rPr>
        <w:t>HJ</w:t>
      </w:r>
      <w:r>
        <w:rPr>
          <w:rFonts w:hint="eastAsia" w:ascii="Times New Roman" w:hAnsi="Times New Roman" w:cs="Times New Roman"/>
          <w:color w:val="auto"/>
          <w:lang w:val="en-US" w:eastAsia="zh-CN"/>
        </w:rPr>
        <w:t xml:space="preserve"> </w:t>
      </w:r>
      <w:r>
        <w:rPr>
          <w:rFonts w:hint="default" w:ascii="Times New Roman" w:hAnsi="Times New Roman" w:eastAsia="宋体" w:cs="Times New Roman"/>
          <w:color w:val="auto"/>
        </w:rPr>
        <w:t>610-2016</w:t>
      </w:r>
      <w:r>
        <w:rPr>
          <w:rFonts w:hint="eastAsia" w:cs="Times New Roman"/>
          <w:color w:val="auto"/>
          <w:lang w:eastAsia="zh-CN"/>
        </w:rPr>
        <w:t>）</w:t>
      </w:r>
      <w:r>
        <w:rPr>
          <w:rFonts w:hint="default" w:ascii="Times New Roman" w:hAnsi="Times New Roman" w:eastAsia="宋体" w:cs="Times New Roman"/>
          <w:color w:val="auto"/>
        </w:rPr>
        <w:t>中8.2.2.2规定，线性工程以工程边界两侧向外延伸200m作为调查评价范围。</w:t>
      </w:r>
    </w:p>
    <w:p w14:paraId="325DF6A8">
      <w:pPr>
        <w:ind w:left="6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（6）环境风险评价范围</w:t>
      </w:r>
    </w:p>
    <w:p w14:paraId="428AC44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）：“环境风险影响评价不必确定评价范围”，故本项目不设置环境风险评价范围。</w:t>
      </w:r>
    </w:p>
    <w:p w14:paraId="1ED48125">
      <w:pPr>
        <w:ind w:left="480" w:firstLine="0" w:firstLineChars="0"/>
        <w:rPr>
          <w:rFonts w:hint="default" w:ascii="Times New Roman" w:hAnsi="Times New Roman" w:eastAsia="宋体" w:cs="Times New Roman"/>
          <w:bCs/>
          <w:color w:val="auto"/>
        </w:rPr>
      </w:pPr>
      <w:r>
        <w:rPr>
          <w:rFonts w:hint="default" w:ascii="Times New Roman" w:hAnsi="Times New Roman" w:eastAsia="宋体" w:cs="Times New Roman"/>
          <w:bCs/>
          <w:color w:val="auto"/>
        </w:rPr>
        <w:t>（7）土壤评价范围</w:t>
      </w:r>
    </w:p>
    <w:p w14:paraId="5C00E42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）：“不涉及加油站的其他区段不必确定评价范围”，故本项目不设置土壤评价范围。</w:t>
      </w:r>
    </w:p>
    <w:p w14:paraId="05567733">
      <w:pPr>
        <w:pStyle w:val="5"/>
        <w:ind w:left="0" w:leftChars="0" w:firstLine="0" w:firstLineChars="0"/>
        <w:rPr>
          <w:rFonts w:hint="default" w:ascii="Times New Roman" w:hAnsi="Times New Roman" w:eastAsia="宋体" w:cs="Times New Roman"/>
          <w:color w:val="auto"/>
        </w:rPr>
      </w:pPr>
      <w:bookmarkStart w:id="13" w:name="_Toc11860"/>
      <w:r>
        <w:rPr>
          <w:rFonts w:hint="default" w:ascii="Times New Roman" w:hAnsi="Times New Roman" w:eastAsia="宋体" w:cs="Times New Roman"/>
          <w:color w:val="auto"/>
        </w:rPr>
        <w:t>1.3.3评价等级及评价范围汇总表</w:t>
      </w:r>
      <w:bookmarkEnd w:id="13"/>
    </w:p>
    <w:p w14:paraId="2B69BD3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表1</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评价等级及评价范围汇总表</w:t>
      </w:r>
    </w:p>
    <w:tbl>
      <w:tblPr>
        <w:tblStyle w:val="58"/>
        <w:tblW w:w="0" w:type="auto"/>
        <w:tblInd w:w="228" w:type="dxa"/>
        <w:tblLayout w:type="autofit"/>
        <w:tblCellMar>
          <w:top w:w="0" w:type="dxa"/>
          <w:left w:w="108" w:type="dxa"/>
          <w:bottom w:w="0" w:type="dxa"/>
          <w:right w:w="108" w:type="dxa"/>
        </w:tblCellMar>
      </w:tblPr>
      <w:tblGrid>
        <w:gridCol w:w="698"/>
        <w:gridCol w:w="1194"/>
        <w:gridCol w:w="845"/>
        <w:gridCol w:w="5557"/>
      </w:tblGrid>
      <w:tr w14:paraId="38A38F43">
        <w:tblPrEx>
          <w:tblCellMar>
            <w:top w:w="0" w:type="dxa"/>
            <w:left w:w="108" w:type="dxa"/>
            <w:bottom w:w="0" w:type="dxa"/>
            <w:right w:w="108" w:type="dxa"/>
          </w:tblCellMar>
        </w:tblPrEx>
        <w:trPr>
          <w:trHeight w:val="45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0921EEDE">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序号</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79ACCB4C">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环境要素</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74E8D262">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评价等级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3D6034B0">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评价范围</w:t>
            </w:r>
          </w:p>
        </w:tc>
      </w:tr>
      <w:tr w14:paraId="63AC5DF0">
        <w:tblPrEx>
          <w:tblCellMar>
            <w:top w:w="0" w:type="dxa"/>
            <w:left w:w="108" w:type="dxa"/>
            <w:bottom w:w="0" w:type="dxa"/>
            <w:right w:w="108" w:type="dxa"/>
          </w:tblCellMar>
        </w:tblPrEx>
        <w:trPr>
          <w:trHeight w:val="75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0AA80023">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1</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0044D15">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声环境</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03CF33F7">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二级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15A120E2">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rPr>
              <w:t>施工期评价范围为施工场界外扩 200m；</w:t>
            </w:r>
            <w:r>
              <w:rPr>
                <w:rFonts w:hint="eastAsia" w:hAnsi="Times New Roman" w:cs="Times New Roman"/>
                <w:b w:val="0"/>
                <w:bCs w:val="0"/>
                <w:color w:val="auto"/>
                <w:lang w:eastAsia="zh-CN"/>
              </w:rPr>
              <w:t>营运期</w:t>
            </w:r>
            <w:r>
              <w:rPr>
                <w:rFonts w:hint="default" w:ascii="Times New Roman" w:hAnsi="Times New Roman" w:eastAsia="宋体" w:cs="Times New Roman"/>
                <w:b w:val="0"/>
                <w:bCs w:val="0"/>
                <w:color w:val="auto"/>
              </w:rPr>
              <w:t>以</w:t>
            </w:r>
            <w:r>
              <w:rPr>
                <w:rFonts w:hint="default" w:ascii="Times New Roman" w:hAnsi="Times New Roman" w:eastAsia="宋体" w:cs="Times New Roman"/>
                <w:b w:val="0"/>
                <w:bCs w:val="0"/>
                <w:color w:val="auto"/>
                <w:szCs w:val="21"/>
              </w:rPr>
              <w:t>公路中心线两侧各200m以内的区域</w:t>
            </w:r>
          </w:p>
        </w:tc>
      </w:tr>
      <w:tr w14:paraId="3AD940F3">
        <w:tblPrEx>
          <w:tblCellMar>
            <w:top w:w="0" w:type="dxa"/>
            <w:left w:w="108" w:type="dxa"/>
            <w:bottom w:w="0" w:type="dxa"/>
            <w:right w:w="108" w:type="dxa"/>
          </w:tblCellMar>
        </w:tblPrEx>
        <w:trPr>
          <w:trHeight w:val="1006"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639E515C">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2</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8BBDF5C">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生态</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D0E6D3B">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4686D7E7">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陆生生态影响评价范围为拟建公路中心线外300m以内的区域及施工场地、</w:t>
            </w:r>
            <w:r>
              <w:rPr>
                <w:rFonts w:hint="default" w:ascii="Times New Roman" w:hAnsi="Times New Roman" w:eastAsia="宋体" w:cs="Times New Roman"/>
                <w:b w:val="0"/>
                <w:bCs w:val="0"/>
                <w:color w:val="auto"/>
                <w:szCs w:val="21"/>
              </w:rPr>
              <w:t>弃</w:t>
            </w:r>
            <w:r>
              <w:rPr>
                <w:rFonts w:hint="eastAsia" w:hAnsi="Times New Roman" w:cs="Times New Roman"/>
                <w:b w:val="0"/>
                <w:bCs w:val="0"/>
                <w:color w:val="auto"/>
                <w:szCs w:val="21"/>
                <w:lang w:val="en-US" w:eastAsia="zh-CN"/>
              </w:rPr>
              <w:t>渣</w:t>
            </w:r>
            <w:r>
              <w:rPr>
                <w:rFonts w:hint="default" w:ascii="Times New Roman" w:hAnsi="Times New Roman" w:eastAsia="宋体" w:cs="Times New Roman"/>
                <w:b w:val="0"/>
                <w:bCs w:val="0"/>
                <w:color w:val="auto"/>
                <w:szCs w:val="21"/>
              </w:rPr>
              <w:t>场等临时占地区边界外200m范围</w:t>
            </w:r>
          </w:p>
        </w:tc>
      </w:tr>
      <w:tr w14:paraId="58F23121">
        <w:tblPrEx>
          <w:tblCellMar>
            <w:top w:w="0" w:type="dxa"/>
            <w:left w:w="108" w:type="dxa"/>
            <w:bottom w:w="0" w:type="dxa"/>
            <w:right w:w="108" w:type="dxa"/>
          </w:tblCellMar>
        </w:tblPrEx>
        <w:trPr>
          <w:trHeight w:val="85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13F20C91">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3</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7F0DBA6A">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地表水</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0F7E9111">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2551D4E7">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不设评价范围</w:t>
            </w:r>
          </w:p>
        </w:tc>
      </w:tr>
      <w:tr w14:paraId="4E7D239C">
        <w:tblPrEx>
          <w:tblCellMar>
            <w:top w:w="0" w:type="dxa"/>
            <w:left w:w="108" w:type="dxa"/>
            <w:bottom w:w="0" w:type="dxa"/>
            <w:right w:w="108" w:type="dxa"/>
          </w:tblCellMar>
        </w:tblPrEx>
        <w:trPr>
          <w:trHeight w:val="88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1EC44982">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4</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4DD9EB9">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环境空气</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4E9D0DA2">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5948D740">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不设评价范围</w:t>
            </w:r>
          </w:p>
        </w:tc>
      </w:tr>
      <w:tr w14:paraId="09E0E920">
        <w:tblPrEx>
          <w:tblCellMar>
            <w:top w:w="0" w:type="dxa"/>
            <w:left w:w="108" w:type="dxa"/>
            <w:bottom w:w="0" w:type="dxa"/>
            <w:right w:w="108" w:type="dxa"/>
          </w:tblCellMar>
        </w:tblPrEx>
        <w:trPr>
          <w:trHeight w:val="82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6B91F59E">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5</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797499A4">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地下水</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60D9BA77">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5FA1D8D2">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不设评价范围</w:t>
            </w:r>
          </w:p>
        </w:tc>
      </w:tr>
      <w:tr w14:paraId="30C6C265">
        <w:tblPrEx>
          <w:tblCellMar>
            <w:top w:w="0" w:type="dxa"/>
            <w:left w:w="108" w:type="dxa"/>
            <w:bottom w:w="0" w:type="dxa"/>
            <w:right w:w="108" w:type="dxa"/>
          </w:tblCellMar>
        </w:tblPrEx>
        <w:trPr>
          <w:trHeight w:val="929"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43F69CBC">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6</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FC59FDD">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土壤</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1014D6CD">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35107642">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不设评价范围</w:t>
            </w:r>
          </w:p>
        </w:tc>
      </w:tr>
      <w:tr w14:paraId="6AAE68FA">
        <w:tblPrEx>
          <w:tblCellMar>
            <w:top w:w="0" w:type="dxa"/>
            <w:left w:w="108" w:type="dxa"/>
            <w:bottom w:w="0" w:type="dxa"/>
            <w:right w:w="108" w:type="dxa"/>
          </w:tblCellMar>
        </w:tblPrEx>
        <w:trPr>
          <w:trHeight w:val="924" w:hRule="exact"/>
        </w:trPr>
        <w:tc>
          <w:tcPr>
            <w:tcW w:w="698" w:type="dxa"/>
            <w:tcBorders>
              <w:top w:val="single" w:color="000000" w:sz="4" w:space="0"/>
              <w:left w:val="single" w:color="000000" w:sz="4" w:space="0"/>
              <w:bottom w:val="single" w:color="000000" w:sz="4" w:space="0"/>
              <w:right w:val="single" w:color="000000" w:sz="4" w:space="0"/>
            </w:tcBorders>
            <w:noWrap w:val="0"/>
            <w:vAlign w:val="center"/>
          </w:tcPr>
          <w:p w14:paraId="26AC3632">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6</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53A82F6">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风险</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5EAB8366">
            <w:pPr>
              <w:pStyle w:val="69"/>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不设等级</w:t>
            </w:r>
          </w:p>
        </w:tc>
        <w:tc>
          <w:tcPr>
            <w:tcW w:w="5557" w:type="dxa"/>
            <w:tcBorders>
              <w:top w:val="single" w:color="000000" w:sz="4" w:space="0"/>
              <w:left w:val="single" w:color="000000" w:sz="4" w:space="0"/>
              <w:bottom w:val="single" w:color="000000" w:sz="4" w:space="0"/>
              <w:right w:val="single" w:color="000000" w:sz="4" w:space="0"/>
            </w:tcBorders>
            <w:noWrap w:val="0"/>
            <w:vAlign w:val="center"/>
          </w:tcPr>
          <w:p w14:paraId="20D94BE0">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不设评价范围</w:t>
            </w:r>
          </w:p>
        </w:tc>
      </w:tr>
    </w:tbl>
    <w:p w14:paraId="3C2C4C80">
      <w:pPr>
        <w:pStyle w:val="3"/>
        <w:numPr>
          <w:ilvl w:val="0"/>
          <w:numId w:val="0"/>
        </w:numPr>
        <w:rPr>
          <w:rFonts w:hint="default" w:ascii="Times New Roman" w:hAnsi="Times New Roman" w:eastAsia="宋体" w:cs="Times New Roman"/>
          <w:color w:val="auto"/>
        </w:rPr>
      </w:pPr>
      <w:bookmarkStart w:id="14" w:name="_Toc18156"/>
      <w:r>
        <w:rPr>
          <w:rFonts w:hint="default" w:ascii="Times New Roman" w:hAnsi="Times New Roman" w:eastAsia="宋体" w:cs="Times New Roman"/>
          <w:color w:val="auto"/>
        </w:rPr>
        <w:t>1.4评价方法、评价时段</w:t>
      </w:r>
      <w:bookmarkEnd w:id="14"/>
    </w:p>
    <w:p w14:paraId="788EB24C">
      <w:pPr>
        <w:pStyle w:val="5"/>
        <w:ind w:left="0" w:leftChars="0" w:firstLine="0" w:firstLineChars="0"/>
        <w:rPr>
          <w:rFonts w:hint="default" w:ascii="Times New Roman" w:hAnsi="Times New Roman" w:eastAsia="宋体" w:cs="Times New Roman"/>
          <w:color w:val="auto"/>
        </w:rPr>
      </w:pPr>
      <w:bookmarkStart w:id="15" w:name="1.6.1评价方法"/>
      <w:bookmarkEnd w:id="15"/>
      <w:bookmarkStart w:id="16" w:name="_Toc16390"/>
      <w:r>
        <w:rPr>
          <w:rFonts w:hint="default" w:ascii="Times New Roman" w:hAnsi="Times New Roman" w:eastAsia="宋体" w:cs="Times New Roman"/>
          <w:color w:val="auto"/>
        </w:rPr>
        <w:t>1.4.1评价方法</w:t>
      </w:r>
      <w:bookmarkEnd w:id="16"/>
    </w:p>
    <w:p w14:paraId="335F157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声环境影响评价依据《环境影响评价技术导则 声环境》（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2.4-2021</w:t>
      </w:r>
      <w:r>
        <w:rPr>
          <w:rFonts w:hint="default" w:ascii="Times New Roman" w:hAnsi="Times New Roman" w:eastAsia="宋体" w:cs="Times New Roman"/>
          <w:color w:val="auto"/>
        </w:rPr>
        <w:t>）。环境现状评价主要采取实地踏勘、调查、资料收集，对现状进行监测后，结合保护目标情况进行评价。营运期声环境影响评价采用《环境影响评价技术导则 声环境》（HJ</w:t>
      </w:r>
      <w:r>
        <w:rPr>
          <w:rFonts w:hint="eastAsia" w:cs="Times New Roman"/>
          <w:color w:val="auto"/>
          <w:lang w:val="en-US" w:eastAsia="zh-CN"/>
        </w:rPr>
        <w:t xml:space="preserve"> </w:t>
      </w:r>
      <w:r>
        <w:rPr>
          <w:rFonts w:hint="default" w:ascii="Times New Roman" w:hAnsi="Times New Roman" w:eastAsia="宋体" w:cs="Times New Roman"/>
          <w:color w:val="auto"/>
        </w:rPr>
        <w:t>2.4-2021）中的模式进行预测和分析评价。</w:t>
      </w:r>
    </w:p>
    <w:p w14:paraId="13C5783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环境空气影响评价主要采用《环境影响评价技术导则 大气环境》（</w:t>
      </w:r>
      <w:r>
        <w:rPr>
          <w:rFonts w:hint="default" w:ascii="Times New Roman" w:hAnsi="Times New Roman" w:eastAsia="宋体" w:cs="Times New Roman"/>
          <w:color w:val="auto"/>
        </w:rPr>
        <w:t>HJ</w:t>
      </w:r>
      <w:r>
        <w:rPr>
          <w:rFonts w:hint="eastAsia" w:cs="Times New Roman"/>
          <w:color w:val="auto"/>
          <w:lang w:val="en-US" w:eastAsia="zh-CN"/>
        </w:rPr>
        <w:t xml:space="preserve"> </w:t>
      </w:r>
      <w:r>
        <w:rPr>
          <w:rFonts w:hint="default" w:ascii="Times New Roman" w:hAnsi="Times New Roman" w:eastAsia="宋体" w:cs="Times New Roman"/>
          <w:color w:val="auto"/>
        </w:rPr>
        <w:t>2.2- 2018</w:t>
      </w:r>
      <w:r>
        <w:rPr>
          <w:rFonts w:hint="default" w:ascii="Times New Roman" w:hAnsi="Times New Roman" w:eastAsia="宋体" w:cs="Times New Roman"/>
          <w:color w:val="auto"/>
        </w:rPr>
        <w:t>）模式预测与类比分析相结合的方法做定性分析。</w:t>
      </w:r>
    </w:p>
    <w:p w14:paraId="0C1BFC4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水环境影响评价采用现状调查法、查阅资料法。</w:t>
      </w:r>
    </w:p>
    <w:p w14:paraId="5DB3EB9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地下水环境评价方法采用现状调查法、查阅资料法。</w:t>
      </w:r>
    </w:p>
    <w:p w14:paraId="78B96F6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生态环境调查评价利用有关部门的资料，在此基础上进行现场踏勘，对项目区生态环境进行现状评价分析，并结合卫星影像图和土地利用现状图，进行定量和定性分析。</w:t>
      </w:r>
    </w:p>
    <w:p w14:paraId="26B5BEB7">
      <w:pPr>
        <w:pStyle w:val="5"/>
        <w:ind w:left="0" w:leftChars="0" w:firstLine="0" w:firstLineChars="0"/>
        <w:rPr>
          <w:rFonts w:hint="default" w:ascii="Times New Roman" w:hAnsi="Times New Roman" w:eastAsia="宋体" w:cs="Times New Roman"/>
          <w:color w:val="auto"/>
        </w:rPr>
      </w:pPr>
      <w:bookmarkStart w:id="17" w:name="1.6.2评价时段"/>
      <w:bookmarkEnd w:id="17"/>
      <w:bookmarkStart w:id="18" w:name="_Toc18501"/>
      <w:r>
        <w:rPr>
          <w:rFonts w:hint="default" w:ascii="Times New Roman" w:hAnsi="Times New Roman" w:eastAsia="宋体" w:cs="Times New Roman"/>
          <w:color w:val="auto"/>
        </w:rPr>
        <w:t>1.4.2评价时段</w:t>
      </w:r>
      <w:bookmarkEnd w:id="18"/>
    </w:p>
    <w:p w14:paraId="2A47955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项目评价时段分为施工期和营运期，营运期预测年限取本公路竣工投入营运后的第1年、第7年和第15年三个时段。根据工程可行性研究报告，本项目计划202</w:t>
      </w:r>
      <w:r>
        <w:rPr>
          <w:rFonts w:hint="eastAsia" w:cs="Times New Roman"/>
          <w:color w:val="auto"/>
          <w:lang w:val="en-US" w:eastAsia="zh-CN"/>
        </w:rPr>
        <w:t>7</w:t>
      </w:r>
      <w:r>
        <w:rPr>
          <w:rFonts w:hint="default" w:ascii="Times New Roman" w:hAnsi="Times New Roman" w:eastAsia="宋体" w:cs="Times New Roman"/>
          <w:color w:val="auto"/>
        </w:rPr>
        <w:t>年竣工通车。因此，项目施工期评价时段为1年，营运期的评价时段为202</w:t>
      </w:r>
      <w:r>
        <w:rPr>
          <w:rFonts w:hint="eastAsia" w:cs="Times New Roman"/>
          <w:color w:val="auto"/>
          <w:lang w:val="en-US" w:eastAsia="zh-CN"/>
        </w:rPr>
        <w:t>7</w:t>
      </w:r>
      <w:r>
        <w:rPr>
          <w:rFonts w:hint="default" w:ascii="Times New Roman" w:hAnsi="Times New Roman" w:eastAsia="宋体" w:cs="Times New Roman"/>
          <w:color w:val="auto"/>
        </w:rPr>
        <w:t>年、203</w:t>
      </w:r>
      <w:r>
        <w:rPr>
          <w:rFonts w:hint="eastAsia" w:cs="Times New Roman"/>
          <w:color w:val="auto"/>
          <w:lang w:val="en-US" w:eastAsia="zh-CN"/>
        </w:rPr>
        <w:t>4</w:t>
      </w:r>
      <w:r>
        <w:rPr>
          <w:rFonts w:hint="default" w:ascii="Times New Roman" w:hAnsi="Times New Roman" w:eastAsia="宋体" w:cs="Times New Roman"/>
          <w:color w:val="auto"/>
        </w:rPr>
        <w:t>、204</w:t>
      </w:r>
      <w:r>
        <w:rPr>
          <w:rFonts w:hint="eastAsia" w:cs="Times New Roman"/>
          <w:color w:val="auto"/>
          <w:lang w:val="en-US" w:eastAsia="zh-CN"/>
        </w:rPr>
        <w:t>2</w:t>
      </w:r>
      <w:r>
        <w:rPr>
          <w:rFonts w:hint="default" w:ascii="Times New Roman" w:hAnsi="Times New Roman" w:eastAsia="宋体" w:cs="Times New Roman"/>
          <w:color w:val="auto"/>
        </w:rPr>
        <w:t>年三个时段。</w:t>
      </w:r>
    </w:p>
    <w:p w14:paraId="6A9B9099">
      <w:pPr>
        <w:pStyle w:val="3"/>
        <w:numPr>
          <w:ilvl w:val="0"/>
          <w:numId w:val="0"/>
        </w:numPr>
        <w:rPr>
          <w:rFonts w:hint="default" w:ascii="Times New Roman" w:hAnsi="Times New Roman" w:eastAsia="宋体" w:cs="Times New Roman"/>
          <w:color w:val="auto"/>
        </w:rPr>
      </w:pPr>
      <w:bookmarkStart w:id="19" w:name="_Toc24661"/>
      <w:r>
        <w:rPr>
          <w:rFonts w:hint="default" w:ascii="Times New Roman" w:hAnsi="Times New Roman" w:eastAsia="宋体" w:cs="Times New Roman"/>
          <w:color w:val="auto"/>
        </w:rPr>
        <w:t>1.5评价重点</w:t>
      </w:r>
      <w:bookmarkEnd w:id="19"/>
    </w:p>
    <w:p w14:paraId="23C67C5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根据对拟建道路现场踏勘调查及工程特性分析，本项目环境影响评价重点为大气环境、声环境、生态环境，尤其是针对</w:t>
      </w:r>
      <w:r>
        <w:rPr>
          <w:rFonts w:hint="default" w:ascii="Times New Roman" w:hAnsi="Times New Roman" w:cs="Times New Roman"/>
          <w:color w:val="auto"/>
          <w:lang w:eastAsia="zh-CN"/>
        </w:rPr>
        <w:t>施工期土石方工程、弃渣场等工程占地及产生的水土流失等生态环境问题、施工机械噪声及粉尘、沥青烟污染问题</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交通噪声影响</w:t>
      </w:r>
      <w:r>
        <w:rPr>
          <w:rFonts w:hint="default" w:ascii="Times New Roman" w:hAnsi="Times New Roman" w:cs="Times New Roman"/>
          <w:color w:val="auto"/>
          <w:lang w:eastAsia="zh-CN"/>
        </w:rPr>
        <w:t>要重点关注</w:t>
      </w:r>
      <w:r>
        <w:rPr>
          <w:rFonts w:hint="default" w:ascii="Times New Roman" w:hAnsi="Times New Roman" w:eastAsia="宋体" w:cs="Times New Roman"/>
          <w:color w:val="auto"/>
          <w:kern w:val="0"/>
          <w:lang w:bidi="ar"/>
        </w:rPr>
        <w:t>。</w:t>
      </w:r>
    </w:p>
    <w:p w14:paraId="3BCED3E5">
      <w:pPr>
        <w:ind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（1）施工期环境影响进行重点分析评价。</w:t>
      </w:r>
      <w:r>
        <w:rPr>
          <w:rFonts w:hint="default" w:ascii="Times New Roman" w:hAnsi="Times New Roman" w:eastAsia="宋体" w:cs="Times New Roman"/>
          <w:color w:val="auto"/>
          <w:kern w:val="0"/>
          <w:lang w:bidi="ar"/>
        </w:rPr>
        <w:t>施工期重点是施工扬尘和施工噪声对道路两侧的村镇的影响，包括预测影响范围、程度和采取的环境保护措施；工程永久占地、工程临时占地对当地生态环境的影响，包括对生态系统的阻隔、动植物的影响程度、范围和采取的减缓措施及效果分析</w:t>
      </w:r>
      <w:r>
        <w:rPr>
          <w:rFonts w:hint="default" w:ascii="Times New Roman" w:hAnsi="Times New Roman" w:eastAsia="宋体" w:cs="Times New Roman"/>
          <w:color w:val="auto"/>
        </w:rPr>
        <w:t>，对施工方式环境可行性进行简要的分析</w:t>
      </w:r>
      <w:r>
        <w:rPr>
          <w:rFonts w:hint="eastAsia" w:cs="Times New Roman"/>
          <w:color w:val="auto"/>
          <w:lang w:eastAsia="zh-CN"/>
        </w:rPr>
        <w:t>，</w:t>
      </w:r>
      <w:r>
        <w:rPr>
          <w:rFonts w:hint="eastAsia" w:cs="Times New Roman"/>
          <w:color w:val="auto"/>
          <w:lang w:val="en-US" w:eastAsia="zh-CN"/>
        </w:rPr>
        <w:t>以及</w:t>
      </w:r>
      <w:r>
        <w:rPr>
          <w:rFonts w:hint="default" w:ascii="Times New Roman" w:hAnsi="Times New Roman" w:cs="Times New Roman"/>
          <w:color w:val="auto"/>
          <w:lang w:eastAsia="zh-CN"/>
        </w:rPr>
        <w:t>生活污水及施工废水对周边地表水环境的影响</w:t>
      </w:r>
      <w:r>
        <w:rPr>
          <w:rFonts w:hint="eastAsia" w:ascii="Times New Roman" w:hAnsi="Times New Roman" w:cs="Times New Roman"/>
          <w:color w:val="auto"/>
          <w:lang w:eastAsia="zh-CN"/>
        </w:rPr>
        <w:t>。</w:t>
      </w:r>
    </w:p>
    <w:p w14:paraId="0E46BB1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重点是道路交通噪声对沿线两侧村镇的影响，包括预测影响范围、程度，采取的环境保护措施。</w:t>
      </w:r>
    </w:p>
    <w:p w14:paraId="0F01A90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（3）社会影响进行分析。内容主要为项目建设过程中居民拆迁对环境的影响，及占用园地等对社会环境的影响。</w:t>
      </w:r>
    </w:p>
    <w:p w14:paraId="68E299F0">
      <w:pPr>
        <w:pStyle w:val="56"/>
        <w:spacing w:after="0"/>
        <w:ind w:firstLine="480" w:firstLineChars="200"/>
        <w:rPr>
          <w:rFonts w:hint="eastAsia" w:ascii="Times New Roman" w:hAnsi="Times New Roman" w:eastAsia="宋体" w:cs="Times New Roman"/>
          <w:color w:val="auto"/>
          <w:sz w:val="24"/>
          <w:lang w:val="en-US" w:eastAsia="zh-CN" w:bidi="ar-SA"/>
        </w:rPr>
      </w:pPr>
      <w:r>
        <w:rPr>
          <w:rFonts w:hint="default" w:ascii="Times New Roman" w:hAnsi="Times New Roman" w:eastAsia="宋体" w:cs="Times New Roman"/>
          <w:color w:val="auto"/>
          <w:sz w:val="24"/>
          <w:lang w:val="en-US" w:eastAsia="zh-CN" w:bidi="ar-SA"/>
        </w:rPr>
        <w:t>（4）</w:t>
      </w:r>
      <w:r>
        <w:rPr>
          <w:rFonts w:hint="eastAsia" w:cs="Times New Roman"/>
          <w:color w:val="auto"/>
          <w:sz w:val="24"/>
          <w:lang w:val="en-US" w:eastAsia="zh-CN" w:bidi="ar-SA"/>
        </w:rPr>
        <w:t>营运期</w:t>
      </w:r>
      <w:r>
        <w:rPr>
          <w:rFonts w:hint="default" w:ascii="Times New Roman" w:hAnsi="Times New Roman" w:eastAsia="宋体" w:cs="Times New Roman"/>
          <w:color w:val="auto"/>
          <w:sz w:val="24"/>
          <w:lang w:val="en-US" w:eastAsia="zh-CN" w:bidi="ar-SA"/>
        </w:rPr>
        <w:t>交通运输风险事故对沿线水环境影响评价</w:t>
      </w:r>
      <w:r>
        <w:rPr>
          <w:rFonts w:hint="eastAsia" w:cs="Times New Roman"/>
          <w:color w:val="auto"/>
          <w:sz w:val="24"/>
          <w:lang w:val="en-US" w:eastAsia="zh-CN" w:bidi="ar-SA"/>
        </w:rPr>
        <w:t>。</w:t>
      </w:r>
    </w:p>
    <w:p w14:paraId="665A641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（5）项目环境选线合理性分析。</w:t>
      </w:r>
    </w:p>
    <w:p w14:paraId="533A6FD3">
      <w:pPr>
        <w:pStyle w:val="3"/>
        <w:numPr>
          <w:ilvl w:val="0"/>
          <w:numId w:val="0"/>
        </w:numPr>
        <w:rPr>
          <w:rFonts w:hint="default" w:ascii="Times New Roman" w:hAnsi="Times New Roman" w:eastAsia="宋体" w:cs="Times New Roman"/>
          <w:color w:val="auto"/>
        </w:rPr>
      </w:pPr>
      <w:bookmarkStart w:id="20" w:name="_Toc9073"/>
      <w:r>
        <w:rPr>
          <w:rFonts w:hint="default" w:ascii="Times New Roman" w:hAnsi="Times New Roman" w:eastAsia="宋体" w:cs="Times New Roman"/>
          <w:color w:val="auto"/>
        </w:rPr>
        <w:t>1.6环境功能区划</w:t>
      </w:r>
      <w:bookmarkEnd w:id="20"/>
    </w:p>
    <w:p w14:paraId="7413A08B">
      <w:pPr>
        <w:numPr>
          <w:ilvl w:val="0"/>
          <w:numId w:val="0"/>
        </w:numPr>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rPr>
        <w:t>地表水功能区划</w:t>
      </w:r>
    </w:p>
    <w:p w14:paraId="2BF8496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根据项目可研资料和现场踏勘，</w:t>
      </w:r>
      <w:r>
        <w:rPr>
          <w:rFonts w:hint="default" w:ascii="Times New Roman" w:hAnsi="Times New Roman" w:eastAsia="宋体" w:cs="Times New Roman"/>
          <w:color w:val="auto"/>
          <w:kern w:val="0"/>
        </w:rPr>
        <w:t>项目区最近的地表水为项目区南侧345m处的</w:t>
      </w:r>
      <w:r>
        <w:rPr>
          <w:rFonts w:hint="default" w:ascii="Times New Roman" w:hAnsi="Times New Roman" w:eastAsia="宋体" w:cs="Times New Roman"/>
          <w:color w:val="auto"/>
        </w:rPr>
        <w:t>甘庄河，甘庄河为元江支流，根据《云南省水功能区划（2014年修订）》，属于元江红河巍山</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河口保留区，类别为III类，执行《地表水环境质量标准》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3838-2002）</w:t>
      </w:r>
      <w:r>
        <w:rPr>
          <w:rFonts w:hint="default" w:ascii="Times New Roman" w:hAnsi="Times New Roman" w:eastAsia="宋体" w:cs="Times New Roman"/>
          <w:color w:val="auto"/>
        </w:rPr>
        <w:t>Ⅲ类水质标准。</w:t>
      </w:r>
    </w:p>
    <w:p w14:paraId="75E80EE9">
      <w:pPr>
        <w:numPr>
          <w:ilvl w:val="0"/>
          <w:numId w:val="0"/>
        </w:numPr>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rPr>
        <w:t>环境空气功能区划</w:t>
      </w:r>
    </w:p>
    <w:p w14:paraId="0E374A6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项目选址区域环境空气功能区划为二类区，应执行《环境空气质量标准》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3095-20</w:t>
      </w:r>
      <w:r>
        <w:rPr>
          <w:rFonts w:hint="default" w:ascii="Times New Roman" w:hAnsi="Times New Roman" w:eastAsia="宋体" w:cs="Times New Roman"/>
          <w:color w:val="auto"/>
          <w:lang w:val="en-US" w:eastAsia="zh-CN"/>
        </w:rPr>
        <w:t>26</w:t>
      </w:r>
      <w:r>
        <w:rPr>
          <w:rFonts w:hint="default" w:ascii="Times New Roman" w:hAnsi="Times New Roman" w:eastAsia="宋体" w:cs="Times New Roman"/>
          <w:color w:val="auto"/>
        </w:rPr>
        <w:t>）</w:t>
      </w:r>
      <w:r>
        <w:rPr>
          <w:rFonts w:hint="default" w:ascii="Times New Roman" w:hAnsi="Times New Roman" w:eastAsia="宋体" w:cs="Times New Roman"/>
          <w:bCs/>
          <w:color w:val="auto"/>
          <w:kern w:val="0"/>
        </w:rPr>
        <w:t>中的</w:t>
      </w:r>
      <w:r>
        <w:rPr>
          <w:rFonts w:hint="default" w:ascii="Times New Roman" w:hAnsi="Times New Roman" w:eastAsia="宋体" w:cs="Times New Roman"/>
          <w:color w:val="auto"/>
        </w:rPr>
        <w:t>二级标准。</w:t>
      </w:r>
    </w:p>
    <w:p w14:paraId="126FE28D">
      <w:pPr>
        <w:numPr>
          <w:ilvl w:val="0"/>
          <w:numId w:val="0"/>
        </w:numPr>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（3）</w:t>
      </w:r>
      <w:r>
        <w:rPr>
          <w:rFonts w:hint="default" w:ascii="Times New Roman" w:hAnsi="Times New Roman" w:eastAsia="宋体" w:cs="Times New Roman"/>
          <w:color w:val="auto"/>
        </w:rPr>
        <w:t>声环境功能区划</w:t>
      </w:r>
    </w:p>
    <w:p w14:paraId="255D80C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项目区域执行</w:t>
      </w:r>
      <w:r>
        <w:rPr>
          <w:rFonts w:hint="default" w:ascii="Times New Roman" w:hAnsi="Times New Roman" w:eastAsia="宋体" w:cs="Times New Roman"/>
          <w:color w:val="auto"/>
          <w:kern w:val="0"/>
          <w:lang w:bidi="ar"/>
        </w:rPr>
        <w:t>《声环境质量标准》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kern w:val="0"/>
          <w:lang w:bidi="ar"/>
        </w:rPr>
        <w:t>2类</w:t>
      </w:r>
      <w:r>
        <w:rPr>
          <w:rFonts w:hint="default" w:ascii="Times New Roman" w:hAnsi="Times New Roman" w:eastAsia="宋体" w:cs="Times New Roman"/>
          <w:color w:val="auto"/>
        </w:rPr>
        <w:t>，周边敏感点执行</w:t>
      </w:r>
      <w:r>
        <w:rPr>
          <w:rFonts w:hint="default" w:ascii="Times New Roman" w:hAnsi="Times New Roman" w:eastAsia="宋体" w:cs="Times New Roman"/>
          <w:color w:val="auto"/>
          <w:kern w:val="0"/>
          <w:lang w:bidi="ar"/>
        </w:rPr>
        <w:t>《声环境质量标准》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kern w:val="0"/>
          <w:lang w:bidi="ar"/>
        </w:rPr>
        <w:t>2类</w:t>
      </w:r>
      <w:r>
        <w:rPr>
          <w:rFonts w:hint="default" w:ascii="Times New Roman" w:hAnsi="Times New Roman" w:eastAsia="宋体" w:cs="Times New Roman"/>
          <w:color w:val="auto"/>
        </w:rPr>
        <w:t>，道路红线35米范围内执行</w:t>
      </w:r>
      <w:r>
        <w:rPr>
          <w:rFonts w:hint="default" w:ascii="Times New Roman" w:hAnsi="Times New Roman" w:eastAsia="宋体" w:cs="Times New Roman"/>
          <w:color w:val="auto"/>
          <w:kern w:val="0"/>
          <w:lang w:bidi="ar"/>
        </w:rPr>
        <w:t>《声环境质量标准》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rPr>
        <w:t>4a类。</w:t>
      </w:r>
    </w:p>
    <w:p w14:paraId="59F53EF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（4）生态功能区划</w:t>
      </w:r>
    </w:p>
    <w:p w14:paraId="1A427043">
      <w:pPr>
        <w:pStyle w:val="497"/>
        <w:topLinePunct/>
        <w:adjustRightInd w:val="0"/>
        <w:snapToGrid w:val="0"/>
        <w:ind w:firstLine="480"/>
        <w:rPr>
          <w:rFonts w:hint="default" w:ascii="Times New Roman" w:hAnsi="Times New Roman" w:eastAsia="宋体" w:cs="Times New Roman"/>
          <w:color w:val="auto"/>
          <w:spacing w:val="-2"/>
          <w:sz w:val="24"/>
          <w:szCs w:val="24"/>
          <w:lang w:eastAsia="zh-CN"/>
        </w:rPr>
      </w:pPr>
      <w:bookmarkStart w:id="21" w:name="_bookmark6"/>
      <w:bookmarkEnd w:id="21"/>
      <w:r>
        <w:rPr>
          <w:rFonts w:hint="default" w:ascii="Times New Roman" w:hAnsi="Times New Roman" w:eastAsia="宋体" w:cs="Times New Roman"/>
          <w:color w:val="auto"/>
          <w:sz w:val="24"/>
          <w:szCs w:val="24"/>
          <w:lang w:eastAsia="zh-CN"/>
        </w:rPr>
        <w:t>根据</w:t>
      </w:r>
      <w:r>
        <w:rPr>
          <w:rFonts w:hint="default" w:ascii="Times New Roman" w:hAnsi="Times New Roman" w:eastAsia="宋体" w:cs="Times New Roman"/>
          <w:color w:val="auto"/>
          <w:spacing w:val="-1"/>
          <w:sz w:val="24"/>
          <w:szCs w:val="24"/>
          <w:lang w:eastAsia="zh-CN"/>
        </w:rPr>
        <w:t>《云南省</w:t>
      </w:r>
      <w:r>
        <w:rPr>
          <w:rFonts w:hint="default" w:ascii="Times New Roman" w:hAnsi="Times New Roman" w:eastAsia="宋体" w:cs="Times New Roman"/>
          <w:color w:val="auto"/>
          <w:spacing w:val="2"/>
          <w:sz w:val="24"/>
          <w:szCs w:val="24"/>
          <w:lang w:eastAsia="zh-CN"/>
        </w:rPr>
        <w:t>生态功能区划》，将云南生态功能分为5个一级区（生态区）、19</w:t>
      </w:r>
      <w:r>
        <w:rPr>
          <w:rFonts w:hint="default" w:ascii="Times New Roman" w:hAnsi="Times New Roman" w:eastAsia="宋体" w:cs="Times New Roman"/>
          <w:color w:val="auto"/>
          <w:spacing w:val="-2"/>
          <w:sz w:val="24"/>
          <w:szCs w:val="24"/>
          <w:lang w:eastAsia="zh-CN"/>
        </w:rPr>
        <w:t>个二级区（生态亚区）和65个三级区（生态功能区）。经对照，本项目位于元江县，属于Ⅱ4-2元江干热河谷水土保持与林业生态功能区。</w:t>
      </w:r>
    </w:p>
    <w:p w14:paraId="75157AE2">
      <w:pPr>
        <w:pStyle w:val="497"/>
        <w:topLinePunct/>
        <w:adjustRightInd w:val="0"/>
        <w:snapToGrid w:val="0"/>
        <w:spacing w:line="240" w:lineRule="auto"/>
        <w:ind w:firstLine="0" w:firstLineChars="0"/>
        <w:jc w:val="center"/>
        <w:rPr>
          <w:rFonts w:hint="default" w:ascii="Times New Roman" w:hAnsi="Times New Roman" w:eastAsia="宋体" w:cs="Times New Roman"/>
          <w:b/>
          <w:bCs/>
          <w:color w:val="auto"/>
          <w:spacing w:val="-2"/>
          <w:sz w:val="21"/>
          <w:szCs w:val="21"/>
          <w:lang w:eastAsia="zh-CN"/>
        </w:rPr>
      </w:pPr>
      <w:r>
        <w:rPr>
          <w:rFonts w:hint="default" w:ascii="Times New Roman" w:hAnsi="Times New Roman" w:eastAsia="宋体" w:cs="Times New Roman"/>
          <w:b/>
          <w:bCs/>
          <w:color w:val="auto"/>
          <w:spacing w:val="-2"/>
          <w:sz w:val="21"/>
          <w:szCs w:val="21"/>
          <w:lang w:eastAsia="zh-CN"/>
        </w:rPr>
        <w:t>表1</w:t>
      </w:r>
      <w:r>
        <w:rPr>
          <w:rFonts w:hint="eastAsia" w:ascii="Times New Roman" w:hAnsi="Times New Roman" w:eastAsia="宋体" w:cs="Times New Roman"/>
          <w:b/>
          <w:bCs/>
          <w:color w:val="auto"/>
          <w:spacing w:val="-2"/>
          <w:sz w:val="21"/>
          <w:szCs w:val="21"/>
          <w:lang w:val="en-US" w:eastAsia="zh-CN"/>
        </w:rPr>
        <w:t>.6</w:t>
      </w:r>
      <w:r>
        <w:rPr>
          <w:rFonts w:hint="default" w:ascii="Times New Roman" w:hAnsi="Times New Roman" w:eastAsia="宋体" w:cs="Times New Roman"/>
          <w:b/>
          <w:bCs/>
          <w:color w:val="auto"/>
          <w:spacing w:val="-2"/>
          <w:sz w:val="21"/>
          <w:szCs w:val="21"/>
          <w:lang w:eastAsia="zh-CN"/>
        </w:rPr>
        <w:t>-</w:t>
      </w:r>
      <w:r>
        <w:rPr>
          <w:rFonts w:hint="eastAsia" w:ascii="Times New Roman" w:hAnsi="Times New Roman" w:eastAsia="宋体" w:cs="Times New Roman"/>
          <w:b/>
          <w:bCs/>
          <w:color w:val="auto"/>
          <w:spacing w:val="-2"/>
          <w:sz w:val="21"/>
          <w:szCs w:val="21"/>
          <w:lang w:val="en-US" w:eastAsia="zh-CN"/>
        </w:rPr>
        <w:t>1</w:t>
      </w:r>
      <w:r>
        <w:rPr>
          <w:rFonts w:hint="default" w:ascii="Times New Roman" w:hAnsi="Times New Roman" w:eastAsia="宋体" w:cs="Times New Roman"/>
          <w:b/>
          <w:bCs/>
          <w:color w:val="auto"/>
          <w:spacing w:val="-2"/>
          <w:sz w:val="21"/>
          <w:szCs w:val="21"/>
          <w:lang w:eastAsia="zh-CN"/>
        </w:rPr>
        <w:t xml:space="preserve">   生态功能区划一览表</w:t>
      </w:r>
    </w:p>
    <w:tbl>
      <w:tblPr>
        <w:tblStyle w:val="58"/>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47"/>
        <w:gridCol w:w="950"/>
        <w:gridCol w:w="757"/>
        <w:gridCol w:w="2169"/>
        <w:gridCol w:w="973"/>
        <w:gridCol w:w="728"/>
        <w:gridCol w:w="820"/>
        <w:gridCol w:w="1069"/>
      </w:tblGrid>
      <w:tr w14:paraId="10568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536" w:type="pct"/>
            <w:gridSpan w:val="3"/>
            <w:noWrap w:val="0"/>
            <w:vAlign w:val="center"/>
          </w:tcPr>
          <w:p w14:paraId="63934375">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生态功能分区单元</w:t>
            </w:r>
          </w:p>
        </w:tc>
        <w:tc>
          <w:tcPr>
            <w:tcW w:w="1304" w:type="pct"/>
            <w:vMerge w:val="restart"/>
            <w:noWrap w:val="0"/>
            <w:vAlign w:val="center"/>
          </w:tcPr>
          <w:p w14:paraId="2D77C72F">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主要生态特征</w:t>
            </w:r>
          </w:p>
        </w:tc>
        <w:tc>
          <w:tcPr>
            <w:tcW w:w="585" w:type="pct"/>
            <w:vMerge w:val="restart"/>
            <w:noWrap w:val="0"/>
            <w:vAlign w:val="center"/>
          </w:tcPr>
          <w:p w14:paraId="69C619B1">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主要生态环境问题</w:t>
            </w:r>
          </w:p>
        </w:tc>
        <w:tc>
          <w:tcPr>
            <w:tcW w:w="438" w:type="pct"/>
            <w:vMerge w:val="restart"/>
            <w:noWrap w:val="0"/>
            <w:vAlign w:val="center"/>
          </w:tcPr>
          <w:p w14:paraId="29241577">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生态环境敏感性</w:t>
            </w:r>
          </w:p>
        </w:tc>
        <w:tc>
          <w:tcPr>
            <w:tcW w:w="493" w:type="pct"/>
            <w:vMerge w:val="restart"/>
            <w:noWrap w:val="0"/>
            <w:vAlign w:val="center"/>
          </w:tcPr>
          <w:p w14:paraId="35443C07">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主要生态系统服务功能</w:t>
            </w:r>
          </w:p>
        </w:tc>
        <w:tc>
          <w:tcPr>
            <w:tcW w:w="643" w:type="pct"/>
            <w:vMerge w:val="restart"/>
            <w:noWrap w:val="0"/>
            <w:vAlign w:val="center"/>
          </w:tcPr>
          <w:p w14:paraId="69443566">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保护措施与发展</w:t>
            </w:r>
            <w:r>
              <w:rPr>
                <w:rFonts w:hint="default" w:ascii="Times New Roman" w:hAnsi="Times New Roman" w:eastAsia="宋体" w:cs="Times New Roman"/>
                <w:color w:val="auto"/>
                <w:sz w:val="21"/>
                <w:szCs w:val="21"/>
                <w:lang w:eastAsia="zh-CN"/>
              </w:rPr>
              <w:t>方</w:t>
            </w:r>
            <w:r>
              <w:rPr>
                <w:rFonts w:hint="default" w:ascii="Times New Roman" w:hAnsi="Times New Roman" w:eastAsia="宋体" w:cs="Times New Roman"/>
                <w:color w:val="auto"/>
                <w:sz w:val="21"/>
                <w:szCs w:val="21"/>
              </w:rPr>
              <w:t>向</w:t>
            </w:r>
          </w:p>
        </w:tc>
      </w:tr>
      <w:tr w14:paraId="1C332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510" w:type="pct"/>
            <w:noWrap w:val="0"/>
            <w:vAlign w:val="center"/>
          </w:tcPr>
          <w:p w14:paraId="72352404">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生态区</w:t>
            </w:r>
          </w:p>
        </w:tc>
        <w:tc>
          <w:tcPr>
            <w:tcW w:w="571" w:type="pct"/>
            <w:noWrap w:val="0"/>
            <w:vAlign w:val="center"/>
          </w:tcPr>
          <w:p w14:paraId="7BC54B65">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生态亚区</w:t>
            </w:r>
          </w:p>
        </w:tc>
        <w:tc>
          <w:tcPr>
            <w:tcW w:w="454" w:type="pct"/>
            <w:noWrap w:val="0"/>
            <w:vAlign w:val="center"/>
          </w:tcPr>
          <w:p w14:paraId="4A24F145">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生态功能区</w:t>
            </w:r>
          </w:p>
        </w:tc>
        <w:tc>
          <w:tcPr>
            <w:tcW w:w="1304" w:type="pct"/>
            <w:vMerge w:val="continue"/>
            <w:noWrap w:val="0"/>
            <w:vAlign w:val="center"/>
          </w:tcPr>
          <w:p w14:paraId="48B9DD55">
            <w:pPr>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585" w:type="pct"/>
            <w:vMerge w:val="continue"/>
            <w:noWrap w:val="0"/>
            <w:vAlign w:val="center"/>
          </w:tcPr>
          <w:p w14:paraId="2D811563">
            <w:pPr>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38" w:type="pct"/>
            <w:vMerge w:val="continue"/>
            <w:noWrap w:val="0"/>
            <w:vAlign w:val="center"/>
          </w:tcPr>
          <w:p w14:paraId="309484AC">
            <w:pPr>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93" w:type="pct"/>
            <w:vMerge w:val="continue"/>
            <w:noWrap w:val="0"/>
            <w:vAlign w:val="center"/>
          </w:tcPr>
          <w:p w14:paraId="5D2F6CB7">
            <w:pPr>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43" w:type="pct"/>
            <w:vMerge w:val="continue"/>
            <w:noWrap w:val="0"/>
            <w:vAlign w:val="center"/>
          </w:tcPr>
          <w:p w14:paraId="4A5B1BD6">
            <w:pPr>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1FAB7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78" w:hRule="atLeast"/>
        </w:trPr>
        <w:tc>
          <w:tcPr>
            <w:tcW w:w="510" w:type="pct"/>
            <w:noWrap w:val="0"/>
            <w:vAlign w:val="center"/>
          </w:tcPr>
          <w:p w14:paraId="2236AA88">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Ⅱ4-2元江干热河谷水土保持与林业生态功能区</w:t>
            </w:r>
          </w:p>
        </w:tc>
        <w:tc>
          <w:tcPr>
            <w:tcW w:w="571" w:type="pct"/>
            <w:noWrap w:val="0"/>
            <w:vAlign w:val="center"/>
          </w:tcPr>
          <w:p w14:paraId="4521455E">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Ⅱ4蒙自、元江岩溶山原暖性针叶林生态亚区</w:t>
            </w:r>
          </w:p>
        </w:tc>
        <w:tc>
          <w:tcPr>
            <w:tcW w:w="454" w:type="pct"/>
            <w:noWrap w:val="0"/>
            <w:vAlign w:val="center"/>
          </w:tcPr>
          <w:p w14:paraId="6521EF0D">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Ⅱ4-2元江干热河谷水土保持与林业生态功能区</w:t>
            </w:r>
          </w:p>
        </w:tc>
        <w:tc>
          <w:tcPr>
            <w:tcW w:w="1304" w:type="pct"/>
            <w:noWrap w:val="0"/>
            <w:vAlign w:val="center"/>
          </w:tcPr>
          <w:p w14:paraId="4E18F5E2">
            <w:pPr>
              <w:pStyle w:val="497"/>
              <w:topLinePunct/>
              <w:adjustRightInd w:val="0"/>
              <w:snapToGrid w:val="0"/>
              <w:spacing w:line="240" w:lineRule="auto"/>
              <w:ind w:firstLine="0" w:firstLineChars="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以中山河谷地貌为主。海拔1300mm以下的河谷地带热量高雨量偏少，大部分地区降雨量在800mm以下，山地垂直带分布明显，地带性植被为季风常绿阔叶林，河谷地带的植被主要是稀疏灌木草丛。主要土壤类型为燥红土、赤红壤和紫色土。</w:t>
            </w:r>
          </w:p>
        </w:tc>
        <w:tc>
          <w:tcPr>
            <w:tcW w:w="585" w:type="pct"/>
            <w:noWrap w:val="0"/>
            <w:vAlign w:val="center"/>
          </w:tcPr>
          <w:p w14:paraId="0077CD35">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森林覆盖率低、土地退化严重</w:t>
            </w:r>
          </w:p>
        </w:tc>
        <w:tc>
          <w:tcPr>
            <w:tcW w:w="438" w:type="pct"/>
            <w:noWrap w:val="0"/>
            <w:vAlign w:val="center"/>
          </w:tcPr>
          <w:p w14:paraId="6B97FBBE">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土地利用不当而存在潜在的荒漠化</w:t>
            </w:r>
          </w:p>
        </w:tc>
        <w:tc>
          <w:tcPr>
            <w:tcW w:w="493" w:type="pct"/>
            <w:noWrap w:val="0"/>
            <w:vAlign w:val="center"/>
          </w:tcPr>
          <w:p w14:paraId="681DD241">
            <w:pPr>
              <w:pStyle w:val="497"/>
              <w:topLinePunct/>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维护生态脆弱区和生态交错地带的生态安全</w:t>
            </w:r>
          </w:p>
        </w:tc>
        <w:tc>
          <w:tcPr>
            <w:tcW w:w="643" w:type="pct"/>
            <w:noWrap w:val="0"/>
            <w:vAlign w:val="center"/>
          </w:tcPr>
          <w:p w14:paraId="18A38235">
            <w:pPr>
              <w:pStyle w:val="497"/>
              <w:topLinePunct/>
              <w:adjustRightInd w:val="0"/>
              <w:snapToGrid w:val="0"/>
              <w:spacing w:line="240" w:lineRule="auto"/>
              <w:ind w:firstLine="0" w:firstLineChars="0"/>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哀牢山西坡封山育林、河谷地带调整产业结构，发展热带经济林木，减少土地的过度利用带来的土地退化</w:t>
            </w:r>
          </w:p>
        </w:tc>
      </w:tr>
    </w:tbl>
    <w:p w14:paraId="06984746">
      <w:pPr>
        <w:pStyle w:val="3"/>
        <w:numPr>
          <w:ilvl w:val="0"/>
          <w:numId w:val="0"/>
        </w:numPr>
        <w:rPr>
          <w:rFonts w:hint="default" w:ascii="Times New Roman" w:hAnsi="Times New Roman" w:eastAsia="宋体" w:cs="Times New Roman"/>
          <w:color w:val="auto"/>
        </w:rPr>
      </w:pPr>
      <w:bookmarkStart w:id="22" w:name="_Toc7972"/>
      <w:r>
        <w:rPr>
          <w:rFonts w:hint="default" w:ascii="Times New Roman" w:hAnsi="Times New Roman" w:eastAsia="宋体" w:cs="Times New Roman"/>
          <w:color w:val="auto"/>
        </w:rPr>
        <w:t>1.7评价标准</w:t>
      </w:r>
      <w:bookmarkEnd w:id="22"/>
    </w:p>
    <w:p w14:paraId="4F68EB6F">
      <w:pPr>
        <w:pStyle w:val="5"/>
        <w:rPr>
          <w:rFonts w:hint="default" w:ascii="Times New Roman" w:hAnsi="Times New Roman" w:eastAsia="宋体" w:cs="Times New Roman"/>
          <w:color w:val="auto"/>
        </w:rPr>
      </w:pPr>
      <w:bookmarkStart w:id="23" w:name="_Toc26656"/>
      <w:r>
        <w:rPr>
          <w:rFonts w:hint="default" w:ascii="Times New Roman" w:hAnsi="Times New Roman" w:eastAsia="宋体" w:cs="Times New Roman"/>
          <w:color w:val="auto"/>
        </w:rPr>
        <w:t>1.7.1环境质量标准</w:t>
      </w:r>
      <w:bookmarkEnd w:id="23"/>
    </w:p>
    <w:p w14:paraId="05A6ADEA">
      <w:pPr>
        <w:pStyle w:val="498"/>
        <w:spacing w:line="360" w:lineRule="auto"/>
        <w:ind w:firstLine="480"/>
        <w:rPr>
          <w:rFonts w:hint="default" w:ascii="Times New Roman" w:hAnsi="Times New Roman" w:eastAsia="宋体" w:cs="Times New Roman"/>
          <w:b/>
          <w:bCs/>
          <w:color w:val="auto"/>
          <w:szCs w:val="24"/>
        </w:rPr>
      </w:pP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szCs w:val="24"/>
        </w:rPr>
        <w:t>环境空气质量标准</w:t>
      </w:r>
    </w:p>
    <w:p w14:paraId="2076B50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元江县甘庄街道环境空气质量功能区划属于二类区，区域环境空气质量执行《环境空气质量标准》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3095-20</w:t>
      </w:r>
      <w:r>
        <w:rPr>
          <w:rFonts w:hint="default" w:ascii="Times New Roman" w:hAnsi="Times New Roman" w:eastAsia="宋体" w:cs="Times New Roman"/>
          <w:color w:val="auto"/>
          <w:lang w:val="en-US" w:eastAsia="zh-CN"/>
        </w:rPr>
        <w:t>26</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过渡阶段浓度限值二级标准</w:t>
      </w:r>
      <w:r>
        <w:rPr>
          <w:rFonts w:hint="default" w:ascii="Times New Roman" w:hAnsi="Times New Roman" w:eastAsia="宋体" w:cs="Times New Roman"/>
          <w:color w:val="auto"/>
        </w:rPr>
        <w:t>。</w:t>
      </w:r>
      <w:r>
        <w:rPr>
          <w:rFonts w:hint="eastAsia" w:cs="Times New Roman"/>
          <w:color w:val="auto"/>
          <w:sz w:val="24"/>
          <w:lang w:val="en-US" w:eastAsia="zh-CN"/>
        </w:rPr>
        <w:t>本标准实施之日起至2030年12月31日止，执行过渡阶段浓度限值，自2031年1月1日起，执行浓度限值</w:t>
      </w:r>
      <w:r>
        <w:rPr>
          <w:rFonts w:hint="eastAsia" w:cs="Times New Roman"/>
          <w:color w:val="auto"/>
          <w:sz w:val="24"/>
          <w:lang w:val="en-US" w:eastAsia="zh-CN"/>
        </w:rPr>
        <w:t>，</w:t>
      </w:r>
      <w:r>
        <w:rPr>
          <w:rFonts w:hint="default" w:ascii="Times New Roman" w:hAnsi="Times New Roman" w:eastAsia="宋体" w:cs="Times New Roman"/>
          <w:color w:val="auto"/>
        </w:rPr>
        <w:t>标准浓度限值见表1-</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w:t>
      </w:r>
    </w:p>
    <w:p w14:paraId="47C915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r>
        <w:rPr>
          <w:rFonts w:hint="default"/>
          <w:b/>
          <w:bCs/>
          <w:color w:val="auto"/>
          <w:sz w:val="21"/>
          <w:szCs w:val="21"/>
        </w:rPr>
        <w:t>表1</w:t>
      </w:r>
      <w:r>
        <w:rPr>
          <w:rFonts w:hint="eastAsia"/>
          <w:b/>
          <w:bCs/>
          <w:color w:val="auto"/>
          <w:sz w:val="21"/>
          <w:szCs w:val="21"/>
          <w:lang w:val="en-US" w:eastAsia="zh-CN"/>
        </w:rPr>
        <w:t>.7</w:t>
      </w:r>
      <w:r>
        <w:rPr>
          <w:rFonts w:hint="default"/>
          <w:b/>
          <w:bCs/>
          <w:color w:val="auto"/>
          <w:sz w:val="21"/>
          <w:szCs w:val="21"/>
        </w:rPr>
        <w:t>-</w:t>
      </w:r>
      <w:r>
        <w:rPr>
          <w:rFonts w:hint="eastAsia"/>
          <w:b/>
          <w:bCs/>
          <w:color w:val="auto"/>
          <w:sz w:val="21"/>
          <w:szCs w:val="21"/>
          <w:lang w:val="en-US" w:eastAsia="zh-CN"/>
        </w:rPr>
        <w:t>1</w:t>
      </w:r>
      <w:r>
        <w:rPr>
          <w:rFonts w:hint="default"/>
          <w:b/>
          <w:bCs/>
          <w:color w:val="auto"/>
          <w:sz w:val="21"/>
          <w:szCs w:val="21"/>
        </w:rPr>
        <w:t xml:space="preserve"> </w:t>
      </w:r>
      <w:r>
        <w:rPr>
          <w:rFonts w:hint="eastAsia"/>
          <w:b/>
          <w:bCs/>
          <w:color w:val="auto"/>
          <w:sz w:val="21"/>
          <w:szCs w:val="21"/>
          <w:lang w:val="en-US" w:eastAsia="zh-CN"/>
        </w:rPr>
        <w:t xml:space="preserve"> </w:t>
      </w:r>
      <w:r>
        <w:rPr>
          <w:rFonts w:hint="default"/>
          <w:b/>
          <w:bCs/>
          <w:color w:val="auto"/>
          <w:sz w:val="21"/>
          <w:szCs w:val="21"/>
        </w:rPr>
        <w:t>《环境空气质量标准》</w:t>
      </w:r>
      <w:r>
        <w:rPr>
          <w:rFonts w:hint="default"/>
          <w:b/>
          <w:bCs/>
          <w:color w:val="auto"/>
          <w:sz w:val="21"/>
          <w:szCs w:val="21"/>
        </w:rPr>
        <w:t>（GB</w:t>
      </w:r>
      <w:r>
        <w:rPr>
          <w:rFonts w:hint="eastAsia"/>
          <w:b/>
          <w:bCs/>
          <w:color w:val="auto"/>
          <w:sz w:val="21"/>
          <w:szCs w:val="21"/>
          <w:lang w:val="en-US" w:eastAsia="zh-CN"/>
        </w:rPr>
        <w:t xml:space="preserve"> </w:t>
      </w:r>
      <w:r>
        <w:rPr>
          <w:rFonts w:hint="default"/>
          <w:b/>
          <w:bCs/>
          <w:color w:val="auto"/>
          <w:sz w:val="21"/>
          <w:szCs w:val="21"/>
        </w:rPr>
        <w:t>3095－20</w:t>
      </w:r>
      <w:r>
        <w:rPr>
          <w:rFonts w:hint="default"/>
          <w:b/>
          <w:bCs/>
          <w:color w:val="auto"/>
          <w:sz w:val="21"/>
          <w:szCs w:val="21"/>
          <w:lang w:val="en-US" w:eastAsia="zh-CN"/>
        </w:rPr>
        <w:t>26</w:t>
      </w:r>
      <w:r>
        <w:rPr>
          <w:rFonts w:hint="default"/>
          <w:b/>
          <w:bCs/>
          <w:color w:val="auto"/>
          <w:sz w:val="21"/>
          <w:szCs w:val="21"/>
        </w:rPr>
        <w:t>）</w:t>
      </w:r>
      <w:r>
        <w:rPr>
          <w:rFonts w:hint="default"/>
          <w:b/>
          <w:bCs/>
          <w:color w:val="auto"/>
          <w:sz w:val="21"/>
          <w:szCs w:val="21"/>
        </w:rPr>
        <w:t>二级标准</w:t>
      </w:r>
    </w:p>
    <w:tbl>
      <w:tblPr>
        <w:tblStyle w:val="58"/>
        <w:tblpPr w:leftFromText="180" w:rightFromText="180" w:vertAnchor="text" w:tblpXSpec="center" w:tblpY="1"/>
        <w:tblOverlap w:val="never"/>
        <w:tblW w:w="497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9"/>
        <w:gridCol w:w="1802"/>
        <w:gridCol w:w="1643"/>
        <w:gridCol w:w="932"/>
        <w:gridCol w:w="2797"/>
      </w:tblGrid>
      <w:tr w14:paraId="7B9A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771" w:type="pct"/>
            <w:noWrap w:val="0"/>
            <w:vAlign w:val="center"/>
          </w:tcPr>
          <w:p w14:paraId="3480B78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污染物名称</w:t>
            </w:r>
          </w:p>
        </w:tc>
        <w:tc>
          <w:tcPr>
            <w:tcW w:w="1062" w:type="pct"/>
            <w:noWrap w:val="0"/>
            <w:vAlign w:val="center"/>
          </w:tcPr>
          <w:p w14:paraId="2484944E">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取值时间</w:t>
            </w:r>
          </w:p>
        </w:tc>
        <w:tc>
          <w:tcPr>
            <w:tcW w:w="968" w:type="pct"/>
            <w:noWrap w:val="0"/>
            <w:vAlign w:val="center"/>
          </w:tcPr>
          <w:p w14:paraId="799173FF">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二级标准浓度限值</w:t>
            </w:r>
          </w:p>
        </w:tc>
        <w:tc>
          <w:tcPr>
            <w:tcW w:w="549" w:type="pct"/>
            <w:noWrap w:val="0"/>
            <w:vAlign w:val="center"/>
          </w:tcPr>
          <w:p w14:paraId="4DB2E50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单位</w:t>
            </w:r>
          </w:p>
        </w:tc>
        <w:tc>
          <w:tcPr>
            <w:tcW w:w="1648" w:type="pct"/>
            <w:noWrap w:val="0"/>
            <w:vAlign w:val="center"/>
          </w:tcPr>
          <w:p w14:paraId="0501F67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标准来源</w:t>
            </w:r>
          </w:p>
        </w:tc>
      </w:tr>
      <w:tr w14:paraId="7258A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restart"/>
            <w:noWrap w:val="0"/>
            <w:vAlign w:val="center"/>
          </w:tcPr>
          <w:p w14:paraId="1137221E">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subscript"/>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062" w:type="pct"/>
            <w:noWrap w:val="0"/>
            <w:vAlign w:val="center"/>
          </w:tcPr>
          <w:p w14:paraId="56B0484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0B839DF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549" w:type="pct"/>
            <w:vMerge w:val="restart"/>
            <w:noWrap w:val="0"/>
            <w:vAlign w:val="center"/>
          </w:tcPr>
          <w:p w14:paraId="2433AA6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rPr>
              <w:t>3</w:t>
            </w:r>
          </w:p>
        </w:tc>
        <w:tc>
          <w:tcPr>
            <w:tcW w:w="1648" w:type="pct"/>
            <w:vMerge w:val="restart"/>
            <w:noWrap w:val="0"/>
            <w:vAlign w:val="center"/>
          </w:tcPr>
          <w:p w14:paraId="4BED8A7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《环境空气质量标准》</w:t>
            </w:r>
            <w:r>
              <w:rPr>
                <w:rFonts w:hint="default" w:ascii="Times New Roman" w:hAnsi="Times New Roman" w:eastAsia="宋体" w:cs="Times New Roman"/>
                <w:color w:val="auto"/>
                <w:sz w:val="21"/>
                <w:szCs w:val="21"/>
              </w:rPr>
              <w:t>（GB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3095-20</w:t>
            </w:r>
            <w:r>
              <w:rPr>
                <w:rFonts w:hint="default" w:ascii="Times New Roman" w:hAnsi="Times New Roman" w:eastAsia="宋体" w:cs="Times New Roman"/>
                <w:color w:val="auto"/>
                <w:sz w:val="21"/>
                <w:szCs w:val="21"/>
                <w:lang w:val="en-US" w:eastAsia="zh-CN"/>
              </w:rPr>
              <w:t>26</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sz w:val="21"/>
                <w:szCs w:val="21"/>
              </w:rPr>
              <w:t>中二级标准</w:t>
            </w:r>
          </w:p>
        </w:tc>
      </w:tr>
      <w:tr w14:paraId="6A81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32E45DE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565DDA2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2DCB830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549" w:type="pct"/>
            <w:vMerge w:val="continue"/>
            <w:noWrap w:val="0"/>
            <w:vAlign w:val="center"/>
          </w:tcPr>
          <w:p w14:paraId="2D200F3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48B5CE6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034C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61BD91A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6D51E055">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968" w:type="pct"/>
            <w:noWrap w:val="0"/>
            <w:vAlign w:val="center"/>
          </w:tcPr>
          <w:p w14:paraId="647D827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549" w:type="pct"/>
            <w:vMerge w:val="continue"/>
            <w:noWrap w:val="0"/>
            <w:vAlign w:val="center"/>
          </w:tcPr>
          <w:p w14:paraId="4A33CC7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10B48FA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4B68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restart"/>
            <w:noWrap w:val="0"/>
            <w:vAlign w:val="center"/>
          </w:tcPr>
          <w:p w14:paraId="3FE2E26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062" w:type="pct"/>
            <w:noWrap w:val="0"/>
            <w:vAlign w:val="center"/>
          </w:tcPr>
          <w:p w14:paraId="08956469">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1989A97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549" w:type="pct"/>
            <w:vMerge w:val="continue"/>
            <w:noWrap w:val="0"/>
            <w:vAlign w:val="center"/>
          </w:tcPr>
          <w:p w14:paraId="4F40E39E">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5C0D9924">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3152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53E8996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00FEA3A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23377EAD">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549" w:type="pct"/>
            <w:vMerge w:val="continue"/>
            <w:noWrap w:val="0"/>
            <w:vAlign w:val="center"/>
          </w:tcPr>
          <w:p w14:paraId="3FDD89C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50F1B70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C52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65BA129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7161889E">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968" w:type="pct"/>
            <w:noWrap w:val="0"/>
            <w:vAlign w:val="center"/>
          </w:tcPr>
          <w:p w14:paraId="3FE53E3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w:t>
            </w:r>
          </w:p>
        </w:tc>
        <w:tc>
          <w:tcPr>
            <w:tcW w:w="549" w:type="pct"/>
            <w:vMerge w:val="continue"/>
            <w:noWrap w:val="0"/>
            <w:vAlign w:val="center"/>
          </w:tcPr>
          <w:p w14:paraId="4FD809B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6C13C91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59D0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restart"/>
            <w:noWrap w:val="0"/>
            <w:vAlign w:val="center"/>
          </w:tcPr>
          <w:p w14:paraId="7FEFB95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vertAlign w:val="subscript"/>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p>
        </w:tc>
        <w:tc>
          <w:tcPr>
            <w:tcW w:w="1062" w:type="pct"/>
            <w:noWrap w:val="0"/>
            <w:vAlign w:val="center"/>
          </w:tcPr>
          <w:p w14:paraId="2FE145E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24B3BA9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549" w:type="pct"/>
            <w:vMerge w:val="continue"/>
            <w:noWrap w:val="0"/>
            <w:vAlign w:val="center"/>
          </w:tcPr>
          <w:p w14:paraId="06B2888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0FF6BF0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5EE0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3BEFF2A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5154D4FF">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612F3B44">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549" w:type="pct"/>
            <w:vMerge w:val="continue"/>
            <w:noWrap w:val="0"/>
            <w:vAlign w:val="center"/>
          </w:tcPr>
          <w:p w14:paraId="0450448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1FE883E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D14E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1021295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13B0CC5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968" w:type="pct"/>
            <w:noWrap w:val="0"/>
            <w:vAlign w:val="center"/>
          </w:tcPr>
          <w:p w14:paraId="38BF919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549" w:type="pct"/>
            <w:vMerge w:val="continue"/>
            <w:noWrap w:val="0"/>
            <w:vAlign w:val="center"/>
          </w:tcPr>
          <w:p w14:paraId="39E46D2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3EC6783E">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205B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restart"/>
            <w:noWrap w:val="0"/>
            <w:vAlign w:val="center"/>
          </w:tcPr>
          <w:p w14:paraId="7BEACD6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TSP</w:t>
            </w:r>
          </w:p>
        </w:tc>
        <w:tc>
          <w:tcPr>
            <w:tcW w:w="1062" w:type="pct"/>
            <w:noWrap w:val="0"/>
            <w:vAlign w:val="center"/>
          </w:tcPr>
          <w:p w14:paraId="185E64FF">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3E01244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w:t>
            </w:r>
          </w:p>
        </w:tc>
        <w:tc>
          <w:tcPr>
            <w:tcW w:w="549" w:type="pct"/>
            <w:vMerge w:val="continue"/>
            <w:noWrap w:val="0"/>
            <w:vAlign w:val="center"/>
          </w:tcPr>
          <w:p w14:paraId="665D4EA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654D489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1D41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trPr>
        <w:tc>
          <w:tcPr>
            <w:tcW w:w="771" w:type="pct"/>
            <w:vMerge w:val="continue"/>
            <w:noWrap w:val="0"/>
            <w:vAlign w:val="center"/>
          </w:tcPr>
          <w:p w14:paraId="3267732F">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22F75C11">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741BA905">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549" w:type="pct"/>
            <w:vMerge w:val="continue"/>
            <w:noWrap w:val="0"/>
            <w:vAlign w:val="center"/>
          </w:tcPr>
          <w:p w14:paraId="7884BEB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4F6AF97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58DF8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restart"/>
            <w:noWrap w:val="0"/>
            <w:vAlign w:val="center"/>
          </w:tcPr>
          <w:p w14:paraId="70F79374">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062" w:type="pct"/>
            <w:noWrap w:val="0"/>
            <w:vAlign w:val="center"/>
          </w:tcPr>
          <w:p w14:paraId="26797BB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7BC0B045">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549" w:type="pct"/>
            <w:vMerge w:val="continue"/>
            <w:noWrap w:val="0"/>
            <w:vAlign w:val="center"/>
          </w:tcPr>
          <w:p w14:paraId="2AE15494">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6F672A9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44BB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continue"/>
            <w:noWrap w:val="0"/>
            <w:vAlign w:val="center"/>
          </w:tcPr>
          <w:p w14:paraId="01E8E21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38C95E5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4542C289">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w:t>
            </w:r>
          </w:p>
        </w:tc>
        <w:tc>
          <w:tcPr>
            <w:tcW w:w="549" w:type="pct"/>
            <w:vMerge w:val="continue"/>
            <w:noWrap w:val="0"/>
            <w:vAlign w:val="center"/>
          </w:tcPr>
          <w:p w14:paraId="0A8E869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3EB7BBF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3F534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restart"/>
            <w:noWrap w:val="0"/>
            <w:vAlign w:val="center"/>
          </w:tcPr>
          <w:p w14:paraId="07A472C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062" w:type="pct"/>
            <w:noWrap w:val="0"/>
            <w:vAlign w:val="center"/>
          </w:tcPr>
          <w:p w14:paraId="0EDBA78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5207AFD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549" w:type="pct"/>
            <w:vMerge w:val="continue"/>
            <w:noWrap w:val="0"/>
            <w:vAlign w:val="center"/>
          </w:tcPr>
          <w:p w14:paraId="20EF97D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2ADD335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57C7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continue"/>
            <w:noWrap w:val="0"/>
            <w:vAlign w:val="center"/>
          </w:tcPr>
          <w:p w14:paraId="22BC4C89">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4CAF2602">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0B64AE9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549" w:type="pct"/>
            <w:vMerge w:val="continue"/>
            <w:noWrap w:val="0"/>
            <w:vAlign w:val="center"/>
          </w:tcPr>
          <w:p w14:paraId="3498F915">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43384CA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4FE0F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restart"/>
            <w:noWrap w:val="0"/>
            <w:vAlign w:val="center"/>
          </w:tcPr>
          <w:p w14:paraId="35B476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062" w:type="pct"/>
            <w:noWrap w:val="0"/>
            <w:vAlign w:val="center"/>
          </w:tcPr>
          <w:p w14:paraId="34629E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日最大8小时平均</w:t>
            </w:r>
          </w:p>
        </w:tc>
        <w:tc>
          <w:tcPr>
            <w:tcW w:w="968" w:type="pct"/>
            <w:noWrap w:val="0"/>
            <w:vAlign w:val="center"/>
          </w:tcPr>
          <w:p w14:paraId="6CE3D2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c>
          <w:tcPr>
            <w:tcW w:w="549" w:type="pct"/>
            <w:vMerge w:val="continue"/>
            <w:noWrap w:val="0"/>
            <w:vAlign w:val="center"/>
          </w:tcPr>
          <w:p w14:paraId="52B4D1C7">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345E8B5A">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2891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continue"/>
            <w:noWrap w:val="0"/>
            <w:vAlign w:val="center"/>
          </w:tcPr>
          <w:p w14:paraId="15A85469">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652D88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968" w:type="pct"/>
            <w:noWrap w:val="0"/>
            <w:vAlign w:val="center"/>
          </w:tcPr>
          <w:p w14:paraId="76E8F7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w:t>
            </w:r>
          </w:p>
        </w:tc>
        <w:tc>
          <w:tcPr>
            <w:tcW w:w="549" w:type="pct"/>
            <w:vMerge w:val="continue"/>
            <w:noWrap w:val="0"/>
            <w:vAlign w:val="center"/>
          </w:tcPr>
          <w:p w14:paraId="774C609D">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046E1A8B">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827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restart"/>
            <w:noWrap w:val="0"/>
            <w:vAlign w:val="center"/>
          </w:tcPr>
          <w:p w14:paraId="676660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1062" w:type="pct"/>
            <w:noWrap w:val="0"/>
            <w:vAlign w:val="center"/>
          </w:tcPr>
          <w:p w14:paraId="788CD6A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3F44B7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549" w:type="pct"/>
            <w:vMerge w:val="restart"/>
            <w:noWrap w:val="0"/>
            <w:vAlign w:val="center"/>
          </w:tcPr>
          <w:p w14:paraId="4CFC516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mg/m</w:t>
            </w:r>
            <w:r>
              <w:rPr>
                <w:rFonts w:hint="default" w:ascii="Times New Roman" w:hAnsi="Times New Roman" w:eastAsia="宋体" w:cs="Times New Roman"/>
                <w:color w:val="auto"/>
                <w:sz w:val="21"/>
                <w:szCs w:val="21"/>
                <w:vertAlign w:val="superscript"/>
              </w:rPr>
              <w:t>3</w:t>
            </w:r>
          </w:p>
        </w:tc>
        <w:tc>
          <w:tcPr>
            <w:tcW w:w="1648" w:type="pct"/>
            <w:vMerge w:val="continue"/>
            <w:noWrap w:val="0"/>
            <w:vAlign w:val="center"/>
          </w:tcPr>
          <w:p w14:paraId="3DE55EE6">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113A2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exact"/>
        </w:trPr>
        <w:tc>
          <w:tcPr>
            <w:tcW w:w="771" w:type="pct"/>
            <w:vMerge w:val="continue"/>
            <w:noWrap w:val="0"/>
            <w:vAlign w:val="center"/>
          </w:tcPr>
          <w:p w14:paraId="0DFFC53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062" w:type="pct"/>
            <w:noWrap w:val="0"/>
            <w:vAlign w:val="center"/>
          </w:tcPr>
          <w:p w14:paraId="45B2EA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1小时平均</w:t>
            </w:r>
          </w:p>
        </w:tc>
        <w:tc>
          <w:tcPr>
            <w:tcW w:w="968" w:type="pct"/>
            <w:noWrap w:val="0"/>
            <w:vAlign w:val="center"/>
          </w:tcPr>
          <w:p w14:paraId="4EEEE3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549" w:type="pct"/>
            <w:vMerge w:val="continue"/>
            <w:noWrap w:val="0"/>
            <w:vAlign w:val="center"/>
          </w:tcPr>
          <w:p w14:paraId="5727FC00">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5F902D3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0484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71" w:type="pct"/>
            <w:vMerge w:val="restart"/>
            <w:noWrap w:val="0"/>
            <w:vAlign w:val="center"/>
          </w:tcPr>
          <w:p w14:paraId="53567DE3">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苯并[α]</w:t>
            </w:r>
          </w:p>
          <w:p w14:paraId="4F5B67CC">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芘</w:t>
            </w:r>
          </w:p>
        </w:tc>
        <w:tc>
          <w:tcPr>
            <w:tcW w:w="1062" w:type="pct"/>
            <w:noWrap w:val="0"/>
            <w:vAlign w:val="center"/>
          </w:tcPr>
          <w:p w14:paraId="37CBE96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w:t>
            </w:r>
          </w:p>
        </w:tc>
        <w:tc>
          <w:tcPr>
            <w:tcW w:w="968" w:type="pct"/>
            <w:noWrap w:val="0"/>
            <w:vAlign w:val="center"/>
          </w:tcPr>
          <w:p w14:paraId="4126CFB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0.001</w:t>
            </w:r>
          </w:p>
        </w:tc>
        <w:tc>
          <w:tcPr>
            <w:tcW w:w="549" w:type="pct"/>
            <w:vMerge w:val="restart"/>
            <w:noWrap w:val="0"/>
            <w:vAlign w:val="center"/>
          </w:tcPr>
          <w:p w14:paraId="0FFF4DC8">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μg/m</w:t>
            </w:r>
            <w:r>
              <w:rPr>
                <w:rFonts w:hint="default" w:ascii="Times New Roman" w:hAnsi="Times New Roman" w:eastAsia="宋体" w:cs="Times New Roman"/>
                <w:color w:val="auto"/>
                <w:sz w:val="21"/>
                <w:szCs w:val="21"/>
                <w:vertAlign w:val="superscript"/>
              </w:rPr>
              <w:t>3</w:t>
            </w:r>
          </w:p>
        </w:tc>
        <w:tc>
          <w:tcPr>
            <w:tcW w:w="1648" w:type="pct"/>
            <w:vMerge w:val="continue"/>
            <w:noWrap w:val="0"/>
            <w:vAlign w:val="center"/>
          </w:tcPr>
          <w:p w14:paraId="7F86DF5F">
            <w:pPr>
              <w:pStyle w:val="4"/>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7A3EE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771" w:type="pct"/>
            <w:vMerge w:val="continue"/>
            <w:noWrap w:val="0"/>
            <w:vAlign w:val="center"/>
          </w:tcPr>
          <w:p w14:paraId="597D7D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rPr>
            </w:pPr>
          </w:p>
        </w:tc>
        <w:tc>
          <w:tcPr>
            <w:tcW w:w="1062" w:type="pct"/>
            <w:noWrap w:val="0"/>
            <w:vAlign w:val="center"/>
          </w:tcPr>
          <w:p w14:paraId="216DCE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24小时平均</w:t>
            </w:r>
          </w:p>
        </w:tc>
        <w:tc>
          <w:tcPr>
            <w:tcW w:w="968" w:type="pct"/>
            <w:noWrap w:val="0"/>
            <w:vAlign w:val="center"/>
          </w:tcPr>
          <w:p w14:paraId="29BE12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0.0025</w:t>
            </w:r>
          </w:p>
        </w:tc>
        <w:tc>
          <w:tcPr>
            <w:tcW w:w="549" w:type="pct"/>
            <w:vMerge w:val="continue"/>
            <w:noWrap w:val="0"/>
            <w:vAlign w:val="center"/>
          </w:tcPr>
          <w:p w14:paraId="424EDED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648" w:type="pct"/>
            <w:vMerge w:val="continue"/>
            <w:noWrap w:val="0"/>
            <w:vAlign w:val="center"/>
          </w:tcPr>
          <w:p w14:paraId="6069CD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bl>
    <w:p w14:paraId="2A1B313F">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lang w:val="en-US" w:eastAsia="zh-CN"/>
        </w:rPr>
        <w:t>2</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rPr>
        <w:t>水环境质量标准</w:t>
      </w:r>
    </w:p>
    <w:p w14:paraId="21ADA878">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①地表水</w:t>
      </w:r>
    </w:p>
    <w:p w14:paraId="19AF8FBC">
      <w:pPr>
        <w:pStyle w:val="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项目区地表水体为南侧约330m处的甘庄河，甘庄河向西南汇入元江，</w:t>
      </w:r>
      <w:r>
        <w:rPr>
          <w:rFonts w:hint="default" w:ascii="Times New Roman" w:hAnsi="Times New Roman" w:eastAsia="宋体" w:cs="Times New Roman"/>
          <w:bCs/>
          <w:color w:val="auto"/>
          <w:sz w:val="24"/>
          <w:szCs w:val="24"/>
          <w:lang w:val="zh-CN"/>
        </w:rPr>
        <w:t>根据《云南省水功能区划》（第二版，云南省水利厅，2013年10月），元江（红河巍山—河口保留区），2030年水质保护目标Ⅲ类，执行《地表水环境质量标准》</w:t>
      </w:r>
      <w:r>
        <w:rPr>
          <w:rFonts w:hint="default" w:ascii="Times New Roman" w:hAnsi="Times New Roman" w:eastAsia="宋体" w:cs="Times New Roman"/>
          <w:bCs/>
          <w:color w:val="auto"/>
          <w:sz w:val="24"/>
          <w:szCs w:val="24"/>
          <w:lang w:val="zh-CN"/>
        </w:rPr>
        <w:t>（GB</w:t>
      </w:r>
      <w:r>
        <w:rPr>
          <w:rFonts w:hint="eastAsia" w:cs="Times New Roman"/>
          <w:bCs/>
          <w:color w:val="auto"/>
          <w:sz w:val="24"/>
          <w:szCs w:val="24"/>
          <w:lang w:val="en-US" w:eastAsia="zh-CN"/>
        </w:rPr>
        <w:t xml:space="preserve"> </w:t>
      </w:r>
      <w:r>
        <w:rPr>
          <w:rFonts w:hint="default" w:ascii="Times New Roman" w:hAnsi="Times New Roman" w:eastAsia="宋体" w:cs="Times New Roman"/>
          <w:bCs/>
          <w:color w:val="auto"/>
          <w:sz w:val="24"/>
          <w:szCs w:val="24"/>
          <w:lang w:val="zh-CN"/>
        </w:rPr>
        <w:t>3838-2002）</w:t>
      </w:r>
      <w:r>
        <w:rPr>
          <w:rFonts w:hint="default" w:ascii="Times New Roman" w:hAnsi="Times New Roman" w:eastAsia="宋体" w:cs="Times New Roman"/>
          <w:bCs/>
          <w:color w:val="auto"/>
          <w:sz w:val="24"/>
          <w:szCs w:val="24"/>
          <w:lang w:val="zh-CN"/>
        </w:rPr>
        <w:t>Ⅲ类标准。</w:t>
      </w:r>
      <w:r>
        <w:rPr>
          <w:rFonts w:hint="default" w:ascii="Times New Roman" w:hAnsi="Times New Roman" w:eastAsia="宋体" w:cs="Times New Roman"/>
          <w:bCs/>
          <w:color w:val="auto"/>
          <w:sz w:val="24"/>
          <w:szCs w:val="24"/>
        </w:rPr>
        <w:t>故</w:t>
      </w:r>
      <w:r>
        <w:rPr>
          <w:rFonts w:hint="default" w:ascii="Times New Roman" w:hAnsi="Times New Roman" w:eastAsia="宋体" w:cs="Times New Roman"/>
          <w:color w:val="auto"/>
          <w:sz w:val="24"/>
          <w:szCs w:val="24"/>
        </w:rPr>
        <w:t>甘庄河执行《地表水环境质量标准》</w:t>
      </w:r>
      <w:r>
        <w:rPr>
          <w:rFonts w:hint="default" w:ascii="Times New Roman" w:hAnsi="Times New Roman" w:eastAsia="宋体" w:cs="Times New Roman"/>
          <w:color w:val="auto"/>
          <w:sz w:val="24"/>
          <w:szCs w:val="24"/>
        </w:rPr>
        <w:t>（GB</w:t>
      </w:r>
      <w:r>
        <w:rPr>
          <w:rFonts w:hint="eastAsia" w:cs="Times New Roman"/>
          <w:color w:val="auto"/>
          <w:sz w:val="24"/>
          <w:szCs w:val="24"/>
          <w:lang w:val="en-US" w:eastAsia="zh-CN"/>
        </w:rPr>
        <w:t xml:space="preserve"> </w:t>
      </w:r>
      <w:r>
        <w:rPr>
          <w:rFonts w:hint="default" w:ascii="Times New Roman" w:hAnsi="Times New Roman" w:eastAsia="宋体" w:cs="Times New Roman"/>
          <w:color w:val="auto"/>
          <w:sz w:val="24"/>
          <w:szCs w:val="24"/>
        </w:rPr>
        <w:t>3838-2002）</w:t>
      </w:r>
      <w:r>
        <w:rPr>
          <w:rFonts w:hint="default" w:ascii="Times New Roman" w:hAnsi="Times New Roman" w:eastAsia="宋体" w:cs="Times New Roman"/>
          <w:color w:val="auto"/>
          <w:sz w:val="24"/>
          <w:szCs w:val="24"/>
        </w:rPr>
        <w:t>Ⅲ类功能区水质标准。具体标准值详见下表。</w:t>
      </w:r>
    </w:p>
    <w:p w14:paraId="4C1DBEC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auto"/>
          <w:sz w:val="21"/>
          <w:szCs w:val="21"/>
        </w:rPr>
      </w:pPr>
      <w:r>
        <w:rPr>
          <w:rFonts w:hint="default"/>
          <w:b/>
          <w:bCs/>
          <w:color w:val="auto"/>
          <w:sz w:val="21"/>
          <w:szCs w:val="21"/>
        </w:rPr>
        <w:t>表1</w:t>
      </w:r>
      <w:r>
        <w:rPr>
          <w:rFonts w:hint="eastAsia"/>
          <w:b/>
          <w:bCs/>
          <w:color w:val="auto"/>
          <w:sz w:val="21"/>
          <w:szCs w:val="21"/>
          <w:lang w:val="en-US" w:eastAsia="zh-CN"/>
        </w:rPr>
        <w:t>.7</w:t>
      </w:r>
      <w:r>
        <w:rPr>
          <w:rFonts w:hint="default"/>
          <w:b/>
          <w:bCs/>
          <w:color w:val="auto"/>
          <w:sz w:val="21"/>
          <w:szCs w:val="21"/>
        </w:rPr>
        <w:t>-</w:t>
      </w:r>
      <w:r>
        <w:rPr>
          <w:rFonts w:hint="eastAsia"/>
          <w:b/>
          <w:bCs/>
          <w:color w:val="auto"/>
          <w:sz w:val="21"/>
          <w:szCs w:val="21"/>
          <w:lang w:val="en-US" w:eastAsia="zh-CN"/>
        </w:rPr>
        <w:t xml:space="preserve">2  </w:t>
      </w:r>
      <w:r>
        <w:rPr>
          <w:rFonts w:hint="default"/>
          <w:b/>
          <w:bCs/>
          <w:color w:val="auto"/>
          <w:sz w:val="21"/>
          <w:szCs w:val="21"/>
        </w:rPr>
        <w:t>地表水环境质量标准（Ⅲ类标准）   单位：mg/L</w:t>
      </w:r>
    </w:p>
    <w:tbl>
      <w:tblPr>
        <w:tblStyle w:val="5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5"/>
        <w:gridCol w:w="3437"/>
        <w:gridCol w:w="3730"/>
      </w:tblGrid>
      <w:tr w14:paraId="6902C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49817F4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序号</w:t>
            </w:r>
          </w:p>
        </w:tc>
        <w:tc>
          <w:tcPr>
            <w:tcW w:w="2018" w:type="pct"/>
            <w:noWrap w:val="0"/>
            <w:vAlign w:val="center"/>
          </w:tcPr>
          <w:p w14:paraId="4A93DF3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p>
        </w:tc>
        <w:tc>
          <w:tcPr>
            <w:tcW w:w="2190" w:type="pct"/>
            <w:noWrap w:val="0"/>
            <w:vAlign w:val="center"/>
          </w:tcPr>
          <w:p w14:paraId="4F9ACDC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Ⅲ类标准值（单位mg/L）</w:t>
            </w:r>
          </w:p>
        </w:tc>
      </w:tr>
      <w:tr w14:paraId="1D19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3AF1D3C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2018" w:type="pct"/>
            <w:noWrap w:val="0"/>
            <w:vAlign w:val="center"/>
          </w:tcPr>
          <w:p w14:paraId="09B05F2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pH值（无量纲）</w:t>
            </w:r>
          </w:p>
        </w:tc>
        <w:tc>
          <w:tcPr>
            <w:tcW w:w="2190" w:type="pct"/>
            <w:noWrap w:val="0"/>
            <w:vAlign w:val="center"/>
          </w:tcPr>
          <w:p w14:paraId="5F693AD4">
            <w:pPr>
              <w:adjustRightInd w:val="0"/>
              <w:snapToGrid w:val="0"/>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6-9</w:t>
            </w:r>
          </w:p>
        </w:tc>
      </w:tr>
      <w:tr w14:paraId="6E54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DF6235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2018" w:type="pct"/>
            <w:noWrap w:val="0"/>
            <w:vAlign w:val="center"/>
          </w:tcPr>
          <w:p w14:paraId="7CCA12A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溶解氧                        ≥</w:t>
            </w:r>
          </w:p>
        </w:tc>
        <w:tc>
          <w:tcPr>
            <w:tcW w:w="2190" w:type="pct"/>
            <w:noWrap w:val="0"/>
            <w:vAlign w:val="center"/>
          </w:tcPr>
          <w:p w14:paraId="6958D2AC">
            <w:pPr>
              <w:adjustRightInd w:val="0"/>
              <w:snapToGrid w:val="0"/>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w:t>
            </w:r>
          </w:p>
        </w:tc>
      </w:tr>
      <w:tr w14:paraId="2256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7C8AB1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2018" w:type="pct"/>
            <w:noWrap w:val="0"/>
            <w:vAlign w:val="center"/>
          </w:tcPr>
          <w:p w14:paraId="67D14A5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高锰酸盐指数                  ≤</w:t>
            </w:r>
          </w:p>
        </w:tc>
        <w:tc>
          <w:tcPr>
            <w:tcW w:w="2190" w:type="pct"/>
            <w:noWrap w:val="0"/>
            <w:vAlign w:val="center"/>
          </w:tcPr>
          <w:p w14:paraId="08DDE059">
            <w:pPr>
              <w:adjustRightInd w:val="0"/>
              <w:snapToGrid w:val="0"/>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w:t>
            </w:r>
          </w:p>
        </w:tc>
      </w:tr>
      <w:tr w14:paraId="51041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F57FF3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2018" w:type="pct"/>
            <w:noWrap w:val="0"/>
            <w:vAlign w:val="center"/>
          </w:tcPr>
          <w:p w14:paraId="7C4D125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化学需氧量（COD）            ≤</w:t>
            </w:r>
          </w:p>
        </w:tc>
        <w:tc>
          <w:tcPr>
            <w:tcW w:w="2190" w:type="pct"/>
            <w:noWrap w:val="0"/>
            <w:vAlign w:val="center"/>
          </w:tcPr>
          <w:p w14:paraId="012B207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r>
      <w:tr w14:paraId="25E6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6E03167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2018" w:type="pct"/>
            <w:noWrap w:val="0"/>
            <w:vAlign w:val="center"/>
          </w:tcPr>
          <w:p w14:paraId="71ED7A6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五日生化需氧量（BOD</w:t>
            </w:r>
            <w:r>
              <w:rPr>
                <w:rFonts w:hint="default" w:ascii="Times New Roman" w:hAnsi="Times New Roman" w:eastAsia="宋体" w:cs="Times New Roman"/>
                <w:color w:val="auto"/>
                <w:sz w:val="21"/>
                <w:szCs w:val="21"/>
                <w:vertAlign w:val="subscript"/>
              </w:rPr>
              <w:t>5</w:t>
            </w:r>
            <w:r>
              <w:rPr>
                <w:rFonts w:hint="default" w:ascii="Times New Roman" w:hAnsi="Times New Roman" w:eastAsia="宋体" w:cs="Times New Roman"/>
                <w:color w:val="auto"/>
                <w:sz w:val="21"/>
                <w:szCs w:val="21"/>
              </w:rPr>
              <w:t>）       ≤</w:t>
            </w:r>
          </w:p>
        </w:tc>
        <w:tc>
          <w:tcPr>
            <w:tcW w:w="2190" w:type="pct"/>
            <w:noWrap w:val="0"/>
            <w:vAlign w:val="center"/>
          </w:tcPr>
          <w:p w14:paraId="67BF24C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r>
      <w:tr w14:paraId="462F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5CB89A8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2018" w:type="pct"/>
            <w:noWrap w:val="0"/>
            <w:vAlign w:val="center"/>
          </w:tcPr>
          <w:p w14:paraId="3B59703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氨氮（NH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                ≤</w:t>
            </w:r>
          </w:p>
        </w:tc>
        <w:tc>
          <w:tcPr>
            <w:tcW w:w="2190" w:type="pct"/>
            <w:noWrap w:val="0"/>
            <w:vAlign w:val="center"/>
          </w:tcPr>
          <w:p w14:paraId="44D438E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r w14:paraId="39BD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4EF778B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p>
        </w:tc>
        <w:tc>
          <w:tcPr>
            <w:tcW w:w="2018" w:type="pct"/>
            <w:noWrap w:val="0"/>
            <w:vAlign w:val="center"/>
          </w:tcPr>
          <w:p w14:paraId="14A0FBB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总磷（以P计）                ≤</w:t>
            </w:r>
          </w:p>
        </w:tc>
        <w:tc>
          <w:tcPr>
            <w:tcW w:w="2190" w:type="pct"/>
            <w:noWrap w:val="0"/>
            <w:vAlign w:val="center"/>
          </w:tcPr>
          <w:p w14:paraId="76464DD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r>
      <w:tr w14:paraId="6099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04389F9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w:t>
            </w:r>
          </w:p>
        </w:tc>
        <w:tc>
          <w:tcPr>
            <w:tcW w:w="2018" w:type="pct"/>
            <w:noWrap w:val="0"/>
            <w:vAlign w:val="center"/>
          </w:tcPr>
          <w:p w14:paraId="260AF17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总氮（湖、库，以N计）        ≤</w:t>
            </w:r>
          </w:p>
        </w:tc>
        <w:tc>
          <w:tcPr>
            <w:tcW w:w="2190" w:type="pct"/>
            <w:noWrap w:val="0"/>
            <w:vAlign w:val="center"/>
          </w:tcPr>
          <w:p w14:paraId="427A59E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r w14:paraId="0FC5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FF1F4A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2018" w:type="pct"/>
            <w:noWrap w:val="0"/>
            <w:vAlign w:val="center"/>
          </w:tcPr>
          <w:p w14:paraId="01957C7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铜                            ≤</w:t>
            </w:r>
          </w:p>
        </w:tc>
        <w:tc>
          <w:tcPr>
            <w:tcW w:w="2190" w:type="pct"/>
            <w:noWrap w:val="0"/>
            <w:vAlign w:val="center"/>
          </w:tcPr>
          <w:p w14:paraId="2E88A4D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r w14:paraId="0459A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47CF814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2018" w:type="pct"/>
            <w:noWrap w:val="0"/>
            <w:vAlign w:val="center"/>
          </w:tcPr>
          <w:p w14:paraId="24E2784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锌                            ≤</w:t>
            </w:r>
          </w:p>
        </w:tc>
        <w:tc>
          <w:tcPr>
            <w:tcW w:w="2190" w:type="pct"/>
            <w:noWrap w:val="0"/>
            <w:vAlign w:val="center"/>
          </w:tcPr>
          <w:p w14:paraId="19AC13C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r w14:paraId="2C7B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02BA9D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p>
        </w:tc>
        <w:tc>
          <w:tcPr>
            <w:tcW w:w="2018" w:type="pct"/>
            <w:noWrap w:val="0"/>
            <w:vAlign w:val="center"/>
          </w:tcPr>
          <w:p w14:paraId="242BFB8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氟化物（以F</w:t>
            </w:r>
            <w:r>
              <w:rPr>
                <w:rFonts w:hint="default" w:ascii="Times New Roman" w:hAnsi="Times New Roman" w:eastAsia="宋体" w:cs="Times New Roman"/>
                <w:color w:val="auto"/>
                <w:sz w:val="21"/>
                <w:szCs w:val="21"/>
                <w:vertAlign w:val="superscript"/>
              </w:rPr>
              <w:t>-</w:t>
            </w:r>
            <w:r>
              <w:rPr>
                <w:rFonts w:hint="default" w:ascii="Times New Roman" w:hAnsi="Times New Roman" w:eastAsia="宋体" w:cs="Times New Roman"/>
                <w:color w:val="auto"/>
                <w:sz w:val="21"/>
                <w:szCs w:val="21"/>
              </w:rPr>
              <w:t>计）              ≤</w:t>
            </w:r>
          </w:p>
        </w:tc>
        <w:tc>
          <w:tcPr>
            <w:tcW w:w="2190" w:type="pct"/>
            <w:noWrap w:val="0"/>
            <w:vAlign w:val="center"/>
          </w:tcPr>
          <w:p w14:paraId="07EF142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r w14:paraId="54C4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86A278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2018" w:type="pct"/>
            <w:noWrap w:val="0"/>
            <w:vAlign w:val="center"/>
          </w:tcPr>
          <w:p w14:paraId="4397689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硒                            ≤</w:t>
            </w:r>
          </w:p>
        </w:tc>
        <w:tc>
          <w:tcPr>
            <w:tcW w:w="2190" w:type="pct"/>
            <w:noWrap w:val="0"/>
            <w:vAlign w:val="center"/>
          </w:tcPr>
          <w:p w14:paraId="5E00944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0.01</w:t>
            </w:r>
          </w:p>
        </w:tc>
      </w:tr>
      <w:tr w14:paraId="0DDE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7A1390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w:t>
            </w:r>
          </w:p>
        </w:tc>
        <w:tc>
          <w:tcPr>
            <w:tcW w:w="2018" w:type="pct"/>
            <w:noWrap w:val="0"/>
            <w:vAlign w:val="center"/>
          </w:tcPr>
          <w:p w14:paraId="123FBBE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砷                            ≤</w:t>
            </w:r>
          </w:p>
        </w:tc>
        <w:tc>
          <w:tcPr>
            <w:tcW w:w="2190" w:type="pct"/>
            <w:noWrap w:val="0"/>
            <w:vAlign w:val="center"/>
          </w:tcPr>
          <w:p w14:paraId="6D10C78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r>
      <w:tr w14:paraId="6E4C3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6641844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w:t>
            </w:r>
          </w:p>
        </w:tc>
        <w:tc>
          <w:tcPr>
            <w:tcW w:w="2018" w:type="pct"/>
            <w:noWrap w:val="0"/>
            <w:vAlign w:val="center"/>
          </w:tcPr>
          <w:p w14:paraId="15EC266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汞                            ≤</w:t>
            </w:r>
          </w:p>
        </w:tc>
        <w:tc>
          <w:tcPr>
            <w:tcW w:w="2190" w:type="pct"/>
            <w:noWrap w:val="0"/>
            <w:vAlign w:val="center"/>
          </w:tcPr>
          <w:p w14:paraId="04ECC05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0.0001</w:t>
            </w:r>
          </w:p>
        </w:tc>
      </w:tr>
      <w:tr w14:paraId="781AA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7E77246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2018" w:type="pct"/>
            <w:noWrap w:val="0"/>
            <w:vAlign w:val="center"/>
          </w:tcPr>
          <w:p w14:paraId="1EC02C1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镉                            ≤</w:t>
            </w:r>
          </w:p>
        </w:tc>
        <w:tc>
          <w:tcPr>
            <w:tcW w:w="2190" w:type="pct"/>
            <w:noWrap w:val="0"/>
            <w:vAlign w:val="center"/>
          </w:tcPr>
          <w:p w14:paraId="67AFEB5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0.005</w:t>
            </w:r>
          </w:p>
        </w:tc>
      </w:tr>
      <w:tr w14:paraId="61FE8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D4DE5A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w:t>
            </w:r>
          </w:p>
        </w:tc>
        <w:tc>
          <w:tcPr>
            <w:tcW w:w="2018" w:type="pct"/>
            <w:noWrap w:val="0"/>
            <w:vAlign w:val="center"/>
          </w:tcPr>
          <w:p w14:paraId="64E6BB0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铬（六价）                    ≤</w:t>
            </w:r>
          </w:p>
        </w:tc>
        <w:tc>
          <w:tcPr>
            <w:tcW w:w="2190" w:type="pct"/>
            <w:noWrap w:val="0"/>
            <w:vAlign w:val="center"/>
          </w:tcPr>
          <w:p w14:paraId="4411C8B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r>
      <w:tr w14:paraId="292D3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178AE06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w:t>
            </w:r>
          </w:p>
        </w:tc>
        <w:tc>
          <w:tcPr>
            <w:tcW w:w="2018" w:type="pct"/>
            <w:noWrap w:val="0"/>
            <w:vAlign w:val="center"/>
          </w:tcPr>
          <w:p w14:paraId="578FEC1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铅                            ≤</w:t>
            </w:r>
          </w:p>
        </w:tc>
        <w:tc>
          <w:tcPr>
            <w:tcW w:w="2190" w:type="pct"/>
            <w:noWrap w:val="0"/>
            <w:vAlign w:val="center"/>
          </w:tcPr>
          <w:p w14:paraId="7018C06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r>
      <w:tr w14:paraId="1DDF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4B60A72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w:t>
            </w:r>
          </w:p>
        </w:tc>
        <w:tc>
          <w:tcPr>
            <w:tcW w:w="2018" w:type="pct"/>
            <w:noWrap w:val="0"/>
            <w:vAlign w:val="center"/>
          </w:tcPr>
          <w:p w14:paraId="43E3484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氰化物                        ≤</w:t>
            </w:r>
          </w:p>
        </w:tc>
        <w:tc>
          <w:tcPr>
            <w:tcW w:w="2190" w:type="pct"/>
            <w:noWrap w:val="0"/>
            <w:vAlign w:val="center"/>
          </w:tcPr>
          <w:p w14:paraId="497F427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r>
      <w:tr w14:paraId="686AB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8ED124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w:t>
            </w:r>
          </w:p>
        </w:tc>
        <w:tc>
          <w:tcPr>
            <w:tcW w:w="2018" w:type="pct"/>
            <w:noWrap w:val="0"/>
            <w:vAlign w:val="center"/>
          </w:tcPr>
          <w:p w14:paraId="7298A96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挥发酚                        ≤</w:t>
            </w:r>
          </w:p>
        </w:tc>
        <w:tc>
          <w:tcPr>
            <w:tcW w:w="2190" w:type="pct"/>
            <w:noWrap w:val="0"/>
            <w:vAlign w:val="center"/>
          </w:tcPr>
          <w:p w14:paraId="39B9991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0.005</w:t>
            </w:r>
          </w:p>
        </w:tc>
      </w:tr>
      <w:tr w14:paraId="62DB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8F1F6E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2018" w:type="pct"/>
            <w:noWrap w:val="0"/>
            <w:vAlign w:val="center"/>
          </w:tcPr>
          <w:p w14:paraId="315A4F3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石油类                        ≤</w:t>
            </w:r>
          </w:p>
        </w:tc>
        <w:tc>
          <w:tcPr>
            <w:tcW w:w="2190" w:type="pct"/>
            <w:noWrap w:val="0"/>
            <w:vAlign w:val="center"/>
          </w:tcPr>
          <w:p w14:paraId="2A37E14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r>
      <w:tr w14:paraId="4590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5FBEFE6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w:t>
            </w:r>
          </w:p>
        </w:tc>
        <w:tc>
          <w:tcPr>
            <w:tcW w:w="2018" w:type="pct"/>
            <w:noWrap w:val="0"/>
            <w:vAlign w:val="center"/>
          </w:tcPr>
          <w:p w14:paraId="1F566B8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阴离子表面活性剂              ≤</w:t>
            </w:r>
          </w:p>
        </w:tc>
        <w:tc>
          <w:tcPr>
            <w:tcW w:w="2190" w:type="pct"/>
            <w:noWrap w:val="0"/>
            <w:vAlign w:val="center"/>
          </w:tcPr>
          <w:p w14:paraId="65F9724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r>
      <w:tr w14:paraId="4AF5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228EB19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w:t>
            </w:r>
          </w:p>
        </w:tc>
        <w:tc>
          <w:tcPr>
            <w:tcW w:w="2018" w:type="pct"/>
            <w:noWrap w:val="0"/>
            <w:vAlign w:val="center"/>
          </w:tcPr>
          <w:p w14:paraId="2E1573D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硫化物                         ≤</w:t>
            </w:r>
          </w:p>
        </w:tc>
        <w:tc>
          <w:tcPr>
            <w:tcW w:w="2190" w:type="pct"/>
            <w:noWrap w:val="0"/>
            <w:vAlign w:val="center"/>
          </w:tcPr>
          <w:p w14:paraId="2BC6BFB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w:t>
            </w:r>
          </w:p>
        </w:tc>
      </w:tr>
      <w:tr w14:paraId="5EB2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exact"/>
          <w:jc w:val="center"/>
        </w:trPr>
        <w:tc>
          <w:tcPr>
            <w:tcW w:w="790" w:type="pct"/>
            <w:noWrap w:val="0"/>
            <w:vAlign w:val="center"/>
          </w:tcPr>
          <w:p w14:paraId="637E9CA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w:t>
            </w:r>
          </w:p>
        </w:tc>
        <w:tc>
          <w:tcPr>
            <w:tcW w:w="2018" w:type="pct"/>
            <w:noWrap w:val="0"/>
            <w:vAlign w:val="center"/>
          </w:tcPr>
          <w:p w14:paraId="703961C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粪大肠菌群（个/L）             ≤</w:t>
            </w:r>
          </w:p>
        </w:tc>
        <w:tc>
          <w:tcPr>
            <w:tcW w:w="2190" w:type="pct"/>
            <w:noWrap w:val="0"/>
            <w:vAlign w:val="center"/>
          </w:tcPr>
          <w:p w14:paraId="1EE085B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10000</w:t>
            </w:r>
          </w:p>
        </w:tc>
      </w:tr>
    </w:tbl>
    <w:p w14:paraId="417FB2FC">
      <w:pPr>
        <w:ind w:firstLine="48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②地下水</w:t>
      </w:r>
    </w:p>
    <w:p w14:paraId="3E923D1B">
      <w:pPr>
        <w:ind w:firstLine="480"/>
        <w:rPr>
          <w:rFonts w:hint="default" w:ascii="Times New Roman" w:hAnsi="Times New Roman" w:eastAsia="宋体" w:cs="Times New Roman"/>
          <w:color w:val="auto"/>
        </w:rPr>
      </w:pPr>
      <w:r>
        <w:rPr>
          <w:rFonts w:hint="default" w:ascii="Times New Roman" w:hAnsi="Times New Roman" w:eastAsia="宋体" w:cs="Times New Roman"/>
          <w:bCs/>
          <w:color w:val="auto"/>
        </w:rPr>
        <w:t>项目所在地地下水执行《</w:t>
      </w:r>
      <w:bookmarkStart w:id="24" w:name="OLE_LINK23"/>
      <w:r>
        <w:rPr>
          <w:rFonts w:hint="default" w:ascii="Times New Roman" w:hAnsi="Times New Roman" w:eastAsia="宋体" w:cs="Times New Roman"/>
          <w:bCs/>
          <w:color w:val="auto"/>
        </w:rPr>
        <w:t>地下水质量标准</w:t>
      </w:r>
      <w:bookmarkEnd w:id="24"/>
      <w:r>
        <w:rPr>
          <w:rFonts w:hint="default" w:ascii="Times New Roman" w:hAnsi="Times New Roman" w:eastAsia="宋体" w:cs="Times New Roman"/>
          <w:bCs/>
          <w:color w:val="auto"/>
        </w:rPr>
        <w:t>》（GB/T</w:t>
      </w:r>
      <w:r>
        <w:rPr>
          <w:rFonts w:hint="eastAsia" w:cs="Times New Roman"/>
          <w:bCs/>
          <w:color w:val="auto"/>
          <w:lang w:val="en-US" w:eastAsia="zh-CN"/>
        </w:rPr>
        <w:t xml:space="preserve"> </w:t>
      </w:r>
      <w:r>
        <w:rPr>
          <w:rFonts w:hint="default" w:ascii="Times New Roman" w:hAnsi="Times New Roman" w:eastAsia="宋体" w:cs="Times New Roman"/>
          <w:bCs/>
          <w:color w:val="auto"/>
        </w:rPr>
        <w:t>14848-2017）</w:t>
      </w:r>
      <w:r>
        <w:rPr>
          <w:rFonts w:hint="default" w:ascii="Times New Roman" w:hAnsi="Times New Roman" w:eastAsia="宋体" w:cs="Times New Roman"/>
          <w:color w:val="auto"/>
        </w:rPr>
        <w:t>Ⅲ类水标准。</w:t>
      </w:r>
    </w:p>
    <w:p w14:paraId="00C59F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rPr>
      </w:pPr>
      <w:r>
        <w:rPr>
          <w:rFonts w:hint="default"/>
          <w:b/>
          <w:bCs/>
          <w:color w:val="auto"/>
          <w:sz w:val="21"/>
          <w:szCs w:val="21"/>
        </w:rPr>
        <w:t>表1</w:t>
      </w:r>
      <w:r>
        <w:rPr>
          <w:rFonts w:hint="eastAsia"/>
          <w:b/>
          <w:bCs/>
          <w:color w:val="auto"/>
          <w:sz w:val="21"/>
          <w:szCs w:val="21"/>
          <w:lang w:val="en-US" w:eastAsia="zh-CN"/>
        </w:rPr>
        <w:t>.7</w:t>
      </w:r>
      <w:r>
        <w:rPr>
          <w:rFonts w:hint="default"/>
          <w:b/>
          <w:bCs/>
          <w:color w:val="auto"/>
          <w:sz w:val="21"/>
          <w:szCs w:val="21"/>
        </w:rPr>
        <w:t>-</w:t>
      </w:r>
      <w:r>
        <w:rPr>
          <w:rFonts w:hint="eastAsia"/>
          <w:b/>
          <w:bCs/>
          <w:color w:val="auto"/>
          <w:sz w:val="21"/>
          <w:szCs w:val="21"/>
          <w:lang w:val="en-US" w:eastAsia="zh-CN"/>
        </w:rPr>
        <w:t xml:space="preserve">3 </w:t>
      </w:r>
      <w:r>
        <w:rPr>
          <w:rFonts w:hint="default"/>
          <w:b/>
          <w:bCs/>
          <w:color w:val="auto"/>
          <w:sz w:val="21"/>
          <w:szCs w:val="21"/>
        </w:rPr>
        <w:t xml:space="preserve"> 地下水质量标准 单位：mg/L</w:t>
      </w:r>
    </w:p>
    <w:tbl>
      <w:tblPr>
        <w:tblStyle w:val="58"/>
        <w:tblW w:w="49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2"/>
        <w:gridCol w:w="3428"/>
        <w:gridCol w:w="3718"/>
      </w:tblGrid>
      <w:tr w14:paraId="5BEA6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19C8805A">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序号</w:t>
            </w:r>
          </w:p>
        </w:tc>
        <w:tc>
          <w:tcPr>
            <w:tcW w:w="2021" w:type="pct"/>
            <w:noWrap w:val="0"/>
            <w:vAlign w:val="center"/>
          </w:tcPr>
          <w:p w14:paraId="2DA909F9">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项目</w:t>
            </w:r>
          </w:p>
        </w:tc>
        <w:tc>
          <w:tcPr>
            <w:tcW w:w="2192" w:type="pct"/>
            <w:noWrap w:val="0"/>
            <w:vAlign w:val="center"/>
          </w:tcPr>
          <w:p w14:paraId="31D8A457">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sz w:val="21"/>
                <w:szCs w:val="21"/>
              </w:rPr>
              <w:t>Ⅲ类</w:t>
            </w:r>
            <w:r>
              <w:rPr>
                <w:rFonts w:hint="default" w:ascii="Times New Roman" w:hAnsi="Times New Roman" w:eastAsia="宋体" w:cs="Times New Roman"/>
                <w:bCs/>
                <w:color w:val="auto"/>
                <w:sz w:val="21"/>
                <w:szCs w:val="21"/>
              </w:rPr>
              <w:t>标准值</w:t>
            </w:r>
          </w:p>
        </w:tc>
      </w:tr>
      <w:tr w14:paraId="415C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30FE0F96">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w:t>
            </w:r>
          </w:p>
        </w:tc>
        <w:tc>
          <w:tcPr>
            <w:tcW w:w="2021" w:type="pct"/>
            <w:noWrap w:val="0"/>
            <w:vAlign w:val="center"/>
          </w:tcPr>
          <w:p w14:paraId="4FB3F33C">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色（铂钴色度单位）</w:t>
            </w:r>
          </w:p>
        </w:tc>
        <w:tc>
          <w:tcPr>
            <w:tcW w:w="2192" w:type="pct"/>
            <w:noWrap w:val="0"/>
            <w:vAlign w:val="center"/>
          </w:tcPr>
          <w:p w14:paraId="0DAD0103">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15</w:t>
            </w:r>
          </w:p>
        </w:tc>
      </w:tr>
      <w:tr w14:paraId="5589F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50999074">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w:t>
            </w:r>
          </w:p>
        </w:tc>
        <w:tc>
          <w:tcPr>
            <w:tcW w:w="2021" w:type="pct"/>
            <w:noWrap w:val="0"/>
            <w:vAlign w:val="center"/>
          </w:tcPr>
          <w:p w14:paraId="35AD64B6">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嗅和味</w:t>
            </w:r>
          </w:p>
        </w:tc>
        <w:tc>
          <w:tcPr>
            <w:tcW w:w="2192" w:type="pct"/>
            <w:noWrap w:val="0"/>
            <w:vAlign w:val="center"/>
          </w:tcPr>
          <w:p w14:paraId="6A07CD73">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无</w:t>
            </w:r>
          </w:p>
        </w:tc>
      </w:tr>
      <w:tr w14:paraId="49CA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742BE4C4">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c>
          <w:tcPr>
            <w:tcW w:w="2021" w:type="pct"/>
            <w:noWrap w:val="0"/>
            <w:vAlign w:val="center"/>
          </w:tcPr>
          <w:p w14:paraId="1E35060D">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浑浊度/NTU</w:t>
            </w:r>
          </w:p>
        </w:tc>
        <w:tc>
          <w:tcPr>
            <w:tcW w:w="2192" w:type="pct"/>
            <w:noWrap w:val="0"/>
            <w:vAlign w:val="center"/>
          </w:tcPr>
          <w:p w14:paraId="462580E7">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w:t>
            </w:r>
          </w:p>
        </w:tc>
      </w:tr>
      <w:tr w14:paraId="2175C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519B3FF">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w:t>
            </w:r>
          </w:p>
        </w:tc>
        <w:tc>
          <w:tcPr>
            <w:tcW w:w="2021" w:type="pct"/>
            <w:noWrap w:val="0"/>
            <w:vAlign w:val="center"/>
          </w:tcPr>
          <w:p w14:paraId="63BD917E">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肉眼可见物</w:t>
            </w:r>
          </w:p>
        </w:tc>
        <w:tc>
          <w:tcPr>
            <w:tcW w:w="2192" w:type="pct"/>
            <w:noWrap w:val="0"/>
            <w:vAlign w:val="center"/>
          </w:tcPr>
          <w:p w14:paraId="42B29490">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无</w:t>
            </w:r>
          </w:p>
        </w:tc>
      </w:tr>
      <w:tr w14:paraId="208A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1B4BDE9D">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5</w:t>
            </w:r>
          </w:p>
        </w:tc>
        <w:tc>
          <w:tcPr>
            <w:tcW w:w="2021" w:type="pct"/>
            <w:noWrap w:val="0"/>
            <w:vAlign w:val="center"/>
          </w:tcPr>
          <w:p w14:paraId="2A84010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pH（无量纲）</w:t>
            </w:r>
          </w:p>
        </w:tc>
        <w:tc>
          <w:tcPr>
            <w:tcW w:w="2192" w:type="pct"/>
            <w:noWrap w:val="0"/>
            <w:vAlign w:val="center"/>
          </w:tcPr>
          <w:p w14:paraId="22237FA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6.5~8.5</w:t>
            </w:r>
          </w:p>
        </w:tc>
      </w:tr>
      <w:tr w14:paraId="2103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D217DA6">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6</w:t>
            </w:r>
          </w:p>
        </w:tc>
        <w:tc>
          <w:tcPr>
            <w:tcW w:w="2021" w:type="pct"/>
            <w:noWrap w:val="0"/>
            <w:vAlign w:val="center"/>
          </w:tcPr>
          <w:p w14:paraId="436273AC">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总硬度（以CaCO</w:t>
            </w:r>
            <w:r>
              <w:rPr>
                <w:rFonts w:hint="default" w:ascii="Times New Roman" w:hAnsi="Times New Roman" w:eastAsia="宋体" w:cs="Times New Roman"/>
                <w:bCs/>
                <w:color w:val="auto"/>
                <w:sz w:val="21"/>
                <w:szCs w:val="21"/>
                <w:vertAlign w:val="subscript"/>
              </w:rPr>
              <w:t>3</w:t>
            </w:r>
            <w:r>
              <w:rPr>
                <w:rFonts w:hint="default" w:ascii="Times New Roman" w:hAnsi="Times New Roman" w:eastAsia="宋体" w:cs="Times New Roman"/>
                <w:bCs/>
                <w:color w:val="auto"/>
                <w:sz w:val="21"/>
                <w:szCs w:val="21"/>
              </w:rPr>
              <w:t>计）</w:t>
            </w:r>
          </w:p>
        </w:tc>
        <w:tc>
          <w:tcPr>
            <w:tcW w:w="2192" w:type="pct"/>
            <w:noWrap w:val="0"/>
            <w:vAlign w:val="center"/>
          </w:tcPr>
          <w:p w14:paraId="73FA3BDA">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450</w:t>
            </w:r>
          </w:p>
        </w:tc>
      </w:tr>
      <w:tr w14:paraId="732B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5EEA424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p>
        </w:tc>
        <w:tc>
          <w:tcPr>
            <w:tcW w:w="2021" w:type="pct"/>
            <w:noWrap w:val="0"/>
            <w:vAlign w:val="center"/>
          </w:tcPr>
          <w:p w14:paraId="5C97D77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溶解性总固体</w:t>
            </w:r>
          </w:p>
        </w:tc>
        <w:tc>
          <w:tcPr>
            <w:tcW w:w="2192" w:type="pct"/>
            <w:noWrap w:val="0"/>
            <w:vAlign w:val="center"/>
          </w:tcPr>
          <w:p w14:paraId="09CD675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1000</w:t>
            </w:r>
          </w:p>
        </w:tc>
      </w:tr>
      <w:tr w14:paraId="4E50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04E4229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w:t>
            </w:r>
          </w:p>
        </w:tc>
        <w:tc>
          <w:tcPr>
            <w:tcW w:w="2021" w:type="pct"/>
            <w:noWrap w:val="0"/>
            <w:vAlign w:val="center"/>
          </w:tcPr>
          <w:p w14:paraId="0794EE8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硫酸盐</w:t>
            </w:r>
          </w:p>
        </w:tc>
        <w:tc>
          <w:tcPr>
            <w:tcW w:w="2192" w:type="pct"/>
            <w:noWrap w:val="0"/>
            <w:vAlign w:val="center"/>
          </w:tcPr>
          <w:p w14:paraId="28AACA8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20.0</w:t>
            </w:r>
          </w:p>
        </w:tc>
      </w:tr>
      <w:tr w14:paraId="0E7F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A1AD58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w:t>
            </w:r>
          </w:p>
        </w:tc>
        <w:tc>
          <w:tcPr>
            <w:tcW w:w="2021" w:type="pct"/>
            <w:noWrap w:val="0"/>
            <w:vAlign w:val="center"/>
          </w:tcPr>
          <w:p w14:paraId="4BA38A3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氯化物</w:t>
            </w:r>
          </w:p>
        </w:tc>
        <w:tc>
          <w:tcPr>
            <w:tcW w:w="2192" w:type="pct"/>
            <w:noWrap w:val="0"/>
            <w:vAlign w:val="center"/>
          </w:tcPr>
          <w:p w14:paraId="12950EF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250</w:t>
            </w:r>
          </w:p>
        </w:tc>
      </w:tr>
      <w:tr w14:paraId="4F9A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3E69714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2021" w:type="pct"/>
            <w:noWrap w:val="0"/>
            <w:vAlign w:val="center"/>
          </w:tcPr>
          <w:p w14:paraId="742FB1A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铁</w:t>
            </w:r>
          </w:p>
        </w:tc>
        <w:tc>
          <w:tcPr>
            <w:tcW w:w="2192" w:type="pct"/>
            <w:noWrap w:val="0"/>
            <w:vAlign w:val="center"/>
          </w:tcPr>
          <w:p w14:paraId="2EE69DC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0.3</w:t>
            </w:r>
          </w:p>
        </w:tc>
      </w:tr>
      <w:tr w14:paraId="3872F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C3B5AB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p>
        </w:tc>
        <w:tc>
          <w:tcPr>
            <w:tcW w:w="2021" w:type="pct"/>
            <w:noWrap w:val="0"/>
            <w:vAlign w:val="center"/>
          </w:tcPr>
          <w:p w14:paraId="4C40200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锰</w:t>
            </w:r>
          </w:p>
        </w:tc>
        <w:tc>
          <w:tcPr>
            <w:tcW w:w="2192" w:type="pct"/>
            <w:noWrap w:val="0"/>
            <w:vAlign w:val="center"/>
          </w:tcPr>
          <w:p w14:paraId="62DC12D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0.1</w:t>
            </w:r>
          </w:p>
        </w:tc>
      </w:tr>
      <w:tr w14:paraId="44F29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4A0E26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2021" w:type="pct"/>
            <w:noWrap w:val="0"/>
            <w:vAlign w:val="center"/>
          </w:tcPr>
          <w:p w14:paraId="3E66D55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铜</w:t>
            </w:r>
          </w:p>
        </w:tc>
        <w:tc>
          <w:tcPr>
            <w:tcW w:w="2192" w:type="pct"/>
            <w:noWrap w:val="0"/>
            <w:vAlign w:val="center"/>
          </w:tcPr>
          <w:p w14:paraId="7CC40D2E">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1.0</w:t>
            </w:r>
          </w:p>
        </w:tc>
      </w:tr>
      <w:tr w14:paraId="34DC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6EC9F62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w:t>
            </w:r>
          </w:p>
        </w:tc>
        <w:tc>
          <w:tcPr>
            <w:tcW w:w="2021" w:type="pct"/>
            <w:noWrap w:val="0"/>
            <w:vAlign w:val="center"/>
          </w:tcPr>
          <w:p w14:paraId="206D972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锌</w:t>
            </w:r>
          </w:p>
        </w:tc>
        <w:tc>
          <w:tcPr>
            <w:tcW w:w="2192" w:type="pct"/>
            <w:noWrap w:val="0"/>
            <w:vAlign w:val="center"/>
          </w:tcPr>
          <w:p w14:paraId="366D2F6B">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1.0</w:t>
            </w:r>
          </w:p>
        </w:tc>
      </w:tr>
      <w:tr w14:paraId="40D3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1A69447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w:t>
            </w:r>
          </w:p>
        </w:tc>
        <w:tc>
          <w:tcPr>
            <w:tcW w:w="2021" w:type="pct"/>
            <w:noWrap w:val="0"/>
            <w:vAlign w:val="center"/>
          </w:tcPr>
          <w:p w14:paraId="306D034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铝</w:t>
            </w:r>
          </w:p>
        </w:tc>
        <w:tc>
          <w:tcPr>
            <w:tcW w:w="2192" w:type="pct"/>
            <w:noWrap w:val="0"/>
            <w:vAlign w:val="center"/>
          </w:tcPr>
          <w:p w14:paraId="5C5298DA">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0.2</w:t>
            </w:r>
          </w:p>
        </w:tc>
      </w:tr>
      <w:tr w14:paraId="5BBE7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61E9EF4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2021" w:type="pct"/>
            <w:noWrap w:val="0"/>
            <w:vAlign w:val="center"/>
          </w:tcPr>
          <w:p w14:paraId="0C4A4CE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挥发性酚类（以苯酚计）</w:t>
            </w:r>
          </w:p>
        </w:tc>
        <w:tc>
          <w:tcPr>
            <w:tcW w:w="2192" w:type="pct"/>
            <w:noWrap w:val="0"/>
            <w:vAlign w:val="center"/>
          </w:tcPr>
          <w:p w14:paraId="38A831B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0.002</w:t>
            </w:r>
          </w:p>
        </w:tc>
      </w:tr>
      <w:tr w14:paraId="47D2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79D3DEA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w:t>
            </w:r>
          </w:p>
        </w:tc>
        <w:tc>
          <w:tcPr>
            <w:tcW w:w="2021" w:type="pct"/>
            <w:noWrap w:val="0"/>
            <w:vAlign w:val="center"/>
          </w:tcPr>
          <w:p w14:paraId="561C7C5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阴离子表面活性剂</w:t>
            </w:r>
          </w:p>
        </w:tc>
        <w:tc>
          <w:tcPr>
            <w:tcW w:w="2192" w:type="pct"/>
            <w:noWrap w:val="0"/>
            <w:vAlign w:val="center"/>
          </w:tcPr>
          <w:p w14:paraId="42EE7A35">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0.3</w:t>
            </w:r>
          </w:p>
        </w:tc>
      </w:tr>
      <w:tr w14:paraId="2BA44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576BF78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w:t>
            </w:r>
          </w:p>
        </w:tc>
        <w:tc>
          <w:tcPr>
            <w:tcW w:w="2021" w:type="pct"/>
            <w:noWrap w:val="0"/>
            <w:vAlign w:val="center"/>
          </w:tcPr>
          <w:p w14:paraId="0328723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耗氧量（COD</w:t>
            </w:r>
            <w:r>
              <w:rPr>
                <w:rFonts w:hint="default" w:ascii="Times New Roman" w:hAnsi="Times New Roman" w:eastAsia="宋体" w:cs="Times New Roman"/>
                <w:color w:val="auto"/>
                <w:sz w:val="21"/>
                <w:szCs w:val="21"/>
                <w:vertAlign w:val="subscript"/>
              </w:rPr>
              <w:t>Mn</w:t>
            </w:r>
            <w:r>
              <w:rPr>
                <w:rFonts w:hint="default" w:ascii="Times New Roman" w:hAnsi="Times New Roman" w:eastAsia="宋体" w:cs="Times New Roman"/>
                <w:color w:val="auto"/>
                <w:sz w:val="21"/>
                <w:szCs w:val="21"/>
              </w:rPr>
              <w:t>法，以O</w:t>
            </w:r>
            <w:r>
              <w:rPr>
                <w:rFonts w:hint="default" w:ascii="Times New Roman" w:hAnsi="Times New Roman" w:eastAsia="宋体" w:cs="Times New Roman"/>
                <w:color w:val="auto"/>
                <w:sz w:val="21"/>
                <w:szCs w:val="21"/>
                <w:vertAlign w:val="subscript"/>
              </w:rPr>
              <w:t>2</w:t>
            </w:r>
            <w:r>
              <w:rPr>
                <w:rFonts w:hint="default" w:ascii="Times New Roman" w:hAnsi="Times New Roman" w:eastAsia="宋体" w:cs="Times New Roman"/>
                <w:color w:val="auto"/>
                <w:sz w:val="21"/>
                <w:szCs w:val="21"/>
              </w:rPr>
              <w:t>计）</w:t>
            </w:r>
          </w:p>
        </w:tc>
        <w:tc>
          <w:tcPr>
            <w:tcW w:w="2192" w:type="pct"/>
            <w:noWrap w:val="0"/>
            <w:vAlign w:val="center"/>
          </w:tcPr>
          <w:p w14:paraId="55287AC7">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3.0</w:t>
            </w:r>
          </w:p>
        </w:tc>
      </w:tr>
      <w:tr w14:paraId="019F8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C9F5FB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w:t>
            </w:r>
          </w:p>
        </w:tc>
        <w:tc>
          <w:tcPr>
            <w:tcW w:w="2021" w:type="pct"/>
            <w:noWrap w:val="0"/>
            <w:vAlign w:val="center"/>
          </w:tcPr>
          <w:p w14:paraId="73F8A99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氨氮</w:t>
            </w:r>
          </w:p>
        </w:tc>
        <w:tc>
          <w:tcPr>
            <w:tcW w:w="2192" w:type="pct"/>
            <w:noWrap w:val="0"/>
            <w:vAlign w:val="center"/>
          </w:tcPr>
          <w:p w14:paraId="4E67F195">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0.5</w:t>
            </w:r>
          </w:p>
        </w:tc>
      </w:tr>
      <w:tr w14:paraId="3819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69A197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w:t>
            </w:r>
          </w:p>
        </w:tc>
        <w:tc>
          <w:tcPr>
            <w:tcW w:w="2021" w:type="pct"/>
            <w:noWrap w:val="0"/>
            <w:vAlign w:val="center"/>
          </w:tcPr>
          <w:p w14:paraId="60F185F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硫化物</w:t>
            </w:r>
          </w:p>
        </w:tc>
        <w:tc>
          <w:tcPr>
            <w:tcW w:w="2192" w:type="pct"/>
            <w:noWrap w:val="0"/>
            <w:vAlign w:val="center"/>
          </w:tcPr>
          <w:p w14:paraId="75E1B3D5">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0.02</w:t>
            </w:r>
          </w:p>
        </w:tc>
      </w:tr>
      <w:tr w14:paraId="0C301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2B0749F">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2021" w:type="pct"/>
            <w:noWrap w:val="0"/>
            <w:vAlign w:val="center"/>
          </w:tcPr>
          <w:p w14:paraId="096924E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钠</w:t>
            </w:r>
          </w:p>
        </w:tc>
        <w:tc>
          <w:tcPr>
            <w:tcW w:w="2192" w:type="pct"/>
            <w:noWrap w:val="0"/>
            <w:vAlign w:val="center"/>
          </w:tcPr>
          <w:p w14:paraId="432401C2">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200</w:t>
            </w:r>
          </w:p>
        </w:tc>
      </w:tr>
      <w:tr w14:paraId="56DF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5B4E4A7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w:t>
            </w:r>
          </w:p>
        </w:tc>
        <w:tc>
          <w:tcPr>
            <w:tcW w:w="2021" w:type="pct"/>
            <w:noWrap w:val="0"/>
            <w:vAlign w:val="center"/>
          </w:tcPr>
          <w:p w14:paraId="6E16D41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总大肠菌群个（</w:t>
            </w:r>
            <w:r>
              <w:rPr>
                <w:rFonts w:hint="default" w:ascii="Times New Roman" w:hAnsi="Times New Roman" w:eastAsia="宋体" w:cs="Times New Roman"/>
                <w:color w:val="auto"/>
                <w:sz w:val="21"/>
                <w:szCs w:val="21"/>
              </w:rPr>
              <w:t>CFU/100mL</w:t>
            </w:r>
            <w:r>
              <w:rPr>
                <w:rFonts w:hint="default" w:ascii="Times New Roman" w:hAnsi="Times New Roman" w:eastAsia="宋体" w:cs="Times New Roman"/>
                <w:bCs/>
                <w:color w:val="auto"/>
                <w:sz w:val="21"/>
                <w:szCs w:val="21"/>
              </w:rPr>
              <w:t>）</w:t>
            </w:r>
          </w:p>
        </w:tc>
        <w:tc>
          <w:tcPr>
            <w:tcW w:w="2192" w:type="pct"/>
            <w:noWrap w:val="0"/>
            <w:vAlign w:val="center"/>
          </w:tcPr>
          <w:p w14:paraId="2438CE2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3.0</w:t>
            </w:r>
          </w:p>
        </w:tc>
      </w:tr>
      <w:tr w14:paraId="065B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EF8664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w:t>
            </w:r>
          </w:p>
        </w:tc>
        <w:tc>
          <w:tcPr>
            <w:tcW w:w="2021" w:type="pct"/>
            <w:noWrap w:val="0"/>
            <w:vAlign w:val="center"/>
          </w:tcPr>
          <w:p w14:paraId="15676F0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菌落总数（</w:t>
            </w:r>
            <w:r>
              <w:rPr>
                <w:rFonts w:hint="default" w:ascii="Times New Roman" w:hAnsi="Times New Roman" w:eastAsia="宋体" w:cs="Times New Roman"/>
                <w:color w:val="auto"/>
                <w:sz w:val="21"/>
                <w:szCs w:val="21"/>
              </w:rPr>
              <w:t>CFU/mL</w:t>
            </w:r>
            <w:r>
              <w:rPr>
                <w:rFonts w:hint="default" w:ascii="Times New Roman" w:hAnsi="Times New Roman" w:eastAsia="宋体" w:cs="Times New Roman"/>
                <w:bCs/>
                <w:color w:val="auto"/>
                <w:sz w:val="21"/>
                <w:szCs w:val="21"/>
              </w:rPr>
              <w:t>）</w:t>
            </w:r>
          </w:p>
        </w:tc>
        <w:tc>
          <w:tcPr>
            <w:tcW w:w="2192" w:type="pct"/>
            <w:noWrap w:val="0"/>
            <w:vAlign w:val="center"/>
          </w:tcPr>
          <w:p w14:paraId="7585514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100</w:t>
            </w:r>
          </w:p>
        </w:tc>
      </w:tr>
      <w:tr w14:paraId="3523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D5FC63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w:t>
            </w:r>
          </w:p>
        </w:tc>
        <w:tc>
          <w:tcPr>
            <w:tcW w:w="2021" w:type="pct"/>
            <w:noWrap w:val="0"/>
            <w:vAlign w:val="center"/>
          </w:tcPr>
          <w:p w14:paraId="2CE7966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亚硝酸盐</w:t>
            </w:r>
          </w:p>
        </w:tc>
        <w:tc>
          <w:tcPr>
            <w:tcW w:w="2192" w:type="pct"/>
            <w:noWrap w:val="0"/>
            <w:vAlign w:val="center"/>
          </w:tcPr>
          <w:p w14:paraId="168FB70C">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1.0</w:t>
            </w:r>
          </w:p>
        </w:tc>
      </w:tr>
      <w:tr w14:paraId="4AF20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69CB895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w:t>
            </w:r>
          </w:p>
        </w:tc>
        <w:tc>
          <w:tcPr>
            <w:tcW w:w="2021" w:type="pct"/>
            <w:noWrap w:val="0"/>
            <w:vAlign w:val="center"/>
          </w:tcPr>
          <w:p w14:paraId="50FEBEB4">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硝酸盐</w:t>
            </w:r>
          </w:p>
        </w:tc>
        <w:tc>
          <w:tcPr>
            <w:tcW w:w="2192" w:type="pct"/>
            <w:noWrap w:val="0"/>
            <w:vAlign w:val="center"/>
          </w:tcPr>
          <w:p w14:paraId="300E398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20</w:t>
            </w:r>
          </w:p>
        </w:tc>
      </w:tr>
      <w:tr w14:paraId="72FD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1556B4F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2021" w:type="pct"/>
            <w:noWrap w:val="0"/>
            <w:vAlign w:val="center"/>
          </w:tcPr>
          <w:p w14:paraId="716E109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氰化物</w:t>
            </w:r>
          </w:p>
        </w:tc>
        <w:tc>
          <w:tcPr>
            <w:tcW w:w="2192" w:type="pct"/>
            <w:noWrap w:val="0"/>
            <w:vAlign w:val="center"/>
          </w:tcPr>
          <w:p w14:paraId="2EB0961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0.05</w:t>
            </w:r>
          </w:p>
        </w:tc>
      </w:tr>
      <w:tr w14:paraId="43F26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73A5DD0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w:t>
            </w:r>
          </w:p>
        </w:tc>
        <w:tc>
          <w:tcPr>
            <w:tcW w:w="2021" w:type="pct"/>
            <w:noWrap w:val="0"/>
            <w:vAlign w:val="center"/>
          </w:tcPr>
          <w:p w14:paraId="7211A1DE">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氟化物</w:t>
            </w:r>
          </w:p>
        </w:tc>
        <w:tc>
          <w:tcPr>
            <w:tcW w:w="2192" w:type="pct"/>
            <w:noWrap w:val="0"/>
            <w:vAlign w:val="center"/>
          </w:tcPr>
          <w:p w14:paraId="6A5CA6C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1.0</w:t>
            </w:r>
          </w:p>
        </w:tc>
      </w:tr>
      <w:tr w14:paraId="30FC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DB3BA8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w:t>
            </w:r>
          </w:p>
        </w:tc>
        <w:tc>
          <w:tcPr>
            <w:tcW w:w="2021" w:type="pct"/>
            <w:noWrap w:val="0"/>
            <w:vAlign w:val="center"/>
          </w:tcPr>
          <w:p w14:paraId="7EA36E7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碘化物</w:t>
            </w:r>
          </w:p>
        </w:tc>
        <w:tc>
          <w:tcPr>
            <w:tcW w:w="2192" w:type="pct"/>
            <w:noWrap w:val="0"/>
            <w:vAlign w:val="center"/>
          </w:tcPr>
          <w:p w14:paraId="16E958D7">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0.08</w:t>
            </w:r>
          </w:p>
        </w:tc>
      </w:tr>
      <w:tr w14:paraId="651B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6B69F1A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w:t>
            </w:r>
          </w:p>
        </w:tc>
        <w:tc>
          <w:tcPr>
            <w:tcW w:w="2021" w:type="pct"/>
            <w:noWrap w:val="0"/>
            <w:vAlign w:val="center"/>
          </w:tcPr>
          <w:p w14:paraId="34C7A6B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汞</w:t>
            </w:r>
          </w:p>
        </w:tc>
        <w:tc>
          <w:tcPr>
            <w:tcW w:w="2192" w:type="pct"/>
            <w:noWrap w:val="0"/>
            <w:vAlign w:val="center"/>
          </w:tcPr>
          <w:p w14:paraId="2E48AA4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0.001</w:t>
            </w:r>
          </w:p>
        </w:tc>
      </w:tr>
      <w:tr w14:paraId="51FD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4515DCA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w:t>
            </w:r>
          </w:p>
        </w:tc>
        <w:tc>
          <w:tcPr>
            <w:tcW w:w="2021" w:type="pct"/>
            <w:noWrap w:val="0"/>
            <w:vAlign w:val="center"/>
          </w:tcPr>
          <w:p w14:paraId="5A4D8BD5">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砷</w:t>
            </w:r>
          </w:p>
        </w:tc>
        <w:tc>
          <w:tcPr>
            <w:tcW w:w="2192" w:type="pct"/>
            <w:noWrap w:val="0"/>
            <w:vAlign w:val="center"/>
          </w:tcPr>
          <w:p w14:paraId="31036643">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0.01</w:t>
            </w:r>
          </w:p>
        </w:tc>
      </w:tr>
      <w:tr w14:paraId="6749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F19CF6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2021" w:type="pct"/>
            <w:noWrap w:val="0"/>
            <w:vAlign w:val="center"/>
          </w:tcPr>
          <w:p w14:paraId="6DD7D86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硒</w:t>
            </w:r>
          </w:p>
        </w:tc>
        <w:tc>
          <w:tcPr>
            <w:tcW w:w="2192" w:type="pct"/>
            <w:noWrap w:val="0"/>
            <w:vAlign w:val="center"/>
          </w:tcPr>
          <w:p w14:paraId="0D163F5B">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0.01</w:t>
            </w:r>
          </w:p>
        </w:tc>
      </w:tr>
      <w:tr w14:paraId="79C5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5007245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w:t>
            </w:r>
          </w:p>
        </w:tc>
        <w:tc>
          <w:tcPr>
            <w:tcW w:w="2021" w:type="pct"/>
            <w:noWrap w:val="0"/>
            <w:vAlign w:val="center"/>
          </w:tcPr>
          <w:p w14:paraId="431A642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镉</w:t>
            </w:r>
          </w:p>
        </w:tc>
        <w:tc>
          <w:tcPr>
            <w:tcW w:w="2192" w:type="pct"/>
            <w:noWrap w:val="0"/>
            <w:vAlign w:val="center"/>
          </w:tcPr>
          <w:p w14:paraId="2FD6419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0.005</w:t>
            </w:r>
          </w:p>
        </w:tc>
      </w:tr>
      <w:tr w14:paraId="5ECD4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27EAE35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w:t>
            </w:r>
          </w:p>
        </w:tc>
        <w:tc>
          <w:tcPr>
            <w:tcW w:w="2021" w:type="pct"/>
            <w:noWrap w:val="0"/>
            <w:vAlign w:val="center"/>
          </w:tcPr>
          <w:p w14:paraId="057E59C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铬（六价）</w:t>
            </w:r>
          </w:p>
        </w:tc>
        <w:tc>
          <w:tcPr>
            <w:tcW w:w="2192" w:type="pct"/>
            <w:noWrap w:val="0"/>
            <w:vAlign w:val="center"/>
          </w:tcPr>
          <w:p w14:paraId="22DF993D">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0.05</w:t>
            </w:r>
          </w:p>
        </w:tc>
      </w:tr>
      <w:tr w14:paraId="4D8E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exact"/>
        </w:trPr>
        <w:tc>
          <w:tcPr>
            <w:tcW w:w="786" w:type="pct"/>
            <w:noWrap w:val="0"/>
            <w:vAlign w:val="center"/>
          </w:tcPr>
          <w:p w14:paraId="6AD6C4F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w:t>
            </w:r>
          </w:p>
        </w:tc>
        <w:tc>
          <w:tcPr>
            <w:tcW w:w="2021" w:type="pct"/>
            <w:noWrap w:val="0"/>
            <w:vAlign w:val="center"/>
          </w:tcPr>
          <w:p w14:paraId="567C6D78">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铅</w:t>
            </w:r>
          </w:p>
        </w:tc>
        <w:tc>
          <w:tcPr>
            <w:tcW w:w="2192" w:type="pct"/>
            <w:noWrap w:val="0"/>
            <w:vAlign w:val="center"/>
          </w:tcPr>
          <w:p w14:paraId="68EDF849">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Cs/>
                <w:color w:val="auto"/>
                <w:sz w:val="21"/>
                <w:szCs w:val="21"/>
              </w:rPr>
              <w:t>0.01</w:t>
            </w:r>
          </w:p>
        </w:tc>
      </w:tr>
    </w:tbl>
    <w:p w14:paraId="18A9AA7A">
      <w:pPr>
        <w:pStyle w:val="498"/>
        <w:spacing w:line="360" w:lineRule="auto"/>
        <w:ind w:firstLine="480"/>
        <w:rPr>
          <w:rFonts w:hint="default" w:ascii="Times New Roman" w:hAnsi="Times New Roman" w:eastAsia="宋体" w:cs="Times New Roman"/>
          <w:b/>
          <w:bCs/>
          <w:color w:val="auto"/>
        </w:rPr>
      </w:pP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lang w:val="en-US" w:eastAsia="zh-CN"/>
        </w:rPr>
        <w:t>3</w:t>
      </w:r>
      <w:r>
        <w:rPr>
          <w:rFonts w:hint="default" w:ascii="Times New Roman" w:hAnsi="Times New Roman" w:eastAsia="宋体" w:cs="Times New Roman"/>
          <w:b/>
          <w:bCs/>
          <w:color w:val="auto"/>
          <w:lang w:eastAsia="zh-CN"/>
        </w:rPr>
        <w:t>）</w:t>
      </w:r>
      <w:r>
        <w:rPr>
          <w:rFonts w:hint="default" w:ascii="Times New Roman" w:hAnsi="Times New Roman" w:eastAsia="宋体" w:cs="Times New Roman"/>
          <w:b/>
          <w:bCs/>
          <w:color w:val="auto"/>
          <w:szCs w:val="24"/>
        </w:rPr>
        <w:t>声环境质量标准</w:t>
      </w:r>
    </w:p>
    <w:p w14:paraId="56DD6649">
      <w:pPr>
        <w:keepNext w:val="0"/>
        <w:keepLines w:val="0"/>
        <w:widowControl/>
        <w:suppressLineNumbers w:val="0"/>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项目声环境功能区划根据</w:t>
      </w:r>
      <w:r>
        <w:rPr>
          <w:rFonts w:hint="default" w:ascii="Times New Roman" w:hAnsi="Times New Roman" w:eastAsia="宋体" w:cs="Times New Roman"/>
          <w:color w:val="auto"/>
          <w:kern w:val="0"/>
          <w:sz w:val="24"/>
          <w:szCs w:val="24"/>
        </w:rPr>
        <w:t>拟建公路两侧红线外35m内的区域</w:t>
      </w:r>
      <w:r>
        <w:rPr>
          <w:rFonts w:hint="default" w:ascii="Times New Roman" w:hAnsi="Times New Roman" w:eastAsia="宋体" w:cs="Times New Roman"/>
          <w:color w:val="auto"/>
          <w:kern w:val="0"/>
          <w:sz w:val="24"/>
          <w:szCs w:val="24"/>
          <w:lang w:val="en-US" w:eastAsia="zh-CN"/>
        </w:rPr>
        <w:t>进行划分，</w:t>
      </w:r>
      <w:r>
        <w:rPr>
          <w:rFonts w:hint="default" w:ascii="Times New Roman" w:hAnsi="Times New Roman" w:eastAsia="宋体" w:cs="Times New Roman"/>
          <w:color w:val="auto"/>
          <w:kern w:val="0"/>
          <w:sz w:val="24"/>
          <w:szCs w:val="24"/>
        </w:rPr>
        <w:t>执行《声环境质量标准》</w:t>
      </w:r>
      <w:r>
        <w:rPr>
          <w:rFonts w:hint="default" w:ascii="Times New Roman" w:hAnsi="Times New Roman" w:eastAsia="宋体" w:cs="Times New Roman"/>
          <w:color w:val="auto"/>
          <w:kern w:val="0"/>
          <w:sz w:val="24"/>
          <w:szCs w:val="24"/>
        </w:rPr>
        <w:t>（GB</w:t>
      </w:r>
      <w:r>
        <w:rPr>
          <w:rFonts w:hint="eastAsia"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3096-2008）</w:t>
      </w:r>
      <w:r>
        <w:rPr>
          <w:rFonts w:hint="default" w:ascii="Times New Roman" w:hAnsi="Times New Roman" w:eastAsia="宋体" w:cs="Times New Roman"/>
          <w:color w:val="auto"/>
          <w:kern w:val="0"/>
          <w:sz w:val="24"/>
          <w:szCs w:val="24"/>
        </w:rPr>
        <w:t>中的4a类标准，公路两侧红线外35m外的区域执行2类标准。</w:t>
      </w:r>
      <w:r>
        <w:rPr>
          <w:rFonts w:hint="eastAsia" w:ascii="宋体" w:hAnsi="宋体" w:eastAsia="宋体" w:cs="宋体"/>
          <w:color w:val="auto"/>
          <w:kern w:val="0"/>
          <w:sz w:val="24"/>
          <w:szCs w:val="24"/>
          <w:lang w:val="en-US" w:eastAsia="zh-CN" w:bidi="ar"/>
        </w:rPr>
        <w:t>评价范围内的学校、医院等特殊敏感建筑均执行《声环境质量标准》（</w:t>
      </w:r>
      <w:r>
        <w:rPr>
          <w:rFonts w:hint="default" w:ascii="Times New Roman" w:hAnsi="Times New Roman" w:eastAsia="宋体" w:cs="Times New Roman"/>
          <w:color w:val="auto"/>
          <w:kern w:val="0"/>
          <w:sz w:val="24"/>
          <w:szCs w:val="24"/>
          <w:lang w:val="en-US" w:eastAsia="zh-CN" w:bidi="ar"/>
        </w:rPr>
        <w:t>GB</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3096-2008</w:t>
      </w:r>
      <w:r>
        <w:rPr>
          <w:rFonts w:hint="eastAsia" w:ascii="宋体" w:hAnsi="宋体" w:eastAsia="宋体" w:cs="宋体"/>
          <w:color w:val="auto"/>
          <w:kern w:val="0"/>
          <w:sz w:val="24"/>
          <w:szCs w:val="24"/>
          <w:lang w:val="en-US" w:eastAsia="zh-CN" w:bidi="ar"/>
        </w:rPr>
        <w:t>）中</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类标准</w:t>
      </w:r>
      <w:r>
        <w:rPr>
          <w:rFonts w:hint="eastAsia" w:ascii="宋体" w:hAnsi="宋体" w:cs="宋体"/>
          <w:color w:val="auto"/>
          <w:kern w:val="0"/>
          <w:sz w:val="24"/>
          <w:szCs w:val="24"/>
          <w:lang w:val="en-US" w:eastAsia="zh-CN" w:bidi="ar"/>
        </w:rPr>
        <w:t>，</w:t>
      </w:r>
      <w:r>
        <w:rPr>
          <w:rFonts w:hint="default" w:ascii="Times New Roman" w:hAnsi="Times New Roman" w:eastAsia="宋体" w:cs="Times New Roman"/>
          <w:color w:val="auto"/>
          <w:sz w:val="24"/>
          <w:szCs w:val="24"/>
        </w:rPr>
        <w:t>相应标准值具体见表1.7-4。</w:t>
      </w:r>
    </w:p>
    <w:p w14:paraId="6BDEC31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4</w:t>
      </w:r>
      <w:r>
        <w:rPr>
          <w:rFonts w:hint="default" w:ascii="Times New Roman" w:hAnsi="Times New Roman" w:eastAsia="宋体" w:cs="Times New Roman"/>
          <w:b/>
          <w:bCs/>
          <w:color w:val="auto"/>
          <w:sz w:val="21"/>
          <w:szCs w:val="21"/>
        </w:rPr>
        <w:t xml:space="preserve">   声环境质量标准限值      单位：dB(A)</w:t>
      </w:r>
    </w:p>
    <w:tbl>
      <w:tblPr>
        <w:tblStyle w:val="58"/>
        <w:tblW w:w="5000" w:type="pct"/>
        <w:tblInd w:w="0"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autofit"/>
        <w:tblCellMar>
          <w:top w:w="0" w:type="dxa"/>
          <w:left w:w="108" w:type="dxa"/>
          <w:bottom w:w="0" w:type="dxa"/>
          <w:right w:w="108" w:type="dxa"/>
        </w:tblCellMar>
      </w:tblPr>
      <w:tblGrid>
        <w:gridCol w:w="1241"/>
        <w:gridCol w:w="3019"/>
        <w:gridCol w:w="2131"/>
        <w:gridCol w:w="2131"/>
      </w:tblGrid>
      <w:tr w14:paraId="4CA1F18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PrEx>
        <w:tc>
          <w:tcPr>
            <w:tcW w:w="728" w:type="pct"/>
            <w:noWrap w:val="0"/>
            <w:vAlign w:val="center"/>
          </w:tcPr>
          <w:p w14:paraId="5DC8B0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771" w:type="pct"/>
            <w:noWrap w:val="0"/>
            <w:vAlign w:val="center"/>
          </w:tcPr>
          <w:p w14:paraId="6065BA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标准类别</w:t>
            </w:r>
          </w:p>
        </w:tc>
        <w:tc>
          <w:tcPr>
            <w:tcW w:w="1250" w:type="pct"/>
            <w:noWrap w:val="0"/>
            <w:vAlign w:val="center"/>
          </w:tcPr>
          <w:p w14:paraId="14CEAC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tc>
        <w:tc>
          <w:tcPr>
            <w:tcW w:w="1250" w:type="pct"/>
            <w:noWrap w:val="0"/>
            <w:vAlign w:val="center"/>
          </w:tcPr>
          <w:p w14:paraId="511E857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夜间</w:t>
            </w:r>
          </w:p>
        </w:tc>
      </w:tr>
      <w:tr w14:paraId="0BEE40D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c>
          <w:tcPr>
            <w:tcW w:w="728" w:type="pct"/>
            <w:noWrap w:val="0"/>
            <w:vAlign w:val="center"/>
          </w:tcPr>
          <w:p w14:paraId="3402FFA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1771" w:type="pct"/>
            <w:noWrap w:val="0"/>
            <w:vAlign w:val="center"/>
          </w:tcPr>
          <w:p w14:paraId="378A4FA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2类</w:t>
            </w:r>
          </w:p>
        </w:tc>
        <w:tc>
          <w:tcPr>
            <w:tcW w:w="1250" w:type="pct"/>
            <w:noWrap w:val="0"/>
            <w:vAlign w:val="center"/>
          </w:tcPr>
          <w:p w14:paraId="49EC927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1250" w:type="pct"/>
            <w:noWrap w:val="0"/>
            <w:vAlign w:val="center"/>
          </w:tcPr>
          <w:p w14:paraId="3EBDEB7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w:t>
            </w:r>
          </w:p>
        </w:tc>
      </w:tr>
      <w:tr w14:paraId="35D841F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c>
          <w:tcPr>
            <w:tcW w:w="728" w:type="pct"/>
            <w:noWrap w:val="0"/>
            <w:vAlign w:val="center"/>
          </w:tcPr>
          <w:p w14:paraId="16E8D2F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1771" w:type="pct"/>
            <w:noWrap w:val="0"/>
            <w:vAlign w:val="center"/>
          </w:tcPr>
          <w:p w14:paraId="5D17D96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4a类</w:t>
            </w:r>
          </w:p>
        </w:tc>
        <w:tc>
          <w:tcPr>
            <w:tcW w:w="1250" w:type="pct"/>
            <w:noWrap w:val="0"/>
            <w:vAlign w:val="center"/>
          </w:tcPr>
          <w:p w14:paraId="788CD04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70</w:t>
            </w:r>
          </w:p>
        </w:tc>
        <w:tc>
          <w:tcPr>
            <w:tcW w:w="1250" w:type="pct"/>
            <w:noWrap w:val="0"/>
            <w:vAlign w:val="center"/>
          </w:tcPr>
          <w:p w14:paraId="01E43B4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55</w:t>
            </w:r>
          </w:p>
        </w:tc>
      </w:tr>
    </w:tbl>
    <w:p w14:paraId="4D9B1355">
      <w:pPr>
        <w:pStyle w:val="5"/>
        <w:rPr>
          <w:rFonts w:hint="default" w:ascii="Times New Roman" w:hAnsi="Times New Roman" w:eastAsia="宋体" w:cs="Times New Roman"/>
          <w:color w:val="auto"/>
        </w:rPr>
      </w:pPr>
      <w:bookmarkStart w:id="25" w:name="_Toc30557"/>
      <w:r>
        <w:rPr>
          <w:rFonts w:hint="default" w:ascii="Times New Roman" w:hAnsi="Times New Roman" w:eastAsia="宋体" w:cs="Times New Roman"/>
          <w:color w:val="auto"/>
        </w:rPr>
        <w:t>1.7.2污染物排放标准</w:t>
      </w:r>
      <w:bookmarkEnd w:id="25"/>
    </w:p>
    <w:p w14:paraId="04A6ACA8">
      <w:pPr>
        <w:pStyle w:val="498"/>
        <w:spacing w:line="360" w:lineRule="auto"/>
        <w:ind w:firstLine="482"/>
        <w:rPr>
          <w:rFonts w:hint="default" w:ascii="Times New Roman" w:hAnsi="Times New Roman" w:eastAsia="宋体" w:cs="Times New Roman"/>
          <w:b/>
          <w:bCs/>
          <w:color w:val="auto"/>
          <w:szCs w:val="24"/>
        </w:rPr>
      </w:pPr>
      <w:r>
        <w:rPr>
          <w:rFonts w:hint="default" w:ascii="Times New Roman" w:hAnsi="Times New Roman" w:eastAsia="宋体" w:cs="Times New Roman"/>
          <w:b/>
          <w:bCs/>
          <w:color w:val="auto"/>
          <w:szCs w:val="24"/>
        </w:rPr>
        <w:t>（1）废气排放标准</w:t>
      </w:r>
    </w:p>
    <w:p w14:paraId="7BD16C66">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施工期</w:t>
      </w:r>
      <w:r>
        <w:rPr>
          <w:rFonts w:hint="default" w:ascii="Times New Roman" w:hAnsi="Times New Roman" w:eastAsia="宋体" w:cs="Times New Roman"/>
          <w:bCs/>
          <w:color w:val="auto"/>
        </w:rPr>
        <w:t>：</w:t>
      </w:r>
      <w:r>
        <w:rPr>
          <w:rFonts w:hint="default" w:ascii="Times New Roman" w:hAnsi="Times New Roman" w:eastAsia="宋体" w:cs="Times New Roman"/>
          <w:color w:val="auto"/>
        </w:rPr>
        <w:t>施工过</w:t>
      </w:r>
      <w:r>
        <w:rPr>
          <w:rFonts w:hint="default" w:ascii="Times New Roman" w:hAnsi="Times New Roman" w:eastAsia="宋体" w:cs="Times New Roman"/>
          <w:color w:val="auto"/>
          <w:lang w:eastAsia="zh-CN"/>
        </w:rPr>
        <w:t>程中</w:t>
      </w:r>
      <w:r>
        <w:rPr>
          <w:rFonts w:hint="default" w:ascii="Times New Roman" w:hAnsi="Times New Roman" w:eastAsia="宋体" w:cs="Times New Roman"/>
          <w:color w:val="auto"/>
        </w:rPr>
        <w:t>产生的扬尘和沥青烟均为无组织排放，执行《大气污染物综合排放标准》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16297-1996）</w:t>
      </w:r>
      <w:r>
        <w:rPr>
          <w:rFonts w:hint="default" w:ascii="Times New Roman" w:hAnsi="Times New Roman" w:eastAsia="宋体" w:cs="Times New Roman"/>
          <w:color w:val="auto"/>
        </w:rPr>
        <w:t>表2中无组织监控浓度限值，具体标准值见</w:t>
      </w:r>
      <w:r>
        <w:rPr>
          <w:rFonts w:hint="eastAsia" w:ascii="Times New Roman" w:hAnsi="Times New Roman" w:eastAsia="宋体" w:cs="Times New Roman"/>
          <w:color w:val="auto"/>
          <w:lang w:val="en-US" w:eastAsia="zh-CN"/>
        </w:rPr>
        <w:t>下</w:t>
      </w:r>
      <w:r>
        <w:rPr>
          <w:rFonts w:hint="default" w:ascii="Times New Roman" w:hAnsi="Times New Roman" w:eastAsia="宋体" w:cs="Times New Roman"/>
          <w:color w:val="auto"/>
        </w:rPr>
        <w:t>表。</w:t>
      </w:r>
    </w:p>
    <w:p w14:paraId="26A3D2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5</w:t>
      </w:r>
      <w:r>
        <w:rPr>
          <w:rFonts w:hint="default" w:ascii="Times New Roman" w:hAnsi="Times New Roman" w:eastAsia="宋体" w:cs="Times New Roman"/>
          <w:b/>
          <w:bCs/>
          <w:color w:val="auto"/>
          <w:sz w:val="21"/>
          <w:szCs w:val="21"/>
        </w:rPr>
        <w:t xml:space="preserve">  施工期废气排放标准</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794"/>
        <w:gridCol w:w="3853"/>
      </w:tblGrid>
      <w:tr w14:paraId="7559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vMerge w:val="restart"/>
            <w:tcBorders>
              <w:top w:val="single" w:color="auto" w:sz="4" w:space="0"/>
              <w:left w:val="single" w:color="auto" w:sz="4" w:space="0"/>
              <w:bottom w:val="single" w:color="auto" w:sz="4" w:space="0"/>
              <w:right w:val="single" w:color="auto" w:sz="4" w:space="0"/>
            </w:tcBorders>
            <w:noWrap w:val="0"/>
            <w:vAlign w:val="center"/>
          </w:tcPr>
          <w:p w14:paraId="5F62BB2D">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污染物</w:t>
            </w:r>
          </w:p>
        </w:tc>
        <w:tc>
          <w:tcPr>
            <w:tcW w:w="6647" w:type="dxa"/>
            <w:gridSpan w:val="2"/>
            <w:tcBorders>
              <w:top w:val="single" w:color="auto" w:sz="4" w:space="0"/>
              <w:left w:val="single" w:color="auto" w:sz="4" w:space="0"/>
              <w:bottom w:val="single" w:color="auto" w:sz="4" w:space="0"/>
              <w:right w:val="single" w:color="auto" w:sz="4" w:space="0"/>
            </w:tcBorders>
            <w:noWrap w:val="0"/>
            <w:vAlign w:val="center"/>
          </w:tcPr>
          <w:p w14:paraId="3E879C78">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无组织排放监控浓度限值</w:t>
            </w:r>
          </w:p>
        </w:tc>
      </w:tr>
      <w:tr w14:paraId="1B06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vMerge w:val="continue"/>
            <w:tcBorders>
              <w:top w:val="single" w:color="auto" w:sz="4" w:space="0"/>
              <w:left w:val="single" w:color="auto" w:sz="4" w:space="0"/>
              <w:bottom w:val="single" w:color="auto" w:sz="4" w:space="0"/>
              <w:right w:val="single" w:color="auto" w:sz="4" w:space="0"/>
            </w:tcBorders>
            <w:noWrap w:val="0"/>
            <w:vAlign w:val="center"/>
          </w:tcPr>
          <w:p w14:paraId="580DA16B">
            <w:pPr>
              <w:widowControl/>
              <w:spacing w:line="240" w:lineRule="auto"/>
              <w:ind w:firstLine="0" w:firstLineChars="0"/>
              <w:jc w:val="center"/>
              <w:rPr>
                <w:rFonts w:hint="default" w:ascii="Times New Roman" w:hAnsi="Times New Roman" w:eastAsia="宋体" w:cs="Times New Roman"/>
                <w:b/>
                <w:bCs w:val="0"/>
                <w:color w:val="auto"/>
                <w:sz w:val="21"/>
                <w:szCs w:val="21"/>
              </w:rPr>
            </w:pPr>
          </w:p>
        </w:tc>
        <w:tc>
          <w:tcPr>
            <w:tcW w:w="2794" w:type="dxa"/>
            <w:tcBorders>
              <w:top w:val="single" w:color="auto" w:sz="4" w:space="0"/>
              <w:left w:val="single" w:color="auto" w:sz="4" w:space="0"/>
              <w:bottom w:val="single" w:color="auto" w:sz="4" w:space="0"/>
              <w:right w:val="single" w:color="auto" w:sz="4" w:space="0"/>
            </w:tcBorders>
            <w:noWrap w:val="0"/>
            <w:vAlign w:val="center"/>
          </w:tcPr>
          <w:p w14:paraId="47B8E4C7">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监控点</w:t>
            </w:r>
          </w:p>
        </w:tc>
        <w:tc>
          <w:tcPr>
            <w:tcW w:w="3853" w:type="dxa"/>
            <w:tcBorders>
              <w:top w:val="single" w:color="auto" w:sz="4" w:space="0"/>
              <w:left w:val="single" w:color="auto" w:sz="4" w:space="0"/>
              <w:bottom w:val="single" w:color="auto" w:sz="4" w:space="0"/>
              <w:right w:val="single" w:color="auto" w:sz="4" w:space="0"/>
            </w:tcBorders>
            <w:noWrap w:val="0"/>
            <w:vAlign w:val="center"/>
          </w:tcPr>
          <w:p w14:paraId="6EAE4C12">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浓度</w:t>
            </w:r>
          </w:p>
        </w:tc>
      </w:tr>
      <w:tr w14:paraId="5C4D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tcBorders>
              <w:top w:val="single" w:color="auto" w:sz="4" w:space="0"/>
              <w:left w:val="single" w:color="auto" w:sz="4" w:space="0"/>
              <w:bottom w:val="single" w:color="auto" w:sz="4" w:space="0"/>
              <w:right w:val="single" w:color="auto" w:sz="4" w:space="0"/>
            </w:tcBorders>
            <w:noWrap w:val="0"/>
            <w:vAlign w:val="center"/>
          </w:tcPr>
          <w:p w14:paraId="35E3354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2794" w:type="dxa"/>
            <w:vMerge w:val="restart"/>
            <w:tcBorders>
              <w:top w:val="single" w:color="auto" w:sz="4" w:space="0"/>
              <w:left w:val="single" w:color="auto" w:sz="4" w:space="0"/>
              <w:right w:val="single" w:color="auto" w:sz="4" w:space="0"/>
            </w:tcBorders>
            <w:noWrap w:val="0"/>
            <w:vAlign w:val="center"/>
          </w:tcPr>
          <w:p w14:paraId="42C0023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周界外浓度最高点</w:t>
            </w:r>
          </w:p>
        </w:tc>
        <w:tc>
          <w:tcPr>
            <w:tcW w:w="3853" w:type="dxa"/>
            <w:tcBorders>
              <w:top w:val="single" w:color="auto" w:sz="4" w:space="0"/>
              <w:left w:val="single" w:color="auto" w:sz="4" w:space="0"/>
              <w:bottom w:val="single" w:color="auto" w:sz="4" w:space="0"/>
              <w:right w:val="single" w:color="auto" w:sz="4" w:space="0"/>
            </w:tcBorders>
            <w:noWrap w:val="0"/>
            <w:vAlign w:val="center"/>
          </w:tcPr>
          <w:p w14:paraId="044D643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r>
              <w:rPr>
                <w:rFonts w:hint="default" w:ascii="Times New Roman" w:hAnsi="Times New Roman" w:eastAsia="宋体" w:cs="Times New Roman"/>
                <w:color w:val="auto"/>
                <w:sz w:val="21"/>
                <w:szCs w:val="21"/>
                <w:lang w:val="en-US" w:eastAsia="zh-CN"/>
              </w:rPr>
              <w:t>mg</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p>
        </w:tc>
      </w:tr>
      <w:tr w14:paraId="4E7A9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exact"/>
          <w:jc w:val="center"/>
        </w:trPr>
        <w:tc>
          <w:tcPr>
            <w:tcW w:w="1876" w:type="dxa"/>
            <w:tcBorders>
              <w:top w:val="single" w:color="auto" w:sz="4" w:space="0"/>
              <w:left w:val="single" w:color="auto" w:sz="4" w:space="0"/>
              <w:bottom w:val="single" w:color="auto" w:sz="4" w:space="0"/>
              <w:right w:val="single" w:color="auto" w:sz="4" w:space="0"/>
            </w:tcBorders>
            <w:noWrap w:val="0"/>
            <w:vAlign w:val="center"/>
          </w:tcPr>
          <w:p w14:paraId="330021E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苯并（a）芘</w:t>
            </w:r>
          </w:p>
        </w:tc>
        <w:tc>
          <w:tcPr>
            <w:tcW w:w="2794" w:type="dxa"/>
            <w:vMerge w:val="continue"/>
            <w:tcBorders>
              <w:left w:val="single" w:color="auto" w:sz="4" w:space="0"/>
              <w:bottom w:val="single" w:color="auto" w:sz="4" w:space="0"/>
              <w:right w:val="single" w:color="auto" w:sz="4" w:space="0"/>
            </w:tcBorders>
            <w:noWrap w:val="0"/>
            <w:vAlign w:val="center"/>
          </w:tcPr>
          <w:p w14:paraId="7455F8D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3853" w:type="dxa"/>
            <w:tcBorders>
              <w:top w:val="single" w:color="auto" w:sz="4" w:space="0"/>
              <w:left w:val="single" w:color="auto" w:sz="4" w:space="0"/>
              <w:bottom w:val="single" w:color="auto" w:sz="4" w:space="0"/>
              <w:right w:val="single" w:color="auto" w:sz="4" w:space="0"/>
            </w:tcBorders>
            <w:noWrap w:val="0"/>
            <w:vAlign w:val="center"/>
          </w:tcPr>
          <w:p w14:paraId="2E33C84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0.008μg/m</w:t>
            </w:r>
            <w:r>
              <w:rPr>
                <w:rFonts w:hint="default" w:ascii="Times New Roman" w:hAnsi="Times New Roman" w:eastAsia="宋体" w:cs="Times New Roman"/>
                <w:color w:val="auto"/>
                <w:sz w:val="21"/>
                <w:szCs w:val="21"/>
                <w:vertAlign w:val="superscript"/>
              </w:rPr>
              <w:t>3</w:t>
            </w:r>
          </w:p>
        </w:tc>
      </w:tr>
    </w:tbl>
    <w:p w14:paraId="4B8FC05F">
      <w:pPr>
        <w:ind w:firstLine="482"/>
        <w:rPr>
          <w:rFonts w:hint="default" w:ascii="Times New Roman" w:hAnsi="Times New Roman" w:eastAsia="宋体" w:cs="Times New Roman"/>
          <w:color w:val="auto"/>
        </w:rPr>
      </w:pPr>
      <w:r>
        <w:rPr>
          <w:rFonts w:hint="eastAsia" w:cs="Times New Roman"/>
          <w:b/>
          <w:bCs/>
          <w:color w:val="auto"/>
          <w:lang w:eastAsia="zh-CN"/>
        </w:rPr>
        <w:t>营运期</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运营</w:t>
      </w:r>
      <w:r>
        <w:rPr>
          <w:rFonts w:hint="default" w:ascii="Times New Roman" w:hAnsi="Times New Roman" w:eastAsia="宋体" w:cs="Times New Roman"/>
          <w:color w:val="auto"/>
        </w:rPr>
        <w:t>过</w:t>
      </w:r>
      <w:r>
        <w:rPr>
          <w:rFonts w:hint="default" w:ascii="Times New Roman" w:hAnsi="Times New Roman" w:eastAsia="宋体" w:cs="Times New Roman"/>
          <w:color w:val="auto"/>
          <w:lang w:eastAsia="zh-CN"/>
        </w:rPr>
        <w:t>程中</w:t>
      </w:r>
      <w:r>
        <w:rPr>
          <w:rFonts w:hint="default" w:ascii="Times New Roman" w:hAnsi="Times New Roman" w:eastAsia="宋体" w:cs="Times New Roman"/>
          <w:color w:val="auto"/>
        </w:rPr>
        <w:t>产生的扬尘和汽车尾气执行《大气污染物综合排放标准》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16297－1996）</w:t>
      </w:r>
      <w:r>
        <w:rPr>
          <w:rFonts w:hint="default" w:ascii="Times New Roman" w:hAnsi="Times New Roman" w:eastAsia="宋体" w:cs="Times New Roman"/>
          <w:color w:val="auto"/>
        </w:rPr>
        <w:t>表2中无组织排放浓度限值</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见</w:t>
      </w:r>
      <w:r>
        <w:rPr>
          <w:rFonts w:hint="default" w:ascii="Times New Roman" w:hAnsi="Times New Roman" w:eastAsia="宋体" w:cs="Times New Roman"/>
          <w:color w:val="auto"/>
        </w:rPr>
        <w:t>表1</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w:t>
      </w:r>
    </w:p>
    <w:p w14:paraId="71CE5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p w14:paraId="131D9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6</w:t>
      </w:r>
      <w:r>
        <w:rPr>
          <w:rFonts w:hint="default" w:ascii="Times New Roman" w:hAnsi="Times New Roman" w:eastAsia="宋体" w:cs="Times New Roman"/>
          <w:b/>
          <w:bCs/>
          <w:color w:val="auto"/>
          <w:sz w:val="21"/>
          <w:szCs w:val="21"/>
        </w:rPr>
        <w:t xml:space="preserve">  大气污染物无组织排放浓度限值   单位：mg/ 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 xml:space="preserve"> </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5"/>
        <w:gridCol w:w="2794"/>
        <w:gridCol w:w="3853"/>
      </w:tblGrid>
      <w:tr w14:paraId="5E6EA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vMerge w:val="restart"/>
            <w:tcBorders>
              <w:top w:val="single" w:color="auto" w:sz="4" w:space="0"/>
              <w:left w:val="single" w:color="auto" w:sz="4" w:space="0"/>
              <w:bottom w:val="single" w:color="auto" w:sz="4" w:space="0"/>
              <w:right w:val="single" w:color="auto" w:sz="4" w:space="0"/>
            </w:tcBorders>
            <w:noWrap w:val="0"/>
            <w:vAlign w:val="center"/>
          </w:tcPr>
          <w:p w14:paraId="4286B3D9">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污染物</w:t>
            </w:r>
          </w:p>
        </w:tc>
        <w:tc>
          <w:tcPr>
            <w:tcW w:w="6647" w:type="dxa"/>
            <w:gridSpan w:val="2"/>
            <w:tcBorders>
              <w:top w:val="single" w:color="auto" w:sz="4" w:space="0"/>
              <w:left w:val="single" w:color="auto" w:sz="4" w:space="0"/>
              <w:bottom w:val="single" w:color="auto" w:sz="4" w:space="0"/>
              <w:right w:val="single" w:color="auto" w:sz="4" w:space="0"/>
            </w:tcBorders>
            <w:noWrap w:val="0"/>
            <w:vAlign w:val="center"/>
          </w:tcPr>
          <w:p w14:paraId="09B28911">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无组织排放监控浓度限值</w:t>
            </w:r>
          </w:p>
        </w:tc>
      </w:tr>
      <w:tr w14:paraId="1B598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vMerge w:val="continue"/>
            <w:tcBorders>
              <w:top w:val="single" w:color="auto" w:sz="4" w:space="0"/>
              <w:left w:val="single" w:color="auto" w:sz="4" w:space="0"/>
              <w:bottom w:val="single" w:color="auto" w:sz="4" w:space="0"/>
              <w:right w:val="single" w:color="auto" w:sz="4" w:space="0"/>
            </w:tcBorders>
            <w:noWrap w:val="0"/>
            <w:vAlign w:val="center"/>
          </w:tcPr>
          <w:p w14:paraId="6D30E87A">
            <w:pPr>
              <w:widowControl/>
              <w:spacing w:line="240" w:lineRule="auto"/>
              <w:ind w:firstLine="0" w:firstLineChars="0"/>
              <w:jc w:val="center"/>
              <w:rPr>
                <w:rFonts w:hint="default" w:ascii="Times New Roman" w:hAnsi="Times New Roman" w:eastAsia="宋体" w:cs="Times New Roman"/>
                <w:b/>
                <w:bCs w:val="0"/>
                <w:color w:val="auto"/>
                <w:sz w:val="21"/>
                <w:szCs w:val="21"/>
              </w:rPr>
            </w:pPr>
          </w:p>
        </w:tc>
        <w:tc>
          <w:tcPr>
            <w:tcW w:w="2794" w:type="dxa"/>
            <w:tcBorders>
              <w:top w:val="single" w:color="auto" w:sz="4" w:space="0"/>
              <w:left w:val="single" w:color="auto" w:sz="4" w:space="0"/>
              <w:bottom w:val="single" w:color="auto" w:sz="4" w:space="0"/>
              <w:right w:val="single" w:color="auto" w:sz="4" w:space="0"/>
            </w:tcBorders>
            <w:noWrap w:val="0"/>
            <w:vAlign w:val="center"/>
          </w:tcPr>
          <w:p w14:paraId="24412D87">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监控点</w:t>
            </w:r>
          </w:p>
        </w:tc>
        <w:tc>
          <w:tcPr>
            <w:tcW w:w="3853" w:type="dxa"/>
            <w:tcBorders>
              <w:top w:val="single" w:color="auto" w:sz="4" w:space="0"/>
              <w:left w:val="single" w:color="auto" w:sz="4" w:space="0"/>
              <w:bottom w:val="single" w:color="auto" w:sz="4" w:space="0"/>
              <w:right w:val="single" w:color="auto" w:sz="4" w:space="0"/>
            </w:tcBorders>
            <w:noWrap w:val="0"/>
            <w:vAlign w:val="center"/>
          </w:tcPr>
          <w:p w14:paraId="539C4EA7">
            <w:pPr>
              <w:adjustRightInd w:val="0"/>
              <w:snapToGrid w:val="0"/>
              <w:spacing w:line="240" w:lineRule="auto"/>
              <w:ind w:firstLine="0" w:firstLineChars="0"/>
              <w:jc w:val="center"/>
              <w:rPr>
                <w:rFonts w:hint="default" w:ascii="Times New Roman" w:hAnsi="Times New Roman" w:eastAsia="宋体" w:cs="Times New Roman"/>
                <w:b/>
                <w:bCs w:val="0"/>
                <w:color w:val="auto"/>
                <w:sz w:val="21"/>
                <w:szCs w:val="21"/>
              </w:rPr>
            </w:pPr>
            <w:r>
              <w:rPr>
                <w:rFonts w:hint="default" w:ascii="Times New Roman" w:hAnsi="Times New Roman" w:eastAsia="宋体" w:cs="Times New Roman"/>
                <w:b/>
                <w:bCs w:val="0"/>
                <w:color w:val="auto"/>
                <w:sz w:val="21"/>
                <w:szCs w:val="21"/>
              </w:rPr>
              <w:t>浓度</w:t>
            </w:r>
          </w:p>
        </w:tc>
      </w:tr>
      <w:tr w14:paraId="2C7F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1876" w:type="dxa"/>
            <w:tcBorders>
              <w:top w:val="single" w:color="auto" w:sz="4" w:space="0"/>
              <w:left w:val="single" w:color="auto" w:sz="4" w:space="0"/>
              <w:bottom w:val="single" w:color="auto" w:sz="4" w:space="0"/>
              <w:right w:val="single" w:color="auto" w:sz="4" w:space="0"/>
            </w:tcBorders>
            <w:noWrap w:val="0"/>
            <w:vAlign w:val="center"/>
          </w:tcPr>
          <w:p w14:paraId="61C28A8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颗粒物</w:t>
            </w:r>
          </w:p>
        </w:tc>
        <w:tc>
          <w:tcPr>
            <w:tcW w:w="2794" w:type="dxa"/>
            <w:tcBorders>
              <w:top w:val="single" w:color="auto" w:sz="4" w:space="0"/>
              <w:left w:val="single" w:color="auto" w:sz="4" w:space="0"/>
              <w:bottom w:val="single" w:color="auto" w:sz="4" w:space="0"/>
              <w:right w:val="single" w:color="auto" w:sz="4" w:space="0"/>
            </w:tcBorders>
            <w:noWrap w:val="0"/>
            <w:vAlign w:val="center"/>
          </w:tcPr>
          <w:p w14:paraId="08A0F63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周界外浓度最高点</w:t>
            </w:r>
          </w:p>
        </w:tc>
        <w:tc>
          <w:tcPr>
            <w:tcW w:w="3853" w:type="dxa"/>
            <w:tcBorders>
              <w:top w:val="single" w:color="auto" w:sz="4" w:space="0"/>
              <w:left w:val="single" w:color="auto" w:sz="4" w:space="0"/>
              <w:bottom w:val="single" w:color="auto" w:sz="4" w:space="0"/>
              <w:right w:val="single" w:color="auto" w:sz="4" w:space="0"/>
            </w:tcBorders>
            <w:noWrap w:val="0"/>
            <w:vAlign w:val="center"/>
          </w:tcPr>
          <w:p w14:paraId="6BB2C05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r>
    </w:tbl>
    <w:p w14:paraId="0AF9FA4B">
      <w:pPr>
        <w:pStyle w:val="498"/>
        <w:spacing w:line="360" w:lineRule="auto"/>
        <w:ind w:firstLine="482"/>
        <w:rPr>
          <w:rFonts w:hint="default" w:ascii="Times New Roman" w:hAnsi="Times New Roman" w:eastAsia="宋体" w:cs="Times New Roman"/>
          <w:b/>
          <w:bCs/>
          <w:color w:val="auto"/>
          <w:szCs w:val="24"/>
        </w:rPr>
      </w:pPr>
      <w:r>
        <w:rPr>
          <w:rFonts w:hint="default" w:ascii="Times New Roman" w:hAnsi="Times New Roman" w:eastAsia="宋体" w:cs="Times New Roman"/>
          <w:b/>
          <w:bCs/>
          <w:color w:val="auto"/>
          <w:szCs w:val="24"/>
        </w:rPr>
        <w:t>（2）废水排放标准</w:t>
      </w:r>
    </w:p>
    <w:p w14:paraId="6D6A5A05">
      <w:pPr>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施工期：施工期生产废水经沉淀处理后回用于施工场地洒水降尘等，施工营地生活污水</w:t>
      </w:r>
      <w:r>
        <w:rPr>
          <w:rFonts w:hint="default" w:ascii="Times New Roman" w:hAnsi="Times New Roman" w:eastAsia="宋体" w:cs="Times New Roman"/>
          <w:color w:val="auto"/>
          <w:lang w:val="en-US" w:eastAsia="zh-CN"/>
        </w:rPr>
        <w:t>设置临时</w:t>
      </w:r>
      <w:r>
        <w:rPr>
          <w:rFonts w:hint="default" w:ascii="Times New Roman" w:hAnsi="Times New Roman" w:eastAsia="宋体" w:cs="Times New Roman"/>
          <w:color w:val="auto"/>
        </w:rPr>
        <w:t>沉淀池。生活污水及施工废水临时沉淀回用于场地洒水降尘，严禁外排。</w:t>
      </w:r>
    </w:p>
    <w:p w14:paraId="6E1BD660">
      <w:pPr>
        <w:pStyle w:val="498"/>
        <w:spacing w:line="360" w:lineRule="auto"/>
        <w:ind w:firstLine="480"/>
        <w:rPr>
          <w:rFonts w:hint="default" w:ascii="Times New Roman" w:hAnsi="Times New Roman" w:eastAsia="宋体" w:cs="Times New Roman"/>
          <w:color w:val="auto"/>
        </w:rPr>
      </w:pPr>
      <w:r>
        <w:rPr>
          <w:rFonts w:hint="eastAsia" w:cs="Times New Roman"/>
          <w:color w:val="auto"/>
          <w:szCs w:val="24"/>
          <w:lang w:eastAsia="zh-CN"/>
        </w:rPr>
        <w:t>营运期</w:t>
      </w:r>
      <w:r>
        <w:rPr>
          <w:rFonts w:hint="default" w:ascii="Times New Roman" w:hAnsi="Times New Roman" w:eastAsia="宋体" w:cs="Times New Roman"/>
          <w:color w:val="auto"/>
          <w:szCs w:val="24"/>
        </w:rPr>
        <w:t>：本项目沿线</w:t>
      </w:r>
      <w:r>
        <w:rPr>
          <w:rFonts w:hint="default" w:ascii="Times New Roman" w:hAnsi="Times New Roman" w:eastAsia="宋体" w:cs="Times New Roman"/>
          <w:color w:val="auto"/>
        </w:rPr>
        <w:t>无生活设施，无废水产生，因此，废水不设置排放标准。</w:t>
      </w:r>
    </w:p>
    <w:p w14:paraId="6F83FF33">
      <w:pPr>
        <w:pStyle w:val="498"/>
        <w:spacing w:line="360" w:lineRule="auto"/>
        <w:ind w:firstLine="482"/>
        <w:rPr>
          <w:rFonts w:hint="default" w:ascii="Times New Roman" w:hAnsi="Times New Roman" w:eastAsia="宋体" w:cs="Times New Roman"/>
          <w:b/>
          <w:bCs/>
          <w:color w:val="auto"/>
          <w:szCs w:val="24"/>
        </w:rPr>
      </w:pPr>
      <w:r>
        <w:rPr>
          <w:rFonts w:hint="default" w:ascii="Times New Roman" w:hAnsi="Times New Roman" w:eastAsia="宋体" w:cs="Times New Roman"/>
          <w:b/>
          <w:bCs/>
          <w:color w:val="auto"/>
          <w:szCs w:val="24"/>
        </w:rPr>
        <w:t>（3）噪声排放标准</w:t>
      </w:r>
    </w:p>
    <w:p w14:paraId="4251F89A">
      <w:pPr>
        <w:pStyle w:val="498"/>
        <w:spacing w:line="360" w:lineRule="auto"/>
        <w:ind w:firstLine="480"/>
        <w:rPr>
          <w:rFonts w:hint="default" w:ascii="Times New Roman" w:hAnsi="Times New Roman" w:eastAsia="宋体" w:cs="Times New Roman"/>
          <w:color w:val="auto"/>
          <w:szCs w:val="24"/>
        </w:rPr>
      </w:pPr>
      <w:r>
        <w:rPr>
          <w:rFonts w:hint="default" w:ascii="Times New Roman" w:hAnsi="Times New Roman" w:eastAsia="宋体" w:cs="Times New Roman"/>
          <w:color w:val="auto"/>
          <w:szCs w:val="24"/>
        </w:rPr>
        <w:t>施工期建筑噪声执行《建筑施工噪声排放标准》</w:t>
      </w:r>
      <w:r>
        <w:rPr>
          <w:rFonts w:hint="default" w:ascii="Times New Roman" w:hAnsi="Times New Roman" w:eastAsia="宋体" w:cs="Times New Roman"/>
          <w:color w:val="auto"/>
          <w:szCs w:val="24"/>
        </w:rPr>
        <w:t>（GB</w:t>
      </w:r>
      <w:r>
        <w:rPr>
          <w:rFonts w:hint="eastAsia" w:cs="Times New Roman"/>
          <w:color w:val="auto"/>
          <w:szCs w:val="24"/>
          <w:lang w:val="en-US" w:eastAsia="zh-CN"/>
        </w:rPr>
        <w:t xml:space="preserve"> </w:t>
      </w:r>
      <w:r>
        <w:rPr>
          <w:rFonts w:hint="default" w:ascii="Times New Roman" w:hAnsi="Times New Roman" w:eastAsia="宋体" w:cs="Times New Roman"/>
          <w:color w:val="auto"/>
          <w:szCs w:val="24"/>
        </w:rPr>
        <w:t>12523-2025）</w:t>
      </w:r>
      <w:r>
        <w:rPr>
          <w:rFonts w:hint="default" w:ascii="Times New Roman" w:hAnsi="Times New Roman" w:eastAsia="宋体" w:cs="Times New Roman"/>
          <w:color w:val="auto"/>
          <w:szCs w:val="24"/>
        </w:rPr>
        <w:t>相应限值，具体标准值见表</w:t>
      </w:r>
      <w:r>
        <w:rPr>
          <w:rFonts w:hint="default" w:ascii="Times New Roman" w:hAnsi="Times New Roman" w:eastAsia="宋体" w:cs="Times New Roman"/>
          <w:b/>
          <w:bCs/>
          <w:color w:val="auto"/>
          <w:sz w:val="24"/>
          <w:szCs w:val="24"/>
        </w:rPr>
        <w:t>1</w:t>
      </w:r>
      <w:r>
        <w:rPr>
          <w:rFonts w:hint="eastAsia" w:ascii="Times New Roman" w:hAnsi="Times New Roman" w:eastAsia="宋体" w:cs="Times New Roman"/>
          <w:b/>
          <w:bCs/>
          <w:color w:val="auto"/>
          <w:sz w:val="24"/>
          <w:szCs w:val="24"/>
          <w:lang w:val="en-US" w:eastAsia="zh-CN"/>
        </w:rPr>
        <w:t>.7</w:t>
      </w:r>
      <w:r>
        <w:rPr>
          <w:rFonts w:hint="default" w:ascii="Times New Roman" w:hAnsi="Times New Roman" w:eastAsia="宋体" w:cs="Times New Roman"/>
          <w:b/>
          <w:bCs/>
          <w:color w:val="auto"/>
          <w:sz w:val="24"/>
          <w:szCs w:val="24"/>
        </w:rPr>
        <w:t>-</w:t>
      </w:r>
      <w:r>
        <w:rPr>
          <w:rFonts w:hint="eastAsia" w:ascii="Times New Roman" w:hAnsi="Times New Roman" w:eastAsia="宋体" w:cs="Times New Roman"/>
          <w:b/>
          <w:bCs/>
          <w:color w:val="auto"/>
          <w:sz w:val="24"/>
          <w:szCs w:val="24"/>
          <w:lang w:val="en-US" w:eastAsia="zh-CN"/>
        </w:rPr>
        <w:t>7</w:t>
      </w:r>
      <w:r>
        <w:rPr>
          <w:rFonts w:hint="default" w:ascii="Times New Roman" w:hAnsi="Times New Roman" w:eastAsia="宋体" w:cs="Times New Roman"/>
          <w:color w:val="auto"/>
          <w:szCs w:val="24"/>
        </w:rPr>
        <w:t>。</w:t>
      </w:r>
    </w:p>
    <w:p w14:paraId="30AC88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7</w:t>
      </w:r>
      <w:r>
        <w:rPr>
          <w:rFonts w:hint="default" w:ascii="Times New Roman" w:hAnsi="Times New Roman" w:eastAsia="宋体" w:cs="Times New Roman"/>
          <w:b/>
          <w:bCs/>
          <w:color w:val="auto"/>
          <w:sz w:val="21"/>
          <w:szCs w:val="21"/>
        </w:rPr>
        <w:t xml:space="preserve">  建筑施工场界环境噪声排放限值      单位：dB（A）</w:t>
      </w:r>
    </w:p>
    <w:tbl>
      <w:tblPr>
        <w:tblStyle w:val="58"/>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4261"/>
        <w:gridCol w:w="4261"/>
      </w:tblGrid>
      <w:tr w14:paraId="5CDDBE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500" w:type="pct"/>
            <w:noWrap w:val="0"/>
            <w:vAlign w:val="top"/>
          </w:tcPr>
          <w:p w14:paraId="49924FC1">
            <w:pPr>
              <w:spacing w:line="240" w:lineRule="atLeast"/>
              <w:ind w:firstLine="422"/>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昼间</w:t>
            </w:r>
          </w:p>
        </w:tc>
        <w:tc>
          <w:tcPr>
            <w:tcW w:w="2500" w:type="pct"/>
            <w:noWrap w:val="0"/>
            <w:vAlign w:val="top"/>
          </w:tcPr>
          <w:p w14:paraId="40F8E68E">
            <w:pPr>
              <w:spacing w:line="240" w:lineRule="atLeast"/>
              <w:ind w:firstLine="422"/>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夜间</w:t>
            </w:r>
          </w:p>
        </w:tc>
      </w:tr>
      <w:tr w14:paraId="29B861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c>
          <w:tcPr>
            <w:tcW w:w="2500" w:type="pct"/>
            <w:noWrap w:val="0"/>
            <w:vAlign w:val="top"/>
          </w:tcPr>
          <w:p w14:paraId="3F43187B">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2500" w:type="pct"/>
            <w:noWrap w:val="0"/>
            <w:vAlign w:val="top"/>
          </w:tcPr>
          <w:p w14:paraId="19BE1F14">
            <w:pPr>
              <w:spacing w:line="240" w:lineRule="atLeast"/>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r>
    </w:tbl>
    <w:p w14:paraId="509E42FD">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（4）固体废物</w:t>
      </w:r>
    </w:p>
    <w:p w14:paraId="4507DEB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一般固体废物执行《一般工业固体废物贮存和填埋污染控制标准》</w:t>
      </w:r>
    </w:p>
    <w:p w14:paraId="6CC9B37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18599-2020）</w:t>
      </w:r>
      <w:r>
        <w:rPr>
          <w:rFonts w:hint="default" w:ascii="Times New Roman" w:hAnsi="Times New Roman" w:eastAsia="宋体" w:cs="Times New Roman"/>
          <w:color w:val="auto"/>
          <w:kern w:val="0"/>
          <w:lang w:bidi="ar"/>
        </w:rPr>
        <w:t>。</w:t>
      </w:r>
    </w:p>
    <w:p w14:paraId="4E40B6D5">
      <w:pPr>
        <w:pStyle w:val="3"/>
        <w:numPr>
          <w:ilvl w:val="0"/>
          <w:numId w:val="0"/>
        </w:numPr>
        <w:rPr>
          <w:rFonts w:hint="default" w:ascii="Times New Roman" w:hAnsi="Times New Roman" w:eastAsia="宋体" w:cs="Times New Roman"/>
          <w:color w:val="auto"/>
        </w:rPr>
      </w:pPr>
      <w:bookmarkStart w:id="26" w:name="_Toc28610"/>
      <w:r>
        <w:rPr>
          <w:rFonts w:hint="default" w:ascii="Times New Roman" w:hAnsi="Times New Roman" w:eastAsia="宋体" w:cs="Times New Roman"/>
          <w:color w:val="auto"/>
        </w:rPr>
        <w:t>1.8环境保护目标</w:t>
      </w:r>
      <w:bookmarkEnd w:id="26"/>
    </w:p>
    <w:p w14:paraId="006EE0FA">
      <w:pPr>
        <w:pStyle w:val="5"/>
        <w:ind w:left="0" w:leftChars="0" w:firstLine="0" w:firstLineChars="0"/>
        <w:rPr>
          <w:rFonts w:hint="default" w:ascii="Times New Roman" w:hAnsi="Times New Roman" w:eastAsia="宋体" w:cs="Times New Roman"/>
          <w:color w:val="auto"/>
        </w:rPr>
      </w:pPr>
      <w:bookmarkStart w:id="27" w:name="_Toc9777"/>
      <w:r>
        <w:rPr>
          <w:rFonts w:hint="default" w:ascii="Times New Roman" w:hAnsi="Times New Roman" w:eastAsia="宋体" w:cs="Times New Roman"/>
          <w:color w:val="auto"/>
        </w:rPr>
        <w:t>1.8.1</w:t>
      </w:r>
      <w:r>
        <w:rPr>
          <w:rFonts w:hint="eastAsia" w:cs="Times New Roman"/>
          <w:color w:val="auto"/>
          <w:lang w:val="en-US" w:eastAsia="zh-CN"/>
        </w:rPr>
        <w:t>地表水环境</w:t>
      </w:r>
      <w:r>
        <w:rPr>
          <w:rFonts w:hint="default" w:ascii="Times New Roman" w:hAnsi="Times New Roman" w:eastAsia="宋体" w:cs="Times New Roman"/>
          <w:color w:val="auto"/>
        </w:rPr>
        <w:t>保护目标</w:t>
      </w:r>
      <w:bookmarkEnd w:id="27"/>
    </w:p>
    <w:p w14:paraId="1611C1E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根据现场调查，项目周边最近的地表水体为南面</w:t>
      </w:r>
      <w:r>
        <w:rPr>
          <w:rFonts w:hint="eastAsia" w:ascii="Times New Roman" w:hAnsi="Times New Roman" w:eastAsia="宋体" w:cs="Times New Roman"/>
          <w:color w:val="auto"/>
          <w:kern w:val="0"/>
          <w:sz w:val="24"/>
          <w:szCs w:val="24"/>
          <w:lang w:val="en-US" w:eastAsia="zh-CN" w:bidi="ar"/>
        </w:rPr>
        <w:t>345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的甘庄河，保护目标主要为甘庄河，工程地表水环境保护目标情况详见表</w:t>
      </w:r>
      <w:r>
        <w:rPr>
          <w:rFonts w:hint="default" w:ascii="Times New Roman" w:hAnsi="Times New Roman" w:eastAsia="宋体" w:cs="Times New Roman"/>
          <w:color w:val="auto"/>
          <w:kern w:val="0"/>
          <w:sz w:val="24"/>
          <w:szCs w:val="24"/>
          <w:lang w:val="en-US" w:eastAsia="zh-CN" w:bidi="ar"/>
        </w:rPr>
        <w:t>1.</w:t>
      </w:r>
      <w:r>
        <w:rPr>
          <w:rFonts w:hint="eastAsia" w:ascii="Times New Roman" w:hAnsi="Times New Roman" w:eastAsia="宋体" w:cs="Times New Roman"/>
          <w:color w:val="auto"/>
          <w:kern w:val="0"/>
          <w:sz w:val="24"/>
          <w:szCs w:val="24"/>
          <w:lang w:val="en-US" w:eastAsia="zh-CN" w:bidi="ar"/>
        </w:rPr>
        <w:t>8</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p>
    <w:p w14:paraId="2FBA7E3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bidi="ar"/>
        </w:rPr>
      </w:pPr>
      <w:r>
        <w:rPr>
          <w:rFonts w:hint="eastAsia" w:cs="Times New Roman"/>
          <w:b/>
          <w:bCs/>
          <w:color w:val="auto"/>
          <w:kern w:val="0"/>
          <w:sz w:val="21"/>
          <w:szCs w:val="21"/>
          <w:lang w:val="en-US" w:eastAsia="zh-CN" w:bidi="ar"/>
        </w:rPr>
        <w:t>表</w:t>
      </w:r>
      <w:r>
        <w:rPr>
          <w:rFonts w:hint="default" w:ascii="Times New Roman" w:hAnsi="Times New Roman" w:eastAsia="宋体" w:cs="Times New Roman"/>
          <w:b/>
          <w:bCs/>
          <w:color w:val="auto"/>
          <w:kern w:val="0"/>
          <w:sz w:val="21"/>
          <w:szCs w:val="21"/>
          <w:lang w:val="en-US" w:eastAsia="zh-CN" w:bidi="ar"/>
        </w:rPr>
        <w:t>1.</w:t>
      </w:r>
      <w:r>
        <w:rPr>
          <w:rFonts w:hint="eastAsia" w:ascii="Times New Roman" w:hAnsi="Times New Roman" w:eastAsia="宋体" w:cs="Times New Roman"/>
          <w:b/>
          <w:bCs/>
          <w:color w:val="auto"/>
          <w:kern w:val="0"/>
          <w:sz w:val="21"/>
          <w:szCs w:val="21"/>
          <w:lang w:val="en-US" w:eastAsia="zh-CN" w:bidi="ar"/>
        </w:rPr>
        <w:t>8</w:t>
      </w:r>
      <w:r>
        <w:rPr>
          <w:rFonts w:hint="default" w:ascii="Times New Roman" w:hAnsi="Times New Roman" w:eastAsia="宋体" w:cs="Times New Roman"/>
          <w:b/>
          <w:bCs/>
          <w:color w:val="auto"/>
          <w:kern w:val="0"/>
          <w:sz w:val="21"/>
          <w:szCs w:val="21"/>
          <w:lang w:val="en-US" w:eastAsia="zh-CN" w:bidi="ar"/>
        </w:rPr>
        <w:t>-1</w:t>
      </w:r>
      <w:r>
        <w:rPr>
          <w:rFonts w:hint="eastAsia"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val="en-US" w:eastAsia="zh-CN" w:bidi="ar"/>
        </w:rPr>
        <w:t>工程水环境保护目标情况一览表</w:t>
      </w:r>
    </w:p>
    <w:tbl>
      <w:tblPr>
        <w:tblStyle w:val="5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229"/>
        <w:gridCol w:w="1720"/>
        <w:gridCol w:w="1127"/>
        <w:gridCol w:w="3637"/>
      </w:tblGrid>
      <w:tr w14:paraId="0FDC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1B86751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序号</w:t>
            </w:r>
          </w:p>
        </w:tc>
        <w:tc>
          <w:tcPr>
            <w:tcW w:w="721" w:type="pct"/>
            <w:vAlign w:val="center"/>
          </w:tcPr>
          <w:p w14:paraId="7063C14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保护目标</w:t>
            </w:r>
          </w:p>
        </w:tc>
        <w:tc>
          <w:tcPr>
            <w:tcW w:w="1670" w:type="pct"/>
            <w:gridSpan w:val="2"/>
            <w:vAlign w:val="center"/>
          </w:tcPr>
          <w:p w14:paraId="4514E6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bidi="ar"/>
              </w:rPr>
            </w:pPr>
            <w:r>
              <w:rPr>
                <w:rFonts w:hint="default" w:ascii="Times New Roman" w:hAnsi="Times New Roman" w:eastAsia="宋体" w:cs="Times New Roman"/>
                <w:color w:val="auto"/>
                <w:kern w:val="0"/>
                <w:sz w:val="21"/>
                <w:szCs w:val="21"/>
                <w:vertAlign w:val="baseline"/>
                <w:lang w:val="en-US" w:eastAsia="zh-CN" w:bidi="ar"/>
              </w:rPr>
              <w:t>与工程相对位置关系</w:t>
            </w:r>
          </w:p>
        </w:tc>
        <w:tc>
          <w:tcPr>
            <w:tcW w:w="2134" w:type="pct"/>
            <w:vAlign w:val="center"/>
          </w:tcPr>
          <w:p w14:paraId="494944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bidi="ar"/>
              </w:rPr>
            </w:pPr>
            <w:r>
              <w:rPr>
                <w:rFonts w:hint="default" w:ascii="Times New Roman" w:hAnsi="Times New Roman" w:eastAsia="宋体" w:cs="Times New Roman"/>
                <w:color w:val="auto"/>
                <w:kern w:val="0"/>
                <w:sz w:val="21"/>
                <w:szCs w:val="21"/>
                <w:vertAlign w:val="baseline"/>
                <w:lang w:val="en-US" w:eastAsia="zh-CN" w:bidi="ar"/>
              </w:rPr>
              <w:t>保护要求</w:t>
            </w:r>
          </w:p>
        </w:tc>
      </w:tr>
      <w:tr w14:paraId="3FA8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3B3DBF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w:t>
            </w:r>
          </w:p>
        </w:tc>
        <w:tc>
          <w:tcPr>
            <w:tcW w:w="721" w:type="pct"/>
            <w:vAlign w:val="center"/>
          </w:tcPr>
          <w:p w14:paraId="465FC6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bidi="ar"/>
              </w:rPr>
            </w:pPr>
            <w:r>
              <w:rPr>
                <w:rFonts w:hint="eastAsia" w:ascii="宋体" w:hAnsi="宋体" w:eastAsia="宋体" w:cs="宋体"/>
                <w:color w:val="auto"/>
                <w:kern w:val="0"/>
                <w:sz w:val="21"/>
                <w:szCs w:val="21"/>
                <w:lang w:val="en-US" w:eastAsia="zh-CN" w:bidi="ar"/>
              </w:rPr>
              <w:t>甘庄河</w:t>
            </w:r>
          </w:p>
        </w:tc>
        <w:tc>
          <w:tcPr>
            <w:tcW w:w="1009" w:type="pct"/>
            <w:vAlign w:val="center"/>
          </w:tcPr>
          <w:p w14:paraId="2DFF49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南侧（不涉及跨越）</w:t>
            </w:r>
          </w:p>
        </w:tc>
        <w:tc>
          <w:tcPr>
            <w:tcW w:w="660" w:type="pct"/>
            <w:vAlign w:val="center"/>
          </w:tcPr>
          <w:p w14:paraId="288225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345m</w:t>
            </w:r>
          </w:p>
        </w:tc>
        <w:tc>
          <w:tcPr>
            <w:tcW w:w="2134" w:type="pct"/>
            <w:vAlign w:val="center"/>
          </w:tcPr>
          <w:p w14:paraId="79250F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bidi="ar"/>
              </w:rPr>
            </w:pPr>
            <w:r>
              <w:rPr>
                <w:rFonts w:hint="eastAsia" w:ascii="宋体" w:hAnsi="宋体" w:eastAsia="宋体" w:cs="宋体"/>
                <w:color w:val="auto"/>
                <w:kern w:val="0"/>
                <w:sz w:val="21"/>
                <w:szCs w:val="21"/>
                <w:lang w:val="en-US" w:eastAsia="zh-CN" w:bidi="ar"/>
              </w:rPr>
              <w:t>地表水满足《地表水环境质量标准》（</w:t>
            </w:r>
            <w:r>
              <w:rPr>
                <w:rFonts w:hint="default" w:ascii="Times New Roman" w:hAnsi="Times New Roman" w:eastAsia="宋体" w:cs="Times New Roman"/>
                <w:color w:val="auto"/>
                <w:kern w:val="0"/>
                <w:sz w:val="21"/>
                <w:szCs w:val="21"/>
                <w:lang w:val="en-US" w:eastAsia="zh-CN" w:bidi="ar"/>
              </w:rPr>
              <w:t>GB</w:t>
            </w:r>
            <w:r>
              <w:rPr>
                <w:rFonts w:hint="eastAsia" w:cs="Times New Roman"/>
                <w:color w:val="auto"/>
                <w:kern w:val="0"/>
                <w:sz w:val="21"/>
                <w:szCs w:val="21"/>
                <w:lang w:val="en-US" w:eastAsia="zh-CN" w:bidi="ar"/>
              </w:rPr>
              <w:t xml:space="preserve"> </w:t>
            </w:r>
            <w:r>
              <w:rPr>
                <w:rFonts w:hint="default" w:ascii="Times New Roman" w:hAnsi="Times New Roman" w:eastAsia="宋体" w:cs="Times New Roman"/>
                <w:color w:val="auto"/>
                <w:kern w:val="0"/>
                <w:sz w:val="21"/>
                <w:szCs w:val="21"/>
                <w:lang w:val="en-US" w:eastAsia="zh-CN" w:bidi="ar"/>
              </w:rPr>
              <w:t>3838-2002</w:t>
            </w:r>
            <w:r>
              <w:rPr>
                <w:rFonts w:hint="eastAsia" w:ascii="宋体" w:hAnsi="宋体" w:eastAsia="宋体" w:cs="宋体"/>
                <w:color w:val="auto"/>
                <w:kern w:val="0"/>
                <w:sz w:val="21"/>
                <w:szCs w:val="21"/>
                <w:lang w:val="en-US" w:eastAsia="zh-CN" w:bidi="ar"/>
              </w:rPr>
              <w:t>）Ⅲ类</w:t>
            </w:r>
          </w:p>
        </w:tc>
      </w:tr>
    </w:tbl>
    <w:p w14:paraId="4568C807">
      <w:pPr>
        <w:pStyle w:val="5"/>
        <w:bidi w:val="0"/>
        <w:ind w:left="0" w:leftChars="0" w:firstLine="0" w:firstLineChars="0"/>
        <w:rPr>
          <w:color w:val="auto"/>
        </w:rPr>
      </w:pPr>
      <w:bookmarkStart w:id="28" w:name="_Toc11839"/>
      <w:r>
        <w:rPr>
          <w:rFonts w:hint="default" w:ascii="Times New Roman" w:hAnsi="Times New Roman" w:eastAsia="宋体" w:cs="Times New Roman"/>
          <w:b/>
          <w:bCs/>
          <w:color w:val="auto"/>
          <w:kern w:val="0"/>
          <w:sz w:val="24"/>
          <w:szCs w:val="24"/>
          <w:lang w:val="en-US" w:eastAsia="zh-CN" w:bidi="ar"/>
        </w:rPr>
        <w:t>1.</w:t>
      </w:r>
      <w:r>
        <w:rPr>
          <w:rFonts w:hint="eastAsia" w:ascii="Times New Roman" w:hAnsi="Times New Roman" w:eastAsia="宋体" w:cs="Times New Roman"/>
          <w:b/>
          <w:bCs/>
          <w:color w:val="auto"/>
          <w:kern w:val="0"/>
          <w:sz w:val="24"/>
          <w:szCs w:val="24"/>
          <w:lang w:val="en-US" w:eastAsia="zh-CN" w:bidi="ar"/>
        </w:rPr>
        <w:t>8</w:t>
      </w:r>
      <w:r>
        <w:rPr>
          <w:rFonts w:hint="default" w:ascii="Times New Roman" w:hAnsi="Times New Roman" w:eastAsia="宋体" w:cs="Times New Roman"/>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声环境、大气环境保护目标</w:t>
      </w:r>
      <w:bookmarkEnd w:id="28"/>
    </w:p>
    <w:p w14:paraId="03E7499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工程营运期声环境、空气环境保护目标为工程沿线的居民点。根据对工程推荐方案沿线的实地踏勘调查结合本阶段工程用地范围图，工程推荐方案沿线噪声、空气敏感目标共</w:t>
      </w:r>
      <w:r>
        <w:rPr>
          <w:rFonts w:hint="eastAsia"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处，为起始点居民区（工程施工后拆迁）、临近的甘庄集镇居民区，元江甘庄中学，见表</w:t>
      </w:r>
      <w:r>
        <w:rPr>
          <w:rFonts w:hint="default" w:ascii="Times New Roman" w:hAnsi="Times New Roman" w:eastAsia="宋体" w:cs="Times New Roman"/>
          <w:color w:val="auto"/>
          <w:kern w:val="0"/>
          <w:sz w:val="24"/>
          <w:szCs w:val="24"/>
          <w:lang w:val="en-US" w:eastAsia="zh-CN" w:bidi="ar"/>
        </w:rPr>
        <w:t>1.</w:t>
      </w:r>
      <w:r>
        <w:rPr>
          <w:rFonts w:hint="eastAsia" w:ascii="Times New Roman" w:hAnsi="Times New Roman" w:eastAsia="宋体" w:cs="Times New Roman"/>
          <w:color w:val="auto"/>
          <w:kern w:val="0"/>
          <w:sz w:val="24"/>
          <w:szCs w:val="24"/>
          <w:lang w:val="en-US" w:eastAsia="zh-CN" w:bidi="ar"/>
        </w:rPr>
        <w:t>8</w:t>
      </w:r>
      <w:r>
        <w:rPr>
          <w:rFonts w:hint="default" w:ascii="Times New Roman" w:hAnsi="Times New Roman" w:eastAsia="宋体" w:cs="Times New Roman"/>
          <w:color w:val="auto"/>
          <w:kern w:val="0"/>
          <w:sz w:val="24"/>
          <w:szCs w:val="24"/>
          <w:lang w:val="en-US" w:eastAsia="zh-CN" w:bidi="ar"/>
        </w:rPr>
        <w:t>-2</w:t>
      </w:r>
      <w:r>
        <w:rPr>
          <w:rFonts w:hint="eastAsia" w:ascii="Times New Roman" w:hAnsi="Times New Roman" w:eastAsia="宋体" w:cs="Times New Roman"/>
          <w:color w:val="auto"/>
          <w:kern w:val="0"/>
          <w:sz w:val="24"/>
          <w:szCs w:val="24"/>
          <w:lang w:val="en-US" w:eastAsia="zh-CN" w:bidi="ar"/>
        </w:rPr>
        <w:t>。</w:t>
      </w:r>
    </w:p>
    <w:p w14:paraId="165CBD70">
      <w:pPr>
        <w:widowControl/>
        <w:ind w:left="0" w:leftChars="0" w:firstLine="0" w:firstLineChars="0"/>
        <w:jc w:val="left"/>
        <w:rPr>
          <w:rFonts w:hint="default" w:ascii="Times New Roman" w:hAnsi="Times New Roman" w:eastAsia="宋体" w:cs="Times New Roman"/>
          <w:color w:val="auto"/>
          <w:kern w:val="0"/>
          <w:lang w:bidi="ar"/>
        </w:rPr>
      </w:pPr>
    </w:p>
    <w:p w14:paraId="460AC807">
      <w:pPr>
        <w:widowControl/>
        <w:jc w:val="left"/>
        <w:rPr>
          <w:rFonts w:hint="default" w:ascii="Times New Roman" w:hAnsi="Times New Roman" w:eastAsia="宋体" w:cs="Times New Roman"/>
          <w:color w:val="auto"/>
        </w:rPr>
        <w:sectPr>
          <w:pgSz w:w="11906" w:h="16838"/>
          <w:pgMar w:top="1440" w:right="1800" w:bottom="1440" w:left="1800" w:header="1191" w:footer="992" w:gutter="0"/>
          <w:pgNumType w:fmt="decimal"/>
          <w:cols w:space="720" w:num="1"/>
          <w:docGrid w:type="lines" w:linePitch="312" w:charSpace="0"/>
        </w:sectPr>
      </w:pPr>
    </w:p>
    <w:p w14:paraId="06F1A9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rPr>
        <w:t>-</w:t>
      </w:r>
      <w:r>
        <w:rPr>
          <w:rFonts w:hint="eastAsia" w:cs="Times New Roman"/>
          <w:b/>
          <w:bCs/>
          <w:color w:val="auto"/>
          <w:sz w:val="21"/>
          <w:szCs w:val="21"/>
          <w:lang w:val="en-US" w:eastAsia="zh-CN"/>
        </w:rPr>
        <w:t>2</w:t>
      </w:r>
      <w:r>
        <w:rPr>
          <w:rFonts w:hint="default" w:ascii="Times New Roman" w:hAnsi="Times New Roman" w:eastAsia="宋体" w:cs="Times New Roman"/>
          <w:b/>
          <w:bCs/>
          <w:color w:val="auto"/>
          <w:sz w:val="21"/>
          <w:szCs w:val="21"/>
        </w:rPr>
        <w:t xml:space="preserve">  沿线评价范围内声、气</w:t>
      </w:r>
      <w:r>
        <w:rPr>
          <w:rFonts w:hint="eastAsia" w:cs="Times New Roman"/>
          <w:b/>
          <w:bCs/>
          <w:color w:val="auto"/>
          <w:sz w:val="21"/>
          <w:szCs w:val="21"/>
          <w:lang w:val="en-US" w:eastAsia="zh-CN"/>
        </w:rPr>
        <w:t>保护目标</w:t>
      </w:r>
      <w:r>
        <w:rPr>
          <w:rFonts w:hint="default" w:ascii="Times New Roman" w:hAnsi="Times New Roman" w:eastAsia="宋体" w:cs="Times New Roman"/>
          <w:b/>
          <w:bCs/>
          <w:color w:val="auto"/>
          <w:sz w:val="21"/>
          <w:szCs w:val="21"/>
        </w:rPr>
        <w:t>统计表</w:t>
      </w:r>
    </w:p>
    <w:tbl>
      <w:tblPr>
        <w:tblStyle w:val="58"/>
        <w:tblpPr w:leftFromText="180" w:rightFromText="180" w:vertAnchor="text" w:tblpXSpec="center" w:tblpY="1"/>
        <w:tblOverlap w:val="never"/>
        <w:tblW w:w="5021"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0" w:type="dxa"/>
          <w:bottom w:w="0" w:type="dxa"/>
          <w:right w:w="0" w:type="dxa"/>
        </w:tblCellMar>
      </w:tblPr>
      <w:tblGrid>
        <w:gridCol w:w="388"/>
        <w:gridCol w:w="315"/>
        <w:gridCol w:w="407"/>
        <w:gridCol w:w="965"/>
        <w:gridCol w:w="379"/>
        <w:gridCol w:w="508"/>
        <w:gridCol w:w="631"/>
        <w:gridCol w:w="643"/>
        <w:gridCol w:w="923"/>
        <w:gridCol w:w="889"/>
        <w:gridCol w:w="449"/>
        <w:gridCol w:w="2005"/>
        <w:gridCol w:w="2633"/>
        <w:gridCol w:w="2887"/>
      </w:tblGrid>
      <w:tr w14:paraId="39A570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933" w:hRule="atLeast"/>
          <w:tblHeader/>
        </w:trPr>
        <w:tc>
          <w:tcPr>
            <w:tcW w:w="138" w:type="pct"/>
            <w:vMerge w:val="restart"/>
            <w:noWrap w:val="0"/>
            <w:vAlign w:val="center"/>
          </w:tcPr>
          <w:p w14:paraId="7312B0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12" w:type="pct"/>
            <w:vMerge w:val="restart"/>
            <w:noWrap w:val="0"/>
            <w:vAlign w:val="center"/>
          </w:tcPr>
          <w:p w14:paraId="44092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关心点名称</w:t>
            </w:r>
          </w:p>
        </w:tc>
        <w:tc>
          <w:tcPr>
            <w:tcW w:w="145" w:type="pct"/>
            <w:vMerge w:val="restart"/>
            <w:tcBorders>
              <w:right w:val="single" w:color="auto" w:sz="4" w:space="0"/>
            </w:tcBorders>
            <w:noWrap w:val="0"/>
            <w:vAlign w:val="center"/>
          </w:tcPr>
          <w:p w14:paraId="6EA71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行政区划</w:t>
            </w:r>
          </w:p>
        </w:tc>
        <w:tc>
          <w:tcPr>
            <w:tcW w:w="344" w:type="pct"/>
            <w:vMerge w:val="restart"/>
            <w:tcBorders>
              <w:left w:val="single" w:color="auto" w:sz="4" w:space="0"/>
            </w:tcBorders>
            <w:noWrap w:val="0"/>
            <w:vAlign w:val="center"/>
          </w:tcPr>
          <w:p w14:paraId="08055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路段桩号</w:t>
            </w:r>
          </w:p>
        </w:tc>
        <w:tc>
          <w:tcPr>
            <w:tcW w:w="135" w:type="pct"/>
            <w:vMerge w:val="restart"/>
            <w:tcBorders>
              <w:left w:val="single" w:color="auto" w:sz="4" w:space="0"/>
            </w:tcBorders>
            <w:noWrap w:val="0"/>
            <w:vAlign w:val="center"/>
          </w:tcPr>
          <w:p w14:paraId="4742B4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位置关系</w:t>
            </w:r>
          </w:p>
        </w:tc>
        <w:tc>
          <w:tcPr>
            <w:tcW w:w="181" w:type="pct"/>
            <w:vMerge w:val="restart"/>
            <w:tcBorders>
              <w:left w:val="single" w:color="auto" w:sz="4" w:space="0"/>
            </w:tcBorders>
            <w:noWrap w:val="0"/>
            <w:vAlign w:val="center"/>
          </w:tcPr>
          <w:p w14:paraId="7D75AA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功能区划</w:t>
            </w:r>
          </w:p>
        </w:tc>
        <w:tc>
          <w:tcPr>
            <w:tcW w:w="454" w:type="pct"/>
            <w:gridSpan w:val="2"/>
            <w:tcBorders>
              <w:left w:val="single" w:color="auto" w:sz="4" w:space="0"/>
            </w:tcBorders>
            <w:noWrap w:val="0"/>
            <w:vAlign w:val="center"/>
          </w:tcPr>
          <w:p w14:paraId="68732F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受影响居民户数</w:t>
            </w:r>
          </w:p>
        </w:tc>
        <w:tc>
          <w:tcPr>
            <w:tcW w:w="329" w:type="pct"/>
            <w:vMerge w:val="restart"/>
            <w:tcBorders>
              <w:left w:val="single" w:color="auto" w:sz="4" w:space="0"/>
              <w:right w:val="single" w:color="auto" w:sz="4" w:space="0"/>
            </w:tcBorders>
            <w:noWrap w:val="0"/>
            <w:vAlign w:val="center"/>
          </w:tcPr>
          <w:p w14:paraId="1D0BF1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与中</w:t>
            </w:r>
          </w:p>
          <w:p w14:paraId="6A983C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心线</w:t>
            </w:r>
          </w:p>
          <w:p w14:paraId="4BDFDD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距离</w:t>
            </w:r>
          </w:p>
          <w:p w14:paraId="6FA279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（m）</w:t>
            </w:r>
          </w:p>
        </w:tc>
        <w:tc>
          <w:tcPr>
            <w:tcW w:w="317" w:type="pct"/>
            <w:vMerge w:val="restart"/>
            <w:tcBorders>
              <w:left w:val="single" w:color="auto" w:sz="4" w:space="0"/>
              <w:right w:val="single" w:color="auto" w:sz="4" w:space="0"/>
            </w:tcBorders>
            <w:noWrap w:val="0"/>
            <w:vAlign w:val="center"/>
          </w:tcPr>
          <w:p w14:paraId="12ECA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与道路红线距离</w:t>
            </w:r>
          </w:p>
        </w:tc>
        <w:tc>
          <w:tcPr>
            <w:tcW w:w="160" w:type="pct"/>
            <w:vMerge w:val="restart"/>
            <w:noWrap w:val="0"/>
            <w:vAlign w:val="center"/>
          </w:tcPr>
          <w:p w14:paraId="5B1961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高差</w:t>
            </w:r>
          </w:p>
          <w:p w14:paraId="0B3D85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（m）</w:t>
            </w:r>
          </w:p>
        </w:tc>
        <w:tc>
          <w:tcPr>
            <w:tcW w:w="714" w:type="pct"/>
            <w:vMerge w:val="restart"/>
            <w:noWrap w:val="0"/>
            <w:vAlign w:val="center"/>
          </w:tcPr>
          <w:p w14:paraId="248F0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环境特征</w:t>
            </w:r>
          </w:p>
        </w:tc>
        <w:tc>
          <w:tcPr>
            <w:tcW w:w="938" w:type="pct"/>
            <w:vMerge w:val="restart"/>
            <w:noWrap w:val="0"/>
            <w:vAlign w:val="center"/>
          </w:tcPr>
          <w:p w14:paraId="1FE290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拟建公路</w:t>
            </w:r>
            <w:r>
              <w:rPr>
                <w:rFonts w:hint="eastAsia" w:cs="Times New Roman"/>
                <w:b/>
                <w:bCs/>
                <w:color w:val="auto"/>
                <w:sz w:val="21"/>
                <w:szCs w:val="21"/>
                <w:lang w:val="en-US" w:eastAsia="zh-CN"/>
              </w:rPr>
              <w:t>中心线</w:t>
            </w:r>
            <w:r>
              <w:rPr>
                <w:rFonts w:hint="default" w:ascii="Times New Roman" w:hAnsi="Times New Roman" w:eastAsia="宋体" w:cs="Times New Roman"/>
                <w:b/>
                <w:bCs/>
                <w:color w:val="auto"/>
                <w:sz w:val="21"/>
                <w:szCs w:val="21"/>
              </w:rPr>
              <w:t>与敏感点</w:t>
            </w:r>
          </w:p>
          <w:p w14:paraId="395434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关系平面图</w:t>
            </w:r>
          </w:p>
        </w:tc>
        <w:tc>
          <w:tcPr>
            <w:tcW w:w="1029" w:type="pct"/>
            <w:vMerge w:val="restart"/>
            <w:noWrap w:val="0"/>
            <w:vAlign w:val="center"/>
          </w:tcPr>
          <w:p w14:paraId="7DEED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敏感点现状照片</w:t>
            </w:r>
          </w:p>
        </w:tc>
      </w:tr>
      <w:tr w14:paraId="0CDEA7B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933" w:hRule="atLeast"/>
          <w:tblHeader/>
        </w:trPr>
        <w:tc>
          <w:tcPr>
            <w:tcW w:w="138" w:type="pct"/>
            <w:vMerge w:val="continue"/>
            <w:noWrap w:val="0"/>
            <w:vAlign w:val="center"/>
          </w:tcPr>
          <w:p w14:paraId="61292D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12" w:type="pct"/>
            <w:vMerge w:val="continue"/>
            <w:noWrap w:val="0"/>
            <w:vAlign w:val="center"/>
          </w:tcPr>
          <w:p w14:paraId="1E8AF6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45" w:type="pct"/>
            <w:vMerge w:val="continue"/>
            <w:tcBorders>
              <w:right w:val="single" w:color="auto" w:sz="4" w:space="0"/>
            </w:tcBorders>
            <w:noWrap w:val="0"/>
            <w:vAlign w:val="center"/>
          </w:tcPr>
          <w:p w14:paraId="1198F1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344" w:type="pct"/>
            <w:vMerge w:val="continue"/>
            <w:tcBorders>
              <w:left w:val="single" w:color="auto" w:sz="4" w:space="0"/>
            </w:tcBorders>
            <w:noWrap w:val="0"/>
            <w:vAlign w:val="center"/>
          </w:tcPr>
          <w:p w14:paraId="303FFA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35" w:type="pct"/>
            <w:vMerge w:val="continue"/>
            <w:tcBorders>
              <w:left w:val="single" w:color="auto" w:sz="4" w:space="0"/>
            </w:tcBorders>
            <w:noWrap w:val="0"/>
            <w:vAlign w:val="center"/>
          </w:tcPr>
          <w:p w14:paraId="172FA5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81" w:type="pct"/>
            <w:vMerge w:val="continue"/>
            <w:tcBorders>
              <w:left w:val="single" w:color="auto" w:sz="4" w:space="0"/>
            </w:tcBorders>
            <w:noWrap w:val="0"/>
            <w:vAlign w:val="center"/>
          </w:tcPr>
          <w:p w14:paraId="082E1E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225" w:type="pct"/>
            <w:tcBorders>
              <w:left w:val="single" w:color="auto" w:sz="4" w:space="0"/>
            </w:tcBorders>
            <w:noWrap w:val="0"/>
            <w:vAlign w:val="center"/>
          </w:tcPr>
          <w:p w14:paraId="4BB162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4a类</w:t>
            </w:r>
          </w:p>
        </w:tc>
        <w:tc>
          <w:tcPr>
            <w:tcW w:w="229" w:type="pct"/>
            <w:tcBorders>
              <w:left w:val="single" w:color="auto" w:sz="4" w:space="0"/>
            </w:tcBorders>
            <w:noWrap w:val="0"/>
            <w:vAlign w:val="center"/>
          </w:tcPr>
          <w:p w14:paraId="731AD4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2类</w:t>
            </w:r>
          </w:p>
        </w:tc>
        <w:tc>
          <w:tcPr>
            <w:tcW w:w="329" w:type="pct"/>
            <w:vMerge w:val="continue"/>
            <w:tcBorders>
              <w:left w:val="single" w:color="auto" w:sz="4" w:space="0"/>
              <w:right w:val="single" w:color="auto" w:sz="4" w:space="0"/>
            </w:tcBorders>
            <w:noWrap w:val="0"/>
            <w:vAlign w:val="center"/>
          </w:tcPr>
          <w:p w14:paraId="4C227F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317" w:type="pct"/>
            <w:vMerge w:val="continue"/>
            <w:tcBorders>
              <w:left w:val="single" w:color="auto" w:sz="4" w:space="0"/>
              <w:right w:val="single" w:color="auto" w:sz="4" w:space="0"/>
            </w:tcBorders>
            <w:noWrap w:val="0"/>
            <w:vAlign w:val="center"/>
          </w:tcPr>
          <w:p w14:paraId="3190F7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60" w:type="pct"/>
            <w:vMerge w:val="continue"/>
            <w:noWrap w:val="0"/>
            <w:vAlign w:val="center"/>
          </w:tcPr>
          <w:p w14:paraId="16D0A2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714" w:type="pct"/>
            <w:vMerge w:val="continue"/>
            <w:noWrap w:val="0"/>
            <w:vAlign w:val="center"/>
          </w:tcPr>
          <w:p w14:paraId="5791A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938" w:type="pct"/>
            <w:vMerge w:val="continue"/>
            <w:noWrap w:val="0"/>
            <w:vAlign w:val="center"/>
          </w:tcPr>
          <w:p w14:paraId="4770C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029" w:type="pct"/>
            <w:vMerge w:val="continue"/>
            <w:noWrap w:val="0"/>
            <w:vAlign w:val="center"/>
          </w:tcPr>
          <w:p w14:paraId="1D5E3C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r>
      <w:tr w14:paraId="557CEC8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2229" w:hRule="atLeast"/>
        </w:trPr>
        <w:tc>
          <w:tcPr>
            <w:tcW w:w="138" w:type="pct"/>
            <w:noWrap w:val="0"/>
            <w:vAlign w:val="center"/>
          </w:tcPr>
          <w:p w14:paraId="3FD52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1</w:t>
            </w:r>
          </w:p>
          <w:p w14:paraId="6EE341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p>
        </w:tc>
        <w:tc>
          <w:tcPr>
            <w:tcW w:w="112" w:type="pct"/>
            <w:noWrap w:val="0"/>
            <w:vAlign w:val="center"/>
          </w:tcPr>
          <w:p w14:paraId="74BFD5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起始点居民区</w:t>
            </w:r>
          </w:p>
        </w:tc>
        <w:tc>
          <w:tcPr>
            <w:tcW w:w="145" w:type="pct"/>
            <w:noWrap w:val="0"/>
            <w:vAlign w:val="center"/>
          </w:tcPr>
          <w:p w14:paraId="418409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元江县甘庄</w:t>
            </w:r>
          </w:p>
        </w:tc>
        <w:tc>
          <w:tcPr>
            <w:tcW w:w="344" w:type="pct"/>
            <w:noWrap w:val="0"/>
            <w:vAlign w:val="center"/>
          </w:tcPr>
          <w:p w14:paraId="68CBA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K0+000</w:t>
            </w:r>
          </w:p>
        </w:tc>
        <w:tc>
          <w:tcPr>
            <w:tcW w:w="135" w:type="pct"/>
            <w:noWrap w:val="0"/>
            <w:vAlign w:val="center"/>
          </w:tcPr>
          <w:p w14:paraId="40912F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路右</w:t>
            </w:r>
          </w:p>
        </w:tc>
        <w:tc>
          <w:tcPr>
            <w:tcW w:w="181" w:type="pct"/>
            <w:noWrap w:val="0"/>
            <w:vAlign w:val="center"/>
          </w:tcPr>
          <w:p w14:paraId="41D4D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2类</w:t>
            </w:r>
          </w:p>
        </w:tc>
        <w:tc>
          <w:tcPr>
            <w:tcW w:w="225" w:type="pct"/>
            <w:noWrap w:val="0"/>
            <w:vAlign w:val="center"/>
          </w:tcPr>
          <w:p w14:paraId="287D4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w:t>
            </w:r>
          </w:p>
        </w:tc>
        <w:tc>
          <w:tcPr>
            <w:tcW w:w="229" w:type="pct"/>
            <w:noWrap w:val="0"/>
            <w:vAlign w:val="center"/>
          </w:tcPr>
          <w:p w14:paraId="43F67C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p>
        </w:tc>
        <w:tc>
          <w:tcPr>
            <w:tcW w:w="329" w:type="pct"/>
            <w:noWrap w:val="0"/>
            <w:vAlign w:val="center"/>
          </w:tcPr>
          <w:p w14:paraId="5A002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8</w:t>
            </w:r>
          </w:p>
        </w:tc>
        <w:tc>
          <w:tcPr>
            <w:tcW w:w="317" w:type="pct"/>
            <w:noWrap w:val="0"/>
            <w:vAlign w:val="center"/>
          </w:tcPr>
          <w:p w14:paraId="7A5B2D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val="en-US" w:eastAsia="zh-CN"/>
              </w:rPr>
              <w:t>临近</w:t>
            </w:r>
          </w:p>
        </w:tc>
        <w:tc>
          <w:tcPr>
            <w:tcW w:w="160" w:type="pct"/>
            <w:noWrap w:val="0"/>
            <w:vAlign w:val="center"/>
          </w:tcPr>
          <w:p w14:paraId="1ADF9C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0.3</w:t>
            </w:r>
          </w:p>
        </w:tc>
        <w:tc>
          <w:tcPr>
            <w:tcW w:w="714" w:type="pct"/>
            <w:noWrap w:val="0"/>
            <w:vAlign w:val="center"/>
          </w:tcPr>
          <w:p w14:paraId="3D2333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项目评价范围内房屋为2层砖混结构。</w:t>
            </w:r>
            <w:r>
              <w:rPr>
                <w:rFonts w:hint="eastAsia" w:cs="Times New Roman"/>
                <w:b/>
                <w:bCs/>
                <w:color w:val="auto"/>
                <w:sz w:val="21"/>
                <w:szCs w:val="21"/>
                <w:lang w:val="en-US" w:eastAsia="zh-CN"/>
              </w:rPr>
              <w:t>面向道路，</w:t>
            </w:r>
            <w:r>
              <w:rPr>
                <w:rFonts w:hint="default" w:ascii="Times New Roman" w:hAnsi="Times New Roman" w:eastAsia="宋体" w:cs="Times New Roman"/>
                <w:b/>
                <w:bCs/>
                <w:color w:val="auto"/>
                <w:sz w:val="21"/>
                <w:szCs w:val="21"/>
              </w:rPr>
              <w:t>评价范围内有1户3人。</w:t>
            </w:r>
          </w:p>
          <w:p w14:paraId="7860CA7F">
            <w:pPr>
              <w:pStyle w:val="57"/>
              <w:ind w:left="0" w:leftChars="0" w:firstLine="0" w:firstLineChars="0"/>
              <w:rPr>
                <w:rFonts w:hint="eastAsia" w:eastAsia="宋体"/>
                <w:color w:val="auto"/>
                <w:lang w:eastAsia="zh-CN"/>
              </w:rPr>
            </w:pPr>
            <w:r>
              <w:rPr>
                <w:rFonts w:hint="eastAsia" w:cs="Times New Roman"/>
                <w:b/>
                <w:bCs/>
                <w:color w:val="auto"/>
                <w:sz w:val="21"/>
                <w:szCs w:val="21"/>
                <w:lang w:eastAsia="zh-CN"/>
              </w:rPr>
              <w:t>（</w:t>
            </w:r>
            <w:r>
              <w:rPr>
                <w:rFonts w:hint="eastAsia" w:cs="Times New Roman"/>
                <w:b/>
                <w:bCs/>
                <w:color w:val="auto"/>
                <w:sz w:val="21"/>
                <w:szCs w:val="21"/>
                <w:lang w:val="en-US" w:eastAsia="zh-CN"/>
              </w:rPr>
              <w:t>本项目施工拆除</w:t>
            </w:r>
            <w:r>
              <w:rPr>
                <w:rFonts w:hint="eastAsia" w:cs="Times New Roman"/>
                <w:b/>
                <w:bCs/>
                <w:color w:val="auto"/>
                <w:sz w:val="21"/>
                <w:szCs w:val="21"/>
                <w:lang w:eastAsia="zh-CN"/>
              </w:rPr>
              <w:t>）</w:t>
            </w:r>
          </w:p>
        </w:tc>
        <w:tc>
          <w:tcPr>
            <w:tcW w:w="938" w:type="pct"/>
            <w:noWrap w:val="0"/>
            <w:vAlign w:val="center"/>
          </w:tcPr>
          <w:p w14:paraId="24424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mc:AlternateContent>
                <mc:Choice Requires="wps">
                  <w:drawing>
                    <wp:anchor distT="0" distB="0" distL="114300" distR="114300" simplePos="0" relativeHeight="251661312" behindDoc="0" locked="0" layoutInCell="1" allowOverlap="1">
                      <wp:simplePos x="0" y="0"/>
                      <wp:positionH relativeFrom="column">
                        <wp:posOffset>629285</wp:posOffset>
                      </wp:positionH>
                      <wp:positionV relativeFrom="paragraph">
                        <wp:posOffset>471805</wp:posOffset>
                      </wp:positionV>
                      <wp:extent cx="761365" cy="33337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761365" cy="333375"/>
                              </a:xfrm>
                              <a:prstGeom prst="rect">
                                <a:avLst/>
                              </a:prstGeom>
                              <a:noFill/>
                              <a:ln w="15875">
                                <a:noFill/>
                              </a:ln>
                            </wps:spPr>
                            <wps:txbx>
                              <w:txbxContent>
                                <w:p w14:paraId="4CA25EBD">
                                  <w:pPr>
                                    <w:ind w:firstLine="321"/>
                                    <w:rPr>
                                      <w:rFonts w:hint="eastAsia"/>
                                      <w:b/>
                                      <w:bCs/>
                                      <w:color w:val="FF0000"/>
                                      <w:sz w:val="16"/>
                                      <w:szCs w:val="16"/>
                                    </w:rPr>
                                  </w:pPr>
                                  <w:r>
                                    <w:rPr>
                                      <w:rFonts w:hint="eastAsia"/>
                                      <w:b/>
                                      <w:bCs/>
                                      <w:color w:val="FF0000"/>
                                      <w:sz w:val="16"/>
                                      <w:szCs w:val="16"/>
                                    </w:rPr>
                                    <w:t>居民区</w:t>
                                  </w:r>
                                </w:p>
                              </w:txbxContent>
                            </wps:txbx>
                            <wps:bodyPr upright="1"/>
                          </wps:wsp>
                        </a:graphicData>
                      </a:graphic>
                    </wp:anchor>
                  </w:drawing>
                </mc:Choice>
                <mc:Fallback>
                  <w:pict>
                    <v:shape id="_x0000_s1026" o:spid="_x0000_s1026" o:spt="202" type="#_x0000_t202" style="position:absolute;left:0pt;margin-left:49.55pt;margin-top:37.15pt;height:26.25pt;width:59.95pt;z-index:251661312;mso-width-relative:page;mso-height-relative:page;" filled="f" stroked="f" coordsize="21600,21600" o:gfxdata="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NmHQX2wAAAAkBAAAPAAAAAAAAAAEAIAAAACIAAABkcnMvZG93bnJldi54bWxQSwECFAAU&#10;AAAACACHTuJA0pniFbUBAABZAwAADgAAAAAAAAABACAAAAAqAQAAZHJzL2Uyb0RvYy54bWxQSwUG&#10;AAAAAAYABgBZAQAAUQUAAAAA&#10;">
                      <v:fill on="f" focussize="0,0"/>
                      <v:stroke on="f" weight="1.25pt"/>
                      <v:imagedata o:title=""/>
                      <o:lock v:ext="edit" aspectratio="f"/>
                      <v:textbox>
                        <w:txbxContent>
                          <w:p w14:paraId="4CA25EBD">
                            <w:pPr>
                              <w:ind w:firstLine="321"/>
                              <w:rPr>
                                <w:rFonts w:hint="eastAsia"/>
                                <w:b/>
                                <w:bCs/>
                                <w:color w:val="FF0000"/>
                                <w:sz w:val="16"/>
                                <w:szCs w:val="16"/>
                              </w:rPr>
                            </w:pPr>
                            <w:r>
                              <w:rPr>
                                <w:rFonts w:hint="eastAsia"/>
                                <w:b/>
                                <w:bCs/>
                                <w:color w:val="FF0000"/>
                                <w:sz w:val="16"/>
                                <w:szCs w:val="16"/>
                              </w:rPr>
                              <w:t>居民区</w:t>
                            </w:r>
                          </w:p>
                        </w:txbxContent>
                      </v:textbox>
                    </v:shape>
                  </w:pict>
                </mc:Fallback>
              </mc:AlternateContent>
            </w:r>
            <w:r>
              <w:rPr>
                <w:rFonts w:hint="default" w:ascii="Times New Roman" w:hAnsi="Times New Roman" w:eastAsia="宋体" w:cs="Times New Roman"/>
                <w:b/>
                <w:bCs/>
                <w:color w:val="auto"/>
                <w:sz w:val="21"/>
                <w:szCs w:val="21"/>
              </w:rPr>
              <w:drawing>
                <wp:inline distT="0" distB="0" distL="114300" distR="114300">
                  <wp:extent cx="1573530" cy="1341120"/>
                  <wp:effectExtent l="0" t="0" r="7620" b="11430"/>
                  <wp:docPr id="1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9"/>
                          <pic:cNvPicPr>
                            <a:picLocks noChangeAspect="1"/>
                          </pic:cNvPicPr>
                        </pic:nvPicPr>
                        <pic:blipFill>
                          <a:blip r:embed="rId26"/>
                          <a:stretch>
                            <a:fillRect/>
                          </a:stretch>
                        </pic:blipFill>
                        <pic:spPr>
                          <a:xfrm>
                            <a:off x="0" y="0"/>
                            <a:ext cx="1573530" cy="1341120"/>
                          </a:xfrm>
                          <a:prstGeom prst="rect">
                            <a:avLst/>
                          </a:prstGeom>
                          <a:noFill/>
                          <a:ln>
                            <a:noFill/>
                          </a:ln>
                        </pic:spPr>
                      </pic:pic>
                    </a:graphicData>
                  </a:graphic>
                </wp:inline>
              </w:drawing>
            </w:r>
          </w:p>
        </w:tc>
        <w:tc>
          <w:tcPr>
            <w:tcW w:w="1029" w:type="pct"/>
            <w:noWrap w:val="0"/>
            <w:vAlign w:val="center"/>
          </w:tcPr>
          <w:p w14:paraId="6E4421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mc:AlternateContent>
                <mc:Choice Requires="wps">
                  <w:drawing>
                    <wp:anchor distT="0" distB="0" distL="114300" distR="114300" simplePos="0" relativeHeight="251662336" behindDoc="0" locked="0" layoutInCell="1" allowOverlap="1">
                      <wp:simplePos x="0" y="0"/>
                      <wp:positionH relativeFrom="column">
                        <wp:posOffset>941070</wp:posOffset>
                      </wp:positionH>
                      <wp:positionV relativeFrom="paragraph">
                        <wp:posOffset>207645</wp:posOffset>
                      </wp:positionV>
                      <wp:extent cx="753745" cy="801370"/>
                      <wp:effectExtent l="7620" t="7620" r="19685" b="10160"/>
                      <wp:wrapNone/>
                      <wp:docPr id="17" name="文本框 17"/>
                      <wp:cNvGraphicFramePr/>
                      <a:graphic xmlns:a="http://schemas.openxmlformats.org/drawingml/2006/main">
                        <a:graphicData uri="http://schemas.microsoft.com/office/word/2010/wordprocessingShape">
                          <wps:wsp>
                            <wps:cNvSpPr txBox="1"/>
                            <wps:spPr>
                              <a:xfrm>
                                <a:off x="0" y="0"/>
                                <a:ext cx="753745" cy="801370"/>
                              </a:xfrm>
                              <a:prstGeom prst="rect">
                                <a:avLst/>
                              </a:prstGeom>
                              <a:noFill/>
                              <a:ln w="15875" cap="flat" cmpd="sng">
                                <a:solidFill>
                                  <a:srgbClr val="FF0000"/>
                                </a:solidFill>
                                <a:prstDash val="solid"/>
                                <a:miter/>
                                <a:headEnd type="none" w="med" len="med"/>
                                <a:tailEnd type="none" w="med" len="med"/>
                              </a:ln>
                            </wps:spPr>
                            <wps:txbx>
                              <w:txbxContent>
                                <w:p w14:paraId="7C386E26">
                                  <w:pPr>
                                    <w:ind w:firstLine="480"/>
                                  </w:pPr>
                                </w:p>
                              </w:txbxContent>
                            </wps:txbx>
                            <wps:bodyPr upright="1"/>
                          </wps:wsp>
                        </a:graphicData>
                      </a:graphic>
                    </wp:anchor>
                  </w:drawing>
                </mc:Choice>
                <mc:Fallback>
                  <w:pict>
                    <v:shape id="_x0000_s1026" o:spid="_x0000_s1026" o:spt="202" type="#_x0000_t202" style="position:absolute;left:0pt;margin-left:74.1pt;margin-top:16.35pt;height:63.1pt;width:59.35pt;z-index:251662336;mso-width-relative:page;mso-height-relative:page;" filled="f" stroked="t" coordsize="21600,21600" o:gfxdata="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SMPga2AAAAAoBAAAPAAAAAAAAAAEAIAAAACIA&#10;AABkcnMvZG93bnJldi54bWxQSwECFAAUAAAACACHTuJAeMne8gkCAAAPBAAADgAAAAAAAAABACAA&#10;AAAnAQAAZHJzL2Uyb0RvYy54bWxQSwUGAAAAAAYABgBZAQAAogUAAAAA&#10;">
                      <v:fill on="f" focussize="0,0"/>
                      <v:stroke weight="1.25pt" color="#FF0000" joinstyle="miter"/>
                      <v:imagedata o:title=""/>
                      <o:lock v:ext="edit" aspectratio="f"/>
                      <v:textbox>
                        <w:txbxContent>
                          <w:p w14:paraId="7C386E26">
                            <w:pPr>
                              <w:ind w:firstLine="480"/>
                            </w:pPr>
                          </w:p>
                        </w:txbxContent>
                      </v:textbox>
                    </v:shape>
                  </w:pict>
                </mc:Fallback>
              </mc:AlternateContent>
            </w:r>
            <w:r>
              <w:rPr>
                <w:rFonts w:hint="default" w:ascii="Times New Roman" w:hAnsi="Times New Roman" w:eastAsia="宋体" w:cs="Times New Roman"/>
                <w:b/>
                <w:bCs/>
                <w:color w:val="auto"/>
                <w:sz w:val="21"/>
                <w:szCs w:val="21"/>
              </w:rPr>
              <w:drawing>
                <wp:inline distT="0" distB="0" distL="114300" distR="114300">
                  <wp:extent cx="1631950" cy="1340485"/>
                  <wp:effectExtent l="0" t="0" r="6350" b="12065"/>
                  <wp:docPr id="39" name="图片 40" descr="微信图片_20251226141445_500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0" descr="微信图片_20251226141445_500_15"/>
                          <pic:cNvPicPr>
                            <a:picLocks noChangeAspect="1"/>
                          </pic:cNvPicPr>
                        </pic:nvPicPr>
                        <pic:blipFill>
                          <a:blip r:embed="rId27"/>
                          <a:srcRect l="47783" t="20554" b="16431"/>
                          <a:stretch>
                            <a:fillRect/>
                          </a:stretch>
                        </pic:blipFill>
                        <pic:spPr>
                          <a:xfrm>
                            <a:off x="0" y="0"/>
                            <a:ext cx="1631950" cy="1340485"/>
                          </a:xfrm>
                          <a:prstGeom prst="rect">
                            <a:avLst/>
                          </a:prstGeom>
                          <a:noFill/>
                          <a:ln>
                            <a:noFill/>
                          </a:ln>
                        </pic:spPr>
                      </pic:pic>
                    </a:graphicData>
                  </a:graphic>
                </wp:inline>
              </w:drawing>
            </w:r>
          </w:p>
        </w:tc>
      </w:tr>
      <w:tr w14:paraId="016EE3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1420" w:hRule="atLeast"/>
        </w:trPr>
        <w:tc>
          <w:tcPr>
            <w:tcW w:w="138" w:type="pct"/>
            <w:vMerge w:val="restart"/>
            <w:noWrap w:val="0"/>
            <w:vAlign w:val="center"/>
          </w:tcPr>
          <w:p w14:paraId="4259A5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w:t>
            </w:r>
          </w:p>
        </w:tc>
        <w:tc>
          <w:tcPr>
            <w:tcW w:w="112" w:type="pct"/>
            <w:vMerge w:val="restart"/>
            <w:noWrap w:val="0"/>
            <w:vAlign w:val="center"/>
          </w:tcPr>
          <w:p w14:paraId="3D9E8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甘庄集镇居民区</w:t>
            </w:r>
          </w:p>
        </w:tc>
        <w:tc>
          <w:tcPr>
            <w:tcW w:w="145" w:type="pct"/>
            <w:vMerge w:val="restart"/>
            <w:noWrap w:val="0"/>
            <w:vAlign w:val="center"/>
          </w:tcPr>
          <w:p w14:paraId="1DF5A5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元江县甘庄</w:t>
            </w:r>
          </w:p>
        </w:tc>
        <w:tc>
          <w:tcPr>
            <w:tcW w:w="344" w:type="pct"/>
            <w:vMerge w:val="restart"/>
            <w:noWrap w:val="0"/>
            <w:vAlign w:val="center"/>
          </w:tcPr>
          <w:p w14:paraId="72A164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K0+</w:t>
            </w:r>
            <w:r>
              <w:rPr>
                <w:rFonts w:hint="eastAsia" w:cs="Times New Roman"/>
                <w:b/>
                <w:bCs/>
                <w:color w:val="auto"/>
                <w:sz w:val="21"/>
                <w:szCs w:val="21"/>
                <w:lang w:val="en-US" w:eastAsia="zh-CN"/>
              </w:rPr>
              <w:t>14</w:t>
            </w:r>
            <w:r>
              <w:rPr>
                <w:rFonts w:hint="default" w:ascii="Times New Roman" w:hAnsi="Times New Roman" w:eastAsia="宋体" w:cs="Times New Roman"/>
                <w:b/>
                <w:bCs/>
                <w:color w:val="auto"/>
                <w:sz w:val="21"/>
                <w:szCs w:val="21"/>
              </w:rPr>
              <w:t>0</w:t>
            </w:r>
          </w:p>
        </w:tc>
        <w:tc>
          <w:tcPr>
            <w:tcW w:w="135" w:type="pct"/>
            <w:noWrap w:val="0"/>
            <w:vAlign w:val="center"/>
          </w:tcPr>
          <w:p w14:paraId="314EB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路右</w:t>
            </w:r>
          </w:p>
        </w:tc>
        <w:tc>
          <w:tcPr>
            <w:tcW w:w="181" w:type="pct"/>
            <w:noWrap w:val="0"/>
            <w:vAlign w:val="center"/>
          </w:tcPr>
          <w:p w14:paraId="276E8D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2类</w:t>
            </w:r>
          </w:p>
        </w:tc>
        <w:tc>
          <w:tcPr>
            <w:tcW w:w="225" w:type="pct"/>
            <w:noWrap w:val="0"/>
            <w:vAlign w:val="center"/>
          </w:tcPr>
          <w:p w14:paraId="2DCA1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rFonts w:hint="eastAsia" w:cs="Times New Roman"/>
                <w:b/>
                <w:bCs/>
                <w:color w:val="auto"/>
                <w:sz w:val="21"/>
                <w:szCs w:val="21"/>
                <w:lang w:val="en-US" w:eastAsia="zh-CN"/>
              </w:rPr>
              <w:t>8</w:t>
            </w:r>
          </w:p>
        </w:tc>
        <w:tc>
          <w:tcPr>
            <w:tcW w:w="229" w:type="pct"/>
            <w:noWrap w:val="0"/>
            <w:vAlign w:val="center"/>
          </w:tcPr>
          <w:p w14:paraId="33BE74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15</w:t>
            </w:r>
          </w:p>
        </w:tc>
        <w:tc>
          <w:tcPr>
            <w:tcW w:w="329" w:type="pct"/>
            <w:noWrap w:val="0"/>
            <w:vAlign w:val="center"/>
          </w:tcPr>
          <w:p w14:paraId="12AC8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cs="Times New Roman"/>
                <w:b/>
                <w:bCs/>
                <w:color w:val="auto"/>
                <w:sz w:val="21"/>
                <w:szCs w:val="21"/>
                <w:lang w:val="en-US" w:eastAsia="zh-CN"/>
              </w:rPr>
              <w:t>25</w:t>
            </w:r>
          </w:p>
        </w:tc>
        <w:tc>
          <w:tcPr>
            <w:tcW w:w="317" w:type="pct"/>
            <w:noWrap w:val="0"/>
            <w:vAlign w:val="center"/>
          </w:tcPr>
          <w:p w14:paraId="7B91B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12</w:t>
            </w:r>
          </w:p>
        </w:tc>
        <w:tc>
          <w:tcPr>
            <w:tcW w:w="160" w:type="pct"/>
            <w:noWrap w:val="0"/>
            <w:vAlign w:val="center"/>
          </w:tcPr>
          <w:p w14:paraId="74FE1B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1.5</w:t>
            </w:r>
          </w:p>
        </w:tc>
        <w:tc>
          <w:tcPr>
            <w:tcW w:w="714" w:type="pct"/>
            <w:vMerge w:val="restart"/>
            <w:noWrap w:val="0"/>
            <w:vAlign w:val="center"/>
          </w:tcPr>
          <w:p w14:paraId="63EC8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项目评价范围内房屋以1-2层砖混结构为主。</w:t>
            </w:r>
            <w:r>
              <w:rPr>
                <w:rFonts w:hint="eastAsia" w:cs="Times New Roman"/>
                <w:b/>
                <w:bCs/>
                <w:color w:val="auto"/>
                <w:sz w:val="21"/>
                <w:szCs w:val="21"/>
                <w:lang w:val="en-US" w:eastAsia="zh-CN"/>
              </w:rPr>
              <w:t>部分面向道路，部分背向道路。</w:t>
            </w:r>
            <w:r>
              <w:rPr>
                <w:rFonts w:hint="default" w:ascii="Times New Roman" w:hAnsi="Times New Roman" w:eastAsia="宋体" w:cs="Times New Roman"/>
                <w:b/>
                <w:bCs/>
                <w:color w:val="auto"/>
                <w:sz w:val="21"/>
                <w:szCs w:val="21"/>
              </w:rPr>
              <w:t>评价范围内有</w:t>
            </w:r>
            <w:r>
              <w:rPr>
                <w:rFonts w:hint="eastAsia" w:cs="Times New Roman"/>
                <w:b/>
                <w:bCs/>
                <w:color w:val="auto"/>
                <w:sz w:val="21"/>
                <w:szCs w:val="21"/>
                <w:lang w:val="en-US" w:eastAsia="zh-CN"/>
              </w:rPr>
              <w:t>23</w:t>
            </w:r>
            <w:r>
              <w:rPr>
                <w:rFonts w:hint="default" w:ascii="Times New Roman" w:hAnsi="Times New Roman" w:eastAsia="宋体" w:cs="Times New Roman"/>
                <w:b/>
                <w:bCs/>
                <w:color w:val="auto"/>
                <w:sz w:val="21"/>
                <w:szCs w:val="21"/>
              </w:rPr>
              <w:t>户/</w:t>
            </w:r>
            <w:r>
              <w:rPr>
                <w:rFonts w:hint="eastAsia" w:cs="Times New Roman"/>
                <w:b/>
                <w:bCs/>
                <w:color w:val="auto"/>
                <w:sz w:val="21"/>
                <w:szCs w:val="21"/>
                <w:lang w:val="en-US" w:eastAsia="zh-CN"/>
              </w:rPr>
              <w:t>60</w:t>
            </w:r>
            <w:r>
              <w:rPr>
                <w:rFonts w:hint="default" w:ascii="Times New Roman" w:hAnsi="Times New Roman" w:eastAsia="宋体" w:cs="Times New Roman"/>
                <w:b/>
                <w:bCs/>
                <w:color w:val="auto"/>
                <w:sz w:val="21"/>
                <w:szCs w:val="21"/>
              </w:rPr>
              <w:t>人。</w:t>
            </w:r>
          </w:p>
        </w:tc>
        <w:tc>
          <w:tcPr>
            <w:tcW w:w="938" w:type="pct"/>
            <w:vMerge w:val="restart"/>
            <w:noWrap w:val="0"/>
            <w:vAlign w:val="center"/>
          </w:tcPr>
          <w:p w14:paraId="69DDAF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mc:AlternateContent>
                <mc:Choice Requires="wps">
                  <w:drawing>
                    <wp:anchor distT="0" distB="0" distL="114300" distR="114300" simplePos="0" relativeHeight="251663360" behindDoc="0" locked="0" layoutInCell="1" allowOverlap="1">
                      <wp:simplePos x="0" y="0"/>
                      <wp:positionH relativeFrom="column">
                        <wp:posOffset>710565</wp:posOffset>
                      </wp:positionH>
                      <wp:positionV relativeFrom="paragraph">
                        <wp:posOffset>504825</wp:posOffset>
                      </wp:positionV>
                      <wp:extent cx="824230" cy="65786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824230" cy="657860"/>
                              </a:xfrm>
                              <a:prstGeom prst="rect">
                                <a:avLst/>
                              </a:prstGeom>
                              <a:noFill/>
                              <a:ln w="15875">
                                <a:noFill/>
                              </a:ln>
                            </wps:spPr>
                            <wps:txbx>
                              <w:txbxContent>
                                <w:p w14:paraId="41A18CC7">
                                  <w:pPr>
                                    <w:ind w:firstLine="0" w:firstLineChars="0"/>
                                    <w:rPr>
                                      <w:rFonts w:hint="eastAsia"/>
                                      <w:b/>
                                      <w:bCs/>
                                      <w:color w:val="FF0000"/>
                                      <w:sz w:val="16"/>
                                      <w:szCs w:val="16"/>
                                    </w:rPr>
                                  </w:pPr>
                                  <w:r>
                                    <w:rPr>
                                      <w:rFonts w:hint="eastAsia"/>
                                      <w:b/>
                                      <w:bCs/>
                                      <w:color w:val="FF0000"/>
                                      <w:sz w:val="16"/>
                                      <w:szCs w:val="16"/>
                                    </w:rPr>
                                    <w:t>集镇居民区</w:t>
                                  </w:r>
                                </w:p>
                              </w:txbxContent>
                            </wps:txbx>
                            <wps:bodyPr upright="1"/>
                          </wps:wsp>
                        </a:graphicData>
                      </a:graphic>
                    </wp:anchor>
                  </w:drawing>
                </mc:Choice>
                <mc:Fallback>
                  <w:pict>
                    <v:shape id="_x0000_s1026" o:spid="_x0000_s1026" o:spt="202" type="#_x0000_t202" style="position:absolute;left:0pt;margin-left:55.95pt;margin-top:39.75pt;height:51.8pt;width:64.9pt;z-index:251663360;mso-width-relative:page;mso-height-relative:page;" filled="f" stroked="f" coordsize="21600,21600" o:gfxdata="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XlofLcAAAACgEAAA8AAAAAAAAAAQAgAAAAIgAAAGRycy9kb3ducmV2LnhtbFBLAQIU&#10;ABQAAAAIAIdO4kBiRsUvtgEAAFkDAAAOAAAAAAAAAAEAIAAAACsBAABkcnMvZTJvRG9jLnhtbFBL&#10;BQYAAAAABgAGAFkBAABTBQAAAAA=&#10;">
                      <v:fill on="f" focussize="0,0"/>
                      <v:stroke on="f" weight="1.25pt"/>
                      <v:imagedata o:title=""/>
                      <o:lock v:ext="edit" aspectratio="f"/>
                      <v:textbox>
                        <w:txbxContent>
                          <w:p w14:paraId="41A18CC7">
                            <w:pPr>
                              <w:ind w:firstLine="0" w:firstLineChars="0"/>
                              <w:rPr>
                                <w:rFonts w:hint="eastAsia"/>
                                <w:b/>
                                <w:bCs/>
                                <w:color w:val="FF0000"/>
                                <w:sz w:val="16"/>
                                <w:szCs w:val="16"/>
                              </w:rPr>
                            </w:pPr>
                            <w:r>
                              <w:rPr>
                                <w:rFonts w:hint="eastAsia"/>
                                <w:b/>
                                <w:bCs/>
                                <w:color w:val="FF0000"/>
                                <w:sz w:val="16"/>
                                <w:szCs w:val="16"/>
                              </w:rPr>
                              <w:t>集镇居民区</w:t>
                            </w:r>
                          </w:p>
                        </w:txbxContent>
                      </v:textbox>
                    </v:shape>
                  </w:pict>
                </mc:Fallback>
              </mc:AlternateContent>
            </w:r>
            <w:r>
              <w:rPr>
                <w:rFonts w:hint="default" w:ascii="Times New Roman" w:hAnsi="Times New Roman" w:eastAsia="宋体" w:cs="Times New Roman"/>
                <w:b/>
                <w:bCs/>
                <w:color w:val="auto"/>
                <w:sz w:val="21"/>
                <w:szCs w:val="21"/>
              </w:rPr>
              <w:drawing>
                <wp:inline distT="0" distB="0" distL="114300" distR="114300">
                  <wp:extent cx="1814195" cy="1250950"/>
                  <wp:effectExtent l="0" t="0" r="14605" b="6350"/>
                  <wp:docPr id="3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1"/>
                          <pic:cNvPicPr>
                            <a:picLocks noChangeAspect="1"/>
                          </pic:cNvPicPr>
                        </pic:nvPicPr>
                        <pic:blipFill>
                          <a:blip r:embed="rId28"/>
                          <a:stretch>
                            <a:fillRect/>
                          </a:stretch>
                        </pic:blipFill>
                        <pic:spPr>
                          <a:xfrm>
                            <a:off x="0" y="0"/>
                            <a:ext cx="1814195" cy="1250950"/>
                          </a:xfrm>
                          <a:prstGeom prst="rect">
                            <a:avLst/>
                          </a:prstGeom>
                          <a:noFill/>
                          <a:ln>
                            <a:noFill/>
                          </a:ln>
                        </pic:spPr>
                      </pic:pic>
                    </a:graphicData>
                  </a:graphic>
                </wp:inline>
              </w:drawing>
            </w:r>
          </w:p>
        </w:tc>
        <w:tc>
          <w:tcPr>
            <w:tcW w:w="1029" w:type="pct"/>
            <w:vMerge w:val="restart"/>
            <w:noWrap w:val="0"/>
            <w:vAlign w:val="center"/>
          </w:tcPr>
          <w:p w14:paraId="0379C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z w:val="21"/>
                <w:szCs w:val="21"/>
                <w:lang w:eastAsia="zh-CN"/>
              </w:rPr>
            </w:pPr>
            <w:r>
              <w:rPr>
                <w:color w:val="auto"/>
                <w:sz w:val="21"/>
              </w:rPr>
              <mc:AlternateContent>
                <mc:Choice Requires="wps">
                  <w:drawing>
                    <wp:anchor distT="0" distB="0" distL="114300" distR="114300" simplePos="0" relativeHeight="251670528" behindDoc="0" locked="0" layoutInCell="1" allowOverlap="1">
                      <wp:simplePos x="0" y="0"/>
                      <wp:positionH relativeFrom="column">
                        <wp:posOffset>105410</wp:posOffset>
                      </wp:positionH>
                      <wp:positionV relativeFrom="paragraph">
                        <wp:posOffset>563245</wp:posOffset>
                      </wp:positionV>
                      <wp:extent cx="702945" cy="573405"/>
                      <wp:effectExtent l="12700" t="12700" r="27305" b="23495"/>
                      <wp:wrapNone/>
                      <wp:docPr id="13" name="矩形 13"/>
                      <wp:cNvGraphicFramePr/>
                      <a:graphic xmlns:a="http://schemas.openxmlformats.org/drawingml/2006/main">
                        <a:graphicData uri="http://schemas.microsoft.com/office/word/2010/wordprocessingShape">
                          <wps:wsp>
                            <wps:cNvSpPr/>
                            <wps:spPr>
                              <a:xfrm>
                                <a:off x="8070850" y="4718050"/>
                                <a:ext cx="702945" cy="57340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pt;margin-top:44.35pt;height:45.15pt;width:55.35pt;z-index:251670528;v-text-anchor:middle;mso-width-relative:page;mso-height-relative:page;" filled="f" stroked="t" coordsize="21600,21600" o:gfxdata="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PvZQSHYAAAACQEAAA8AAAAAAAAAAQAgAAAAIgAAAGRycy9kb3ducmV2Lnht&#10;bFBLAQIUABQAAAAIAIdO4kCCDNsJawIAAMEEAAAOAAAAAAAAAAEAIAAAACcBAABkcnMvZTJvRG9j&#10;LnhtbFBLBQYAAAAABgAGAFkBAAAEBgAAAAA=&#10;">
                      <v:fill on="f" focussize="0,0"/>
                      <v:stroke weight="2pt" color="#FF0000 [2404]" joinstyle="round"/>
                      <v:imagedata o:title=""/>
                      <o:lock v:ext="edit" aspectratio="f"/>
                    </v:rect>
                  </w:pict>
                </mc:Fallback>
              </mc:AlternateContent>
            </w:r>
            <w:r>
              <w:rPr>
                <w:rFonts w:hint="eastAsia" w:ascii="Times New Roman" w:hAnsi="Times New Roman" w:eastAsia="宋体" w:cs="Times New Roman"/>
                <w:b/>
                <w:bCs/>
                <w:color w:val="auto"/>
                <w:sz w:val="21"/>
                <w:szCs w:val="21"/>
                <w:lang w:eastAsia="zh-CN"/>
              </w:rPr>
              <w:drawing>
                <wp:inline distT="0" distB="0" distL="114300" distR="114300">
                  <wp:extent cx="1741170" cy="1305560"/>
                  <wp:effectExtent l="0" t="0" r="11430" b="8890"/>
                  <wp:docPr id="12" name="图片 12" descr="DJI_20250211121239_0468_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DJI_20250211121239_0468_D"/>
                          <pic:cNvPicPr>
                            <a:picLocks noChangeAspect="1"/>
                          </pic:cNvPicPr>
                        </pic:nvPicPr>
                        <pic:blipFill>
                          <a:blip r:embed="rId29"/>
                          <a:stretch>
                            <a:fillRect/>
                          </a:stretch>
                        </pic:blipFill>
                        <pic:spPr>
                          <a:xfrm>
                            <a:off x="0" y="0"/>
                            <a:ext cx="1741170" cy="1305560"/>
                          </a:xfrm>
                          <a:prstGeom prst="rect">
                            <a:avLst/>
                          </a:prstGeom>
                        </pic:spPr>
                      </pic:pic>
                    </a:graphicData>
                  </a:graphic>
                </wp:inline>
              </w:drawing>
            </w:r>
          </w:p>
        </w:tc>
      </w:tr>
      <w:tr w14:paraId="37C00C2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0" w:type="dxa"/>
            <w:bottom w:w="0" w:type="dxa"/>
            <w:right w:w="0" w:type="dxa"/>
          </w:tblCellMar>
        </w:tblPrEx>
        <w:trPr>
          <w:cantSplit/>
          <w:trHeight w:val="4090" w:hRule="atLeast"/>
        </w:trPr>
        <w:tc>
          <w:tcPr>
            <w:tcW w:w="138" w:type="pct"/>
            <w:noWrap w:val="0"/>
            <w:vAlign w:val="center"/>
          </w:tcPr>
          <w:p w14:paraId="7F742A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3</w:t>
            </w:r>
          </w:p>
        </w:tc>
        <w:tc>
          <w:tcPr>
            <w:tcW w:w="112" w:type="pct"/>
            <w:noWrap w:val="0"/>
            <w:vAlign w:val="center"/>
          </w:tcPr>
          <w:p w14:paraId="5D17C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元江县甘庄中学</w:t>
            </w:r>
          </w:p>
        </w:tc>
        <w:tc>
          <w:tcPr>
            <w:tcW w:w="145" w:type="pct"/>
            <w:noWrap w:val="0"/>
            <w:vAlign w:val="center"/>
          </w:tcPr>
          <w:p w14:paraId="000F3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元江县甘庄</w:t>
            </w:r>
          </w:p>
        </w:tc>
        <w:tc>
          <w:tcPr>
            <w:tcW w:w="344" w:type="pct"/>
            <w:noWrap w:val="0"/>
            <w:vAlign w:val="center"/>
          </w:tcPr>
          <w:p w14:paraId="59DC7F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K1+447</w:t>
            </w:r>
          </w:p>
        </w:tc>
        <w:tc>
          <w:tcPr>
            <w:tcW w:w="135" w:type="pct"/>
            <w:noWrap w:val="0"/>
            <w:vAlign w:val="center"/>
          </w:tcPr>
          <w:p w14:paraId="573E4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路右</w:t>
            </w:r>
          </w:p>
        </w:tc>
        <w:tc>
          <w:tcPr>
            <w:tcW w:w="181" w:type="pct"/>
            <w:noWrap w:val="0"/>
            <w:vAlign w:val="center"/>
          </w:tcPr>
          <w:p w14:paraId="57F620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2类</w:t>
            </w:r>
          </w:p>
        </w:tc>
        <w:tc>
          <w:tcPr>
            <w:tcW w:w="225" w:type="pct"/>
            <w:noWrap w:val="0"/>
            <w:vAlign w:val="center"/>
          </w:tcPr>
          <w:p w14:paraId="055FA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t>
            </w:r>
          </w:p>
        </w:tc>
        <w:tc>
          <w:tcPr>
            <w:tcW w:w="229" w:type="pct"/>
            <w:noWrap w:val="0"/>
            <w:vAlign w:val="center"/>
          </w:tcPr>
          <w:p w14:paraId="6AA541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850</w:t>
            </w:r>
          </w:p>
        </w:tc>
        <w:tc>
          <w:tcPr>
            <w:tcW w:w="329" w:type="pct"/>
            <w:noWrap w:val="0"/>
            <w:vAlign w:val="center"/>
          </w:tcPr>
          <w:p w14:paraId="79D0A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lang w:val="en-US" w:eastAsia="zh-CN"/>
              </w:rPr>
            </w:pPr>
            <w:r>
              <w:rPr>
                <w:rFonts w:hint="eastAsia" w:cs="Times New Roman"/>
                <w:b/>
                <w:bCs/>
                <w:color w:val="auto"/>
                <w:sz w:val="21"/>
                <w:szCs w:val="21"/>
                <w:lang w:val="en-US" w:eastAsia="zh-CN"/>
              </w:rPr>
              <w:t>252</w:t>
            </w:r>
          </w:p>
        </w:tc>
        <w:tc>
          <w:tcPr>
            <w:tcW w:w="317" w:type="pct"/>
            <w:noWrap w:val="0"/>
            <w:vAlign w:val="center"/>
          </w:tcPr>
          <w:p w14:paraId="79F47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240</w:t>
            </w:r>
          </w:p>
        </w:tc>
        <w:tc>
          <w:tcPr>
            <w:tcW w:w="160" w:type="pct"/>
            <w:noWrap w:val="0"/>
            <w:vAlign w:val="center"/>
          </w:tcPr>
          <w:p w14:paraId="20F49E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28</w:t>
            </w:r>
          </w:p>
        </w:tc>
        <w:tc>
          <w:tcPr>
            <w:tcW w:w="714" w:type="pct"/>
            <w:noWrap w:val="0"/>
            <w:vAlign w:val="center"/>
          </w:tcPr>
          <w:p w14:paraId="12F20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学校内有4栋2~3</w:t>
            </w:r>
          </w:p>
          <w:p w14:paraId="0683AB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层砖混楼房。学校</w:t>
            </w:r>
            <w:r>
              <w:rPr>
                <w:rFonts w:hint="eastAsia" w:cs="Times New Roman"/>
                <w:b/>
                <w:bCs/>
                <w:color w:val="auto"/>
                <w:sz w:val="21"/>
                <w:szCs w:val="21"/>
                <w:lang w:val="en-US" w:eastAsia="zh-CN"/>
              </w:rPr>
              <w:t>约有</w:t>
            </w:r>
            <w:r>
              <w:rPr>
                <w:rFonts w:hint="default" w:ascii="Times New Roman" w:hAnsi="Times New Roman" w:eastAsia="宋体" w:cs="Times New Roman"/>
                <w:b/>
                <w:bCs/>
                <w:color w:val="auto"/>
                <w:sz w:val="21"/>
                <w:szCs w:val="21"/>
              </w:rPr>
              <w:t>学生</w:t>
            </w:r>
            <w:r>
              <w:rPr>
                <w:rFonts w:hint="eastAsia" w:cs="Times New Roman"/>
                <w:b/>
                <w:bCs/>
                <w:color w:val="auto"/>
                <w:sz w:val="21"/>
                <w:szCs w:val="21"/>
                <w:lang w:val="en-US" w:eastAsia="zh-CN"/>
              </w:rPr>
              <w:t>795</w:t>
            </w:r>
            <w:r>
              <w:rPr>
                <w:rFonts w:hint="default" w:ascii="Times New Roman" w:hAnsi="Times New Roman" w:eastAsia="宋体" w:cs="Times New Roman"/>
                <w:b/>
                <w:bCs/>
                <w:color w:val="auto"/>
                <w:sz w:val="21"/>
                <w:szCs w:val="21"/>
              </w:rPr>
              <w:t>人，</w:t>
            </w:r>
          </w:p>
          <w:p w14:paraId="56C247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教职工</w:t>
            </w:r>
            <w:r>
              <w:rPr>
                <w:rFonts w:hint="eastAsia" w:cs="Times New Roman"/>
                <w:b/>
                <w:bCs/>
                <w:color w:val="auto"/>
                <w:sz w:val="21"/>
                <w:szCs w:val="21"/>
                <w:lang w:val="en-US" w:eastAsia="zh-CN"/>
              </w:rPr>
              <w:t>65</w:t>
            </w:r>
            <w:r>
              <w:rPr>
                <w:rFonts w:hint="default" w:ascii="Times New Roman" w:hAnsi="Times New Roman" w:eastAsia="宋体" w:cs="Times New Roman"/>
                <w:b/>
                <w:bCs/>
                <w:color w:val="auto"/>
                <w:sz w:val="21"/>
                <w:szCs w:val="21"/>
              </w:rPr>
              <w:t>人，夜间</w:t>
            </w:r>
          </w:p>
          <w:p w14:paraId="6B2DA2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无学生住宿，楼房背</w:t>
            </w:r>
          </w:p>
          <w:p w14:paraId="6239E3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向或侧向拟建公路。</w:t>
            </w:r>
          </w:p>
          <w:p w14:paraId="09BD11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现状噪声以社会、生活噪声为主。</w:t>
            </w:r>
          </w:p>
        </w:tc>
        <w:tc>
          <w:tcPr>
            <w:tcW w:w="938" w:type="pct"/>
            <w:noWrap w:val="0"/>
            <w:vAlign w:val="center"/>
          </w:tcPr>
          <w:p w14:paraId="473F46E4">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mc:AlternateContent>
                <mc:Choice Requires="wps">
                  <w:drawing>
                    <wp:anchor distT="0" distB="0" distL="114300" distR="114300" simplePos="0" relativeHeight="251665408" behindDoc="0" locked="0" layoutInCell="1" allowOverlap="1">
                      <wp:simplePos x="0" y="0"/>
                      <wp:positionH relativeFrom="column">
                        <wp:posOffset>772160</wp:posOffset>
                      </wp:positionH>
                      <wp:positionV relativeFrom="paragraph">
                        <wp:posOffset>900430</wp:posOffset>
                      </wp:positionV>
                      <wp:extent cx="992505" cy="58166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992505" cy="581660"/>
                              </a:xfrm>
                              <a:prstGeom prst="rect">
                                <a:avLst/>
                              </a:prstGeom>
                              <a:noFill/>
                              <a:ln w="15875">
                                <a:noFill/>
                              </a:ln>
                            </wps:spPr>
                            <wps:txbx>
                              <w:txbxContent>
                                <w:p w14:paraId="160D7AD0">
                                  <w:pPr>
                                    <w:ind w:firstLine="0" w:firstLineChars="0"/>
                                    <w:rPr>
                                      <w:b/>
                                      <w:bCs/>
                                      <w:color w:val="FF0000"/>
                                      <w:sz w:val="18"/>
                                      <w:szCs w:val="18"/>
                                    </w:rPr>
                                  </w:pPr>
                                  <w:r>
                                    <w:rPr>
                                      <w:rFonts w:hint="eastAsia"/>
                                      <w:b/>
                                      <w:bCs/>
                                      <w:color w:val="FF0000"/>
                                      <w:sz w:val="18"/>
                                      <w:szCs w:val="18"/>
                                    </w:rPr>
                                    <w:t>甘庄中学</w:t>
                                  </w:r>
                                </w:p>
                              </w:txbxContent>
                            </wps:txbx>
                            <wps:bodyPr upright="1"/>
                          </wps:wsp>
                        </a:graphicData>
                      </a:graphic>
                    </wp:anchor>
                  </w:drawing>
                </mc:Choice>
                <mc:Fallback>
                  <w:pict>
                    <v:shape id="_x0000_s1026" o:spid="_x0000_s1026" o:spt="202" type="#_x0000_t202" style="position:absolute;left:0pt;margin-left:60.8pt;margin-top:70.9pt;height:45.8pt;width:78.15pt;z-index:251665408;mso-width-relative:page;mso-height-relative:page;" filled="f" stroked="f" coordsize="21600,21600" o:gfxdata="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m47A83AAAAAsBAAAPAAAAAAAAAAEAIAAAACIAAABkcnMvZG93bnJldi54bWxQSwEC&#10;FAAUAAAACACHTuJAKhLf77cBAABZAwAADgAAAAAAAAABACAAAAArAQAAZHJzL2Uyb0RvYy54bWxQ&#10;SwUGAAAAAAYABgBZAQAAVAUAAAAA&#10;">
                      <v:fill on="f" focussize="0,0"/>
                      <v:stroke on="f" weight="1.25pt"/>
                      <v:imagedata o:title=""/>
                      <o:lock v:ext="edit" aspectratio="f"/>
                      <v:textbox>
                        <w:txbxContent>
                          <w:p w14:paraId="160D7AD0">
                            <w:pPr>
                              <w:ind w:firstLine="0" w:firstLineChars="0"/>
                              <w:rPr>
                                <w:b/>
                                <w:bCs/>
                                <w:color w:val="FF0000"/>
                                <w:sz w:val="18"/>
                                <w:szCs w:val="18"/>
                              </w:rPr>
                            </w:pPr>
                            <w:r>
                              <w:rPr>
                                <w:rFonts w:hint="eastAsia"/>
                                <w:b/>
                                <w:bCs/>
                                <w:color w:val="FF0000"/>
                                <w:sz w:val="18"/>
                                <w:szCs w:val="18"/>
                              </w:rPr>
                              <w:t>甘庄中学</w:t>
                            </w:r>
                          </w:p>
                        </w:txbxContent>
                      </v:textbox>
                    </v:shape>
                  </w:pict>
                </mc:Fallback>
              </mc:AlternateContent>
            </w:r>
            <w:r>
              <w:rPr>
                <w:rFonts w:hint="default" w:ascii="Times New Roman" w:hAnsi="Times New Roman" w:eastAsia="宋体" w:cs="Times New Roman"/>
                <w:b/>
                <w:bCs/>
                <w:color w:val="auto"/>
                <w:sz w:val="21"/>
                <w:szCs w:val="21"/>
              </w:rPr>
              <w:drawing>
                <wp:anchor distT="0" distB="0" distL="114300" distR="114300" simplePos="0" relativeHeight="251660288" behindDoc="1" locked="0" layoutInCell="1" allowOverlap="1">
                  <wp:simplePos x="0" y="0"/>
                  <wp:positionH relativeFrom="column">
                    <wp:posOffset>50165</wp:posOffset>
                  </wp:positionH>
                  <wp:positionV relativeFrom="paragraph">
                    <wp:posOffset>581660</wp:posOffset>
                  </wp:positionV>
                  <wp:extent cx="1617980" cy="899160"/>
                  <wp:effectExtent l="0" t="0" r="1270" b="15240"/>
                  <wp:wrapNone/>
                  <wp:docPr id="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7"/>
                          <pic:cNvPicPr>
                            <a:picLocks noChangeAspect="1"/>
                          </pic:cNvPicPr>
                        </pic:nvPicPr>
                        <pic:blipFill>
                          <a:blip r:embed="rId30"/>
                          <a:stretch>
                            <a:fillRect/>
                          </a:stretch>
                        </pic:blipFill>
                        <pic:spPr>
                          <a:xfrm>
                            <a:off x="0" y="0"/>
                            <a:ext cx="1617980" cy="899160"/>
                          </a:xfrm>
                          <a:prstGeom prst="rect">
                            <a:avLst/>
                          </a:prstGeom>
                          <a:noFill/>
                          <a:ln>
                            <a:noFill/>
                          </a:ln>
                        </pic:spPr>
                      </pic:pic>
                    </a:graphicData>
                  </a:graphic>
                </wp:anchor>
              </w:drawing>
            </w:r>
          </w:p>
        </w:tc>
        <w:tc>
          <w:tcPr>
            <w:tcW w:w="1029" w:type="pct"/>
            <w:noWrap w:val="0"/>
            <w:vAlign w:val="center"/>
          </w:tcPr>
          <w:p w14:paraId="6050771F">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drawing>
                <wp:anchor distT="0" distB="0" distL="114300" distR="114300" simplePos="0" relativeHeight="251664384" behindDoc="0" locked="0" layoutInCell="1" allowOverlap="1">
                  <wp:simplePos x="0" y="0"/>
                  <wp:positionH relativeFrom="column">
                    <wp:posOffset>57150</wp:posOffset>
                  </wp:positionH>
                  <wp:positionV relativeFrom="paragraph">
                    <wp:posOffset>510540</wp:posOffset>
                  </wp:positionV>
                  <wp:extent cx="1673860" cy="1256030"/>
                  <wp:effectExtent l="0" t="0" r="2540" b="1270"/>
                  <wp:wrapNone/>
                  <wp:docPr id="28" name="图片 8" descr="微信图片_20251226141508_505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8" descr="微信图片_20251226141508_505_15"/>
                          <pic:cNvPicPr>
                            <a:picLocks noChangeAspect="1"/>
                          </pic:cNvPicPr>
                        </pic:nvPicPr>
                        <pic:blipFill>
                          <a:blip r:embed="rId31"/>
                          <a:stretch>
                            <a:fillRect/>
                          </a:stretch>
                        </pic:blipFill>
                        <pic:spPr>
                          <a:xfrm>
                            <a:off x="0" y="0"/>
                            <a:ext cx="1673860" cy="1256030"/>
                          </a:xfrm>
                          <a:prstGeom prst="rect">
                            <a:avLst/>
                          </a:prstGeom>
                          <a:noFill/>
                          <a:ln>
                            <a:noFill/>
                          </a:ln>
                        </pic:spPr>
                      </pic:pic>
                    </a:graphicData>
                  </a:graphic>
                </wp:anchor>
              </w:drawing>
            </w:r>
          </w:p>
        </w:tc>
      </w:tr>
    </w:tbl>
    <w:p w14:paraId="01083778">
      <w:pPr>
        <w:spacing w:line="240" w:lineRule="auto"/>
        <w:ind w:firstLine="0" w:firstLineChars="0"/>
        <w:rPr>
          <w:rFonts w:hint="default" w:ascii="Times New Roman" w:hAnsi="Times New Roman" w:eastAsia="宋体" w:cs="Times New Roman"/>
          <w:color w:val="auto"/>
        </w:rPr>
        <w:sectPr>
          <w:pgSz w:w="16838" w:h="11906" w:orient="landscape"/>
          <w:pgMar w:top="1800" w:right="1440" w:bottom="1800" w:left="1440" w:header="1191" w:footer="992" w:gutter="0"/>
          <w:pgNumType w:fmt="decimal"/>
          <w:cols w:space="720" w:num="1"/>
          <w:docGrid w:type="lines" w:linePitch="312" w:charSpace="0"/>
        </w:sectPr>
      </w:pPr>
    </w:p>
    <w:p w14:paraId="5CC6CC32">
      <w:pPr>
        <w:pStyle w:val="5"/>
        <w:bidi w:val="0"/>
        <w:ind w:left="0" w:leftChars="0" w:firstLine="0" w:firstLineChars="0"/>
        <w:rPr>
          <w:color w:val="auto"/>
        </w:rPr>
      </w:pPr>
      <w:bookmarkStart w:id="29" w:name="_Toc13687"/>
      <w:bookmarkStart w:id="596" w:name="_GoBack"/>
      <w:bookmarkEnd w:id="596"/>
      <w:r>
        <w:rPr>
          <w:rFonts w:hint="default" w:ascii="Times New Roman" w:hAnsi="Times New Roman" w:eastAsia="宋体" w:cs="Times New Roman"/>
          <w:b/>
          <w:bCs/>
          <w:color w:val="auto"/>
          <w:kern w:val="0"/>
          <w:sz w:val="24"/>
          <w:szCs w:val="24"/>
          <w:lang w:val="en-US" w:eastAsia="zh-CN" w:bidi="ar"/>
        </w:rPr>
        <w:t>1.</w:t>
      </w:r>
      <w:r>
        <w:rPr>
          <w:rFonts w:hint="eastAsia" w:ascii="Times New Roman" w:hAnsi="Times New Roman" w:eastAsia="宋体" w:cs="Times New Roman"/>
          <w:b/>
          <w:bCs/>
          <w:color w:val="auto"/>
          <w:kern w:val="0"/>
          <w:sz w:val="24"/>
          <w:szCs w:val="24"/>
          <w:lang w:val="en-US" w:eastAsia="zh-CN" w:bidi="ar"/>
        </w:rPr>
        <w:t>8</w:t>
      </w:r>
      <w:r>
        <w:rPr>
          <w:rFonts w:hint="default" w:ascii="Times New Roman" w:hAnsi="Times New Roman" w:eastAsia="宋体" w:cs="Times New Roman"/>
          <w:b/>
          <w:bCs/>
          <w:color w:val="auto"/>
          <w:kern w:val="0"/>
          <w:sz w:val="24"/>
          <w:szCs w:val="24"/>
          <w:lang w:val="en-US" w:eastAsia="zh-CN" w:bidi="ar"/>
        </w:rPr>
        <w:t>.3</w:t>
      </w:r>
      <w:r>
        <w:rPr>
          <w:rFonts w:hint="eastAsia" w:ascii="宋体" w:hAnsi="宋体" w:eastAsia="宋体" w:cs="宋体"/>
          <w:b/>
          <w:bCs/>
          <w:color w:val="auto"/>
          <w:kern w:val="0"/>
          <w:sz w:val="24"/>
          <w:szCs w:val="24"/>
          <w:lang w:val="en-US" w:eastAsia="zh-CN" w:bidi="ar"/>
        </w:rPr>
        <w:t>生态环境保护目标</w:t>
      </w:r>
      <w:bookmarkEnd w:id="29"/>
    </w:p>
    <w:p w14:paraId="2B9C773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拟建项目生态环境主要保护目标</w:t>
      </w:r>
      <w:r>
        <w:rPr>
          <w:rFonts w:hint="eastAsia" w:cs="Times New Roman"/>
          <w:color w:val="auto"/>
          <w:lang w:val="en-US" w:eastAsia="zh-CN"/>
        </w:rPr>
        <w:t>见</w:t>
      </w:r>
      <w:r>
        <w:rPr>
          <w:rFonts w:hint="default" w:ascii="Times New Roman" w:hAnsi="Times New Roman" w:eastAsia="宋体" w:cs="Times New Roman"/>
          <w:color w:val="auto"/>
        </w:rPr>
        <w:t>表1</w:t>
      </w:r>
      <w:r>
        <w:rPr>
          <w:rFonts w:hint="eastAsia" w:ascii="Times New Roman" w:hAnsi="Times New Roman" w:eastAsia="宋体" w:cs="Times New Roman"/>
          <w:color w:val="auto"/>
          <w:lang w:val="en-US" w:eastAsia="zh-CN"/>
        </w:rPr>
        <w:t>.8</w:t>
      </w:r>
      <w:r>
        <w:rPr>
          <w:rFonts w:hint="default" w:ascii="Times New Roman" w:hAnsi="Times New Roman" w:eastAsia="宋体" w:cs="Times New Roman"/>
          <w:color w:val="auto"/>
        </w:rPr>
        <w:t>-</w:t>
      </w:r>
      <w:r>
        <w:rPr>
          <w:rFonts w:hint="eastAsia" w:cs="Times New Roman"/>
          <w:color w:val="auto"/>
          <w:lang w:val="en-US" w:eastAsia="zh-CN"/>
        </w:rPr>
        <w:t>3</w:t>
      </w:r>
      <w:r>
        <w:rPr>
          <w:rFonts w:hint="default" w:ascii="Times New Roman" w:hAnsi="Times New Roman" w:eastAsia="宋体" w:cs="Times New Roman"/>
          <w:color w:val="auto"/>
        </w:rPr>
        <w:t>。</w:t>
      </w:r>
    </w:p>
    <w:p w14:paraId="4C5B7A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表1</w:t>
      </w:r>
      <w:r>
        <w:rPr>
          <w:rFonts w:hint="default"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rPr>
        <w:t>-</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1"/>
          <w:szCs w:val="21"/>
        </w:rPr>
        <w:t xml:space="preserve">  拟建公路主要生态环境保护目标表</w:t>
      </w:r>
    </w:p>
    <w:tbl>
      <w:tblPr>
        <w:tblStyle w:val="5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825"/>
        <w:gridCol w:w="1607"/>
        <w:gridCol w:w="5291"/>
      </w:tblGrid>
      <w:tr w14:paraId="5CAC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noWrap w:val="0"/>
            <w:vAlign w:val="center"/>
          </w:tcPr>
          <w:p w14:paraId="1F4767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保护对象</w:t>
            </w:r>
          </w:p>
        </w:tc>
        <w:tc>
          <w:tcPr>
            <w:tcW w:w="484" w:type="pct"/>
            <w:noWrap w:val="0"/>
            <w:vAlign w:val="center"/>
          </w:tcPr>
          <w:p w14:paraId="7B1E058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bCs/>
                <w:color w:val="auto"/>
                <w:lang w:eastAsia="zh-CN"/>
              </w:rPr>
            </w:pPr>
            <w:r>
              <w:rPr>
                <w:rFonts w:hint="eastAsia" w:hAnsi="Times New Roman" w:cs="Times New Roman"/>
                <w:b/>
                <w:bCs/>
                <w:color w:val="auto"/>
                <w:lang w:val="en-US" w:eastAsia="zh-CN"/>
              </w:rPr>
              <w:t>范围</w:t>
            </w:r>
          </w:p>
        </w:tc>
        <w:tc>
          <w:tcPr>
            <w:tcW w:w="943" w:type="pct"/>
            <w:noWrap w:val="0"/>
            <w:vAlign w:val="center"/>
          </w:tcPr>
          <w:p w14:paraId="6A91518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主要影响因素</w:t>
            </w:r>
          </w:p>
        </w:tc>
        <w:tc>
          <w:tcPr>
            <w:tcW w:w="3104" w:type="pct"/>
            <w:noWrap w:val="0"/>
            <w:vAlign w:val="center"/>
          </w:tcPr>
          <w:p w14:paraId="2CD9089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环境特征</w:t>
            </w:r>
          </w:p>
        </w:tc>
      </w:tr>
      <w:tr w14:paraId="407D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noWrap w:val="0"/>
            <w:vAlign w:val="center"/>
          </w:tcPr>
          <w:p w14:paraId="233CDA1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沿线植物</w:t>
            </w:r>
          </w:p>
        </w:tc>
        <w:tc>
          <w:tcPr>
            <w:tcW w:w="484" w:type="pct"/>
            <w:noWrap w:val="0"/>
            <w:vAlign w:val="center"/>
          </w:tcPr>
          <w:p w14:paraId="7FEA0EE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lang w:eastAsia="zh-CN"/>
              </w:rPr>
            </w:pPr>
            <w:r>
              <w:rPr>
                <w:rFonts w:hint="eastAsia" w:hAnsi="Times New Roman" w:cs="Times New Roman"/>
                <w:b w:val="0"/>
                <w:bCs w:val="0"/>
                <w:color w:val="auto"/>
                <w:lang w:val="en-US" w:eastAsia="zh-CN"/>
              </w:rPr>
              <w:t>评价范围</w:t>
            </w:r>
          </w:p>
        </w:tc>
        <w:tc>
          <w:tcPr>
            <w:tcW w:w="943" w:type="pct"/>
            <w:noWrap w:val="0"/>
            <w:vAlign w:val="center"/>
          </w:tcPr>
          <w:p w14:paraId="16EA9CE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永久占地、临时占地，公路施工与营运</w:t>
            </w:r>
          </w:p>
        </w:tc>
        <w:tc>
          <w:tcPr>
            <w:tcW w:w="3104" w:type="pct"/>
            <w:noWrap w:val="0"/>
            <w:vAlign w:val="center"/>
          </w:tcPr>
          <w:p w14:paraId="7012F23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kern w:val="2"/>
              </w:rPr>
              <w:t>评价区自然植被类型包括评价区的自然植被划分为</w:t>
            </w:r>
            <w:r>
              <w:rPr>
                <w:rFonts w:hint="default" w:ascii="Times New Roman" w:hAnsi="Times New Roman" w:eastAsia="宋体" w:cs="Times New Roman"/>
                <w:b w:val="0"/>
                <w:bCs w:val="0"/>
                <w:color w:val="auto"/>
                <w:kern w:val="2"/>
                <w:lang w:val="en-US" w:eastAsia="zh-CN"/>
              </w:rPr>
              <w:t>硬叶常绿阔叶林</w:t>
            </w:r>
            <w:r>
              <w:rPr>
                <w:rFonts w:hint="default" w:ascii="Times New Roman" w:hAnsi="Times New Roman" w:eastAsia="宋体" w:cs="Times New Roman"/>
                <w:b w:val="0"/>
                <w:bCs w:val="0"/>
                <w:color w:val="auto"/>
                <w:kern w:val="2"/>
              </w:rPr>
              <w:t>、稀树灌木草丛、灌丛3个植被型（植被型）</w:t>
            </w:r>
            <w:r>
              <w:rPr>
                <w:rFonts w:hint="eastAsia" w:hAnsi="Times New Roman" w:cs="Times New Roman"/>
                <w:b w:val="0"/>
                <w:bCs w:val="0"/>
                <w:color w:val="auto"/>
                <w:kern w:val="2"/>
                <w:lang w:val="en-US" w:eastAsia="zh-CN"/>
              </w:rPr>
              <w:t>等</w:t>
            </w:r>
            <w:r>
              <w:rPr>
                <w:rFonts w:hint="default" w:ascii="Times New Roman" w:hAnsi="Times New Roman" w:eastAsia="宋体" w:cs="Times New Roman"/>
                <w:b w:val="0"/>
                <w:bCs w:val="0"/>
                <w:color w:val="auto"/>
                <w:kern w:val="2"/>
              </w:rPr>
              <w:t>。</w:t>
            </w:r>
          </w:p>
        </w:tc>
      </w:tr>
      <w:tr w14:paraId="2C389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noWrap w:val="0"/>
            <w:vAlign w:val="center"/>
          </w:tcPr>
          <w:p w14:paraId="4BADF62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动物</w:t>
            </w:r>
          </w:p>
        </w:tc>
        <w:tc>
          <w:tcPr>
            <w:tcW w:w="484" w:type="pct"/>
            <w:noWrap w:val="0"/>
            <w:vAlign w:val="center"/>
          </w:tcPr>
          <w:p w14:paraId="7DCCCB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2"/>
                <w:szCs w:val="22"/>
              </w:rPr>
            </w:pPr>
            <w:r>
              <w:rPr>
                <w:rFonts w:hint="eastAsia" w:hAnsi="Times New Roman" w:cs="Times New Roman"/>
                <w:b w:val="0"/>
                <w:bCs w:val="0"/>
                <w:color w:val="auto"/>
                <w:lang w:val="en-US" w:eastAsia="zh-CN"/>
              </w:rPr>
              <w:t>评价范围</w:t>
            </w:r>
          </w:p>
        </w:tc>
        <w:tc>
          <w:tcPr>
            <w:tcW w:w="943" w:type="pct"/>
            <w:noWrap w:val="0"/>
            <w:vAlign w:val="center"/>
          </w:tcPr>
          <w:p w14:paraId="490492A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永久占地、临时占地，公路施工与营运</w:t>
            </w:r>
          </w:p>
        </w:tc>
        <w:tc>
          <w:tcPr>
            <w:tcW w:w="3104" w:type="pct"/>
            <w:noWrap w:val="0"/>
            <w:vAlign w:val="center"/>
          </w:tcPr>
          <w:p w14:paraId="6935806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kern w:val="2"/>
                <w:szCs w:val="28"/>
              </w:rPr>
              <w:t>评价区两栖动物1目</w:t>
            </w:r>
            <w:r>
              <w:rPr>
                <w:rFonts w:hint="eastAsia" w:hAnsi="Times New Roman" w:cs="Times New Roman"/>
                <w:b w:val="0"/>
                <w:bCs w:val="0"/>
                <w:color w:val="auto"/>
                <w:kern w:val="2"/>
                <w:szCs w:val="28"/>
                <w:lang w:val="en-US" w:eastAsia="zh-CN"/>
              </w:rPr>
              <w:t>6</w:t>
            </w:r>
            <w:r>
              <w:rPr>
                <w:rFonts w:hint="default" w:ascii="Times New Roman" w:hAnsi="Times New Roman" w:eastAsia="宋体" w:cs="Times New Roman"/>
                <w:b w:val="0"/>
                <w:bCs w:val="0"/>
                <w:color w:val="auto"/>
                <w:kern w:val="2"/>
                <w:szCs w:val="28"/>
              </w:rPr>
              <w:t>科</w:t>
            </w:r>
            <w:r>
              <w:rPr>
                <w:rFonts w:hint="eastAsia" w:hAnsi="Times New Roman" w:cs="Times New Roman"/>
                <w:b w:val="0"/>
                <w:bCs w:val="0"/>
                <w:color w:val="auto"/>
                <w:kern w:val="2"/>
                <w:szCs w:val="28"/>
                <w:lang w:val="en-US" w:eastAsia="zh-CN"/>
              </w:rPr>
              <w:t>11</w:t>
            </w:r>
            <w:r>
              <w:rPr>
                <w:rFonts w:hint="default" w:ascii="Times New Roman" w:hAnsi="Times New Roman" w:eastAsia="宋体" w:cs="Times New Roman"/>
                <w:b w:val="0"/>
                <w:bCs w:val="0"/>
                <w:color w:val="auto"/>
                <w:kern w:val="2"/>
                <w:szCs w:val="28"/>
              </w:rPr>
              <w:t>种，爬行动物</w:t>
            </w:r>
            <w:r>
              <w:rPr>
                <w:rFonts w:hint="eastAsia" w:hAnsi="Times New Roman" w:cs="Times New Roman"/>
                <w:b w:val="0"/>
                <w:bCs w:val="0"/>
                <w:color w:val="auto"/>
                <w:kern w:val="2"/>
                <w:szCs w:val="28"/>
                <w:lang w:val="en-US" w:eastAsia="zh-CN"/>
              </w:rPr>
              <w:t>2</w:t>
            </w:r>
            <w:r>
              <w:rPr>
                <w:rFonts w:hint="default" w:ascii="Times New Roman" w:hAnsi="Times New Roman" w:eastAsia="宋体" w:cs="Times New Roman"/>
                <w:b w:val="0"/>
                <w:bCs w:val="0"/>
                <w:color w:val="auto"/>
                <w:kern w:val="2"/>
                <w:szCs w:val="28"/>
              </w:rPr>
              <w:t>目</w:t>
            </w:r>
            <w:r>
              <w:rPr>
                <w:rFonts w:hint="eastAsia" w:hAnsi="Times New Roman" w:cs="Times New Roman"/>
                <w:b w:val="0"/>
                <w:bCs w:val="0"/>
                <w:color w:val="auto"/>
                <w:kern w:val="2"/>
                <w:szCs w:val="28"/>
                <w:lang w:val="en-US" w:eastAsia="zh-CN"/>
              </w:rPr>
              <w:t>6</w:t>
            </w:r>
            <w:r>
              <w:rPr>
                <w:rFonts w:hint="default" w:ascii="Times New Roman" w:hAnsi="Times New Roman" w:eastAsia="宋体" w:cs="Times New Roman"/>
                <w:b w:val="0"/>
                <w:bCs w:val="0"/>
                <w:color w:val="auto"/>
                <w:kern w:val="2"/>
                <w:szCs w:val="28"/>
              </w:rPr>
              <w:t>科</w:t>
            </w:r>
            <w:r>
              <w:rPr>
                <w:rFonts w:hint="eastAsia" w:hAnsi="Times New Roman" w:cs="Times New Roman"/>
                <w:b w:val="0"/>
                <w:bCs w:val="0"/>
                <w:color w:val="auto"/>
                <w:kern w:val="2"/>
                <w:szCs w:val="28"/>
                <w:lang w:val="en-US" w:eastAsia="zh-CN"/>
              </w:rPr>
              <w:t>10</w:t>
            </w:r>
            <w:r>
              <w:rPr>
                <w:rFonts w:hint="default" w:ascii="Times New Roman" w:hAnsi="Times New Roman" w:eastAsia="宋体" w:cs="Times New Roman"/>
                <w:b w:val="0"/>
                <w:bCs w:val="0"/>
                <w:color w:val="auto"/>
                <w:kern w:val="2"/>
                <w:szCs w:val="28"/>
              </w:rPr>
              <w:t>种，鸟类</w:t>
            </w:r>
            <w:r>
              <w:rPr>
                <w:rFonts w:hint="eastAsia" w:hAnsi="Times New Roman" w:cs="Times New Roman"/>
                <w:b w:val="0"/>
                <w:bCs w:val="0"/>
                <w:color w:val="auto"/>
                <w:kern w:val="2"/>
                <w:szCs w:val="28"/>
                <w:lang w:val="en-US" w:eastAsia="zh-CN"/>
              </w:rPr>
              <w:t>13</w:t>
            </w:r>
            <w:r>
              <w:rPr>
                <w:rFonts w:hint="default" w:ascii="Times New Roman" w:hAnsi="Times New Roman" w:eastAsia="宋体" w:cs="Times New Roman"/>
                <w:b w:val="0"/>
                <w:bCs w:val="0"/>
                <w:color w:val="auto"/>
                <w:kern w:val="2"/>
                <w:szCs w:val="28"/>
              </w:rPr>
              <w:t>目</w:t>
            </w:r>
            <w:r>
              <w:rPr>
                <w:rFonts w:hint="eastAsia" w:hAnsi="Times New Roman" w:cs="Times New Roman"/>
                <w:b w:val="0"/>
                <w:bCs w:val="0"/>
                <w:color w:val="auto"/>
                <w:kern w:val="2"/>
                <w:szCs w:val="28"/>
                <w:lang w:val="en-US" w:eastAsia="zh-CN"/>
              </w:rPr>
              <w:t>32</w:t>
            </w:r>
            <w:r>
              <w:rPr>
                <w:rFonts w:hint="default" w:ascii="Times New Roman" w:hAnsi="Times New Roman" w:eastAsia="宋体" w:cs="Times New Roman"/>
                <w:b w:val="0"/>
                <w:bCs w:val="0"/>
                <w:color w:val="auto"/>
                <w:kern w:val="2"/>
                <w:szCs w:val="28"/>
              </w:rPr>
              <w:t>科</w:t>
            </w:r>
            <w:r>
              <w:rPr>
                <w:rFonts w:hint="eastAsia" w:hAnsi="Times New Roman" w:cs="Times New Roman"/>
                <w:b w:val="0"/>
                <w:bCs w:val="0"/>
                <w:color w:val="auto"/>
                <w:kern w:val="2"/>
                <w:szCs w:val="28"/>
                <w:lang w:val="en-US" w:eastAsia="zh-CN"/>
              </w:rPr>
              <w:t>92</w:t>
            </w:r>
            <w:r>
              <w:rPr>
                <w:rFonts w:hint="default" w:ascii="Times New Roman" w:hAnsi="Times New Roman" w:eastAsia="宋体" w:cs="Times New Roman"/>
                <w:b w:val="0"/>
                <w:bCs w:val="0"/>
                <w:color w:val="auto"/>
                <w:kern w:val="2"/>
                <w:szCs w:val="28"/>
              </w:rPr>
              <w:t>种</w:t>
            </w:r>
            <w:r>
              <w:rPr>
                <w:rFonts w:hint="default" w:ascii="Times New Roman" w:hAnsi="Times New Roman" w:eastAsia="宋体" w:cs="Times New Roman"/>
                <w:b w:val="0"/>
                <w:bCs w:val="0"/>
                <w:color w:val="auto"/>
                <w:kern w:val="2"/>
                <w:szCs w:val="28"/>
              </w:rPr>
              <w:t>。</w:t>
            </w:r>
          </w:p>
        </w:tc>
      </w:tr>
      <w:tr w14:paraId="5F43A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467" w:type="pct"/>
            <w:noWrap w:val="0"/>
            <w:vAlign w:val="center"/>
          </w:tcPr>
          <w:p w14:paraId="72478D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保护动物</w:t>
            </w:r>
          </w:p>
        </w:tc>
        <w:tc>
          <w:tcPr>
            <w:tcW w:w="484" w:type="pct"/>
            <w:noWrap w:val="0"/>
            <w:vAlign w:val="center"/>
          </w:tcPr>
          <w:p w14:paraId="30BEBC7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2"/>
                <w:szCs w:val="22"/>
              </w:rPr>
            </w:pPr>
            <w:r>
              <w:rPr>
                <w:rFonts w:hint="eastAsia" w:hAnsi="Times New Roman" w:cs="Times New Roman"/>
                <w:b w:val="0"/>
                <w:bCs w:val="0"/>
                <w:color w:val="auto"/>
                <w:lang w:val="en-US" w:eastAsia="zh-CN"/>
              </w:rPr>
              <w:t>评价范围</w:t>
            </w:r>
          </w:p>
        </w:tc>
        <w:tc>
          <w:tcPr>
            <w:tcW w:w="943" w:type="pct"/>
            <w:noWrap w:val="0"/>
            <w:vAlign w:val="center"/>
          </w:tcPr>
          <w:p w14:paraId="1FE79AF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永久占地、临时占地，公路施工与营运</w:t>
            </w:r>
          </w:p>
        </w:tc>
        <w:tc>
          <w:tcPr>
            <w:tcW w:w="3104" w:type="pct"/>
            <w:noWrap w:val="0"/>
            <w:vAlign w:val="center"/>
          </w:tcPr>
          <w:p w14:paraId="02691B9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评价区未分布有野生保护动物。</w:t>
            </w:r>
          </w:p>
        </w:tc>
      </w:tr>
      <w:tr w14:paraId="50841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noWrap w:val="0"/>
            <w:vAlign w:val="center"/>
          </w:tcPr>
          <w:p w14:paraId="2CC0578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水土保持</w:t>
            </w:r>
          </w:p>
        </w:tc>
        <w:tc>
          <w:tcPr>
            <w:tcW w:w="484" w:type="pct"/>
            <w:noWrap w:val="0"/>
            <w:vAlign w:val="center"/>
          </w:tcPr>
          <w:p w14:paraId="7FA1258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2"/>
                <w:szCs w:val="22"/>
              </w:rPr>
            </w:pPr>
            <w:r>
              <w:rPr>
                <w:rFonts w:hint="eastAsia" w:hAnsi="Times New Roman" w:cs="Times New Roman"/>
                <w:b w:val="0"/>
                <w:bCs w:val="0"/>
                <w:color w:val="auto"/>
                <w:lang w:val="en-US" w:eastAsia="zh-CN"/>
              </w:rPr>
              <w:t>评价范围</w:t>
            </w:r>
          </w:p>
        </w:tc>
        <w:tc>
          <w:tcPr>
            <w:tcW w:w="943" w:type="pct"/>
            <w:noWrap w:val="0"/>
            <w:vAlign w:val="center"/>
          </w:tcPr>
          <w:p w14:paraId="4A97C1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水土流失</w:t>
            </w:r>
          </w:p>
        </w:tc>
        <w:tc>
          <w:tcPr>
            <w:tcW w:w="3104" w:type="pct"/>
            <w:noWrap w:val="0"/>
            <w:vAlign w:val="center"/>
          </w:tcPr>
          <w:p w14:paraId="1A18158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路基边坡、弃渣场等临时设施</w:t>
            </w:r>
          </w:p>
        </w:tc>
      </w:tr>
    </w:tbl>
    <w:p w14:paraId="5E8242E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1.8.4其他保护目标</w:t>
      </w:r>
    </w:p>
    <w:p w14:paraId="1ECEDD66">
      <w:pPr>
        <w:widowControl/>
        <w:ind w:firstLine="480"/>
        <w:jc w:val="left"/>
        <w:rPr>
          <w:rFonts w:hint="default" w:ascii="Times New Roman" w:hAnsi="Times New Roman" w:eastAsia="宋体" w:cs="Times New Roman"/>
          <w:color w:val="auto"/>
        </w:rPr>
      </w:pPr>
      <w:r>
        <w:rPr>
          <w:rFonts w:hint="eastAsia" w:cs="Times New Roman"/>
          <w:color w:val="auto"/>
          <w:kern w:val="0"/>
          <w:lang w:val="en-US" w:eastAsia="zh-CN" w:bidi="ar"/>
        </w:rPr>
        <w:t>其他环境保护目标</w:t>
      </w:r>
      <w:r>
        <w:rPr>
          <w:rFonts w:hint="default" w:ascii="Times New Roman" w:hAnsi="Times New Roman" w:eastAsia="宋体" w:cs="Times New Roman"/>
          <w:color w:val="auto"/>
          <w:kern w:val="0"/>
          <w:lang w:bidi="ar"/>
        </w:rPr>
        <w:t>详见</w:t>
      </w:r>
      <w:r>
        <w:rPr>
          <w:rFonts w:hint="default" w:ascii="Times New Roman" w:hAnsi="Times New Roman" w:eastAsia="宋体" w:cs="Times New Roman"/>
          <w:color w:val="auto"/>
          <w:kern w:val="0"/>
          <w:lang w:bidi="ar"/>
        </w:rPr>
        <w:t>表</w:t>
      </w:r>
      <w:r>
        <w:rPr>
          <w:rFonts w:hint="default" w:ascii="Times New Roman" w:hAnsi="Times New Roman" w:eastAsia="宋体" w:cs="Times New Roman"/>
          <w:color w:val="auto"/>
        </w:rPr>
        <w:t>1</w:t>
      </w:r>
      <w:r>
        <w:rPr>
          <w:rFonts w:hint="eastAsia" w:ascii="Times New Roman" w:hAnsi="Times New Roman" w:eastAsia="宋体" w:cs="Times New Roman"/>
          <w:color w:val="auto"/>
          <w:lang w:val="en-US" w:eastAsia="zh-CN"/>
        </w:rPr>
        <w:t>.8</w:t>
      </w:r>
      <w:r>
        <w:rPr>
          <w:rFonts w:hint="default" w:ascii="Times New Roman" w:hAnsi="Times New Roman" w:eastAsia="宋体" w:cs="Times New Roman"/>
          <w:color w:val="auto"/>
        </w:rPr>
        <w:t>-</w:t>
      </w:r>
      <w:r>
        <w:rPr>
          <w:rFonts w:hint="eastAsia" w:cs="Times New Roman"/>
          <w:color w:val="auto"/>
          <w:lang w:val="en-US" w:eastAsia="zh-CN"/>
        </w:rPr>
        <w:t>4</w:t>
      </w:r>
      <w:r>
        <w:rPr>
          <w:rFonts w:hint="default" w:ascii="Times New Roman" w:hAnsi="Times New Roman" w:eastAsia="宋体" w:cs="Times New Roman"/>
          <w:color w:val="auto"/>
          <w:kern w:val="0"/>
          <w:lang w:bidi="ar"/>
        </w:rPr>
        <w:t>。</w:t>
      </w:r>
    </w:p>
    <w:p w14:paraId="1F7EFA6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表1</w:t>
      </w:r>
      <w:r>
        <w:rPr>
          <w:rFonts w:hint="default" w:ascii="Times New Roman" w:hAnsi="Times New Roman" w:eastAsia="宋体" w:cs="Times New Roman"/>
          <w:b/>
          <w:bCs/>
          <w:color w:val="auto"/>
          <w:kern w:val="0"/>
          <w:sz w:val="21"/>
          <w:szCs w:val="21"/>
          <w:lang w:val="en-US" w:eastAsia="zh-CN" w:bidi="ar"/>
        </w:rPr>
        <w:t>.8</w:t>
      </w:r>
      <w:r>
        <w:rPr>
          <w:rFonts w:hint="default" w:ascii="Times New Roman" w:hAnsi="Times New Roman" w:eastAsia="宋体" w:cs="Times New Roman"/>
          <w:b/>
          <w:bCs/>
          <w:color w:val="auto"/>
          <w:kern w:val="0"/>
          <w:sz w:val="21"/>
          <w:szCs w:val="21"/>
          <w:lang w:bidi="ar"/>
        </w:rPr>
        <w:t>-</w:t>
      </w:r>
      <w:r>
        <w:rPr>
          <w:rFonts w:hint="eastAsia" w:cs="Times New Roman"/>
          <w:b/>
          <w:bCs/>
          <w:color w:val="auto"/>
          <w:kern w:val="0"/>
          <w:sz w:val="21"/>
          <w:szCs w:val="21"/>
          <w:lang w:val="en-US" w:eastAsia="zh-CN" w:bidi="ar"/>
        </w:rPr>
        <w:t>4</w:t>
      </w:r>
      <w:r>
        <w:rPr>
          <w:rFonts w:hint="eastAsia" w:ascii="Times New Roman" w:hAnsi="Times New Roman" w:eastAsia="宋体"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bidi="ar"/>
        </w:rPr>
        <w:t xml:space="preserve"> 拟建公路沿线其他保护目标一览表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
        <w:gridCol w:w="1095"/>
        <w:gridCol w:w="945"/>
        <w:gridCol w:w="4455"/>
        <w:gridCol w:w="1572"/>
      </w:tblGrid>
      <w:tr w14:paraId="330A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dxa"/>
            <w:noWrap w:val="0"/>
            <w:vAlign w:val="center"/>
          </w:tcPr>
          <w:p w14:paraId="3EB7E2F6">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w:t>
            </w:r>
          </w:p>
          <w:p w14:paraId="5769CA75">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号</w:t>
            </w:r>
          </w:p>
        </w:tc>
        <w:tc>
          <w:tcPr>
            <w:tcW w:w="1095" w:type="dxa"/>
            <w:noWrap w:val="0"/>
            <w:vAlign w:val="center"/>
          </w:tcPr>
          <w:p w14:paraId="173DFED1">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保护对</w:t>
            </w:r>
          </w:p>
          <w:p w14:paraId="059E50CE">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象</w:t>
            </w:r>
          </w:p>
        </w:tc>
        <w:tc>
          <w:tcPr>
            <w:tcW w:w="945" w:type="dxa"/>
            <w:noWrap w:val="0"/>
            <w:vAlign w:val="center"/>
          </w:tcPr>
          <w:p w14:paraId="3913357F">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位置</w:t>
            </w:r>
          </w:p>
        </w:tc>
        <w:tc>
          <w:tcPr>
            <w:tcW w:w="4455" w:type="dxa"/>
            <w:noWrap w:val="0"/>
            <w:vAlign w:val="center"/>
          </w:tcPr>
          <w:p w14:paraId="6D475326">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主要保护内容说明</w:t>
            </w:r>
          </w:p>
        </w:tc>
        <w:tc>
          <w:tcPr>
            <w:tcW w:w="1572" w:type="dxa"/>
            <w:noWrap w:val="0"/>
            <w:vAlign w:val="center"/>
          </w:tcPr>
          <w:p w14:paraId="4783FA58">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影响因素</w:t>
            </w:r>
          </w:p>
        </w:tc>
      </w:tr>
      <w:tr w14:paraId="72482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dxa"/>
            <w:noWrap w:val="0"/>
            <w:vAlign w:val="center"/>
          </w:tcPr>
          <w:p w14:paraId="363DEA9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095" w:type="dxa"/>
            <w:noWrap w:val="0"/>
            <w:vAlign w:val="center"/>
          </w:tcPr>
          <w:p w14:paraId="7BA251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土地资源</w:t>
            </w:r>
          </w:p>
        </w:tc>
        <w:tc>
          <w:tcPr>
            <w:tcW w:w="945" w:type="dxa"/>
            <w:noWrap w:val="0"/>
            <w:vAlign w:val="center"/>
          </w:tcPr>
          <w:p w14:paraId="5F81CF2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沿线</w:t>
            </w:r>
          </w:p>
        </w:tc>
        <w:tc>
          <w:tcPr>
            <w:tcW w:w="4455" w:type="dxa"/>
            <w:noWrap w:val="0"/>
            <w:vAlign w:val="center"/>
          </w:tcPr>
          <w:p w14:paraId="0B07779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占用园地7.28hm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，水域及水利设施用地0.03hm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，交通运输用地0.09hm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，住宅用地0.07hm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w:t>
            </w:r>
          </w:p>
          <w:p w14:paraId="33BBE1F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其他土地1.84hm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sz w:val="21"/>
                <w:szCs w:val="21"/>
              </w:rPr>
              <w:t>（裸地、荒地等）</w:t>
            </w:r>
          </w:p>
        </w:tc>
        <w:tc>
          <w:tcPr>
            <w:tcW w:w="1572" w:type="dxa"/>
            <w:noWrap w:val="0"/>
            <w:vAlign w:val="center"/>
          </w:tcPr>
          <w:p w14:paraId="14B7C93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占用土地</w:t>
            </w:r>
            <w:r>
              <w:rPr>
                <w:rFonts w:hint="default" w:ascii="Times New Roman" w:hAnsi="Times New Roman" w:eastAsia="宋体" w:cs="Times New Roman"/>
                <w:color w:val="auto"/>
                <w:sz w:val="21"/>
                <w:szCs w:val="21"/>
              </w:rPr>
              <w:t>资源</w:t>
            </w:r>
          </w:p>
        </w:tc>
      </w:tr>
      <w:tr w14:paraId="15CE1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trPr>
        <w:tc>
          <w:tcPr>
            <w:tcW w:w="455" w:type="dxa"/>
            <w:noWrap w:val="0"/>
            <w:vAlign w:val="center"/>
          </w:tcPr>
          <w:p w14:paraId="65A0CCE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095" w:type="dxa"/>
            <w:noWrap w:val="0"/>
            <w:vAlign w:val="center"/>
          </w:tcPr>
          <w:p w14:paraId="51DBF1B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征地拆</w:t>
            </w:r>
          </w:p>
          <w:p w14:paraId="0DF4492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迁</w:t>
            </w:r>
          </w:p>
        </w:tc>
        <w:tc>
          <w:tcPr>
            <w:tcW w:w="945" w:type="dxa"/>
            <w:noWrap w:val="0"/>
            <w:vAlign w:val="center"/>
          </w:tcPr>
          <w:p w14:paraId="18BD997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沿线</w:t>
            </w:r>
          </w:p>
        </w:tc>
        <w:tc>
          <w:tcPr>
            <w:tcW w:w="4455" w:type="dxa"/>
            <w:noWrap w:val="0"/>
            <w:vAlign w:val="center"/>
          </w:tcPr>
          <w:p w14:paraId="2001AB3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项目</w:t>
            </w:r>
            <w:r>
              <w:rPr>
                <w:rFonts w:hint="default" w:ascii="Times New Roman" w:hAnsi="Times New Roman" w:eastAsia="宋体" w:cs="Times New Roman"/>
                <w:color w:val="auto"/>
                <w:sz w:val="21"/>
                <w:szCs w:val="21"/>
              </w:rPr>
              <w:t>拆迁建筑物共计</w:t>
            </w:r>
            <w:r>
              <w:rPr>
                <w:rFonts w:hint="eastAsia" w:cs="Times New Roman"/>
                <w:color w:val="auto"/>
                <w:sz w:val="21"/>
                <w:szCs w:val="21"/>
                <w:lang w:val="en-US" w:eastAsia="zh-CN"/>
              </w:rPr>
              <w:t>774.75</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其中房屋207.31</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kern w:val="0"/>
                <w:sz w:val="21"/>
                <w:szCs w:val="21"/>
                <w:lang w:bidi="ar"/>
              </w:rPr>
              <w:t>，围墙102.4m（砖墙），砼地板1465.04m</w:t>
            </w:r>
            <w:r>
              <w:rPr>
                <w:rFonts w:hint="default" w:ascii="Times New Roman" w:hAnsi="Times New Roman" w:eastAsia="宋体" w:cs="Times New Roman"/>
                <w:color w:val="auto"/>
                <w:kern w:val="0"/>
                <w:sz w:val="21"/>
                <w:szCs w:val="21"/>
                <w:vertAlign w:val="superscript"/>
                <w:lang w:bidi="ar"/>
              </w:rPr>
              <w:t>2</w:t>
            </w:r>
            <w:r>
              <w:rPr>
                <w:rFonts w:hint="default" w:ascii="Times New Roman" w:hAnsi="Times New Roman" w:eastAsia="宋体" w:cs="Times New Roman"/>
                <w:color w:val="auto"/>
                <w:kern w:val="0"/>
                <w:sz w:val="21"/>
                <w:szCs w:val="21"/>
                <w:lang w:bidi="ar"/>
              </w:rPr>
              <w:t>。项目共拆迁电信设施6根，电杆5根，电压线705m，电缆897m</w:t>
            </w:r>
            <w:r>
              <w:rPr>
                <w:rFonts w:hint="eastAsia" w:cs="Times New Roman"/>
                <w:color w:val="auto"/>
                <w:kern w:val="0"/>
                <w:sz w:val="21"/>
                <w:szCs w:val="21"/>
                <w:lang w:val="en-US" w:eastAsia="zh-CN" w:bidi="ar"/>
              </w:rPr>
              <w:t>等</w:t>
            </w:r>
            <w:r>
              <w:rPr>
                <w:rFonts w:hint="default" w:ascii="Times New Roman" w:hAnsi="Times New Roman" w:eastAsia="宋体" w:cs="Times New Roman"/>
                <w:color w:val="auto"/>
                <w:kern w:val="0"/>
                <w:sz w:val="21"/>
                <w:szCs w:val="21"/>
                <w:lang w:bidi="ar"/>
              </w:rPr>
              <w:t>。</w:t>
            </w:r>
          </w:p>
        </w:tc>
        <w:tc>
          <w:tcPr>
            <w:tcW w:w="1572" w:type="dxa"/>
            <w:noWrap w:val="0"/>
            <w:vAlign w:val="center"/>
          </w:tcPr>
          <w:p w14:paraId="166AF98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拆迁安置、交通阻隔、对居民生活质量的影响</w:t>
            </w:r>
          </w:p>
        </w:tc>
      </w:tr>
      <w:tr w14:paraId="604B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455" w:type="dxa"/>
            <w:noWrap w:val="0"/>
            <w:vAlign w:val="center"/>
          </w:tcPr>
          <w:p w14:paraId="4F3B119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095" w:type="dxa"/>
            <w:noWrap w:val="0"/>
            <w:vAlign w:val="center"/>
          </w:tcPr>
          <w:p w14:paraId="1949F7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弃渣场</w:t>
            </w:r>
          </w:p>
        </w:tc>
        <w:tc>
          <w:tcPr>
            <w:tcW w:w="945" w:type="dxa"/>
            <w:noWrap w:val="0"/>
            <w:vAlign w:val="center"/>
          </w:tcPr>
          <w:p w14:paraId="3DE4305D">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西南侧</w:t>
            </w:r>
          </w:p>
        </w:tc>
        <w:tc>
          <w:tcPr>
            <w:tcW w:w="4455" w:type="dxa"/>
            <w:noWrap w:val="0"/>
            <w:vAlign w:val="center"/>
          </w:tcPr>
          <w:p w14:paraId="00C518A5">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工程布设的弃渣场，总占地面积为6.07hm</w:t>
            </w:r>
            <w:r>
              <w:rPr>
                <w:rFonts w:hint="default" w:ascii="Times New Roman" w:hAnsi="Times New Roman" w:eastAsia="宋体" w:cs="Times New Roman"/>
                <w:color w:val="auto"/>
                <w:kern w:val="0"/>
                <w:sz w:val="21"/>
                <w:szCs w:val="21"/>
                <w:vertAlign w:val="superscript"/>
                <w:lang w:bidi="ar"/>
              </w:rPr>
              <w:t>2</w:t>
            </w:r>
            <w:r>
              <w:rPr>
                <w:rFonts w:hint="default" w:ascii="Times New Roman" w:hAnsi="Times New Roman" w:eastAsia="宋体" w:cs="Times New Roman"/>
                <w:color w:val="auto"/>
                <w:kern w:val="0"/>
                <w:sz w:val="21"/>
                <w:szCs w:val="21"/>
                <w:lang w:bidi="ar"/>
              </w:rPr>
              <w:t>，渣场堆渣容量92万m</w:t>
            </w:r>
            <w:r>
              <w:rPr>
                <w:rFonts w:hint="default" w:ascii="Times New Roman" w:hAnsi="Times New Roman" w:eastAsia="宋体" w:cs="Times New Roman"/>
                <w:color w:val="auto"/>
                <w:kern w:val="0"/>
                <w:sz w:val="21"/>
                <w:szCs w:val="21"/>
                <w:vertAlign w:val="superscript"/>
                <w:lang w:bidi="ar"/>
              </w:rPr>
              <w:t>3</w:t>
            </w:r>
            <w:r>
              <w:rPr>
                <w:rFonts w:hint="default" w:ascii="Times New Roman" w:hAnsi="Times New Roman" w:eastAsia="宋体" w:cs="Times New Roman"/>
                <w:color w:val="auto"/>
                <w:kern w:val="0"/>
                <w:sz w:val="21"/>
                <w:szCs w:val="21"/>
                <w:lang w:bidi="ar"/>
              </w:rPr>
              <w:t>。弃渣场周围地质条件较好，未发现泥石流、崩塌、滑坡等不良地质现象，周边</w:t>
            </w:r>
            <w:r>
              <w:rPr>
                <w:rFonts w:hint="eastAsia"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00m范围内无敏感保护目标。</w:t>
            </w:r>
          </w:p>
        </w:tc>
        <w:tc>
          <w:tcPr>
            <w:tcW w:w="1572" w:type="dxa"/>
            <w:noWrap w:val="0"/>
            <w:vAlign w:val="center"/>
          </w:tcPr>
          <w:p w14:paraId="1C9173D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周边生态环境影响</w:t>
            </w:r>
          </w:p>
        </w:tc>
      </w:tr>
      <w:tr w14:paraId="56B57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455" w:type="dxa"/>
            <w:noWrap w:val="0"/>
            <w:vAlign w:val="center"/>
          </w:tcPr>
          <w:p w14:paraId="4F27130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c>
          <w:tcPr>
            <w:tcW w:w="1095" w:type="dxa"/>
            <w:noWrap w:val="0"/>
            <w:vAlign w:val="center"/>
          </w:tcPr>
          <w:p w14:paraId="533F7E4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地下水</w:t>
            </w:r>
          </w:p>
        </w:tc>
        <w:tc>
          <w:tcPr>
            <w:tcW w:w="945" w:type="dxa"/>
            <w:noWrap w:val="0"/>
            <w:vAlign w:val="center"/>
          </w:tcPr>
          <w:p w14:paraId="69890FD5">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w:t>
            </w:r>
          </w:p>
        </w:tc>
        <w:tc>
          <w:tcPr>
            <w:tcW w:w="4455" w:type="dxa"/>
            <w:noWrap w:val="0"/>
            <w:vAlign w:val="center"/>
          </w:tcPr>
          <w:p w14:paraId="275C4AB2">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项目</w:t>
            </w:r>
            <w:r>
              <w:rPr>
                <w:rFonts w:hint="eastAsia" w:cs="Times New Roman"/>
                <w:color w:val="auto"/>
                <w:kern w:val="0"/>
                <w:sz w:val="21"/>
                <w:szCs w:val="21"/>
                <w:lang w:val="en-US" w:eastAsia="zh-CN" w:bidi="ar"/>
              </w:rPr>
              <w:t>区500</w:t>
            </w:r>
            <w:r>
              <w:rPr>
                <w:rFonts w:hint="default" w:ascii="Times New Roman" w:hAnsi="Times New Roman" w:eastAsia="宋体" w:cs="Times New Roman"/>
                <w:color w:val="auto"/>
                <w:kern w:val="0"/>
                <w:sz w:val="21"/>
                <w:szCs w:val="21"/>
                <w:lang w:val="en-US" w:eastAsia="zh-CN" w:bidi="ar"/>
              </w:rPr>
              <w:t>米范围内无地下水集中式饮用水水源和热水、矿泉水、温泉等特殊地下水资源。</w:t>
            </w:r>
          </w:p>
        </w:tc>
        <w:tc>
          <w:tcPr>
            <w:tcW w:w="1572" w:type="dxa"/>
            <w:noWrap w:val="0"/>
            <w:vAlign w:val="center"/>
          </w:tcPr>
          <w:p w14:paraId="34C91E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周边</w:t>
            </w:r>
            <w:r>
              <w:rPr>
                <w:rFonts w:hint="eastAsia" w:ascii="Times New Roman" w:hAnsi="Times New Roman" w:eastAsia="宋体" w:cs="Times New Roman"/>
                <w:color w:val="auto"/>
                <w:sz w:val="21"/>
                <w:szCs w:val="21"/>
                <w:lang w:val="en-US" w:eastAsia="zh-CN"/>
              </w:rPr>
              <w:t>地下水</w:t>
            </w:r>
            <w:r>
              <w:rPr>
                <w:rFonts w:hint="default" w:ascii="Times New Roman" w:hAnsi="Times New Roman" w:eastAsia="宋体" w:cs="Times New Roman"/>
                <w:color w:val="auto"/>
                <w:sz w:val="21"/>
                <w:szCs w:val="21"/>
                <w:lang w:val="en-US" w:eastAsia="zh-CN"/>
              </w:rPr>
              <w:t>环境影响</w:t>
            </w:r>
          </w:p>
        </w:tc>
      </w:tr>
    </w:tbl>
    <w:p w14:paraId="28C3861E">
      <w:pPr>
        <w:pStyle w:val="24"/>
        <w:kinsoku w:val="0"/>
        <w:overflowPunct w:val="0"/>
        <w:ind w:firstLine="0" w:firstLineChars="0"/>
        <w:rPr>
          <w:rFonts w:hint="default" w:ascii="Times New Roman" w:hAnsi="Times New Roman" w:eastAsia="宋体" w:cs="Times New Roman"/>
          <w:color w:val="auto"/>
        </w:rPr>
        <w:sectPr>
          <w:pgSz w:w="11906" w:h="16838"/>
          <w:pgMar w:top="1440" w:right="1800" w:bottom="1440" w:left="1800" w:header="1191" w:footer="992" w:gutter="0"/>
          <w:pgNumType w:fmt="decimal"/>
          <w:cols w:space="720" w:num="1"/>
          <w:docGrid w:type="lines" w:linePitch="312" w:charSpace="0"/>
        </w:sectPr>
      </w:pPr>
    </w:p>
    <w:p w14:paraId="0A6687CE">
      <w:pPr>
        <w:pStyle w:val="2"/>
        <w:rPr>
          <w:rFonts w:hint="default" w:ascii="Times New Roman" w:hAnsi="Times New Roman" w:eastAsia="宋体" w:cs="Times New Roman"/>
          <w:color w:val="auto"/>
        </w:rPr>
      </w:pPr>
      <w:bookmarkStart w:id="30" w:name="_Toc7509"/>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工程概况</w:t>
      </w:r>
      <w:bookmarkEnd w:id="30"/>
    </w:p>
    <w:p w14:paraId="3481ED32">
      <w:pPr>
        <w:pStyle w:val="3"/>
        <w:numPr>
          <w:ilvl w:val="0"/>
          <w:numId w:val="0"/>
        </w:numPr>
        <w:rPr>
          <w:rFonts w:hint="default" w:ascii="Times New Roman" w:hAnsi="Times New Roman" w:eastAsia="宋体" w:cs="Times New Roman"/>
          <w:color w:val="auto"/>
          <w:lang w:val="en-US" w:eastAsia="zh-CN"/>
        </w:rPr>
      </w:pPr>
      <w:bookmarkStart w:id="31" w:name="_Toc6681"/>
      <w:r>
        <w:rPr>
          <w:rFonts w:hint="default" w:ascii="Times New Roman" w:hAnsi="Times New Roman" w:eastAsia="宋体" w:cs="Times New Roman"/>
          <w:color w:val="auto"/>
        </w:rPr>
        <w:t>2.1</w:t>
      </w:r>
      <w:r>
        <w:rPr>
          <w:rFonts w:hint="default" w:ascii="Times New Roman" w:hAnsi="Times New Roman" w:eastAsia="宋体" w:cs="Times New Roman"/>
          <w:color w:val="auto"/>
          <w:lang w:val="en-US" w:eastAsia="zh-CN"/>
        </w:rPr>
        <w:t>方案比选</w:t>
      </w:r>
      <w:bookmarkEnd w:id="31"/>
    </w:p>
    <w:p w14:paraId="419065EA">
      <w:pPr>
        <w:bidi w:val="0"/>
        <w:ind w:left="0" w:leftChars="0" w:firstLine="0" w:firstLineChars="0"/>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lang w:val="en-US" w:eastAsia="zh-CN"/>
        </w:rPr>
        <w:t>2.1.1路线方案比选</w:t>
      </w:r>
    </w:p>
    <w:p w14:paraId="4EF07D3C">
      <w:pPr>
        <w:widowControl/>
        <w:ind w:firstLine="480"/>
        <w:jc w:val="left"/>
        <w:rPr>
          <w:rFonts w:hint="default" w:ascii="Times New Roman" w:hAnsi="Times New Roman" w:eastAsia="宋体" w:cs="Times New Roman"/>
          <w:color w:val="auto"/>
          <w:kern w:val="0"/>
          <w:lang w:bidi="ar"/>
        </w:rPr>
      </w:pPr>
      <w:r>
        <w:rPr>
          <w:rFonts w:hint="eastAsia" w:cs="Times New Roman"/>
          <w:color w:val="auto"/>
          <w:kern w:val="0"/>
          <w:lang w:val="en-US" w:eastAsia="zh-CN" w:bidi="ar"/>
        </w:rPr>
        <w:t>根据《元江火车站站前广场配套道路5号路建设项目节约集约用地论证分析专章》论证，专家组基于国土空间规划“一张图”符合性、选址选线约束性、占用耕地和永久基本农田、生态保护红线数据和政策符合性、投资经济性等因素，拟定了1个整体方案，因该项目的建成主要用于元江火车站铁路货运站与甘庄工业园区的衔接，增强物流运输能力，并缓解原老G213国道途径集镇、中学带来的安全隐患，为道路沿线的群众及其他居民的交通出行提供有力保障，选线具有唯一性。经复核规划线型合理避让生态保护红线、永久基本农田、不占用耕地满足规范要求，因此全线未出现路线方案比选情况，同意该方案作为推荐方案。</w:t>
      </w:r>
    </w:p>
    <w:p w14:paraId="1B109B25">
      <w:pPr>
        <w:widowControl/>
        <w:ind w:firstLine="480"/>
        <w:jc w:val="left"/>
        <w:rPr>
          <w:rFonts w:hint="default" w:ascii="Times New Roman" w:hAnsi="Times New Roman" w:eastAsia="宋体" w:cs="Times New Roman"/>
          <w:color w:val="auto"/>
          <w:kern w:val="0"/>
          <w:lang w:val="en-US" w:eastAsia="zh-CN" w:bidi="ar"/>
        </w:rPr>
      </w:pPr>
      <w:r>
        <w:rPr>
          <w:rFonts w:hint="eastAsia" w:cs="Times New Roman"/>
          <w:color w:val="auto"/>
          <w:kern w:val="0"/>
          <w:lang w:val="en-US" w:eastAsia="zh-CN" w:bidi="ar"/>
        </w:rPr>
        <w:t>本项目选线起止点均必须衔接既有G213国道接口，是G213改线专用通道，若移动接驳口，无法实现国道分流、元江站交通疏解、甘庄工业园区连通的核心功能，接驳点不能偏移，否则丧失建设意义。且项目已列入《元江县的“十四五”综合交通运输发展规划》，项目选线用地已纳入《元江哈尼族彝族傣族自治县国土空间总体规划（20214-2035）年》国土空间规划管控。项目选线受起止点、走廊完全刚性约束。</w:t>
      </w:r>
    </w:p>
    <w:p w14:paraId="71D875A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路线起点K0+000起于甘庄街道老G213国道，道路由南向北延伸至规划3号路与老G213国道交叉口处，沿线与规划18m道路、2号路相交，道路全长1448m。</w:t>
      </w:r>
    </w:p>
    <w:p w14:paraId="51D27B1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mc:AlternateContent>
          <mc:Choice Requires="wps">
            <w:drawing>
              <wp:inline distT="0" distB="0" distL="114300" distR="114300">
                <wp:extent cx="635" cy="0"/>
                <wp:effectExtent l="0" t="0" r="0" b="0"/>
                <wp:docPr id="42" name="矩形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AACE0OqAQAAWwMAAA4A&#10;AAAAAAAAAQAgAAAAHgEAAGRycy9lMm9Eb2MueG1sUEsFBgAAAAAGAAYAWQEAADoFAAAAAA==&#10;">
                <v:fill on="f" focussize="0,0"/>
                <v:stroke on="f"/>
                <v:imagedata o:title=""/>
                <o:lock v:ext="edit" aspectratio="t"/>
                <w10:wrap type="none"/>
                <w10:anchorlock/>
              </v:rect>
            </w:pict>
          </mc:Fallback>
        </mc:AlternateContent>
      </w:r>
      <w:r>
        <w:rPr>
          <w:rFonts w:hint="default" w:ascii="Times New Roman" w:hAnsi="Times New Roman" w:eastAsia="宋体" w:cs="Times New Roman"/>
          <w:color w:val="auto"/>
        </w:rPr>
        <w:drawing>
          <wp:inline distT="0" distB="0" distL="114300" distR="114300">
            <wp:extent cx="5269865" cy="1736725"/>
            <wp:effectExtent l="9525" t="9525" r="16510" b="25400"/>
            <wp:docPr id="3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44"/>
                    <pic:cNvPicPr>
                      <a:picLocks noChangeAspect="1"/>
                    </pic:cNvPicPr>
                  </pic:nvPicPr>
                  <pic:blipFill>
                    <a:blip r:embed="rId32"/>
                    <a:stretch>
                      <a:fillRect/>
                    </a:stretch>
                  </pic:blipFill>
                  <pic:spPr>
                    <a:xfrm>
                      <a:off x="0" y="0"/>
                      <a:ext cx="5269865" cy="173672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3C9C877B">
      <w:pPr>
        <w:widowControl/>
        <w:ind w:firstLine="40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sz w:val="20"/>
          <w:szCs w:val="20"/>
          <w:lang w:bidi="ar"/>
        </w:rPr>
        <w:t>图</w:t>
      </w:r>
      <w:r>
        <w:rPr>
          <w:rFonts w:hint="default" w:ascii="Times New Roman" w:hAnsi="Times New Roman" w:eastAsia="宋体" w:cs="Times New Roman"/>
          <w:b/>
          <w:bCs/>
          <w:color w:val="auto"/>
          <w:kern w:val="0"/>
          <w:sz w:val="20"/>
          <w:szCs w:val="20"/>
          <w:lang w:val="en-US" w:eastAsia="zh-CN" w:bidi="ar"/>
        </w:rPr>
        <w:t>2</w:t>
      </w:r>
      <w:r>
        <w:rPr>
          <w:rFonts w:hint="eastAsia" w:ascii="Times New Roman" w:hAnsi="Times New Roman" w:eastAsia="宋体" w:cs="Times New Roman"/>
          <w:b/>
          <w:bCs/>
          <w:color w:val="auto"/>
          <w:kern w:val="0"/>
          <w:sz w:val="20"/>
          <w:szCs w:val="20"/>
          <w:lang w:val="en-US" w:eastAsia="zh-CN" w:bidi="ar"/>
        </w:rPr>
        <w:t>.1</w:t>
      </w:r>
      <w:r>
        <w:rPr>
          <w:rFonts w:hint="default" w:ascii="Times New Roman" w:hAnsi="Times New Roman" w:eastAsia="宋体" w:cs="Times New Roman"/>
          <w:b/>
          <w:bCs/>
          <w:color w:val="auto"/>
          <w:kern w:val="0"/>
          <w:sz w:val="20"/>
          <w:szCs w:val="20"/>
          <w:lang w:bidi="ar"/>
        </w:rPr>
        <w:t>-1路线方案平面示意图</w:t>
      </w:r>
    </w:p>
    <w:p w14:paraId="1214FBD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mc:AlternateContent>
          <mc:Choice Requires="wps">
            <w:drawing>
              <wp:inline distT="0" distB="0" distL="114300" distR="114300">
                <wp:extent cx="635" cy="0"/>
                <wp:effectExtent l="0" t="0" r="0" b="0"/>
                <wp:docPr id="33" name="矩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LIdzWyqAQAAWwMAAA4A&#10;AAAAAAAAAQAgAAAAHgEAAGRycy9lMm9Eb2MueG1sUEsFBgAAAAAGAAYAWQEAADoFAAAAAA==&#10;">
                <v:fill on="f" focussize="0,0"/>
                <v:stroke on="f"/>
                <v:imagedata o:title=""/>
                <o:lock v:ext="edit" aspectratio="t"/>
                <w10:wrap type="none"/>
                <w10:anchorlock/>
              </v:rect>
            </w:pict>
          </mc:Fallback>
        </mc:AlternateContent>
      </w:r>
      <w:r>
        <w:rPr>
          <w:rFonts w:hint="default" w:ascii="Times New Roman" w:hAnsi="Times New Roman" w:eastAsia="宋体" w:cs="Times New Roman"/>
          <w:color w:val="auto"/>
        </w:rPr>
        <mc:AlternateContent>
          <mc:Choice Requires="wps">
            <w:drawing>
              <wp:inline distT="0" distB="0" distL="114300" distR="114300">
                <wp:extent cx="635" cy="0"/>
                <wp:effectExtent l="0" t="0" r="0" b="0"/>
                <wp:docPr id="54" name="矩形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">
                <v:fill on="f" focussize="0,0"/>
                <v:stroke on="f"/>
                <v:imagedata o:title=""/>
                <o:lock v:ext="edit" aspectratio="t"/>
                <w10:wrap type="none"/>
                <w10:anchorlock/>
              </v:rect>
            </w:pict>
          </mc:Fallback>
        </mc:AlternateContent>
      </w:r>
      <w:r>
        <w:rPr>
          <w:rFonts w:hint="default" w:ascii="Times New Roman" w:hAnsi="Times New Roman" w:eastAsia="宋体" w:cs="Times New Roman"/>
          <w:color w:val="auto"/>
        </w:rPr>
        <w:drawing>
          <wp:inline distT="0" distB="0" distL="114300" distR="114300">
            <wp:extent cx="4324350" cy="2928620"/>
            <wp:effectExtent l="9525" t="9525" r="9525" b="14605"/>
            <wp:docPr id="53" name="图片 47" descr="6e35b679-f2ec-4a33-b234-3dc986b45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7" descr="6e35b679-f2ec-4a33-b234-3dc986b45f68"/>
                    <pic:cNvPicPr>
                      <a:picLocks noChangeAspect="1"/>
                    </pic:cNvPicPr>
                  </pic:nvPicPr>
                  <pic:blipFill>
                    <a:blip r:embed="rId33"/>
                    <a:stretch>
                      <a:fillRect/>
                    </a:stretch>
                  </pic:blipFill>
                  <pic:spPr>
                    <a:xfrm>
                      <a:off x="0" y="0"/>
                      <a:ext cx="4324350" cy="292862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500DA5B">
      <w:pPr>
        <w:widowControl/>
        <w:ind w:firstLine="2871" w:firstLineChars="1300"/>
        <w:jc w:val="both"/>
        <w:rPr>
          <w:rFonts w:hint="default" w:ascii="Times New Roman" w:hAnsi="Times New Roman" w:eastAsia="宋体" w:cs="Times New Roman"/>
          <w:color w:val="auto"/>
        </w:rPr>
      </w:pPr>
      <w:r>
        <w:rPr>
          <w:rFonts w:hint="default" w:ascii="Times New Roman" w:hAnsi="Times New Roman" w:eastAsia="宋体" w:cs="Times New Roman"/>
          <w:b/>
          <w:bCs/>
          <w:color w:val="auto"/>
          <w:kern w:val="0"/>
          <w:sz w:val="22"/>
          <w:szCs w:val="22"/>
          <w:lang w:val="en-US" w:eastAsia="zh-CN" w:bidi="ar"/>
        </w:rPr>
        <w:t>图2</w:t>
      </w:r>
      <w:r>
        <w:rPr>
          <w:rFonts w:hint="eastAsia" w:ascii="Times New Roman" w:hAnsi="Times New Roman" w:eastAsia="宋体" w:cs="Times New Roman"/>
          <w:b/>
          <w:bCs/>
          <w:color w:val="auto"/>
          <w:kern w:val="0"/>
          <w:sz w:val="22"/>
          <w:szCs w:val="22"/>
          <w:lang w:val="en-US" w:eastAsia="zh-CN" w:bidi="ar"/>
        </w:rPr>
        <w:t>.1</w:t>
      </w:r>
      <w:r>
        <w:rPr>
          <w:rFonts w:hint="default" w:ascii="Times New Roman" w:hAnsi="Times New Roman" w:eastAsia="宋体" w:cs="Times New Roman"/>
          <w:b/>
          <w:bCs/>
          <w:color w:val="auto"/>
          <w:kern w:val="0"/>
          <w:sz w:val="22"/>
          <w:szCs w:val="22"/>
          <w:lang w:val="en-US" w:eastAsia="zh-CN" w:bidi="ar"/>
        </w:rPr>
        <w:t>-2</w:t>
      </w:r>
      <w:r>
        <w:rPr>
          <w:rFonts w:hint="default" w:ascii="Times New Roman" w:hAnsi="Times New Roman" w:eastAsia="宋体" w:cs="Times New Roman"/>
          <w:b/>
          <w:bCs/>
          <w:color w:val="auto"/>
          <w:kern w:val="0"/>
          <w:sz w:val="22"/>
          <w:szCs w:val="22"/>
          <w:lang w:bidi="ar"/>
        </w:rPr>
        <w:t>起点现状图</w:t>
      </w:r>
    </w:p>
    <w:p w14:paraId="2FC26E2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mc:AlternateContent>
          <mc:Choice Requires="wps">
            <w:drawing>
              <wp:inline distT="0" distB="0" distL="114300" distR="114300">
                <wp:extent cx="635" cy="0"/>
                <wp:effectExtent l="0" t="0" r="0" b="0"/>
                <wp:docPr id="49" name="矩形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a:noFill/>
                        </a:ln>
                      </wps:spPr>
                      <wps:bodyPr upright="1"/>
                    </wps:wsp>
                  </a:graphicData>
                </a:graphic>
              </wp:inline>
            </w:drawing>
          </mc:Choice>
          <mc:Fallback>
            <w:pict>
              <v:rect id="_x0000_s1026" o:spid="_x0000_s1026" o:spt="1" style="height:0pt;width:0.05pt;" filled="f" stroked="f" coordsize="21600,21600" o:gfxdata="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D4cJf3PAAAA/wAAAA8AAAAA&#10;AAAAAQAgAAAAIgAAAGRycy9kb3ducmV2LnhtbFBLAQIUABQAAAAIAIdO4kCAjuJ7qwEAAFsDAAAO&#10;AAAAAAAAAAEAIAAAAB4BAABkcnMvZTJvRG9jLnhtbFBLBQYAAAAABgAGAFkBAAA7BQAAAAA=&#10;">
                <v:fill on="f" focussize="0,0"/>
                <v:stroke on="f"/>
                <v:imagedata o:title=""/>
                <o:lock v:ext="edit" aspectratio="t"/>
                <w10:wrap type="none"/>
                <w10:anchorlock/>
              </v:rect>
            </w:pict>
          </mc:Fallback>
        </mc:AlternateContent>
      </w:r>
      <w:r>
        <w:rPr>
          <w:rFonts w:hint="default" w:ascii="Times New Roman" w:hAnsi="Times New Roman" w:eastAsia="宋体" w:cs="Times New Roman"/>
          <w:color w:val="auto"/>
        </w:rPr>
        <w:drawing>
          <wp:inline distT="0" distB="0" distL="114300" distR="114300">
            <wp:extent cx="4495800" cy="3171825"/>
            <wp:effectExtent l="9525" t="9525" r="9525" b="19050"/>
            <wp:docPr id="34" name="图片 49" descr="8a315f98-e307-4f48-8169-19d4553e45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49" descr="8a315f98-e307-4f48-8169-19d4553e45f9"/>
                    <pic:cNvPicPr>
                      <a:picLocks noChangeAspect="1"/>
                    </pic:cNvPicPr>
                  </pic:nvPicPr>
                  <pic:blipFill>
                    <a:blip r:embed="rId34"/>
                    <a:stretch>
                      <a:fillRect/>
                    </a:stretch>
                  </pic:blipFill>
                  <pic:spPr>
                    <a:xfrm>
                      <a:off x="0" y="0"/>
                      <a:ext cx="4495800" cy="317182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728F7CDC">
      <w:pPr>
        <w:widowControl/>
        <w:ind w:firstLine="44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sz w:val="22"/>
          <w:szCs w:val="22"/>
          <w:lang w:val="en-US" w:eastAsia="zh-CN" w:bidi="ar"/>
        </w:rPr>
        <w:t>图2</w:t>
      </w:r>
      <w:r>
        <w:rPr>
          <w:rFonts w:hint="eastAsia" w:ascii="Times New Roman" w:hAnsi="Times New Roman" w:eastAsia="宋体" w:cs="Times New Roman"/>
          <w:b/>
          <w:bCs/>
          <w:color w:val="auto"/>
          <w:kern w:val="0"/>
          <w:sz w:val="22"/>
          <w:szCs w:val="22"/>
          <w:lang w:val="en-US" w:eastAsia="zh-CN" w:bidi="ar"/>
        </w:rPr>
        <w:t>.1</w:t>
      </w:r>
      <w:r>
        <w:rPr>
          <w:rFonts w:hint="default" w:ascii="Times New Roman" w:hAnsi="Times New Roman" w:eastAsia="宋体" w:cs="Times New Roman"/>
          <w:b/>
          <w:bCs/>
          <w:color w:val="auto"/>
          <w:kern w:val="0"/>
          <w:sz w:val="22"/>
          <w:szCs w:val="22"/>
          <w:lang w:val="en-US" w:eastAsia="zh-CN" w:bidi="ar"/>
        </w:rPr>
        <w:t xml:space="preserve">-3 </w:t>
      </w:r>
      <w:r>
        <w:rPr>
          <w:rFonts w:hint="default" w:ascii="Times New Roman" w:hAnsi="Times New Roman" w:eastAsia="宋体" w:cs="Times New Roman"/>
          <w:b/>
          <w:bCs/>
          <w:color w:val="auto"/>
          <w:kern w:val="0"/>
          <w:sz w:val="22"/>
          <w:szCs w:val="22"/>
          <w:lang w:bidi="ar"/>
        </w:rPr>
        <w:t>止点现状图</w:t>
      </w:r>
    </w:p>
    <w:p w14:paraId="0E6EB63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val="en-US" w:eastAsia="zh-CN" w:bidi="ar"/>
        </w:rPr>
        <w:t>2.1.2</w:t>
      </w:r>
      <w:r>
        <w:rPr>
          <w:rFonts w:hint="default" w:ascii="Times New Roman" w:hAnsi="Times New Roman" w:eastAsia="宋体" w:cs="Times New Roman"/>
          <w:b/>
          <w:bCs/>
          <w:color w:val="auto"/>
          <w:kern w:val="0"/>
          <w:lang w:bidi="ar"/>
        </w:rPr>
        <w:t>建设项目与区域路网和前后路段衔接情况</w:t>
      </w:r>
    </w:p>
    <w:p w14:paraId="1DE6FF8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根据项目区域内路网分布状况和沿线群众交通出行需求，分别设置平面交叉，在项目走廊上形成多个交通节点，做到既方便沿线群众出行，又满足集散公路“出入通达”的功能，从而形成多元化的公路网络。</w:t>
      </w:r>
    </w:p>
    <w:p w14:paraId="446AA99F">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val="en-US" w:eastAsia="zh-CN" w:bidi="ar"/>
        </w:rPr>
        <w:t>2.1.3</w:t>
      </w:r>
      <w:r>
        <w:rPr>
          <w:rFonts w:hint="default" w:ascii="Times New Roman" w:hAnsi="Times New Roman" w:eastAsia="宋体" w:cs="Times New Roman"/>
          <w:b/>
          <w:bCs/>
          <w:color w:val="auto"/>
          <w:kern w:val="0"/>
          <w:lang w:bidi="ar"/>
        </w:rPr>
        <w:t>与城市衔接的关系</w:t>
      </w:r>
    </w:p>
    <w:p w14:paraId="4FAEBA8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立足于甘庄街道基础设施道路，遵从甘庄街道远景城市规划需要，将原规划的城市次干路调整为一级公路，综合考虑项目切合实际需要，形成快速交通与沿线路网有效联通，满足沿线城市规划及居民出行需要。本项目的建设将改善甘庄街道交通基础设施条件，同时</w:t>
      </w:r>
      <w:r>
        <w:rPr>
          <w:rFonts w:hint="default" w:ascii="Times New Roman" w:hAnsi="Times New Roman" w:eastAsia="宋体" w:cs="Times New Roman"/>
          <w:color w:val="auto"/>
          <w:kern w:val="0"/>
          <w:lang w:val="en-US" w:eastAsia="zh-CN" w:bidi="ar"/>
        </w:rPr>
        <w:t>提高元江站前广场交通的通达度和便利性</w:t>
      </w:r>
      <w:r>
        <w:rPr>
          <w:rFonts w:hint="default" w:ascii="Times New Roman" w:hAnsi="Times New Roman" w:eastAsia="宋体" w:cs="Times New Roman"/>
          <w:color w:val="auto"/>
          <w:kern w:val="0"/>
          <w:lang w:bidi="ar"/>
        </w:rPr>
        <w:t>。</w:t>
      </w:r>
    </w:p>
    <w:p w14:paraId="5269C0A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val="en-US" w:eastAsia="zh-CN" w:bidi="ar"/>
        </w:rPr>
        <w:t>2.1.</w:t>
      </w:r>
      <w:r>
        <w:rPr>
          <w:rFonts w:hint="eastAsia" w:cs="Times New Roman"/>
          <w:b/>
          <w:bCs/>
          <w:color w:val="auto"/>
          <w:kern w:val="0"/>
          <w:lang w:val="en-US" w:eastAsia="zh-CN" w:bidi="ar"/>
        </w:rPr>
        <w:t>4</w:t>
      </w:r>
      <w:r>
        <w:rPr>
          <w:rFonts w:hint="default" w:ascii="Times New Roman" w:hAnsi="Times New Roman" w:eastAsia="宋体" w:cs="Times New Roman"/>
          <w:b/>
          <w:bCs/>
          <w:color w:val="auto"/>
          <w:kern w:val="0"/>
          <w:lang w:bidi="ar"/>
        </w:rPr>
        <w:t>路线总体方案论述</w:t>
      </w:r>
    </w:p>
    <w:p w14:paraId="7A3B17C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本次项目路线直接采用规划线型，经复核规划线型满足规范要求，</w:t>
      </w:r>
      <w:r>
        <w:rPr>
          <w:rFonts w:hint="eastAsia" w:cs="Times New Roman"/>
          <w:color w:val="auto"/>
          <w:kern w:val="0"/>
          <w:lang w:val="en-US" w:eastAsia="zh-CN" w:bidi="ar"/>
        </w:rPr>
        <w:t>项目选线选址具有唯一性，</w:t>
      </w:r>
      <w:r>
        <w:rPr>
          <w:rFonts w:hint="eastAsia"/>
          <w:color w:val="auto"/>
          <w:vertAlign w:val="baseline"/>
          <w:lang w:val="en-US" w:eastAsia="zh-CN"/>
        </w:rPr>
        <w:t>且选线不涉及占用国家及省级公益林、天然林地，不涉及占用生态保护红线，基本农田、水源保护区等敏感区，区域内生态环境较为单一，影响较小，</w:t>
      </w:r>
      <w:r>
        <w:rPr>
          <w:rFonts w:hint="eastAsia" w:cs="Times New Roman"/>
          <w:color w:val="auto"/>
          <w:kern w:val="0"/>
          <w:lang w:val="en-US" w:eastAsia="zh-CN" w:bidi="ar"/>
        </w:rPr>
        <w:t>无</w:t>
      </w:r>
      <w:r>
        <w:rPr>
          <w:rFonts w:hint="default" w:ascii="Times New Roman" w:hAnsi="Times New Roman" w:eastAsia="宋体" w:cs="Times New Roman"/>
          <w:color w:val="auto"/>
          <w:kern w:val="0"/>
          <w:lang w:bidi="ar"/>
        </w:rPr>
        <w:t>比选情况。</w:t>
      </w:r>
    </w:p>
    <w:p w14:paraId="41104B63">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val="en-US" w:eastAsia="zh-CN" w:bidi="ar"/>
        </w:rPr>
        <w:t>2.1.</w:t>
      </w:r>
      <w:r>
        <w:rPr>
          <w:rFonts w:hint="eastAsia" w:cs="Times New Roman"/>
          <w:b/>
          <w:bCs/>
          <w:color w:val="auto"/>
          <w:kern w:val="0"/>
          <w:lang w:val="en-US" w:eastAsia="zh-CN" w:bidi="ar"/>
        </w:rPr>
        <w:t>5</w:t>
      </w:r>
      <w:r>
        <w:rPr>
          <w:rFonts w:hint="default" w:ascii="Times New Roman" w:hAnsi="Times New Roman" w:eastAsia="宋体" w:cs="Times New Roman"/>
          <w:b/>
          <w:bCs/>
          <w:color w:val="auto"/>
          <w:kern w:val="0"/>
          <w:lang w:val="en-US" w:eastAsia="zh-CN" w:bidi="ar"/>
        </w:rPr>
        <w:t>临时工程（弃渣场、拌合站）选址比选</w:t>
      </w:r>
    </w:p>
    <w:p w14:paraId="7021EA3B">
      <w:pPr>
        <w:widowControl/>
        <w:ind w:firstLine="480"/>
        <w:jc w:val="left"/>
        <w:rPr>
          <w:rFonts w:hint="default" w:ascii="Times New Roman" w:hAnsi="Times New Roman" w:eastAsia="宋体" w:cs="Times New Roman"/>
          <w:color w:val="auto"/>
          <w:kern w:val="0"/>
          <w:lang w:bidi="ar"/>
        </w:rPr>
      </w:pPr>
      <w:r>
        <w:rPr>
          <w:rFonts w:hint="eastAsia" w:cs="Times New Roman"/>
          <w:color w:val="auto"/>
          <w:kern w:val="0"/>
          <w:lang w:val="en-US" w:eastAsia="zh-CN" w:bidi="ar"/>
        </w:rPr>
        <w:t>根据建设单位提供资料，项目弃渣场和拌合站无选址比选方案，选址具有唯一性。</w:t>
      </w:r>
    </w:p>
    <w:p w14:paraId="2F5D04DB">
      <w:pPr>
        <w:pStyle w:val="3"/>
        <w:pageBreakBefore w:val="0"/>
        <w:widowControl w:val="0"/>
        <w:numPr>
          <w:ilvl w:val="0"/>
          <w:numId w:val="0"/>
        </w:numPr>
        <w:kinsoku/>
        <w:wordWrap/>
        <w:overflowPunct/>
        <w:topLinePunct w:val="0"/>
        <w:autoSpaceDE/>
        <w:autoSpaceDN/>
        <w:bidi w:val="0"/>
        <w:adjustRightInd w:val="0"/>
        <w:snapToGrid w:val="0"/>
        <w:spacing w:line="360" w:lineRule="auto"/>
        <w:ind w:right="0" w:firstLine="56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br w:type="page"/>
      </w:r>
      <w:bookmarkStart w:id="32" w:name="_Toc16359"/>
      <w:r>
        <w:rPr>
          <w:rFonts w:hint="default" w:ascii="Times New Roman" w:hAnsi="Times New Roman" w:eastAsia="宋体" w:cs="Times New Roman"/>
          <w:color w:val="auto"/>
          <w:lang w:val="en-US" w:eastAsia="zh-CN"/>
        </w:rPr>
        <w:t>2.2</w:t>
      </w:r>
      <w:r>
        <w:rPr>
          <w:rFonts w:hint="default" w:ascii="Times New Roman" w:hAnsi="Times New Roman" w:eastAsia="宋体" w:cs="Times New Roman"/>
          <w:color w:val="auto"/>
        </w:rPr>
        <w:t>项目基本情况</w:t>
      </w:r>
      <w:bookmarkEnd w:id="32"/>
    </w:p>
    <w:p w14:paraId="56E8DC1C">
      <w:pPr>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bCs/>
          <w:color w:val="auto"/>
        </w:rPr>
        <w:t>项目名称</w:t>
      </w:r>
      <w:r>
        <w:rPr>
          <w:rFonts w:hint="default" w:ascii="Times New Roman" w:hAnsi="Times New Roman" w:eastAsia="宋体" w:cs="Times New Roman"/>
          <w:color w:val="auto"/>
        </w:rPr>
        <w:t>：元江火车站站前广场配套道路5号路建设项目</w:t>
      </w:r>
    </w:p>
    <w:p w14:paraId="0713855C">
      <w:pPr>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color w:val="auto"/>
        </w:rPr>
        <w:t>建设性质：</w:t>
      </w:r>
      <w:r>
        <w:rPr>
          <w:rFonts w:hint="default" w:ascii="Times New Roman" w:hAnsi="Times New Roman" w:eastAsia="宋体" w:cs="Times New Roman"/>
          <w:color w:val="auto"/>
        </w:rPr>
        <w:t>新建</w:t>
      </w:r>
    </w:p>
    <w:p w14:paraId="279E2410">
      <w:pPr>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default" w:ascii="Times New Roman" w:hAnsi="Times New Roman" w:eastAsia="宋体" w:cs="Times New Roman"/>
          <w:bCs/>
          <w:color w:val="auto"/>
        </w:rPr>
      </w:pPr>
      <w:r>
        <w:rPr>
          <w:rFonts w:hint="default" w:ascii="Times New Roman" w:hAnsi="Times New Roman" w:eastAsia="宋体" w:cs="Times New Roman"/>
          <w:b/>
          <w:color w:val="auto"/>
        </w:rPr>
        <w:t>公路等级：</w:t>
      </w:r>
      <w:r>
        <w:rPr>
          <w:rFonts w:hint="default" w:ascii="Times New Roman" w:hAnsi="Times New Roman" w:eastAsia="宋体" w:cs="Times New Roman"/>
          <w:bCs/>
          <w:color w:val="auto"/>
        </w:rPr>
        <w:t>山岭重丘一级公路；设计时速60km/h，沥青混凝土路面，路基宽度24米，路面宽度15米</w:t>
      </w:r>
    </w:p>
    <w:p w14:paraId="2BC2DA72">
      <w:pPr>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default" w:ascii="Times New Roman" w:hAnsi="Times New Roman" w:eastAsia="宋体" w:cs="Times New Roman"/>
          <w:color w:val="auto"/>
          <w:lang w:eastAsia="zh-CN"/>
        </w:rPr>
      </w:pPr>
      <w:r>
        <w:rPr>
          <w:rFonts w:hint="default" w:ascii="Times New Roman" w:hAnsi="Times New Roman" w:eastAsia="宋体" w:cs="Times New Roman"/>
          <w:b/>
          <w:bCs/>
          <w:color w:val="auto"/>
        </w:rPr>
        <w:t>建设单位：</w:t>
      </w:r>
      <w:r>
        <w:rPr>
          <w:rFonts w:hint="default" w:ascii="Times New Roman" w:hAnsi="Times New Roman" w:eastAsia="宋体" w:cs="Times New Roman"/>
          <w:color w:val="auto"/>
          <w:lang w:eastAsia="zh-CN"/>
        </w:rPr>
        <w:t>元江哈尼族彝族傣族自治县交通运输局</w:t>
      </w:r>
    </w:p>
    <w:p w14:paraId="703EE0A8">
      <w:pPr>
        <w:pStyle w:val="499"/>
        <w:pageBreakBefore w:val="0"/>
        <w:widowControl w:val="0"/>
        <w:shd w:val="clear" w:color="auto" w:fill="auto"/>
        <w:kinsoku/>
        <w:wordWrap/>
        <w:overflowPunct/>
        <w:topLinePunct w:val="0"/>
        <w:autoSpaceDE/>
        <w:autoSpaceDN/>
        <w:bidi w:val="0"/>
        <w:adjustRightInd w:val="0"/>
        <w:snapToGrid w:val="0"/>
        <w:spacing w:line="360" w:lineRule="auto"/>
        <w:ind w:right="0" w:firstLine="482" w:firstLineChars="200"/>
        <w:jc w:val="both"/>
        <w:textAlignment w:val="auto"/>
        <w:rPr>
          <w:rFonts w:hint="default" w:ascii="Times New Roman" w:hAnsi="Times New Roman" w:eastAsia="宋体" w:cs="Times New Roman"/>
          <w:color w:val="auto"/>
          <w:kern w:val="2"/>
          <w:sz w:val="24"/>
          <w:szCs w:val="24"/>
        </w:rPr>
      </w:pPr>
      <w:r>
        <w:rPr>
          <w:rFonts w:hint="default" w:ascii="Times New Roman" w:hAnsi="Times New Roman" w:eastAsia="宋体" w:cs="Times New Roman"/>
          <w:b/>
          <w:color w:val="auto"/>
          <w:sz w:val="24"/>
          <w:szCs w:val="24"/>
        </w:rPr>
        <w:t>投资及建设工期：</w:t>
      </w:r>
      <w:r>
        <w:rPr>
          <w:rFonts w:hint="default" w:ascii="Times New Roman" w:hAnsi="Times New Roman" w:eastAsia="宋体" w:cs="Times New Roman"/>
          <w:color w:val="auto"/>
          <w:kern w:val="2"/>
          <w:sz w:val="24"/>
          <w:szCs w:val="24"/>
        </w:rPr>
        <w:t>项目总投资概算12637.3025万元，</w:t>
      </w:r>
      <w:r>
        <w:rPr>
          <w:rFonts w:hint="default" w:ascii="Times New Roman" w:hAnsi="Times New Roman" w:eastAsia="宋体" w:cs="Times New Roman"/>
          <w:color w:val="auto"/>
          <w:sz w:val="24"/>
          <w:szCs w:val="24"/>
        </w:rPr>
        <w:t>工程计划202</w:t>
      </w:r>
      <w:r>
        <w:rPr>
          <w:rFonts w:hint="eastAsia" w:ascii="Times New Roman" w:cs="Times New Roman"/>
          <w:color w:val="auto"/>
          <w:sz w:val="24"/>
          <w:szCs w:val="24"/>
          <w:lang w:val="en-US" w:eastAsia="zh-CN"/>
        </w:rPr>
        <w:t>6</w:t>
      </w:r>
      <w:r>
        <w:rPr>
          <w:rFonts w:hint="default" w:ascii="Times New Roman" w:hAnsi="Times New Roman" w:eastAsia="宋体" w:cs="Times New Roman"/>
          <w:color w:val="auto"/>
          <w:sz w:val="24"/>
          <w:szCs w:val="24"/>
        </w:rPr>
        <w:t>年</w:t>
      </w:r>
      <w:r>
        <w:rPr>
          <w:rFonts w:hint="eastAsia" w:ascii="Times New Roman" w:cs="Times New Roman"/>
          <w:color w:val="auto"/>
          <w:sz w:val="24"/>
          <w:szCs w:val="24"/>
          <w:lang w:val="en-US" w:eastAsia="zh-CN"/>
        </w:rPr>
        <w:t>10</w:t>
      </w:r>
      <w:r>
        <w:rPr>
          <w:rFonts w:hint="default" w:ascii="Times New Roman" w:hAnsi="Times New Roman" w:eastAsia="宋体" w:cs="Times New Roman"/>
          <w:color w:val="auto"/>
          <w:sz w:val="24"/>
          <w:szCs w:val="24"/>
        </w:rPr>
        <w:t>月开工，预计202</w:t>
      </w:r>
      <w:r>
        <w:rPr>
          <w:rFonts w:hint="eastAsia" w:ascii="Times New Roman" w:cs="Times New Roman"/>
          <w:color w:val="auto"/>
          <w:sz w:val="24"/>
          <w:szCs w:val="24"/>
          <w:lang w:val="en-US" w:eastAsia="zh-CN"/>
        </w:rPr>
        <w:t>7</w:t>
      </w:r>
      <w:r>
        <w:rPr>
          <w:rFonts w:hint="default" w:ascii="Times New Roman" w:hAnsi="Times New Roman" w:eastAsia="宋体" w:cs="Times New Roman"/>
          <w:color w:val="auto"/>
          <w:sz w:val="24"/>
          <w:szCs w:val="24"/>
        </w:rPr>
        <w:t>年</w:t>
      </w:r>
      <w:r>
        <w:rPr>
          <w:rFonts w:hint="eastAsia" w:ascii="Times New Roman" w:cs="Times New Roman"/>
          <w:color w:val="auto"/>
          <w:sz w:val="24"/>
          <w:szCs w:val="24"/>
          <w:lang w:val="en-US" w:eastAsia="zh-CN"/>
        </w:rPr>
        <w:t>10</w:t>
      </w:r>
      <w:r>
        <w:rPr>
          <w:rFonts w:hint="default" w:ascii="Times New Roman" w:hAnsi="Times New Roman" w:eastAsia="宋体" w:cs="Times New Roman"/>
          <w:color w:val="auto"/>
          <w:sz w:val="24"/>
          <w:szCs w:val="24"/>
        </w:rPr>
        <w:t>月竣工，总工期为12个月</w:t>
      </w:r>
      <w:r>
        <w:rPr>
          <w:rFonts w:hint="default" w:ascii="Times New Roman" w:hAnsi="Times New Roman" w:eastAsia="宋体" w:cs="Times New Roman"/>
          <w:color w:val="auto"/>
          <w:kern w:val="2"/>
          <w:sz w:val="24"/>
          <w:szCs w:val="24"/>
        </w:rPr>
        <w:t>。</w:t>
      </w:r>
    </w:p>
    <w:p w14:paraId="57B634C5">
      <w:pPr>
        <w:pageBreakBefore w:val="0"/>
        <w:widowControl w:val="0"/>
        <w:kinsoku/>
        <w:wordWrap/>
        <w:overflowPunct/>
        <w:topLinePunct w:val="0"/>
        <w:autoSpaceDE/>
        <w:autoSpaceDN/>
        <w:bidi w:val="0"/>
        <w:adjustRightInd w:val="0"/>
        <w:snapToGrid w:val="0"/>
        <w:spacing w:line="360" w:lineRule="auto"/>
        <w:ind w:right="0" w:firstLine="482" w:firstLineChars="200"/>
        <w:textAlignment w:val="auto"/>
        <w:rPr>
          <w:rFonts w:hint="default" w:ascii="Times New Roman" w:hAnsi="Times New Roman" w:eastAsia="宋体" w:cs="Times New Roman"/>
          <w:color w:val="auto"/>
        </w:rPr>
      </w:pPr>
      <w:r>
        <w:rPr>
          <w:rFonts w:hint="default" w:ascii="Times New Roman" w:hAnsi="Times New Roman" w:eastAsia="宋体" w:cs="Times New Roman"/>
          <w:b/>
          <w:bCs/>
          <w:color w:val="auto"/>
        </w:rPr>
        <w:t>地理位置：</w:t>
      </w:r>
      <w:r>
        <w:rPr>
          <w:rFonts w:hint="default" w:ascii="Times New Roman" w:hAnsi="Times New Roman" w:eastAsia="宋体" w:cs="Times New Roman"/>
          <w:color w:val="auto"/>
        </w:rPr>
        <w:t>位于云南省玉溪市元江县甘庄街道，地理位置图见下</w:t>
      </w:r>
      <w:r>
        <w:rPr>
          <w:rFonts w:hint="default" w:ascii="Times New Roman" w:hAnsi="Times New Roman" w:eastAsia="宋体" w:cs="Times New Roman"/>
          <w:color w:val="auto"/>
          <w:lang w:val="en-US" w:eastAsia="zh-CN"/>
        </w:rPr>
        <w:t>图</w:t>
      </w:r>
      <w:r>
        <w:rPr>
          <w:rFonts w:hint="default" w:ascii="Times New Roman" w:hAnsi="Times New Roman" w:eastAsia="宋体" w:cs="Times New Roman"/>
          <w:color w:val="auto"/>
        </w:rPr>
        <w:t>。</w:t>
      </w:r>
    </w:p>
    <w:p w14:paraId="704E0B58">
      <w:pPr>
        <w:ind w:firstLine="0" w:firstLineChars="0"/>
        <w:rPr>
          <w:rFonts w:hint="default" w:ascii="Times New Roman" w:hAnsi="Times New Roman" w:eastAsia="宋体" w:cs="Times New Roman"/>
          <w:b/>
          <w:color w:val="auto"/>
        </w:rPr>
      </w:pPr>
      <w:r>
        <w:rPr>
          <w:rFonts w:hint="default" w:ascii="Times New Roman" w:hAnsi="Times New Roman" w:eastAsia="宋体" w:cs="Times New Roman"/>
          <w:b/>
          <w:color w:val="auto"/>
        </w:rPr>
        <w:drawing>
          <wp:inline distT="0" distB="0" distL="114300" distR="114300">
            <wp:extent cx="5267325" cy="3839210"/>
            <wp:effectExtent l="9525" t="9525" r="19050" b="18415"/>
            <wp:docPr id="40" name="图片 52" descr="1738911671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2" descr="1738911671685"/>
                    <pic:cNvPicPr>
                      <a:picLocks noChangeAspect="1"/>
                    </pic:cNvPicPr>
                  </pic:nvPicPr>
                  <pic:blipFill>
                    <a:blip r:embed="rId35"/>
                    <a:stretch>
                      <a:fillRect/>
                    </a:stretch>
                  </pic:blipFill>
                  <pic:spPr>
                    <a:xfrm>
                      <a:off x="0" y="0"/>
                      <a:ext cx="5267325" cy="383921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AF85F10">
      <w:pPr>
        <w:pStyle w:val="32"/>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268595" cy="2449830"/>
            <wp:effectExtent l="9525" t="9525" r="17780" b="17145"/>
            <wp:docPr id="55" name="图片 53" descr="f9618a6f-1f55-448a-9320-e5eb2a895c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3" descr="f9618a6f-1f55-448a-9320-e5eb2a895c2f"/>
                    <pic:cNvPicPr>
                      <a:picLocks noChangeAspect="1"/>
                    </pic:cNvPicPr>
                  </pic:nvPicPr>
                  <pic:blipFill>
                    <a:blip r:embed="rId36"/>
                    <a:stretch>
                      <a:fillRect/>
                    </a:stretch>
                  </pic:blipFill>
                  <pic:spPr>
                    <a:xfrm>
                      <a:off x="0" y="0"/>
                      <a:ext cx="5268595" cy="244983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7BC10BD1">
      <w:pPr>
        <w:spacing w:line="240" w:lineRule="auto"/>
        <w:ind w:firstLine="0" w:firstLineChars="0"/>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图2</w:t>
      </w:r>
      <w:r>
        <w:rPr>
          <w:rFonts w:hint="eastAsia" w:ascii="Times New Roman" w:hAnsi="Times New Roman" w:eastAsia="宋体" w:cs="Times New Roman"/>
          <w:b/>
          <w:color w:val="auto"/>
          <w:lang w:val="en-US" w:eastAsia="zh-CN"/>
        </w:rPr>
        <w:t>.2</w:t>
      </w:r>
      <w:r>
        <w:rPr>
          <w:rFonts w:hint="default" w:ascii="Times New Roman" w:hAnsi="Times New Roman" w:eastAsia="宋体" w:cs="Times New Roman"/>
          <w:b/>
          <w:color w:val="auto"/>
        </w:rPr>
        <w:t>-1 项目地理位置图</w:t>
      </w:r>
    </w:p>
    <w:p w14:paraId="677A3306">
      <w:pPr>
        <w:pStyle w:val="3"/>
        <w:numPr>
          <w:ilvl w:val="0"/>
          <w:numId w:val="0"/>
        </w:numPr>
        <w:rPr>
          <w:rFonts w:hint="default" w:ascii="Times New Roman" w:hAnsi="Times New Roman" w:eastAsia="宋体" w:cs="Times New Roman"/>
          <w:color w:val="auto"/>
        </w:rPr>
      </w:pPr>
      <w:bookmarkStart w:id="33" w:name="_Toc3742"/>
      <w:bookmarkStart w:id="34" w:name="_Toc461057376"/>
      <w:bookmarkStart w:id="35" w:name="_Toc208114778"/>
      <w:r>
        <w:rPr>
          <w:rFonts w:hint="default" w:ascii="Times New Roman" w:hAnsi="Times New Roman" w:eastAsia="宋体" w:cs="Times New Roman"/>
          <w:color w:val="auto"/>
        </w:rPr>
        <w:t>2.2项目与相关路网衔接及周边情况</w:t>
      </w:r>
      <w:bookmarkEnd w:id="33"/>
    </w:p>
    <w:p w14:paraId="6C0BC99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（1）周边交通情况</w:t>
      </w:r>
    </w:p>
    <w:p w14:paraId="35BCB57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本工程为元江火车站站前广场配套道路5号路建设项目，是G213经过集镇段的主要道路，项目的建设是对甘庄街道交通路网的进一步完善，改善沿线居民的出行条件而建。</w:t>
      </w:r>
    </w:p>
    <w:p w14:paraId="2F6B22C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元江火车站站前广场配套道路5号路建设项目起点K0+000起于甘庄街道西</w:t>
      </w:r>
    </w:p>
    <w:p w14:paraId="28BBFA88">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南侧，接老G213国道，道路呈南北走向，沿跑马山往甘庄街道西侧绕行，止点</w:t>
      </w:r>
    </w:p>
    <w:p w14:paraId="038E2668">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K1+447.858止于甘庄街道西北侧，接规划3号路与老G213国道交叉口处，沿线</w:t>
      </w:r>
    </w:p>
    <w:p w14:paraId="36FBC906">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与规划18m道路、2号路相交，路基宽度24m，路线全长</w:t>
      </w:r>
      <w:r>
        <w:rPr>
          <w:rFonts w:hint="default" w:ascii="Times New Roman" w:hAnsi="Times New Roman" w:eastAsia="宋体" w:cs="Times New Roman"/>
          <w:color w:val="auto"/>
          <w:lang w:val="en-US" w:eastAsia="zh-CN"/>
        </w:rPr>
        <w:t>1.447858</w:t>
      </w:r>
      <w:r>
        <w:rPr>
          <w:rFonts w:hint="default" w:ascii="Times New Roman" w:hAnsi="Times New Roman" w:eastAsia="宋体" w:cs="Times New Roman"/>
          <w:color w:val="auto"/>
        </w:rPr>
        <w:t>公里，线路向西绕开甘庄镇。本工程线路较短，没有桥梁和隧道工程，路基建设可利用现有起止点通道，首尾掘进，无需新建施工便道，工程弃渣场位于项目区起点通过G213线路衔接向南4.9km，弃渣场位于G213下方。项目建设交通条件较好。</w:t>
      </w:r>
    </w:p>
    <w:p w14:paraId="1B76D24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周边给、排水情况：沿线水源丰富，均可就近取得生活和工程用水或附近甘庄镇的自来水，能够满足项目建设的需要；施工过程中场地内设置过水涵洞、排水沟、沉砂池等设施，场地汇流可排入下游自然沟箐中。</w:t>
      </w:r>
    </w:p>
    <w:p w14:paraId="06EC334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（3）周边电线线路情况：本项目建设场地位于元江县甘庄镇，场地周边均有良好的基础设施和配套的公共设施，水、电、通信可直接从管网引入，可满足运行用电需求。</w:t>
      </w:r>
    </w:p>
    <w:p w14:paraId="4F3C17A7">
      <w:pPr>
        <w:ind w:firstLine="0" w:firstLineChars="0"/>
        <w:jc w:val="center"/>
        <w:rPr>
          <w:rFonts w:hint="default" w:ascii="Times New Roman" w:hAnsi="Times New Roman" w:eastAsia="宋体" w:cs="Times New Roman"/>
          <w:color w:val="auto"/>
        </w:rPr>
      </w:pPr>
    </w:p>
    <w:p w14:paraId="1D40F196">
      <w:pPr>
        <w:widowControl/>
        <w:ind w:firstLine="482"/>
        <w:jc w:val="center"/>
        <w:rPr>
          <w:rFonts w:hint="default" w:ascii="Times New Roman" w:hAnsi="Times New Roman" w:eastAsia="宋体" w:cs="Times New Roman"/>
          <w:b/>
          <w:bCs/>
          <w:color w:val="auto"/>
          <w:kern w:val="0"/>
          <w:lang w:bidi="ar"/>
        </w:rPr>
      </w:pPr>
    </w:p>
    <w:p w14:paraId="0C29B0F8">
      <w:pPr>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139690" cy="4041140"/>
            <wp:effectExtent l="9525" t="9525" r="13335" b="26035"/>
            <wp:docPr id="2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54"/>
                    <pic:cNvPicPr>
                      <a:picLocks noChangeAspect="1"/>
                    </pic:cNvPicPr>
                  </pic:nvPicPr>
                  <pic:blipFill>
                    <a:blip r:embed="rId37"/>
                    <a:stretch>
                      <a:fillRect/>
                    </a:stretch>
                  </pic:blipFill>
                  <pic:spPr>
                    <a:xfrm>
                      <a:off x="0" y="0"/>
                      <a:ext cx="5139690" cy="404114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48F4F033">
      <w:pPr>
        <w:widowControl/>
        <w:ind w:firstLine="482"/>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lang w:bidi="ar"/>
        </w:rPr>
        <w:t>图2.</w:t>
      </w:r>
      <w:r>
        <w:rPr>
          <w:rFonts w:hint="eastAsia" w:ascii="Times New Roman" w:hAnsi="Times New Roman" w:eastAsia="宋体" w:cs="Times New Roman"/>
          <w:b/>
          <w:bCs/>
          <w:color w:val="auto"/>
          <w:kern w:val="0"/>
          <w:lang w:val="en-US" w:eastAsia="zh-CN" w:bidi="ar"/>
        </w:rPr>
        <w:t>2</w:t>
      </w:r>
      <w:r>
        <w:rPr>
          <w:rFonts w:hint="default" w:ascii="Times New Roman" w:hAnsi="Times New Roman" w:eastAsia="宋体" w:cs="Times New Roman"/>
          <w:b/>
          <w:bCs/>
          <w:color w:val="auto"/>
          <w:kern w:val="0"/>
          <w:lang w:bidi="ar"/>
        </w:rPr>
        <w:t>-2</w:t>
      </w:r>
      <w:r>
        <w:rPr>
          <w:rFonts w:hint="default" w:ascii="Times New Roman" w:hAnsi="Times New Roman" w:eastAsia="宋体" w:cs="Times New Roman"/>
          <w:b/>
          <w:bCs/>
          <w:color w:val="auto"/>
        </w:rPr>
        <w:t>工程区周边村落设施等分布情况</w:t>
      </w:r>
    </w:p>
    <w:p w14:paraId="62AC0583">
      <w:pPr>
        <w:pStyle w:val="3"/>
        <w:numPr>
          <w:ilvl w:val="0"/>
          <w:numId w:val="0"/>
        </w:numPr>
        <w:rPr>
          <w:rFonts w:hint="default" w:ascii="Times New Roman" w:hAnsi="Times New Roman" w:eastAsia="宋体" w:cs="Times New Roman"/>
          <w:color w:val="auto"/>
        </w:rPr>
      </w:pPr>
      <w:bookmarkStart w:id="36" w:name="_Toc25797"/>
      <w:r>
        <w:rPr>
          <w:rFonts w:hint="default" w:ascii="Times New Roman" w:hAnsi="Times New Roman" w:eastAsia="宋体" w:cs="Times New Roman"/>
          <w:color w:val="auto"/>
        </w:rPr>
        <w:t>2.3路线方案及建设规模</w:t>
      </w:r>
      <w:bookmarkEnd w:id="34"/>
      <w:bookmarkEnd w:id="36"/>
    </w:p>
    <w:bookmarkEnd w:id="35"/>
    <w:p w14:paraId="010719F5">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2.3.1路线方案</w:t>
      </w:r>
    </w:p>
    <w:p w14:paraId="75BFC6B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本项目起点接G213，道路由南向北延伸，起点位置同时为规划路线与G213相交点，往南为昆磨高速，止点位置接G213与规划路交叉口。本项目推荐路线走向与国土空间规划、片区规划基本一致。</w:t>
      </w:r>
      <w:r>
        <w:rPr>
          <w:rFonts w:hint="default" w:ascii="Times New Roman" w:hAnsi="Times New Roman" w:eastAsia="宋体" w:cs="Times New Roman"/>
          <w:color w:val="auto"/>
          <w:kern w:val="0"/>
          <w:lang w:bidi="ar"/>
        </w:rPr>
        <w:t>本次项目路线直接采用规划线型，经复核规划线型满足规范要求，</w:t>
      </w:r>
      <w:r>
        <w:rPr>
          <w:rFonts w:hint="eastAsia" w:cs="Times New Roman"/>
          <w:color w:val="auto"/>
          <w:kern w:val="0"/>
          <w:lang w:val="en-US" w:eastAsia="zh-CN" w:bidi="ar"/>
        </w:rPr>
        <w:t>项目选线选址具有唯一性，无</w:t>
      </w:r>
      <w:r>
        <w:rPr>
          <w:rFonts w:hint="default" w:ascii="Times New Roman" w:hAnsi="Times New Roman" w:eastAsia="宋体" w:cs="Times New Roman"/>
          <w:color w:val="auto"/>
          <w:kern w:val="0"/>
          <w:lang w:bidi="ar"/>
        </w:rPr>
        <w:t>比选情况。</w:t>
      </w:r>
    </w:p>
    <w:p w14:paraId="09BCC11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本项目主要控制点：起点、终点及道路交叉点。</w:t>
      </w:r>
    </w:p>
    <w:p w14:paraId="7A32151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沿线主要公路：与本项目衔接的现有公路主要有：</w:t>
      </w:r>
      <w:r>
        <w:rPr>
          <w:rFonts w:hint="default" w:ascii="Times New Roman" w:hAnsi="Times New Roman" w:eastAsia="宋体" w:cs="Times New Roman"/>
          <w:bCs/>
          <w:color w:val="auto"/>
        </w:rPr>
        <w:t>起点桩号K0+000起于甘庄街道西南侧，接老G213国道，道路呈南北走向，沿跑马山往甘庄街道西侧绕行，止点桩号K1+447.858止于规划3号路与老G213国道交叉口处，沿线与规划18m道路、2号路相交，路线全长</w:t>
      </w:r>
      <w:r>
        <w:rPr>
          <w:rFonts w:hint="default" w:ascii="Times New Roman" w:hAnsi="Times New Roman" w:eastAsia="宋体" w:cs="Times New Roman"/>
          <w:bCs/>
          <w:color w:val="auto"/>
          <w:lang w:val="en-US" w:eastAsia="zh-CN"/>
        </w:rPr>
        <w:t>1.447858</w:t>
      </w:r>
      <w:r>
        <w:rPr>
          <w:rFonts w:hint="eastAsia" w:cs="Times New Roman"/>
          <w:bCs/>
          <w:color w:val="auto"/>
          <w:lang w:val="en-US" w:eastAsia="zh-CN"/>
        </w:rPr>
        <w:t>km</w:t>
      </w:r>
      <w:r>
        <w:rPr>
          <w:rFonts w:hint="default" w:ascii="Times New Roman" w:hAnsi="Times New Roman" w:eastAsia="宋体" w:cs="Times New Roman"/>
          <w:color w:val="auto"/>
          <w:kern w:val="0"/>
          <w:lang w:bidi="ar"/>
        </w:rPr>
        <w:t>。</w:t>
      </w:r>
    </w:p>
    <w:p w14:paraId="5933F4BA">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2.3.2建设规模及主要技术标准</w:t>
      </w:r>
    </w:p>
    <w:p w14:paraId="39A06369">
      <w:pPr>
        <w:pStyle w:val="491"/>
        <w:rPr>
          <w:rFonts w:hint="default" w:ascii="Times New Roman" w:hAnsi="Times New Roman" w:eastAsia="宋体" w:cs="Times New Roman"/>
          <w:bCs/>
          <w:color w:val="auto"/>
        </w:rPr>
      </w:pPr>
      <w:r>
        <w:rPr>
          <w:rFonts w:hint="default" w:ascii="Times New Roman" w:hAnsi="Times New Roman" w:eastAsia="宋体" w:cs="Times New Roman"/>
          <w:color w:val="auto"/>
        </w:rPr>
        <w:t>项目按速度V=60km/h的一级公路标准建设，</w:t>
      </w:r>
      <w:r>
        <w:rPr>
          <w:rFonts w:hint="default" w:ascii="Times New Roman" w:hAnsi="Times New Roman" w:eastAsia="宋体" w:cs="Times New Roman"/>
          <w:color w:val="auto"/>
          <w:lang w:val="en-US" w:eastAsia="zh-CN"/>
        </w:rPr>
        <w:t>建设里程</w:t>
      </w:r>
      <w:r>
        <w:rPr>
          <w:rFonts w:hint="default" w:ascii="Times New Roman" w:hAnsi="Times New Roman" w:eastAsia="宋体" w:cs="Times New Roman"/>
          <w:color w:val="auto"/>
          <w:lang w:val="en-US" w:eastAsia="zh-CN"/>
        </w:rPr>
        <w:t>1.447858km</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路面类型为沥青混凝土路面，路基宽度24m，路面宽度15m。</w:t>
      </w:r>
      <w:r>
        <w:rPr>
          <w:rFonts w:hint="default" w:ascii="Times New Roman" w:hAnsi="Times New Roman" w:eastAsia="宋体" w:cs="Times New Roman"/>
          <w:bCs/>
          <w:color w:val="auto"/>
        </w:rPr>
        <w:t>项目主要工程量见下表2</w:t>
      </w:r>
      <w:r>
        <w:rPr>
          <w:rFonts w:hint="eastAsia" w:ascii="Times New Roman" w:hAnsi="Times New Roman" w:eastAsia="宋体" w:cs="Times New Roman"/>
          <w:bCs/>
          <w:color w:val="auto"/>
          <w:lang w:val="en-US" w:eastAsia="zh-CN"/>
        </w:rPr>
        <w:t>.3</w:t>
      </w:r>
      <w:r>
        <w:rPr>
          <w:rFonts w:hint="default" w:ascii="Times New Roman" w:hAnsi="Times New Roman" w:eastAsia="宋体" w:cs="Times New Roman"/>
          <w:bCs/>
          <w:color w:val="auto"/>
        </w:rPr>
        <w:t>-1。</w:t>
      </w:r>
    </w:p>
    <w:p w14:paraId="7333FFCA">
      <w:pPr>
        <w:adjustRightInd w:val="0"/>
        <w:snapToGrid w:val="0"/>
        <w:spacing w:line="240" w:lineRule="auto"/>
        <w:ind w:firstLine="0" w:firstLineChars="0"/>
        <w:jc w:val="center"/>
        <w:rPr>
          <w:rFonts w:hint="default" w:ascii="Times New Roman" w:hAnsi="Times New Roman" w:eastAsia="宋体" w:cs="Times New Roman"/>
          <w:b/>
          <w:color w:val="auto"/>
          <w:sz w:val="21"/>
          <w:szCs w:val="21"/>
        </w:rPr>
      </w:pPr>
    </w:p>
    <w:p w14:paraId="1D19BB8D">
      <w:pPr>
        <w:adjustRightInd w:val="0"/>
        <w:snapToGrid w:val="0"/>
        <w:spacing w:line="240" w:lineRule="auto"/>
        <w:ind w:firstLine="0" w:firstLineChars="0"/>
        <w:jc w:val="center"/>
        <w:rPr>
          <w:rFonts w:hint="default" w:ascii="Times New Roman" w:hAnsi="Times New Roman" w:eastAsia="宋体" w:cs="Times New Roman"/>
          <w:b/>
          <w:color w:val="auto"/>
          <w:sz w:val="21"/>
          <w:szCs w:val="21"/>
        </w:rPr>
      </w:pPr>
    </w:p>
    <w:p w14:paraId="66B6237A">
      <w:pPr>
        <w:adjustRightInd w:val="0"/>
        <w:snapToGrid w:val="0"/>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表2</w:t>
      </w:r>
      <w:r>
        <w:rPr>
          <w:rFonts w:hint="eastAsia" w:ascii="Times New Roman" w:hAnsi="Times New Roman" w:eastAsia="宋体" w:cs="Times New Roman"/>
          <w:b/>
          <w:color w:val="auto"/>
          <w:sz w:val="21"/>
          <w:szCs w:val="21"/>
          <w:lang w:val="en-US" w:eastAsia="zh-CN"/>
        </w:rPr>
        <w:t>.3</w:t>
      </w:r>
      <w:r>
        <w:rPr>
          <w:rFonts w:hint="default" w:ascii="Times New Roman" w:hAnsi="Times New Roman" w:eastAsia="宋体" w:cs="Times New Roman"/>
          <w:b/>
          <w:color w:val="auto"/>
          <w:sz w:val="21"/>
          <w:szCs w:val="21"/>
        </w:rPr>
        <w:t>-1  主要工程量一览表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255"/>
        <w:gridCol w:w="6652"/>
      </w:tblGrid>
      <w:tr w14:paraId="4355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4" w:type="dxa"/>
            <w:gridSpan w:val="2"/>
            <w:noWrap w:val="0"/>
            <w:vAlign w:val="center"/>
          </w:tcPr>
          <w:p w14:paraId="204876D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项目</w:t>
            </w:r>
          </w:p>
        </w:tc>
        <w:tc>
          <w:tcPr>
            <w:tcW w:w="6652" w:type="dxa"/>
            <w:noWrap w:val="0"/>
            <w:vAlign w:val="center"/>
          </w:tcPr>
          <w:p w14:paraId="2C03270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建设内容</w:t>
            </w:r>
          </w:p>
        </w:tc>
      </w:tr>
      <w:tr w14:paraId="1822C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trPr>
        <w:tc>
          <w:tcPr>
            <w:tcW w:w="609" w:type="dxa"/>
            <w:vMerge w:val="restart"/>
            <w:noWrap w:val="0"/>
            <w:vAlign w:val="center"/>
          </w:tcPr>
          <w:p w14:paraId="32B3DC9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主体工程</w:t>
            </w:r>
          </w:p>
        </w:tc>
        <w:tc>
          <w:tcPr>
            <w:tcW w:w="1255" w:type="dxa"/>
            <w:noWrap w:val="0"/>
            <w:vAlign w:val="center"/>
          </w:tcPr>
          <w:p w14:paraId="563A6F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线路长度</w:t>
            </w:r>
          </w:p>
        </w:tc>
        <w:tc>
          <w:tcPr>
            <w:tcW w:w="6652" w:type="dxa"/>
            <w:noWrap w:val="0"/>
            <w:vAlign w:val="center"/>
          </w:tcPr>
          <w:p w14:paraId="25C9BE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公路全长</w:t>
            </w:r>
            <w:r>
              <w:rPr>
                <w:rFonts w:hint="default" w:ascii="Times New Roman" w:hAnsi="Times New Roman" w:eastAsia="宋体" w:cs="Times New Roman"/>
                <w:color w:val="auto"/>
                <w:sz w:val="21"/>
                <w:szCs w:val="21"/>
                <w:lang w:val="en-US" w:eastAsia="zh-CN"/>
              </w:rPr>
              <w:t>1.447858</w:t>
            </w:r>
            <w:r>
              <w:rPr>
                <w:rFonts w:hint="default" w:ascii="Times New Roman" w:hAnsi="Times New Roman" w:eastAsia="宋体" w:cs="Times New Roman"/>
                <w:color w:val="auto"/>
                <w:sz w:val="21"/>
                <w:szCs w:val="21"/>
              </w:rPr>
              <w:t>km</w:t>
            </w:r>
            <w:r>
              <w:rPr>
                <w:rFonts w:hint="default" w:ascii="Times New Roman" w:hAnsi="Times New Roman" w:eastAsia="宋体" w:cs="Times New Roman"/>
                <w:color w:val="auto"/>
                <w:sz w:val="21"/>
                <w:szCs w:val="21"/>
              </w:rPr>
              <w:t>。</w:t>
            </w:r>
          </w:p>
        </w:tc>
      </w:tr>
      <w:tr w14:paraId="446A4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09" w:type="dxa"/>
            <w:vMerge w:val="continue"/>
            <w:noWrap w:val="0"/>
            <w:vAlign w:val="center"/>
          </w:tcPr>
          <w:p w14:paraId="789F0C8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737E1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建设标准</w:t>
            </w:r>
          </w:p>
        </w:tc>
        <w:tc>
          <w:tcPr>
            <w:tcW w:w="6652" w:type="dxa"/>
            <w:noWrap w:val="0"/>
            <w:vAlign w:val="center"/>
          </w:tcPr>
          <w:p w14:paraId="48CA3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全线采用双向</w:t>
            </w:r>
            <w:r>
              <w:rPr>
                <w:rFonts w:hint="eastAsia"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车道的一级公路设计标准，路基宽度设计为24m，设计速度60km/h。</w:t>
            </w:r>
          </w:p>
        </w:tc>
      </w:tr>
      <w:tr w14:paraId="2B71B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0A43CB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1FBAD8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路基工程</w:t>
            </w:r>
          </w:p>
        </w:tc>
        <w:tc>
          <w:tcPr>
            <w:tcW w:w="6652" w:type="dxa"/>
            <w:noWrap w:val="0"/>
            <w:vAlign w:val="center"/>
          </w:tcPr>
          <w:p w14:paraId="242FC0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项目路基宽度推荐采用24米，其中：2.0m（人行道）+2.5m（条形绿化带）+7.5m（车行道）+7.5m（车行道）+2.5m（条形绿化带）+2.0m（人行道）=24m。设计标高为路基中心线处路面顶面标高；超高方式为绕路中线旋转；平曲线，半径小于等于1500m时设超高，超高加宽均在超高缓和段内完成，路拱横坡采用2.0%。</w:t>
            </w:r>
          </w:p>
        </w:tc>
      </w:tr>
      <w:tr w14:paraId="3B8B6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03F9B340">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3FD0D5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路面工程</w:t>
            </w:r>
          </w:p>
        </w:tc>
        <w:tc>
          <w:tcPr>
            <w:tcW w:w="6652" w:type="dxa"/>
            <w:noWrap w:val="0"/>
            <w:vAlign w:val="center"/>
          </w:tcPr>
          <w:p w14:paraId="45E8E3BE">
            <w:pPr>
              <w:keepNext w:val="0"/>
              <w:keepLines w:val="0"/>
              <w:pageBreakBefore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本项目采用沥青混凝土路面。路面结构为：4cm细粒式沥青混凝土（AC-13C）+7cm中粒式沥青混凝土（AC-20C）+沥青透层、0.6cm稀浆封层+36cm水泥稳定碎石+15cm级配碎石。</w:t>
            </w:r>
          </w:p>
        </w:tc>
      </w:tr>
      <w:tr w14:paraId="7CC8C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52DC931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0690E3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涵洞工程</w:t>
            </w:r>
          </w:p>
        </w:tc>
        <w:tc>
          <w:tcPr>
            <w:tcW w:w="6652" w:type="dxa"/>
            <w:noWrap w:val="0"/>
            <w:vAlign w:val="center"/>
          </w:tcPr>
          <w:p w14:paraId="79360D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新建钢筋混凝土圆管涵3道，涵洞进出口型式一般采用一字墙、挡墙跌水、跌水井、急流槽等形式，以增强结构的使用安全性，盖板采用C30混凝土，帽石、墙身采用C20混凝土，基础采用C20混凝土，涵洞钢筋主要为盖板钢筋：HRB400与HPB300，钢筋混凝土圆管涵采用C20混凝土预制，一字墙均采用C20混凝土。</w:t>
            </w:r>
          </w:p>
        </w:tc>
      </w:tr>
      <w:tr w14:paraId="10B2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3D35B16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1CF893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交叉工程</w:t>
            </w:r>
          </w:p>
        </w:tc>
        <w:tc>
          <w:tcPr>
            <w:tcW w:w="6652" w:type="dxa"/>
            <w:noWrap w:val="0"/>
            <w:vAlign w:val="center"/>
          </w:tcPr>
          <w:p w14:paraId="474A2C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共设平面交叉3处，平交类型分别采用T型、Y字型，其中T型平面交叉1处，位于K0+000（起点处），Y字型平面交叉2处，分别位于K1+378处及K1+447处。</w:t>
            </w:r>
          </w:p>
        </w:tc>
      </w:tr>
      <w:tr w14:paraId="1826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3E3EFA7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455257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排水工程</w:t>
            </w:r>
          </w:p>
        </w:tc>
        <w:tc>
          <w:tcPr>
            <w:tcW w:w="6652" w:type="dxa"/>
            <w:noWrap w:val="0"/>
            <w:vAlign w:val="center"/>
          </w:tcPr>
          <w:p w14:paraId="556820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供排水工程：路基排水系统由边沟、排水沟组成。本项目路面水均采用分散排水方式。即路面水通过路面、路肩横坡漫流至路基两侧，挖方路段水直接流入边沟，再经排水沟排至路外；填方路基则经边坡坡面漫流至排水沟，排至路外。道路边坡排水系统由截水沟、急流槽组成。</w:t>
            </w:r>
          </w:p>
        </w:tc>
      </w:tr>
      <w:tr w14:paraId="04C2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2D24DC3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24AB8A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bidi="ar"/>
              </w:rPr>
              <w:t>路基防护工程</w:t>
            </w:r>
          </w:p>
        </w:tc>
        <w:tc>
          <w:tcPr>
            <w:tcW w:w="6652" w:type="dxa"/>
            <w:noWrap w:val="0"/>
            <w:vAlign w:val="center"/>
          </w:tcPr>
          <w:p w14:paraId="53568B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kern w:val="0"/>
                <w:sz w:val="21"/>
                <w:szCs w:val="21"/>
                <w:lang w:eastAsia="zh-CN" w:bidi="ar"/>
              </w:rPr>
            </w:pPr>
            <w:r>
              <w:rPr>
                <w:rFonts w:hint="default" w:ascii="Times New Roman" w:hAnsi="Times New Roman" w:eastAsia="宋体" w:cs="Times New Roman"/>
                <w:color w:val="auto"/>
                <w:kern w:val="0"/>
                <w:sz w:val="21"/>
                <w:szCs w:val="21"/>
                <w:lang w:bidi="ar"/>
              </w:rPr>
              <w:t>路基防护工程</w:t>
            </w:r>
            <w:r>
              <w:rPr>
                <w:rFonts w:hint="default" w:ascii="Times New Roman" w:hAnsi="Times New Roman" w:eastAsia="宋体" w:cs="Times New Roman"/>
                <w:color w:val="auto"/>
                <w:kern w:val="0"/>
                <w:sz w:val="21"/>
                <w:szCs w:val="21"/>
                <w:lang w:eastAsia="zh-CN" w:bidi="ar"/>
              </w:rPr>
              <w:t>：路堤边坡防护，路堤边坡防护型式的选择考虑以生态植物防护为主，工程防护为辅；路堑边坡防护，路堑边坡以边坡稳定、美化环境、经济合理为原则，在确保边坡稳定的前提下，路堑边坡防护型式的选择优先考虑放缓边坡，以生态植物防护为主，工程防护为辅。</w:t>
            </w:r>
          </w:p>
        </w:tc>
      </w:tr>
      <w:tr w14:paraId="70DD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23A633B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192DCD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bidi="ar"/>
              </w:rPr>
              <w:t>道路绿化工程</w:t>
            </w:r>
          </w:p>
        </w:tc>
        <w:tc>
          <w:tcPr>
            <w:tcW w:w="6652" w:type="dxa"/>
            <w:noWrap w:val="0"/>
            <w:vAlign w:val="center"/>
          </w:tcPr>
          <w:p w14:paraId="51E18E8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kern w:val="0"/>
                <w:sz w:val="21"/>
                <w:szCs w:val="21"/>
                <w:lang w:eastAsia="zh-CN" w:bidi="ar"/>
              </w:rPr>
            </w:pPr>
            <w:r>
              <w:rPr>
                <w:rFonts w:hint="default" w:ascii="Times New Roman" w:hAnsi="Times New Roman" w:eastAsia="宋体" w:cs="Times New Roman"/>
                <w:color w:val="auto"/>
                <w:kern w:val="0"/>
                <w:sz w:val="21"/>
                <w:szCs w:val="21"/>
                <w:lang w:bidi="ar"/>
              </w:rPr>
              <w:t>道路绿化工程</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道路绿化环境景观设计结合项目区的地理特点，两侧混行车道与非机动车道间各设置2.5m绿化带。道路采用连体树池营造景观，乔木种植间距4.2m，连体树池以4株乔木为一个基准单元（长14.8m），每单元</w:t>
            </w:r>
            <w:r>
              <w:rPr>
                <w:rFonts w:hint="eastAsia" w:cs="Times New Roman"/>
                <w:color w:val="auto"/>
                <w:kern w:val="0"/>
                <w:sz w:val="21"/>
                <w:szCs w:val="21"/>
                <w:lang w:val="en-US" w:eastAsia="zh-CN" w:bidi="ar"/>
              </w:rPr>
              <w:t>之间</w:t>
            </w:r>
            <w:r>
              <w:rPr>
                <w:rFonts w:hint="default" w:ascii="Times New Roman" w:hAnsi="Times New Roman" w:eastAsia="宋体" w:cs="Times New Roman"/>
                <w:color w:val="auto"/>
                <w:kern w:val="0"/>
                <w:sz w:val="21"/>
                <w:szCs w:val="21"/>
                <w:lang w:bidi="ar"/>
              </w:rPr>
              <w:t>增设2m开口，金森女贞与红叶石楠间隔设置。树池种植的乔木采用芒果树，灌木选用金森女贞与红叶石楠品种混搭。道路绿化面积为0.63hm</w:t>
            </w:r>
            <w:r>
              <w:rPr>
                <w:rFonts w:hint="default" w:ascii="Times New Roman" w:hAnsi="Times New Roman" w:eastAsia="宋体" w:cs="Times New Roman"/>
                <w:color w:val="auto"/>
                <w:kern w:val="0"/>
                <w:sz w:val="21"/>
                <w:szCs w:val="21"/>
                <w:vertAlign w:val="superscript"/>
                <w:lang w:bidi="ar"/>
              </w:rPr>
              <w:t>2</w:t>
            </w:r>
            <w:r>
              <w:rPr>
                <w:rFonts w:hint="default" w:ascii="Times New Roman" w:hAnsi="Times New Roman" w:eastAsia="宋体" w:cs="Times New Roman"/>
                <w:color w:val="auto"/>
                <w:kern w:val="0"/>
                <w:sz w:val="21"/>
                <w:szCs w:val="21"/>
                <w:lang w:bidi="ar"/>
              </w:rPr>
              <w:t>。</w:t>
            </w:r>
          </w:p>
        </w:tc>
      </w:tr>
      <w:tr w14:paraId="4D2B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5913F88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3E9EF2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bidi="ar"/>
              </w:rPr>
              <w:t>道路配套设施</w:t>
            </w:r>
            <w:r>
              <w:rPr>
                <w:rFonts w:hint="eastAsia" w:cs="Times New Roman"/>
                <w:color w:val="auto"/>
                <w:kern w:val="0"/>
                <w:sz w:val="21"/>
                <w:szCs w:val="21"/>
                <w:lang w:val="en-US" w:eastAsia="zh-CN" w:bidi="ar"/>
              </w:rPr>
              <w:t>工程</w:t>
            </w:r>
          </w:p>
        </w:tc>
        <w:tc>
          <w:tcPr>
            <w:tcW w:w="6652" w:type="dxa"/>
            <w:noWrap w:val="0"/>
            <w:vAlign w:val="center"/>
          </w:tcPr>
          <w:p w14:paraId="5D30964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主要为给排水工程、综合管线布置工程和改移工程。</w:t>
            </w:r>
          </w:p>
        </w:tc>
      </w:tr>
      <w:tr w14:paraId="1CD3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1E943F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13EB6F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附属设施</w:t>
            </w:r>
          </w:p>
        </w:tc>
        <w:tc>
          <w:tcPr>
            <w:tcW w:w="6652" w:type="dxa"/>
            <w:noWrap w:val="0"/>
            <w:vAlign w:val="center"/>
          </w:tcPr>
          <w:p w14:paraId="2B2EE9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设置交通标线、标志牌、护墩、钢筋混凝土护栏交通安全与管理设施、减速设施等。</w:t>
            </w:r>
          </w:p>
        </w:tc>
      </w:tr>
      <w:tr w14:paraId="0F13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restart"/>
            <w:noWrap w:val="0"/>
            <w:vAlign w:val="center"/>
          </w:tcPr>
          <w:p w14:paraId="6FE25EB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辅助工程</w:t>
            </w:r>
          </w:p>
        </w:tc>
        <w:tc>
          <w:tcPr>
            <w:tcW w:w="1255" w:type="dxa"/>
            <w:noWrap w:val="0"/>
            <w:vAlign w:val="center"/>
          </w:tcPr>
          <w:p w14:paraId="3FB84D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施工便道</w:t>
            </w:r>
          </w:p>
        </w:tc>
        <w:tc>
          <w:tcPr>
            <w:tcW w:w="6652" w:type="dxa"/>
            <w:noWrap w:val="0"/>
            <w:vAlign w:val="center"/>
          </w:tcPr>
          <w:p w14:paraId="426A4B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本项目材料运输主要靠现有公路，由于项目线路较短且周边道路较为便利，根据项目施工设计方案，本项目不再修建施工便道，施工机具和材料的运输主要依托区域内现有道路。</w:t>
            </w:r>
          </w:p>
        </w:tc>
      </w:tr>
      <w:tr w14:paraId="3FFD6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10F3629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72D179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施工营场地</w:t>
            </w:r>
          </w:p>
        </w:tc>
        <w:tc>
          <w:tcPr>
            <w:tcW w:w="6652" w:type="dxa"/>
            <w:noWrap w:val="0"/>
            <w:vAlign w:val="center"/>
          </w:tcPr>
          <w:p w14:paraId="7A0019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项目位于元江县甘庄，施工材料直接由元江县或甘庄街道采购，施工人员日常生活要求均可通过周边民房生活设施解决。故不设置施工营地。</w:t>
            </w:r>
          </w:p>
        </w:tc>
      </w:tr>
      <w:tr w14:paraId="34C3A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6272919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456DB6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砂石料场</w:t>
            </w:r>
          </w:p>
        </w:tc>
        <w:tc>
          <w:tcPr>
            <w:tcW w:w="6652" w:type="dxa"/>
            <w:noWrap w:val="0"/>
            <w:vAlign w:val="center"/>
          </w:tcPr>
          <w:p w14:paraId="1A64FF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不设置砂石料场，工程所需的砂、石料尽可能利用工程开挖砂、石料，不足部分全部采取外购于合法料场。</w:t>
            </w:r>
          </w:p>
        </w:tc>
      </w:tr>
      <w:tr w14:paraId="6079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5577E2A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0382CB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排水工程</w:t>
            </w:r>
          </w:p>
        </w:tc>
        <w:tc>
          <w:tcPr>
            <w:tcW w:w="6652" w:type="dxa"/>
            <w:noWrap w:val="0"/>
            <w:vAlign w:val="center"/>
          </w:tcPr>
          <w:p w14:paraId="6A515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路基路面排水系统主要包括路面排水和路基排水等部分，并通过边沟等排水构造物将水排入天然河沟，以形成完整独立的排水系统。</w:t>
            </w:r>
          </w:p>
        </w:tc>
      </w:tr>
      <w:tr w14:paraId="0FED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63B9E6C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66D48D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拆迁工程</w:t>
            </w:r>
          </w:p>
        </w:tc>
        <w:tc>
          <w:tcPr>
            <w:tcW w:w="6652" w:type="dxa"/>
            <w:noWrap w:val="0"/>
            <w:vAlign w:val="center"/>
          </w:tcPr>
          <w:p w14:paraId="40316B8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项目</w:t>
            </w:r>
            <w:r>
              <w:rPr>
                <w:rFonts w:hint="default" w:ascii="Times New Roman" w:hAnsi="Times New Roman" w:eastAsia="宋体" w:cs="Times New Roman"/>
                <w:color w:val="auto"/>
                <w:sz w:val="21"/>
                <w:szCs w:val="21"/>
              </w:rPr>
              <w:t>拆迁建筑物共计</w:t>
            </w:r>
            <w:r>
              <w:rPr>
                <w:rFonts w:hint="eastAsia" w:cs="Times New Roman"/>
                <w:color w:val="auto"/>
                <w:sz w:val="21"/>
                <w:szCs w:val="21"/>
                <w:lang w:val="en-US" w:eastAsia="zh-CN"/>
              </w:rPr>
              <w:t>774.75</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其中房屋207.31</w:t>
            </w: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2</w:t>
            </w:r>
            <w:r>
              <w:rPr>
                <w:rFonts w:hint="default" w:ascii="Times New Roman" w:hAnsi="Times New Roman" w:eastAsia="宋体" w:cs="Times New Roman"/>
                <w:color w:val="auto"/>
                <w:kern w:val="0"/>
                <w:sz w:val="21"/>
                <w:szCs w:val="21"/>
                <w:lang w:bidi="ar"/>
              </w:rPr>
              <w:t>，围墙102.4m（砖墙），砼地板1465.04m</w:t>
            </w:r>
            <w:r>
              <w:rPr>
                <w:rFonts w:hint="default" w:ascii="Times New Roman" w:hAnsi="Times New Roman" w:eastAsia="宋体" w:cs="Times New Roman"/>
                <w:color w:val="auto"/>
                <w:kern w:val="0"/>
                <w:sz w:val="21"/>
                <w:szCs w:val="21"/>
                <w:vertAlign w:val="superscript"/>
                <w:lang w:bidi="ar"/>
              </w:rPr>
              <w:t>2</w:t>
            </w:r>
            <w:r>
              <w:rPr>
                <w:rFonts w:hint="default" w:ascii="Times New Roman" w:hAnsi="Times New Roman" w:eastAsia="宋体" w:cs="Times New Roman"/>
                <w:color w:val="auto"/>
                <w:kern w:val="0"/>
                <w:sz w:val="21"/>
                <w:szCs w:val="21"/>
                <w:lang w:bidi="ar"/>
              </w:rPr>
              <w:t>。项目共拆迁电信设施6根，电杆5根，电压线705m，电缆897m</w:t>
            </w:r>
            <w:r>
              <w:rPr>
                <w:rFonts w:hint="eastAsia" w:cs="Times New Roman"/>
                <w:color w:val="auto"/>
                <w:kern w:val="0"/>
                <w:sz w:val="21"/>
                <w:szCs w:val="21"/>
                <w:lang w:val="en-US" w:eastAsia="zh-CN" w:bidi="ar"/>
              </w:rPr>
              <w:t>等</w:t>
            </w:r>
            <w:r>
              <w:rPr>
                <w:rFonts w:hint="default" w:ascii="Times New Roman" w:hAnsi="Times New Roman" w:eastAsia="宋体" w:cs="Times New Roman"/>
                <w:color w:val="auto"/>
                <w:kern w:val="0"/>
                <w:sz w:val="21"/>
                <w:szCs w:val="21"/>
                <w:lang w:bidi="ar"/>
              </w:rPr>
              <w:t>。</w:t>
            </w:r>
          </w:p>
        </w:tc>
      </w:tr>
      <w:tr w14:paraId="03A7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36DF8613">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25217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弃渣场</w:t>
            </w:r>
          </w:p>
        </w:tc>
        <w:tc>
          <w:tcPr>
            <w:tcW w:w="6652" w:type="dxa"/>
            <w:noWrap w:val="0"/>
            <w:vAlign w:val="center"/>
          </w:tcPr>
          <w:p w14:paraId="35F701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kern w:val="0"/>
                <w:sz w:val="21"/>
                <w:szCs w:val="21"/>
                <w:lang w:bidi="ar"/>
              </w:rPr>
              <w:t>本工程弃渣场规划1处，位于元江火车站站前广场配套道路5号路建设项目起点以南沿G213老路向南约4.9km，堆渣场紧挨G213，位于老路下方一处沟道上，地理中心坐标为E101°58′39.77″、N23°39′47.31″。本项目开挖大于回填，本工程产生永久弃渣61.95万m</w:t>
            </w:r>
            <w:r>
              <w:rPr>
                <w:rFonts w:hint="default" w:ascii="Times New Roman" w:hAnsi="Times New Roman" w:eastAsia="宋体" w:cs="Times New Roman"/>
                <w:color w:val="auto"/>
                <w:kern w:val="0"/>
                <w:sz w:val="21"/>
                <w:szCs w:val="21"/>
                <w:vertAlign w:val="superscript"/>
                <w:lang w:bidi="ar"/>
              </w:rPr>
              <w:t>3</w:t>
            </w:r>
            <w:r>
              <w:rPr>
                <w:rFonts w:hint="default" w:ascii="Times New Roman" w:hAnsi="Times New Roman" w:eastAsia="宋体" w:cs="Times New Roman"/>
                <w:color w:val="auto"/>
                <w:kern w:val="0"/>
                <w:sz w:val="21"/>
                <w:szCs w:val="21"/>
                <w:lang w:bidi="ar"/>
              </w:rPr>
              <w:t>，无外借土石方。本工程产生的弃渣运至项目规划的弃渣场堆放</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渣场堆渣容量92万m</w:t>
            </w:r>
            <w:r>
              <w:rPr>
                <w:rFonts w:hint="default" w:ascii="Times New Roman" w:hAnsi="Times New Roman" w:eastAsia="宋体" w:cs="Times New Roman"/>
                <w:color w:val="auto"/>
                <w:kern w:val="0"/>
                <w:sz w:val="21"/>
                <w:szCs w:val="21"/>
                <w:vertAlign w:val="superscript"/>
                <w:lang w:bidi="ar"/>
              </w:rPr>
              <w:t>3</w:t>
            </w:r>
            <w:r>
              <w:rPr>
                <w:rFonts w:hint="default" w:ascii="Times New Roman" w:hAnsi="Times New Roman" w:eastAsia="宋体" w:cs="Times New Roman"/>
                <w:color w:val="auto"/>
                <w:kern w:val="0"/>
                <w:sz w:val="21"/>
                <w:szCs w:val="21"/>
                <w:vertAlign w:val="baseline"/>
                <w:lang w:eastAsia="zh-CN" w:bidi="ar"/>
              </w:rPr>
              <w:t>。</w:t>
            </w:r>
          </w:p>
        </w:tc>
      </w:tr>
      <w:tr w14:paraId="4538F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61B2188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noWrap w:val="0"/>
            <w:vAlign w:val="center"/>
          </w:tcPr>
          <w:p w14:paraId="0580F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拌合站</w:t>
            </w:r>
          </w:p>
        </w:tc>
        <w:tc>
          <w:tcPr>
            <w:tcW w:w="6652" w:type="dxa"/>
            <w:noWrap w:val="0"/>
            <w:vAlign w:val="center"/>
          </w:tcPr>
          <w:p w14:paraId="56C4DA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本项目设置</w:t>
            </w:r>
            <w:r>
              <w:rPr>
                <w:rFonts w:hint="eastAsia" w:cs="Times New Roman"/>
                <w:color w:val="auto"/>
                <w:kern w:val="0"/>
                <w:sz w:val="21"/>
                <w:szCs w:val="21"/>
                <w:lang w:val="en-US" w:eastAsia="zh-CN" w:bidi="ar"/>
              </w:rPr>
              <w:t>1个临时</w:t>
            </w:r>
            <w:r>
              <w:rPr>
                <w:rFonts w:hint="default" w:ascii="Times New Roman" w:hAnsi="Times New Roman" w:eastAsia="宋体" w:cs="Times New Roman"/>
                <w:color w:val="auto"/>
                <w:kern w:val="0"/>
                <w:sz w:val="21"/>
                <w:szCs w:val="21"/>
                <w:lang w:bidi="ar"/>
              </w:rPr>
              <w:t>混凝土拌合站，</w:t>
            </w:r>
            <w:r>
              <w:rPr>
                <w:rFonts w:hint="eastAsia" w:cs="Times New Roman"/>
                <w:color w:val="auto"/>
                <w:kern w:val="0"/>
                <w:sz w:val="21"/>
                <w:szCs w:val="21"/>
                <w:lang w:val="en-US" w:eastAsia="zh-CN" w:bidi="ar"/>
              </w:rPr>
              <w:t>位于K1+400右侧，</w:t>
            </w:r>
            <w:r>
              <w:rPr>
                <w:rFonts w:hint="default" w:ascii="Times New Roman" w:hAnsi="Times New Roman" w:eastAsia="宋体" w:cs="Times New Roman"/>
                <w:color w:val="auto"/>
                <w:kern w:val="0"/>
                <w:sz w:val="21"/>
                <w:szCs w:val="21"/>
                <w:lang w:bidi="ar"/>
              </w:rPr>
              <w:t>项目采用的混凝土、水泥稳定混合料、沥青为外购商品。</w:t>
            </w:r>
          </w:p>
        </w:tc>
      </w:tr>
      <w:tr w14:paraId="16A98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restart"/>
            <w:noWrap w:val="0"/>
            <w:vAlign w:val="center"/>
          </w:tcPr>
          <w:p w14:paraId="672A9C7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环保工程</w:t>
            </w:r>
          </w:p>
        </w:tc>
        <w:tc>
          <w:tcPr>
            <w:tcW w:w="1255" w:type="dxa"/>
            <w:vMerge w:val="restart"/>
            <w:noWrap w:val="0"/>
            <w:vAlign w:val="center"/>
          </w:tcPr>
          <w:p w14:paraId="089ED307">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施工期</w:t>
            </w:r>
          </w:p>
        </w:tc>
        <w:tc>
          <w:tcPr>
            <w:tcW w:w="6652" w:type="dxa"/>
            <w:noWrap w:val="0"/>
            <w:vAlign w:val="center"/>
          </w:tcPr>
          <w:p w14:paraId="1BC16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大气防治措施：洒水降尘；临村镇路段施工设置隔尘挡板，高度2.5m，施工场地四周设置围挡，高度2.5m，运输车辆采用封闭运输等措施。</w:t>
            </w:r>
          </w:p>
        </w:tc>
      </w:tr>
      <w:tr w14:paraId="02DAC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792DB74F">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32318EAC">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61A2C3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施工场地区设置一座3m</w:t>
            </w:r>
            <w:r>
              <w:rPr>
                <w:rFonts w:hint="default" w:ascii="Times New Roman" w:hAnsi="Times New Roman" w:eastAsia="宋体" w:cs="Times New Roman"/>
                <w:color w:val="auto"/>
                <w:kern w:val="0"/>
                <w:sz w:val="21"/>
                <w:szCs w:val="21"/>
                <w:vertAlign w:val="superscript"/>
                <w:lang w:bidi="ar"/>
              </w:rPr>
              <w:t>3</w:t>
            </w:r>
            <w:r>
              <w:rPr>
                <w:rFonts w:hint="default" w:ascii="Times New Roman" w:hAnsi="Times New Roman" w:eastAsia="宋体" w:cs="Times New Roman"/>
                <w:color w:val="auto"/>
                <w:kern w:val="0"/>
                <w:sz w:val="21"/>
                <w:szCs w:val="21"/>
                <w:lang w:bidi="ar"/>
              </w:rPr>
              <w:t>沉淀池，项目施工生产废水经沉淀后回用于施工用水，不外排；施工人员租住在周围村庄，生活污水通过当地市政污水管网排放，不计入本项目。</w:t>
            </w:r>
          </w:p>
        </w:tc>
      </w:tr>
      <w:tr w14:paraId="1AD9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609" w:type="dxa"/>
            <w:vMerge w:val="continue"/>
            <w:noWrap w:val="0"/>
            <w:vAlign w:val="center"/>
          </w:tcPr>
          <w:p w14:paraId="359D6101">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44189486">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46136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噪声防治措施：途经村镇敏感点路段施工时设置隔声隔尘挡板（高度2.5m），采用低噪声设备施工，并对施工机械采取消声</w:t>
            </w:r>
            <w:r>
              <w:rPr>
                <w:rFonts w:hint="default" w:ascii="Times New Roman" w:hAnsi="Times New Roman" w:eastAsia="宋体" w:cs="Times New Roman"/>
                <w:color w:val="auto"/>
                <w:kern w:val="0"/>
                <w:sz w:val="21"/>
                <w:szCs w:val="21"/>
                <w:lang w:eastAsia="zh-CN" w:bidi="ar"/>
              </w:rPr>
              <w:t>减振措施</w:t>
            </w:r>
            <w:r>
              <w:rPr>
                <w:rFonts w:hint="default" w:ascii="Times New Roman" w:hAnsi="Times New Roman" w:eastAsia="宋体" w:cs="Times New Roman"/>
                <w:color w:val="auto"/>
                <w:kern w:val="0"/>
                <w:sz w:val="21"/>
                <w:szCs w:val="21"/>
                <w:lang w:bidi="ar"/>
              </w:rPr>
              <w:t>。加强施工管理，合理布局，间禁止施工，途经敏感点禁止鸣笛、减速行驶。</w:t>
            </w:r>
          </w:p>
        </w:tc>
      </w:tr>
      <w:tr w14:paraId="4B13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4A4F790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1544376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285BF9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固废防治措施：弃土运至弃渣场；施工人员生活垃圾统一收集后清运至生活垃圾处理点处置。</w:t>
            </w:r>
          </w:p>
        </w:tc>
      </w:tr>
      <w:tr w14:paraId="6AB3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026E9DD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7BA30F4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366021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风险防范措施：加强管理，弃方及时拉运，严禁随意堆放；建筑材料远离水体且无汇入支流的空旷地带存放，并进行遮盖，设置截水沟和沉砂池并进行沉淀处理。</w:t>
            </w:r>
          </w:p>
        </w:tc>
      </w:tr>
      <w:tr w14:paraId="0A7B9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7F87F52E">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7EC49DB2">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20F30F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生态环境防范措施：施工期落实水土保持措施；</w:t>
            </w:r>
            <w:r>
              <w:rPr>
                <w:rFonts w:hint="eastAsia" w:cs="Times New Roman"/>
                <w:color w:val="auto"/>
                <w:kern w:val="0"/>
                <w:sz w:val="21"/>
                <w:szCs w:val="21"/>
                <w:lang w:eastAsia="zh-CN" w:bidi="ar"/>
              </w:rPr>
              <w:t>营运期</w:t>
            </w:r>
            <w:r>
              <w:rPr>
                <w:rFonts w:hint="default" w:ascii="Times New Roman" w:hAnsi="Times New Roman" w:eastAsia="宋体" w:cs="Times New Roman"/>
                <w:color w:val="auto"/>
                <w:kern w:val="0"/>
                <w:sz w:val="21"/>
                <w:szCs w:val="21"/>
                <w:lang w:bidi="ar"/>
              </w:rPr>
              <w:t>针对临时占地进行生态修复，完善绿化工程。</w:t>
            </w:r>
          </w:p>
        </w:tc>
      </w:tr>
      <w:tr w14:paraId="7673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79937E8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restart"/>
            <w:noWrap w:val="0"/>
            <w:vAlign w:val="center"/>
          </w:tcPr>
          <w:p w14:paraId="7D0A066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营运期</w:t>
            </w:r>
          </w:p>
        </w:tc>
        <w:tc>
          <w:tcPr>
            <w:tcW w:w="6652" w:type="dxa"/>
            <w:noWrap w:val="0"/>
            <w:vAlign w:val="center"/>
          </w:tcPr>
          <w:p w14:paraId="4E73FF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大气防治措施：加强绿化带管理等措施。</w:t>
            </w:r>
          </w:p>
        </w:tc>
      </w:tr>
      <w:tr w14:paraId="046E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4CFCF0A8">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08E0850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401DB2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噪声防治措施：加强运输车辆管理，在路段、路中进口处</w:t>
            </w:r>
            <w:r>
              <w:rPr>
                <w:rFonts w:hint="default" w:ascii="Times New Roman" w:hAnsi="Times New Roman" w:eastAsia="宋体" w:cs="Times New Roman"/>
                <w:color w:val="auto"/>
                <w:kern w:val="0"/>
                <w:sz w:val="21"/>
                <w:szCs w:val="21"/>
                <w:lang w:eastAsia="zh-CN" w:bidi="ar"/>
              </w:rPr>
              <w:t>设置</w:t>
            </w:r>
            <w:r>
              <w:rPr>
                <w:rFonts w:hint="default" w:ascii="Times New Roman" w:hAnsi="Times New Roman" w:eastAsia="宋体" w:cs="Times New Roman"/>
                <w:color w:val="auto"/>
                <w:kern w:val="0"/>
                <w:sz w:val="21"/>
                <w:szCs w:val="21"/>
                <w:lang w:bidi="ar"/>
              </w:rPr>
              <w:t>交通标志，限制夜间行车速度，在敏感点处设置减速、禁鸣标志等；采用降噪路面材料；营造绿化带、栽植行道树，加强道路沿线的声环境质量的环境监测工作，加强路面养护。</w:t>
            </w:r>
          </w:p>
        </w:tc>
      </w:tr>
      <w:tr w14:paraId="79ECE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4C149F5B">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38C7186D">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6065C0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固废防治措施：道路垃圾及时清运，依托附近甘庄垃圾收运系统进行清运处置。</w:t>
            </w:r>
          </w:p>
        </w:tc>
      </w:tr>
      <w:tr w14:paraId="03FB2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9" w:type="dxa"/>
            <w:vMerge w:val="continue"/>
            <w:noWrap w:val="0"/>
            <w:vAlign w:val="center"/>
          </w:tcPr>
          <w:p w14:paraId="2C3D5A1A">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1255" w:type="dxa"/>
            <w:vMerge w:val="continue"/>
            <w:noWrap w:val="0"/>
            <w:vAlign w:val="center"/>
          </w:tcPr>
          <w:p w14:paraId="6AF05879">
            <w:pPr>
              <w:keepNext w:val="0"/>
              <w:keepLines w:val="0"/>
              <w:pageBreakBefore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6652" w:type="dxa"/>
            <w:noWrap w:val="0"/>
            <w:vAlign w:val="center"/>
          </w:tcPr>
          <w:p w14:paraId="621FF8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风险防范措施：加强安全管理工作，制订突发环境事件应急预案。</w:t>
            </w:r>
          </w:p>
        </w:tc>
      </w:tr>
    </w:tbl>
    <w:p w14:paraId="20B8A9BE">
      <w:pPr>
        <w:ind w:firstLine="480"/>
        <w:rPr>
          <w:rFonts w:hint="default" w:ascii="Times New Roman" w:hAnsi="Times New Roman" w:eastAsia="宋体" w:cs="Times New Roman"/>
          <w:color w:val="auto"/>
        </w:rPr>
      </w:pPr>
      <w:r>
        <w:rPr>
          <w:rFonts w:hint="default" w:ascii="Times New Roman" w:hAnsi="Times New Roman" w:eastAsia="宋体" w:cs="Times New Roman"/>
          <w:bCs/>
          <w:color w:val="auto"/>
        </w:rPr>
        <w:t>主要技术指标见下表2-2</w:t>
      </w:r>
      <w:r>
        <w:rPr>
          <w:rFonts w:hint="default" w:ascii="Times New Roman" w:hAnsi="Times New Roman" w:eastAsia="宋体" w:cs="Times New Roman"/>
          <w:color w:val="auto"/>
        </w:rPr>
        <w:t>。</w:t>
      </w:r>
    </w:p>
    <w:p w14:paraId="638B73F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-2  主要技术指标表</w:t>
      </w:r>
    </w:p>
    <w:tbl>
      <w:tblPr>
        <w:tblStyle w:val="58"/>
        <w:tblpPr w:leftFromText="180" w:rightFromText="180" w:vertAnchor="text" w:tblpXSpec="center" w:tblpY="1"/>
        <w:tblOverlap w:val="never"/>
        <w:tblW w:w="499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5" w:type="dxa"/>
          <w:bottom w:w="0" w:type="dxa"/>
          <w:right w:w="15" w:type="dxa"/>
        </w:tblCellMar>
      </w:tblPr>
      <w:tblGrid>
        <w:gridCol w:w="597"/>
        <w:gridCol w:w="2338"/>
        <w:gridCol w:w="1151"/>
        <w:gridCol w:w="2449"/>
        <w:gridCol w:w="2155"/>
      </w:tblGrid>
      <w:tr w14:paraId="7E30A3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blHeader/>
        </w:trPr>
        <w:tc>
          <w:tcPr>
            <w:tcW w:w="344" w:type="pct"/>
            <w:noWrap w:val="0"/>
            <w:vAlign w:val="center"/>
          </w:tcPr>
          <w:p w14:paraId="3B2AF01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bookmarkStart w:id="37" w:name="_Toc208114780"/>
            <w:bookmarkStart w:id="38" w:name="_Toc461057377"/>
            <w:r>
              <w:rPr>
                <w:rFonts w:hint="default" w:ascii="Times New Roman" w:hAnsi="Times New Roman" w:eastAsia="宋体" w:cs="Times New Roman"/>
                <w:b/>
                <w:bCs/>
                <w:color w:val="auto"/>
                <w:sz w:val="21"/>
                <w:szCs w:val="21"/>
              </w:rPr>
              <w:t>序号</w:t>
            </w:r>
          </w:p>
        </w:tc>
        <w:tc>
          <w:tcPr>
            <w:tcW w:w="1345" w:type="pct"/>
            <w:noWrap w:val="0"/>
            <w:vAlign w:val="center"/>
          </w:tcPr>
          <w:p w14:paraId="30C1F2B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指标名称</w:t>
            </w:r>
          </w:p>
        </w:tc>
        <w:tc>
          <w:tcPr>
            <w:tcW w:w="662" w:type="pct"/>
            <w:noWrap w:val="0"/>
            <w:vAlign w:val="center"/>
          </w:tcPr>
          <w:p w14:paraId="17EE2B6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单位</w:t>
            </w:r>
          </w:p>
        </w:tc>
        <w:tc>
          <w:tcPr>
            <w:tcW w:w="1409" w:type="pct"/>
            <w:noWrap w:val="0"/>
            <w:vAlign w:val="center"/>
          </w:tcPr>
          <w:p w14:paraId="3F48203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主线</w:t>
            </w:r>
          </w:p>
        </w:tc>
        <w:tc>
          <w:tcPr>
            <w:tcW w:w="1238" w:type="pct"/>
            <w:noWrap w:val="0"/>
            <w:vAlign w:val="center"/>
          </w:tcPr>
          <w:p w14:paraId="0F3838B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1BE57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blHeader/>
        </w:trPr>
        <w:tc>
          <w:tcPr>
            <w:tcW w:w="5000" w:type="pct"/>
            <w:gridSpan w:val="5"/>
            <w:noWrap w:val="0"/>
            <w:vAlign w:val="center"/>
          </w:tcPr>
          <w:p w14:paraId="56A8E7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一、基础参数</w:t>
            </w:r>
          </w:p>
        </w:tc>
      </w:tr>
      <w:tr w14:paraId="796BE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992D50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1345" w:type="pct"/>
            <w:noWrap w:val="0"/>
            <w:vAlign w:val="center"/>
          </w:tcPr>
          <w:p w14:paraId="4EDAC60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公路等级</w:t>
            </w:r>
          </w:p>
        </w:tc>
        <w:tc>
          <w:tcPr>
            <w:tcW w:w="662" w:type="pct"/>
            <w:noWrap w:val="0"/>
            <w:vAlign w:val="center"/>
          </w:tcPr>
          <w:p w14:paraId="519850F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级</w:t>
            </w:r>
          </w:p>
        </w:tc>
        <w:tc>
          <w:tcPr>
            <w:tcW w:w="1409" w:type="pct"/>
            <w:noWrap w:val="0"/>
            <w:vAlign w:val="center"/>
          </w:tcPr>
          <w:p w14:paraId="6D1849A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一级</w:t>
            </w:r>
          </w:p>
        </w:tc>
        <w:tc>
          <w:tcPr>
            <w:tcW w:w="1238" w:type="pct"/>
            <w:noWrap w:val="0"/>
            <w:vAlign w:val="center"/>
          </w:tcPr>
          <w:p w14:paraId="380025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山岭重丘一级公路</w:t>
            </w:r>
          </w:p>
        </w:tc>
      </w:tr>
      <w:tr w14:paraId="67460E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1D168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1345" w:type="pct"/>
            <w:noWrap w:val="0"/>
            <w:vAlign w:val="center"/>
          </w:tcPr>
          <w:p w14:paraId="48B8969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设计速度</w:t>
            </w:r>
          </w:p>
        </w:tc>
        <w:tc>
          <w:tcPr>
            <w:tcW w:w="662" w:type="pct"/>
            <w:noWrap w:val="0"/>
            <w:vAlign w:val="center"/>
          </w:tcPr>
          <w:p w14:paraId="1DE9EE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公里/小时</w:t>
            </w:r>
          </w:p>
        </w:tc>
        <w:tc>
          <w:tcPr>
            <w:tcW w:w="1409" w:type="pct"/>
            <w:noWrap w:val="0"/>
            <w:vAlign w:val="center"/>
          </w:tcPr>
          <w:p w14:paraId="2BA5AD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1238" w:type="pct"/>
            <w:noWrap w:val="0"/>
            <w:vAlign w:val="center"/>
          </w:tcPr>
          <w:p w14:paraId="2341561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59B043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5000" w:type="pct"/>
            <w:gridSpan w:val="5"/>
            <w:noWrap w:val="0"/>
            <w:vAlign w:val="center"/>
          </w:tcPr>
          <w:p w14:paraId="6C647B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二、路线</w:t>
            </w:r>
          </w:p>
        </w:tc>
      </w:tr>
      <w:tr w14:paraId="130CC4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8E7F9F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1345" w:type="pct"/>
            <w:noWrap w:val="0"/>
            <w:vAlign w:val="center"/>
          </w:tcPr>
          <w:p w14:paraId="7176C92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路线总长</w:t>
            </w:r>
          </w:p>
        </w:tc>
        <w:tc>
          <w:tcPr>
            <w:tcW w:w="662" w:type="pct"/>
            <w:noWrap w:val="0"/>
            <w:vAlign w:val="center"/>
          </w:tcPr>
          <w:p w14:paraId="6BEBF6C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公里</w:t>
            </w:r>
          </w:p>
        </w:tc>
        <w:tc>
          <w:tcPr>
            <w:tcW w:w="1409" w:type="pct"/>
            <w:noWrap w:val="0"/>
            <w:vAlign w:val="center"/>
          </w:tcPr>
          <w:p w14:paraId="36A7A50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1.447858</w:t>
            </w:r>
          </w:p>
        </w:tc>
        <w:tc>
          <w:tcPr>
            <w:tcW w:w="1238" w:type="pct"/>
            <w:noWrap w:val="0"/>
            <w:vAlign w:val="center"/>
          </w:tcPr>
          <w:p w14:paraId="779BE6D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69AE7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7022332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1345" w:type="pct"/>
            <w:noWrap w:val="0"/>
            <w:vAlign w:val="center"/>
          </w:tcPr>
          <w:p w14:paraId="77D672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平曲线最小半径</w:t>
            </w:r>
          </w:p>
        </w:tc>
        <w:tc>
          <w:tcPr>
            <w:tcW w:w="662" w:type="pct"/>
            <w:noWrap w:val="0"/>
            <w:vAlign w:val="center"/>
          </w:tcPr>
          <w:p w14:paraId="0884A2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w:t>
            </w:r>
          </w:p>
        </w:tc>
        <w:tc>
          <w:tcPr>
            <w:tcW w:w="1409" w:type="pct"/>
            <w:noWrap w:val="0"/>
            <w:vAlign w:val="center"/>
          </w:tcPr>
          <w:p w14:paraId="473A4BD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251</w:t>
            </w:r>
          </w:p>
        </w:tc>
        <w:tc>
          <w:tcPr>
            <w:tcW w:w="1238" w:type="pct"/>
            <w:noWrap w:val="0"/>
            <w:vAlign w:val="center"/>
          </w:tcPr>
          <w:p w14:paraId="15C278C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1047A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02B162B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1345" w:type="pct"/>
            <w:noWrap w:val="0"/>
            <w:vAlign w:val="center"/>
          </w:tcPr>
          <w:p w14:paraId="1B3BE55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最大纵坡</w:t>
            </w:r>
          </w:p>
        </w:tc>
        <w:tc>
          <w:tcPr>
            <w:tcW w:w="662" w:type="pct"/>
            <w:noWrap w:val="0"/>
            <w:vAlign w:val="center"/>
          </w:tcPr>
          <w:p w14:paraId="17B3EA6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%/处</w:t>
            </w:r>
          </w:p>
        </w:tc>
        <w:tc>
          <w:tcPr>
            <w:tcW w:w="1409" w:type="pct"/>
            <w:noWrap w:val="0"/>
            <w:vAlign w:val="center"/>
          </w:tcPr>
          <w:p w14:paraId="67DA30D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hAnsi="Times New Roman" w:cs="Times New Roman"/>
                <w:b w:val="0"/>
                <w:bCs w:val="0"/>
                <w:color w:val="auto"/>
                <w:sz w:val="21"/>
                <w:szCs w:val="21"/>
                <w:lang w:val="en-US" w:eastAsia="zh-CN"/>
              </w:rPr>
              <w:t>8</w:t>
            </w:r>
            <w:r>
              <w:rPr>
                <w:rFonts w:hint="default" w:ascii="Times New Roman" w:hAnsi="Times New Roman" w:eastAsia="宋体" w:cs="Times New Roman"/>
                <w:b w:val="0"/>
                <w:bCs w:val="0"/>
                <w:color w:val="auto"/>
                <w:sz w:val="21"/>
                <w:szCs w:val="21"/>
              </w:rPr>
              <w:t>/</w:t>
            </w:r>
            <w:r>
              <w:rPr>
                <w:rFonts w:hint="eastAsia" w:hAnsi="Times New Roman" w:cs="Times New Roman"/>
                <w:b w:val="0"/>
                <w:bCs w:val="0"/>
                <w:color w:val="auto"/>
                <w:sz w:val="21"/>
                <w:szCs w:val="21"/>
                <w:lang w:val="en-US" w:eastAsia="zh-CN"/>
              </w:rPr>
              <w:t>3</w:t>
            </w:r>
          </w:p>
        </w:tc>
        <w:tc>
          <w:tcPr>
            <w:tcW w:w="1238" w:type="pct"/>
            <w:noWrap w:val="0"/>
            <w:vAlign w:val="center"/>
          </w:tcPr>
          <w:p w14:paraId="33703F0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753DE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75A6173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w:t>
            </w:r>
          </w:p>
        </w:tc>
        <w:tc>
          <w:tcPr>
            <w:tcW w:w="1345" w:type="pct"/>
            <w:noWrap w:val="0"/>
            <w:vAlign w:val="center"/>
          </w:tcPr>
          <w:p w14:paraId="371236E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最小坡长</w:t>
            </w:r>
          </w:p>
        </w:tc>
        <w:tc>
          <w:tcPr>
            <w:tcW w:w="662" w:type="pct"/>
            <w:noWrap w:val="0"/>
            <w:vAlign w:val="center"/>
          </w:tcPr>
          <w:p w14:paraId="44A058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m</w:t>
            </w:r>
          </w:p>
        </w:tc>
        <w:tc>
          <w:tcPr>
            <w:tcW w:w="1409" w:type="pct"/>
            <w:noWrap w:val="0"/>
            <w:vAlign w:val="center"/>
          </w:tcPr>
          <w:p w14:paraId="5CBF945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120</w:t>
            </w:r>
          </w:p>
        </w:tc>
        <w:tc>
          <w:tcPr>
            <w:tcW w:w="1238" w:type="pct"/>
            <w:noWrap w:val="0"/>
            <w:vAlign w:val="center"/>
          </w:tcPr>
          <w:p w14:paraId="400E3D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3AC13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9C767A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w:t>
            </w:r>
          </w:p>
        </w:tc>
        <w:tc>
          <w:tcPr>
            <w:tcW w:w="1345" w:type="pct"/>
            <w:noWrap w:val="0"/>
            <w:vAlign w:val="center"/>
          </w:tcPr>
          <w:p w14:paraId="52A6478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最短纵坡长</w:t>
            </w:r>
          </w:p>
        </w:tc>
        <w:tc>
          <w:tcPr>
            <w:tcW w:w="662" w:type="pct"/>
            <w:noWrap w:val="0"/>
            <w:vAlign w:val="center"/>
          </w:tcPr>
          <w:p w14:paraId="23268BD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米/处</w:t>
            </w:r>
          </w:p>
        </w:tc>
        <w:tc>
          <w:tcPr>
            <w:tcW w:w="1409" w:type="pct"/>
            <w:noWrap w:val="0"/>
            <w:vAlign w:val="center"/>
          </w:tcPr>
          <w:p w14:paraId="5DD5677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170/1</w:t>
            </w:r>
          </w:p>
        </w:tc>
        <w:tc>
          <w:tcPr>
            <w:tcW w:w="1238" w:type="pct"/>
            <w:noWrap w:val="0"/>
            <w:vAlign w:val="center"/>
          </w:tcPr>
          <w:p w14:paraId="4D3FA32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4BA4B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0D5CC96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w:t>
            </w:r>
          </w:p>
        </w:tc>
        <w:tc>
          <w:tcPr>
            <w:tcW w:w="1345" w:type="pct"/>
            <w:noWrap w:val="0"/>
            <w:vAlign w:val="center"/>
          </w:tcPr>
          <w:p w14:paraId="0FDE1C9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竖曲线最小半径（凸/凹）</w:t>
            </w:r>
          </w:p>
        </w:tc>
        <w:tc>
          <w:tcPr>
            <w:tcW w:w="662" w:type="pct"/>
            <w:noWrap w:val="0"/>
            <w:vAlign w:val="center"/>
          </w:tcPr>
          <w:p w14:paraId="23D5AB3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w:t>
            </w:r>
          </w:p>
        </w:tc>
        <w:tc>
          <w:tcPr>
            <w:tcW w:w="1409" w:type="pct"/>
            <w:noWrap w:val="0"/>
            <w:vAlign w:val="center"/>
          </w:tcPr>
          <w:p w14:paraId="52B663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1100/1200</w:t>
            </w:r>
          </w:p>
        </w:tc>
        <w:tc>
          <w:tcPr>
            <w:tcW w:w="1238" w:type="pct"/>
            <w:noWrap w:val="0"/>
            <w:vAlign w:val="center"/>
          </w:tcPr>
          <w:p w14:paraId="0C6B1EF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3C9E8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A2B4C7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w:t>
            </w:r>
          </w:p>
        </w:tc>
        <w:tc>
          <w:tcPr>
            <w:tcW w:w="1345" w:type="pct"/>
            <w:noWrap w:val="0"/>
            <w:vAlign w:val="center"/>
          </w:tcPr>
          <w:p w14:paraId="442B882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设计洪水频率</w:t>
            </w:r>
          </w:p>
        </w:tc>
        <w:tc>
          <w:tcPr>
            <w:tcW w:w="662" w:type="pct"/>
            <w:noWrap w:val="0"/>
            <w:vAlign w:val="center"/>
          </w:tcPr>
          <w:p w14:paraId="5A3142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409" w:type="pct"/>
            <w:noWrap w:val="0"/>
            <w:vAlign w:val="center"/>
          </w:tcPr>
          <w:p w14:paraId="17245CB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25年一遇</w:t>
            </w:r>
          </w:p>
        </w:tc>
        <w:tc>
          <w:tcPr>
            <w:tcW w:w="1238" w:type="pct"/>
            <w:noWrap w:val="0"/>
            <w:vAlign w:val="center"/>
          </w:tcPr>
          <w:p w14:paraId="57F09E7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涵洞、路基</w:t>
            </w:r>
          </w:p>
        </w:tc>
      </w:tr>
      <w:tr w14:paraId="766690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12945A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w:t>
            </w:r>
          </w:p>
        </w:tc>
        <w:tc>
          <w:tcPr>
            <w:tcW w:w="1345" w:type="pct"/>
            <w:noWrap w:val="0"/>
            <w:vAlign w:val="center"/>
          </w:tcPr>
          <w:p w14:paraId="51FC99F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设计车辆荷载</w:t>
            </w:r>
          </w:p>
        </w:tc>
        <w:tc>
          <w:tcPr>
            <w:tcW w:w="662" w:type="pct"/>
            <w:noWrap w:val="0"/>
            <w:vAlign w:val="center"/>
          </w:tcPr>
          <w:p w14:paraId="0248AC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409" w:type="pct"/>
            <w:noWrap w:val="0"/>
            <w:vAlign w:val="center"/>
          </w:tcPr>
          <w:p w14:paraId="2A9C439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公路—Ⅱ级</w:t>
            </w:r>
          </w:p>
        </w:tc>
        <w:tc>
          <w:tcPr>
            <w:tcW w:w="1238" w:type="pct"/>
            <w:noWrap w:val="0"/>
            <w:vAlign w:val="center"/>
          </w:tcPr>
          <w:p w14:paraId="16657D4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64DBA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4CCF697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w:t>
            </w:r>
          </w:p>
        </w:tc>
        <w:tc>
          <w:tcPr>
            <w:tcW w:w="1345" w:type="pct"/>
            <w:noWrap w:val="0"/>
            <w:vAlign w:val="center"/>
          </w:tcPr>
          <w:p w14:paraId="4B88FDC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地震动峰值加速度系数</w:t>
            </w:r>
          </w:p>
        </w:tc>
        <w:tc>
          <w:tcPr>
            <w:tcW w:w="662" w:type="pct"/>
            <w:noWrap w:val="0"/>
            <w:vAlign w:val="center"/>
          </w:tcPr>
          <w:p w14:paraId="3CFD0DB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g</w:t>
            </w:r>
          </w:p>
        </w:tc>
        <w:tc>
          <w:tcPr>
            <w:tcW w:w="1409" w:type="pct"/>
            <w:noWrap w:val="0"/>
            <w:vAlign w:val="center"/>
          </w:tcPr>
          <w:p w14:paraId="164655A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0.15</w:t>
            </w:r>
          </w:p>
        </w:tc>
        <w:tc>
          <w:tcPr>
            <w:tcW w:w="1238" w:type="pct"/>
            <w:noWrap w:val="0"/>
            <w:vAlign w:val="center"/>
          </w:tcPr>
          <w:p w14:paraId="503D0CB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08C65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AF061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w:t>
            </w:r>
          </w:p>
        </w:tc>
        <w:tc>
          <w:tcPr>
            <w:tcW w:w="1345" w:type="pct"/>
            <w:noWrap w:val="0"/>
            <w:vAlign w:val="center"/>
          </w:tcPr>
          <w:p w14:paraId="3251E11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不设超高最小半径</w:t>
            </w:r>
          </w:p>
        </w:tc>
        <w:tc>
          <w:tcPr>
            <w:tcW w:w="662" w:type="pct"/>
            <w:noWrap w:val="0"/>
            <w:vAlign w:val="center"/>
          </w:tcPr>
          <w:p w14:paraId="26D30AA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m</w:t>
            </w:r>
          </w:p>
        </w:tc>
        <w:tc>
          <w:tcPr>
            <w:tcW w:w="1409" w:type="pct"/>
            <w:noWrap w:val="0"/>
            <w:vAlign w:val="center"/>
          </w:tcPr>
          <w:p w14:paraId="2C4095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330</w:t>
            </w:r>
          </w:p>
        </w:tc>
        <w:tc>
          <w:tcPr>
            <w:tcW w:w="1238" w:type="pct"/>
            <w:noWrap w:val="0"/>
            <w:vAlign w:val="center"/>
          </w:tcPr>
          <w:p w14:paraId="705E6A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329B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7A01A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13</w:t>
            </w:r>
          </w:p>
        </w:tc>
        <w:tc>
          <w:tcPr>
            <w:tcW w:w="1345" w:type="pct"/>
            <w:noWrap w:val="0"/>
            <w:vAlign w:val="center"/>
          </w:tcPr>
          <w:p w14:paraId="6905CBA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拆迁建筑物</w:t>
            </w:r>
          </w:p>
        </w:tc>
        <w:tc>
          <w:tcPr>
            <w:tcW w:w="662" w:type="pct"/>
            <w:noWrap w:val="0"/>
            <w:vAlign w:val="center"/>
          </w:tcPr>
          <w:p w14:paraId="7C6EA9D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平方米</w:t>
            </w:r>
          </w:p>
        </w:tc>
        <w:tc>
          <w:tcPr>
            <w:tcW w:w="1409" w:type="pct"/>
            <w:noWrap w:val="0"/>
            <w:vAlign w:val="center"/>
          </w:tcPr>
          <w:p w14:paraId="578BB0F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159</w:t>
            </w:r>
          </w:p>
        </w:tc>
        <w:tc>
          <w:tcPr>
            <w:tcW w:w="1238" w:type="pct"/>
            <w:noWrap w:val="0"/>
            <w:vAlign w:val="center"/>
          </w:tcPr>
          <w:p w14:paraId="6D16EE1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79D81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AF32A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14</w:t>
            </w:r>
          </w:p>
        </w:tc>
        <w:tc>
          <w:tcPr>
            <w:tcW w:w="1345" w:type="pct"/>
            <w:noWrap w:val="0"/>
            <w:vAlign w:val="center"/>
          </w:tcPr>
          <w:p w14:paraId="25496C7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占用土地</w:t>
            </w:r>
          </w:p>
        </w:tc>
        <w:tc>
          <w:tcPr>
            <w:tcW w:w="662" w:type="pct"/>
            <w:noWrap w:val="0"/>
            <w:vAlign w:val="center"/>
          </w:tcPr>
          <w:p w14:paraId="0A88E20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亩</w:t>
            </w:r>
          </w:p>
        </w:tc>
        <w:tc>
          <w:tcPr>
            <w:tcW w:w="1409" w:type="pct"/>
            <w:noWrap w:val="0"/>
            <w:vAlign w:val="center"/>
          </w:tcPr>
          <w:p w14:paraId="2055C77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139.61</w:t>
            </w:r>
          </w:p>
        </w:tc>
        <w:tc>
          <w:tcPr>
            <w:tcW w:w="1238" w:type="pct"/>
            <w:noWrap w:val="0"/>
            <w:vAlign w:val="center"/>
          </w:tcPr>
          <w:p w14:paraId="376D7F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0.0931km</w:t>
            </w:r>
            <w:r>
              <w:rPr>
                <w:rFonts w:hint="default" w:ascii="Times New Roman" w:hAnsi="Times New Roman" w:eastAsia="宋体" w:cs="Times New Roman"/>
                <w:b w:val="0"/>
                <w:bCs w:val="0"/>
                <w:color w:val="auto"/>
                <w:sz w:val="21"/>
                <w:szCs w:val="21"/>
                <w:vertAlign w:val="superscript"/>
              </w:rPr>
              <w:t>2</w:t>
            </w:r>
          </w:p>
        </w:tc>
      </w:tr>
      <w:tr w14:paraId="266BC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5000" w:type="pct"/>
            <w:gridSpan w:val="5"/>
            <w:noWrap w:val="0"/>
            <w:vAlign w:val="center"/>
          </w:tcPr>
          <w:p w14:paraId="078E84D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三、路基、路面</w:t>
            </w:r>
          </w:p>
        </w:tc>
      </w:tr>
      <w:tr w14:paraId="78CD4D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210F055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w:t>
            </w:r>
          </w:p>
        </w:tc>
        <w:tc>
          <w:tcPr>
            <w:tcW w:w="1345" w:type="pct"/>
            <w:noWrap w:val="0"/>
            <w:vAlign w:val="center"/>
          </w:tcPr>
          <w:p w14:paraId="0B8C309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路基宽度</w:t>
            </w:r>
          </w:p>
        </w:tc>
        <w:tc>
          <w:tcPr>
            <w:tcW w:w="662" w:type="pct"/>
            <w:noWrap w:val="0"/>
            <w:vAlign w:val="center"/>
          </w:tcPr>
          <w:p w14:paraId="7EE728A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w:t>
            </w:r>
          </w:p>
        </w:tc>
        <w:tc>
          <w:tcPr>
            <w:tcW w:w="1409" w:type="pct"/>
            <w:noWrap w:val="0"/>
            <w:vAlign w:val="center"/>
          </w:tcPr>
          <w:p w14:paraId="6849661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w:t>
            </w:r>
          </w:p>
        </w:tc>
        <w:tc>
          <w:tcPr>
            <w:tcW w:w="1238" w:type="pct"/>
            <w:noWrap w:val="0"/>
            <w:vAlign w:val="center"/>
          </w:tcPr>
          <w:p w14:paraId="5F77730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基层为水泥稳定碎石，底基层为级配碎石</w:t>
            </w:r>
          </w:p>
        </w:tc>
      </w:tr>
      <w:tr w14:paraId="3CE8B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725C15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16</w:t>
            </w:r>
          </w:p>
        </w:tc>
        <w:tc>
          <w:tcPr>
            <w:tcW w:w="1345" w:type="pct"/>
            <w:noWrap w:val="0"/>
            <w:vAlign w:val="center"/>
          </w:tcPr>
          <w:p w14:paraId="05439E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沥青路面宽度</w:t>
            </w:r>
          </w:p>
        </w:tc>
        <w:tc>
          <w:tcPr>
            <w:tcW w:w="662" w:type="pct"/>
            <w:noWrap w:val="0"/>
            <w:vAlign w:val="center"/>
          </w:tcPr>
          <w:p w14:paraId="07FCE72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w:t>
            </w:r>
          </w:p>
        </w:tc>
        <w:tc>
          <w:tcPr>
            <w:tcW w:w="1409" w:type="pct"/>
            <w:noWrap w:val="0"/>
            <w:vAlign w:val="center"/>
          </w:tcPr>
          <w:p w14:paraId="0DC6215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w:t>
            </w:r>
          </w:p>
        </w:tc>
        <w:tc>
          <w:tcPr>
            <w:tcW w:w="1238" w:type="pct"/>
            <w:noWrap w:val="0"/>
            <w:vAlign w:val="center"/>
          </w:tcPr>
          <w:p w14:paraId="24D127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路面为普通沥青混凝土</w:t>
            </w:r>
          </w:p>
        </w:tc>
      </w:tr>
      <w:tr w14:paraId="21148C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18A1D0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w:t>
            </w:r>
          </w:p>
        </w:tc>
        <w:tc>
          <w:tcPr>
            <w:tcW w:w="1345" w:type="pct"/>
            <w:noWrap w:val="0"/>
            <w:vAlign w:val="center"/>
          </w:tcPr>
          <w:p w14:paraId="61B2C3A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全线土石方</w:t>
            </w:r>
          </w:p>
        </w:tc>
        <w:tc>
          <w:tcPr>
            <w:tcW w:w="662" w:type="pct"/>
            <w:noWrap w:val="0"/>
            <w:vAlign w:val="center"/>
          </w:tcPr>
          <w:p w14:paraId="63FC49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万立方米</w:t>
            </w:r>
          </w:p>
        </w:tc>
        <w:tc>
          <w:tcPr>
            <w:tcW w:w="1409" w:type="pct"/>
            <w:noWrap w:val="0"/>
            <w:vAlign w:val="center"/>
          </w:tcPr>
          <w:p w14:paraId="6E26337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98.5596</w:t>
            </w:r>
          </w:p>
        </w:tc>
        <w:tc>
          <w:tcPr>
            <w:tcW w:w="1238" w:type="pct"/>
            <w:noWrap w:val="0"/>
            <w:vAlign w:val="center"/>
          </w:tcPr>
          <w:p w14:paraId="64764F9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320EF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2B98AF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18</w:t>
            </w:r>
          </w:p>
        </w:tc>
        <w:tc>
          <w:tcPr>
            <w:tcW w:w="1345" w:type="pct"/>
            <w:noWrap w:val="0"/>
            <w:vAlign w:val="center"/>
          </w:tcPr>
          <w:p w14:paraId="44FE202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填方</w:t>
            </w:r>
          </w:p>
        </w:tc>
        <w:tc>
          <w:tcPr>
            <w:tcW w:w="662" w:type="pct"/>
            <w:noWrap w:val="0"/>
            <w:vAlign w:val="center"/>
          </w:tcPr>
          <w:p w14:paraId="0E84A0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万立方米</w:t>
            </w:r>
          </w:p>
        </w:tc>
        <w:tc>
          <w:tcPr>
            <w:tcW w:w="1409" w:type="pct"/>
            <w:noWrap w:val="0"/>
            <w:vAlign w:val="center"/>
          </w:tcPr>
          <w:p w14:paraId="0B0D7E3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2.604</w:t>
            </w:r>
          </w:p>
        </w:tc>
        <w:tc>
          <w:tcPr>
            <w:tcW w:w="1238" w:type="pct"/>
            <w:noWrap w:val="0"/>
            <w:vAlign w:val="center"/>
          </w:tcPr>
          <w:p w14:paraId="30BF90B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4EF14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514BE15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19</w:t>
            </w:r>
          </w:p>
        </w:tc>
        <w:tc>
          <w:tcPr>
            <w:tcW w:w="1345" w:type="pct"/>
            <w:noWrap w:val="0"/>
            <w:vAlign w:val="center"/>
          </w:tcPr>
          <w:p w14:paraId="287FE4B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防护工程</w:t>
            </w:r>
          </w:p>
        </w:tc>
        <w:tc>
          <w:tcPr>
            <w:tcW w:w="662" w:type="pct"/>
            <w:noWrap w:val="0"/>
            <w:vAlign w:val="center"/>
          </w:tcPr>
          <w:p w14:paraId="2176256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米/立方米</w:t>
            </w:r>
          </w:p>
        </w:tc>
        <w:tc>
          <w:tcPr>
            <w:tcW w:w="1409" w:type="pct"/>
            <w:noWrap w:val="0"/>
            <w:vAlign w:val="center"/>
          </w:tcPr>
          <w:p w14:paraId="3CC97CE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60/217.66</w:t>
            </w:r>
          </w:p>
        </w:tc>
        <w:tc>
          <w:tcPr>
            <w:tcW w:w="1238" w:type="pct"/>
            <w:noWrap w:val="0"/>
            <w:vAlign w:val="center"/>
          </w:tcPr>
          <w:p w14:paraId="532E263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护面墙</w:t>
            </w:r>
          </w:p>
        </w:tc>
      </w:tr>
      <w:tr w14:paraId="3CFAD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5453E8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w:t>
            </w:r>
          </w:p>
        </w:tc>
        <w:tc>
          <w:tcPr>
            <w:tcW w:w="1345" w:type="pct"/>
            <w:noWrap w:val="0"/>
            <w:vAlign w:val="center"/>
          </w:tcPr>
          <w:p w14:paraId="1A9925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排水工程</w:t>
            </w:r>
          </w:p>
        </w:tc>
        <w:tc>
          <w:tcPr>
            <w:tcW w:w="662" w:type="pct"/>
            <w:noWrap w:val="0"/>
            <w:vAlign w:val="center"/>
          </w:tcPr>
          <w:p w14:paraId="0ED68D2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米/立方米</w:t>
            </w:r>
          </w:p>
        </w:tc>
        <w:tc>
          <w:tcPr>
            <w:tcW w:w="1409" w:type="pct"/>
            <w:noWrap w:val="0"/>
            <w:vAlign w:val="center"/>
          </w:tcPr>
          <w:p w14:paraId="13D1593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6534.858/2845.586</w:t>
            </w:r>
          </w:p>
        </w:tc>
        <w:tc>
          <w:tcPr>
            <w:tcW w:w="1238" w:type="pct"/>
            <w:noWrap w:val="0"/>
            <w:vAlign w:val="center"/>
          </w:tcPr>
          <w:p w14:paraId="5EC7A4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水沟</w:t>
            </w:r>
          </w:p>
        </w:tc>
      </w:tr>
      <w:tr w14:paraId="67AEC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5000" w:type="pct"/>
            <w:gridSpan w:val="5"/>
            <w:noWrap w:val="0"/>
            <w:vAlign w:val="center"/>
          </w:tcPr>
          <w:p w14:paraId="0AA4699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四、涵洞（无桥梁）</w:t>
            </w:r>
          </w:p>
        </w:tc>
      </w:tr>
      <w:tr w14:paraId="117F1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69333C3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21</w:t>
            </w:r>
          </w:p>
        </w:tc>
        <w:tc>
          <w:tcPr>
            <w:tcW w:w="1345" w:type="pct"/>
            <w:noWrap w:val="0"/>
            <w:vAlign w:val="center"/>
          </w:tcPr>
          <w:p w14:paraId="53B366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设计荷载</w:t>
            </w:r>
          </w:p>
        </w:tc>
        <w:tc>
          <w:tcPr>
            <w:tcW w:w="662" w:type="pct"/>
            <w:noWrap w:val="0"/>
            <w:vAlign w:val="center"/>
          </w:tcPr>
          <w:p w14:paraId="788D71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等级</w:t>
            </w:r>
          </w:p>
        </w:tc>
        <w:tc>
          <w:tcPr>
            <w:tcW w:w="1409" w:type="pct"/>
            <w:noWrap w:val="0"/>
            <w:vAlign w:val="center"/>
          </w:tcPr>
          <w:p w14:paraId="51D4A5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公路Ⅰ级</w:t>
            </w:r>
          </w:p>
        </w:tc>
        <w:tc>
          <w:tcPr>
            <w:tcW w:w="1238" w:type="pct"/>
            <w:noWrap w:val="0"/>
            <w:vAlign w:val="center"/>
          </w:tcPr>
          <w:p w14:paraId="137927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011E6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10F8E97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22</w:t>
            </w:r>
          </w:p>
        </w:tc>
        <w:tc>
          <w:tcPr>
            <w:tcW w:w="1345" w:type="pct"/>
            <w:noWrap w:val="0"/>
            <w:vAlign w:val="center"/>
          </w:tcPr>
          <w:p w14:paraId="2DBE180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新建钢筋混凝土圆管涵</w:t>
            </w:r>
          </w:p>
        </w:tc>
        <w:tc>
          <w:tcPr>
            <w:tcW w:w="662" w:type="pct"/>
            <w:noWrap w:val="0"/>
            <w:vAlign w:val="center"/>
          </w:tcPr>
          <w:p w14:paraId="15AF20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道</w:t>
            </w:r>
          </w:p>
        </w:tc>
        <w:tc>
          <w:tcPr>
            <w:tcW w:w="1409" w:type="pct"/>
            <w:noWrap w:val="0"/>
            <w:vAlign w:val="center"/>
          </w:tcPr>
          <w:p w14:paraId="22C61C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1238" w:type="pct"/>
            <w:noWrap w:val="0"/>
            <w:vAlign w:val="center"/>
          </w:tcPr>
          <w:p w14:paraId="5E263F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16C99B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5000" w:type="pct"/>
            <w:gridSpan w:val="5"/>
            <w:noWrap w:val="0"/>
            <w:vAlign w:val="center"/>
          </w:tcPr>
          <w:p w14:paraId="7D7F41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五、路线交叉</w:t>
            </w:r>
          </w:p>
        </w:tc>
      </w:tr>
      <w:tr w14:paraId="3CBD6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7981979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23</w:t>
            </w:r>
          </w:p>
        </w:tc>
        <w:tc>
          <w:tcPr>
            <w:tcW w:w="1345" w:type="pct"/>
            <w:noWrap w:val="0"/>
            <w:vAlign w:val="center"/>
          </w:tcPr>
          <w:p w14:paraId="36067E4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平交</w:t>
            </w:r>
          </w:p>
        </w:tc>
        <w:tc>
          <w:tcPr>
            <w:tcW w:w="662" w:type="pct"/>
            <w:noWrap w:val="0"/>
            <w:vAlign w:val="center"/>
          </w:tcPr>
          <w:p w14:paraId="7E3262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处</w:t>
            </w:r>
          </w:p>
        </w:tc>
        <w:tc>
          <w:tcPr>
            <w:tcW w:w="1409" w:type="pct"/>
            <w:noWrap w:val="0"/>
            <w:vAlign w:val="center"/>
          </w:tcPr>
          <w:p w14:paraId="281FF32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1238" w:type="pct"/>
            <w:noWrap w:val="0"/>
            <w:vAlign w:val="center"/>
          </w:tcPr>
          <w:p w14:paraId="7AEC7A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FBB91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5000" w:type="pct"/>
            <w:gridSpan w:val="5"/>
            <w:noWrap w:val="0"/>
            <w:vAlign w:val="center"/>
          </w:tcPr>
          <w:p w14:paraId="38016FE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六、安全设施</w:t>
            </w:r>
          </w:p>
        </w:tc>
      </w:tr>
      <w:tr w14:paraId="34451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5EBF2B0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w:t>
            </w:r>
          </w:p>
        </w:tc>
        <w:tc>
          <w:tcPr>
            <w:tcW w:w="1345" w:type="pct"/>
            <w:noWrap w:val="0"/>
            <w:vAlign w:val="center"/>
          </w:tcPr>
          <w:p w14:paraId="206811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道口标柱</w:t>
            </w:r>
          </w:p>
        </w:tc>
        <w:tc>
          <w:tcPr>
            <w:tcW w:w="662" w:type="pct"/>
            <w:noWrap w:val="0"/>
            <w:vAlign w:val="center"/>
          </w:tcPr>
          <w:p w14:paraId="4D7C6BE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根</w:t>
            </w:r>
          </w:p>
        </w:tc>
        <w:tc>
          <w:tcPr>
            <w:tcW w:w="1409" w:type="pct"/>
            <w:noWrap w:val="0"/>
            <w:vAlign w:val="center"/>
          </w:tcPr>
          <w:p w14:paraId="68BAAC3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w:t>
            </w:r>
          </w:p>
        </w:tc>
        <w:tc>
          <w:tcPr>
            <w:tcW w:w="1238" w:type="pct"/>
            <w:noWrap w:val="0"/>
            <w:vAlign w:val="center"/>
          </w:tcPr>
          <w:p w14:paraId="73B8C3E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3DE86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7B549B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w:t>
            </w:r>
          </w:p>
        </w:tc>
        <w:tc>
          <w:tcPr>
            <w:tcW w:w="1345" w:type="pct"/>
            <w:noWrap w:val="0"/>
            <w:vAlign w:val="center"/>
          </w:tcPr>
          <w:p w14:paraId="005CCA4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路面标线</w:t>
            </w:r>
          </w:p>
        </w:tc>
        <w:tc>
          <w:tcPr>
            <w:tcW w:w="662" w:type="pct"/>
            <w:noWrap w:val="0"/>
            <w:vAlign w:val="center"/>
          </w:tcPr>
          <w:p w14:paraId="142F3A3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平方米</w:t>
            </w:r>
          </w:p>
        </w:tc>
        <w:tc>
          <w:tcPr>
            <w:tcW w:w="1409" w:type="pct"/>
            <w:noWrap w:val="0"/>
            <w:vAlign w:val="center"/>
          </w:tcPr>
          <w:p w14:paraId="14339CF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1042.46</w:t>
            </w:r>
          </w:p>
        </w:tc>
        <w:tc>
          <w:tcPr>
            <w:tcW w:w="1238" w:type="pct"/>
            <w:noWrap w:val="0"/>
            <w:vAlign w:val="center"/>
          </w:tcPr>
          <w:p w14:paraId="3E8F0D3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5DC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852791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w:t>
            </w:r>
          </w:p>
        </w:tc>
        <w:tc>
          <w:tcPr>
            <w:tcW w:w="1345" w:type="pct"/>
            <w:noWrap w:val="0"/>
            <w:vAlign w:val="center"/>
          </w:tcPr>
          <w:p w14:paraId="0FEDB6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振动减速标线</w:t>
            </w:r>
          </w:p>
        </w:tc>
        <w:tc>
          <w:tcPr>
            <w:tcW w:w="662" w:type="pct"/>
            <w:noWrap w:val="0"/>
            <w:vAlign w:val="center"/>
          </w:tcPr>
          <w:p w14:paraId="6E0997E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平方米</w:t>
            </w:r>
          </w:p>
        </w:tc>
        <w:tc>
          <w:tcPr>
            <w:tcW w:w="1409" w:type="pct"/>
            <w:noWrap w:val="0"/>
            <w:vAlign w:val="center"/>
          </w:tcPr>
          <w:p w14:paraId="4DDB285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135</w:t>
            </w:r>
          </w:p>
        </w:tc>
        <w:tc>
          <w:tcPr>
            <w:tcW w:w="1238" w:type="pct"/>
            <w:noWrap w:val="0"/>
            <w:vAlign w:val="center"/>
          </w:tcPr>
          <w:p w14:paraId="720595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46310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532D78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27</w:t>
            </w:r>
          </w:p>
        </w:tc>
        <w:tc>
          <w:tcPr>
            <w:tcW w:w="1345" w:type="pct"/>
            <w:noWrap w:val="0"/>
            <w:vAlign w:val="center"/>
          </w:tcPr>
          <w:p w14:paraId="67F9C64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标志牌</w:t>
            </w:r>
          </w:p>
        </w:tc>
        <w:tc>
          <w:tcPr>
            <w:tcW w:w="662" w:type="pct"/>
            <w:noWrap w:val="0"/>
            <w:vAlign w:val="center"/>
          </w:tcPr>
          <w:p w14:paraId="2532513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块</w:t>
            </w:r>
          </w:p>
        </w:tc>
        <w:tc>
          <w:tcPr>
            <w:tcW w:w="1409" w:type="pct"/>
            <w:noWrap w:val="0"/>
            <w:vAlign w:val="center"/>
          </w:tcPr>
          <w:p w14:paraId="30D2DB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1238" w:type="pct"/>
            <w:noWrap w:val="0"/>
            <w:vAlign w:val="center"/>
          </w:tcPr>
          <w:p w14:paraId="223D9C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5B256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05E09C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28</w:t>
            </w:r>
          </w:p>
        </w:tc>
        <w:tc>
          <w:tcPr>
            <w:tcW w:w="1345" w:type="pct"/>
            <w:noWrap w:val="0"/>
            <w:vAlign w:val="center"/>
          </w:tcPr>
          <w:p w14:paraId="18FE3EF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波形护栏</w:t>
            </w:r>
          </w:p>
        </w:tc>
        <w:tc>
          <w:tcPr>
            <w:tcW w:w="662" w:type="pct"/>
            <w:noWrap w:val="0"/>
            <w:vAlign w:val="center"/>
          </w:tcPr>
          <w:p w14:paraId="76A30E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m</w:t>
            </w:r>
          </w:p>
        </w:tc>
        <w:tc>
          <w:tcPr>
            <w:tcW w:w="1409" w:type="pct"/>
            <w:noWrap w:val="0"/>
            <w:vAlign w:val="center"/>
          </w:tcPr>
          <w:p w14:paraId="418BFA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1238" w:type="pct"/>
            <w:noWrap w:val="0"/>
            <w:vAlign w:val="center"/>
          </w:tcPr>
          <w:p w14:paraId="7158898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5F9F8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3444ABE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29</w:t>
            </w:r>
          </w:p>
        </w:tc>
        <w:tc>
          <w:tcPr>
            <w:tcW w:w="1345" w:type="pct"/>
            <w:noWrap w:val="0"/>
            <w:vAlign w:val="center"/>
          </w:tcPr>
          <w:p w14:paraId="7482893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里程碑</w:t>
            </w:r>
          </w:p>
        </w:tc>
        <w:tc>
          <w:tcPr>
            <w:tcW w:w="662" w:type="pct"/>
            <w:noWrap w:val="0"/>
            <w:vAlign w:val="center"/>
          </w:tcPr>
          <w:p w14:paraId="7DBD353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块</w:t>
            </w:r>
          </w:p>
        </w:tc>
        <w:tc>
          <w:tcPr>
            <w:tcW w:w="1409" w:type="pct"/>
            <w:noWrap w:val="0"/>
            <w:vAlign w:val="center"/>
          </w:tcPr>
          <w:p w14:paraId="5DA25A6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1238" w:type="pct"/>
            <w:noWrap w:val="0"/>
            <w:vAlign w:val="center"/>
          </w:tcPr>
          <w:p w14:paraId="4DBD11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741E05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5" w:type="dxa"/>
            <w:bottom w:w="0" w:type="dxa"/>
            <w:right w:w="15" w:type="dxa"/>
          </w:tblCellMar>
        </w:tblPrEx>
        <w:trPr>
          <w:trHeight w:val="397" w:hRule="atLeast"/>
        </w:trPr>
        <w:tc>
          <w:tcPr>
            <w:tcW w:w="344" w:type="pct"/>
            <w:noWrap w:val="0"/>
            <w:vAlign w:val="center"/>
          </w:tcPr>
          <w:p w14:paraId="2B9F3D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w:t>
            </w:r>
          </w:p>
        </w:tc>
        <w:tc>
          <w:tcPr>
            <w:tcW w:w="1345" w:type="pct"/>
            <w:noWrap w:val="0"/>
            <w:vAlign w:val="center"/>
          </w:tcPr>
          <w:p w14:paraId="1C8EEBB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百米柱</w:t>
            </w:r>
          </w:p>
        </w:tc>
        <w:tc>
          <w:tcPr>
            <w:tcW w:w="662" w:type="pct"/>
            <w:noWrap w:val="0"/>
            <w:vAlign w:val="center"/>
          </w:tcPr>
          <w:p w14:paraId="2DEEBFD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块</w:t>
            </w:r>
          </w:p>
        </w:tc>
        <w:tc>
          <w:tcPr>
            <w:tcW w:w="1409" w:type="pct"/>
            <w:noWrap w:val="0"/>
            <w:vAlign w:val="center"/>
          </w:tcPr>
          <w:p w14:paraId="4BFBB80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w:t>
            </w:r>
          </w:p>
        </w:tc>
        <w:tc>
          <w:tcPr>
            <w:tcW w:w="1238" w:type="pct"/>
            <w:noWrap w:val="0"/>
            <w:vAlign w:val="center"/>
          </w:tcPr>
          <w:p w14:paraId="12A3ADA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bl>
    <w:p w14:paraId="3F93B90D">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2.3.3路基工程</w:t>
      </w:r>
    </w:p>
    <w:p w14:paraId="095EB9C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道路标准横断面设计结合道路交通功能定位要求、资源节约利用、沿线规划用地情况及长远发展的交通状况等方面进行深入研究，并</w:t>
      </w:r>
      <w:r>
        <w:rPr>
          <w:rFonts w:hint="default" w:ascii="Times New Roman" w:hAnsi="Times New Roman" w:eastAsia="宋体" w:cs="Times New Roman"/>
          <w:color w:val="auto"/>
          <w:kern w:val="0"/>
          <w:lang w:eastAsia="zh-CN" w:bidi="ar"/>
        </w:rPr>
        <w:t>考虑</w:t>
      </w:r>
      <w:r>
        <w:rPr>
          <w:rFonts w:hint="default" w:ascii="Times New Roman" w:hAnsi="Times New Roman" w:eastAsia="宋体" w:cs="Times New Roman"/>
          <w:color w:val="auto"/>
          <w:kern w:val="0"/>
          <w:lang w:bidi="ar"/>
        </w:rPr>
        <w:t>预留电力、电信、给水、燃气等管线通道，为后续城市发展道路改建做准备，合理分配道路横断面，本次道路横断面方案如下：</w:t>
      </w:r>
    </w:p>
    <w:p w14:paraId="312D0506">
      <w:pPr>
        <w:widowControl/>
        <w:ind w:firstLine="0" w:firstLineChars="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drawing>
          <wp:inline distT="0" distB="0" distL="114300" distR="114300">
            <wp:extent cx="5504815" cy="3985895"/>
            <wp:effectExtent l="9525" t="9525" r="10160" b="24130"/>
            <wp:docPr id="27" name="图片 57" descr="fcbb224e-225f-4596-b327-12e3c2499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57" descr="fcbb224e-225f-4596-b327-12e3c2499136"/>
                    <pic:cNvPicPr>
                      <a:picLocks noChangeAspect="1"/>
                    </pic:cNvPicPr>
                  </pic:nvPicPr>
                  <pic:blipFill>
                    <a:blip r:embed="rId38"/>
                    <a:stretch>
                      <a:fillRect/>
                    </a:stretch>
                  </pic:blipFill>
                  <pic:spPr>
                    <a:xfrm>
                      <a:off x="0" y="0"/>
                      <a:ext cx="5504815" cy="398589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27EF37F0">
      <w:pPr>
        <w:widowControl/>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图2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-1  路基标准横断面</w:t>
      </w:r>
    </w:p>
    <w:p w14:paraId="3D1C1F8F">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横断面布置：2.0m（人行道）+2.5m（条形绿化带）+7.5m（车行道）+7.5m（车行道）+2.5m（条形绿化带）+2.0m（人行道）=24m。</w:t>
      </w:r>
    </w:p>
    <w:p w14:paraId="255C9665">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路基设计标高：为路基中心标高；</w:t>
      </w:r>
    </w:p>
    <w:p w14:paraId="4635C5A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 xml:space="preserve">路面横向坡度：一般路段行车道路拱横坡采用1.5%，土路肩横坡也采用2.0%； </w:t>
      </w:r>
    </w:p>
    <w:p w14:paraId="3E412FFF">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路基设计根据项目区特点，充分收集沿线地形地貌、地质、水文、气象、地震等基础资料，并在深入分析研究的基础上，采取因地制宜、就地取材的原则。充分考虑采用机械化施工方法、应用新技术、新材料、新工艺，并结合自然条件、路基填挖高度、环境景观等因素选择适当的路基横断面型式及组成设计参数，进行路基排水、防护、取（弃）土等的综合设计，加强环境保护及水土保持工作。</w:t>
      </w:r>
    </w:p>
    <w:p w14:paraId="248CF1B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填方路基：</w:t>
      </w:r>
    </w:p>
    <w:p w14:paraId="59DF3A4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当边坡高度H≤8m时，坡率为1∶1.5；当边坡高度8m＜H≤12m时，8m以上边</w:t>
      </w:r>
    </w:p>
    <w:p w14:paraId="0117928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坡坡率为1∶1.5，8m以下边坡坡率为1∶1.75，变坡处不设平台；当边坡高度12m＜H ≤20m时，8m以上边坡坡率为1∶1.5，8m以下边坡坡率为1∶1.75，变坡处设1m平台；当边坡坡脚地表横坡向路基外缓倾时，不设置排水沟，坡脚处不设护坡道；当边坡坡脚地表横坡倾向路基时且地表径流较大时，设置梯形排水沟，坡脚处设置宽度1m的护坡道。</w:t>
      </w:r>
    </w:p>
    <w:p w14:paraId="2014F993">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横断面上对路基的边坡顶及边坡角进行了弧形处理（即采用流线型横断面），纵向不同边坡坡率之间设置过渡段，过渡段以弧线进行过渡。</w:t>
      </w:r>
    </w:p>
    <w:p w14:paraId="78E0DCE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②挖方路基：</w:t>
      </w:r>
    </w:p>
    <w:p w14:paraId="06616FA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边坡按土质、岩性及岩石风化破碎程度采用折线形或台阶形边坡，边坡分级高度原则上为8米，但当边坡高度H≤10米时，仍按一级边坡处理。一般土质类（含全风化岩）边坡坡率为1∶1～1∶1.5，强风化岩路段坡率为1∶0.75～1∶1，弱风化岩质路段坡率为1∶0.3～1∶0.75，边坡平台为1m，边坡脚设0.5m宽碎落台。</w:t>
      </w:r>
    </w:p>
    <w:p w14:paraId="585ED4F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非挖方路段既有岩质边坡坡率陡于1∶0.5、既有土质边坡坡率陡于1∶1.0时，对有条件修整的，按新建边坡进行修整，</w:t>
      </w:r>
      <w:r>
        <w:rPr>
          <w:rFonts w:hint="default" w:ascii="Times New Roman" w:hAnsi="Times New Roman" w:eastAsia="宋体" w:cs="Times New Roman"/>
          <w:color w:val="auto"/>
          <w:kern w:val="0"/>
          <w:lang w:eastAsia="zh-CN" w:bidi="ar"/>
        </w:rPr>
        <w:t>其他</w:t>
      </w:r>
      <w:r>
        <w:rPr>
          <w:rFonts w:hint="default" w:ascii="Times New Roman" w:hAnsi="Times New Roman" w:eastAsia="宋体" w:cs="Times New Roman"/>
          <w:color w:val="auto"/>
          <w:kern w:val="0"/>
          <w:lang w:bidi="ar"/>
        </w:rPr>
        <w:t>路段维持既有边坡高度和坡率；对改建路挖方段，按新建挖方设计，一般路段边沟采用矩形边沟，过城镇或交叉口路段采用矩形盖板边沟。</w:t>
      </w:r>
    </w:p>
    <w:p w14:paraId="063A3C8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土质挖方路基采用流线型边坡，取消挖方边坡的坡脚和坡顶的折角，采用贴切自然的弧线过渡；岩石边坡采用直线式边坡，坡脚、坡顶用折角。</w:t>
      </w:r>
    </w:p>
    <w:p w14:paraId="0D217AE9">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2.3.4路面工程</w:t>
      </w:r>
    </w:p>
    <w:p w14:paraId="273B567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本项目公路推荐路面结构形式为沥青混凝土路面结构，路线全线路面设计年限采用15年。</w:t>
      </w:r>
    </w:p>
    <w:p w14:paraId="3D256D4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推荐路面结构组成为：4cm细粒式沥青混凝土（AC-13C）+7cm中粒式沥青混凝土（AC-20C）+沥青透层、0.6cm稀浆封层+36cm水泥稳定碎石+15cm级配碎石。</w:t>
      </w:r>
    </w:p>
    <w:p w14:paraId="53A04C63">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color w:val="auto"/>
        </w:rPr>
        <w:drawing>
          <wp:inline distT="0" distB="0" distL="114300" distR="114300">
            <wp:extent cx="5086350" cy="6838950"/>
            <wp:effectExtent l="9525" t="9525" r="9525" b="9525"/>
            <wp:docPr id="41"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8"/>
                    <pic:cNvPicPr>
                      <a:picLocks noChangeAspect="1"/>
                    </pic:cNvPicPr>
                  </pic:nvPicPr>
                  <pic:blipFill>
                    <a:blip r:embed="rId39"/>
                    <a:stretch>
                      <a:fillRect/>
                    </a:stretch>
                  </pic:blipFill>
                  <pic:spPr>
                    <a:xfrm>
                      <a:off x="0" y="0"/>
                      <a:ext cx="5086350" cy="683895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4F300673">
      <w:pPr>
        <w:ind w:firstLine="482"/>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图2</w:t>
      </w:r>
      <w:r>
        <w:rPr>
          <w:rFonts w:hint="eastAsia" w:ascii="Times New Roman" w:hAnsi="Times New Roman" w:eastAsia="宋体" w:cs="Times New Roman"/>
          <w:b/>
          <w:bCs/>
          <w:color w:val="auto"/>
          <w:lang w:val="en-US" w:eastAsia="zh-CN"/>
        </w:rPr>
        <w:t>.3</w:t>
      </w:r>
      <w:r>
        <w:rPr>
          <w:rFonts w:hint="default" w:ascii="Times New Roman" w:hAnsi="Times New Roman" w:eastAsia="宋体" w:cs="Times New Roman"/>
          <w:b/>
          <w:bCs/>
          <w:color w:val="auto"/>
        </w:rPr>
        <w:t>-2  路面结构示意图</w:t>
      </w:r>
    </w:p>
    <w:p w14:paraId="19D5A12C">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2.3.5涵洞工程</w:t>
      </w:r>
    </w:p>
    <w:p w14:paraId="2D4D189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经现场实地勘测，并考虑既有水沟排水及灌溉功能，确定涵洞的孔径、位置、进出口形式。基础类型根据地质情况、填土高度等，设计选用整体式基础。</w:t>
      </w:r>
    </w:p>
    <w:p w14:paraId="784A973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涵洞洞口形式的选择：设于低填方路基处的涵洞采用一字墙，设于一般填方路段处的涵洞采用八字翼墙与填方边坡衔接。</w:t>
      </w:r>
    </w:p>
    <w:p w14:paraId="43B9BD6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盖板、帽石、均采用C30混凝土，墙身采用C25混凝土，基础采用C20片石砼，洞口采用M7.5浆砌MU30片石砌筑，砌筑石料要求采用不低于MU30的片石，砌筑、勾缝、抹面均采用M10砂浆。涵洞钢筋主要为盖板钢筋：HRB400与HPB300。</w:t>
      </w:r>
    </w:p>
    <w:p w14:paraId="5B2C47D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圆管涵涵身用C30混凝土，砌筑石料强度不低于MU30，填石则采用片碎石。圬工砌体均采用M7.5砂浆砌筑（且支砌时必须座浆挤浆），勾缝、抹面采用M10水泥砂浆。圆管涵的钢筋采用HRB400（Φ8、10、12Mn）钢筋，抗拉强度为400MPa。HPB300（φ10、8、6光圆）钢筋，抗拉强度为300MPa。设计采用的普通钢筋为HPB300[φ]和HRB400[C]。HPB300钢筋的化学物理力学指标必须符合《</w:t>
      </w:r>
      <w:r>
        <w:rPr>
          <w:rFonts w:hint="default" w:ascii="Times New Roman" w:hAnsi="Times New Roman" w:eastAsia="宋体" w:cs="Times New Roman"/>
          <w:color w:val="auto"/>
          <w:kern w:val="0"/>
          <w:lang w:eastAsia="zh-CN" w:bidi="ar"/>
        </w:rPr>
        <w:t>钢筋混凝土用钢 第1部分：热轧光圆钢筋</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eastAsia="zh-CN" w:bidi="ar"/>
        </w:rPr>
        <w:t>GB 1499.1-2024</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的规定。HRB400钢筋的化学物理力学指标必须符合《</w:t>
      </w:r>
      <w:r>
        <w:rPr>
          <w:rFonts w:hint="default" w:ascii="Times New Roman" w:hAnsi="Times New Roman" w:eastAsia="宋体" w:cs="Times New Roman"/>
          <w:color w:val="auto"/>
          <w:kern w:val="0"/>
          <w:lang w:eastAsia="zh-CN" w:bidi="ar"/>
        </w:rPr>
        <w:t>钢筋混凝土用钢 第2部分：热轧带肋钢筋</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eastAsia="zh-CN" w:bidi="ar"/>
        </w:rPr>
        <w:t>（GB 1499.1-2024）</w:t>
      </w:r>
      <w:r>
        <w:rPr>
          <w:rFonts w:hint="default" w:ascii="Times New Roman" w:hAnsi="Times New Roman" w:eastAsia="宋体" w:cs="Times New Roman"/>
          <w:color w:val="auto"/>
          <w:kern w:val="0"/>
          <w:lang w:bidi="ar"/>
        </w:rPr>
        <w:t>的规定。</w:t>
      </w:r>
    </w:p>
    <w:p w14:paraId="026FF027">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表2</w:t>
      </w:r>
      <w:r>
        <w:rPr>
          <w:rFonts w:hint="eastAsia" w:ascii="Times New Roman" w:hAnsi="Times New Roman" w:eastAsia="宋体" w:cs="Times New Roman"/>
          <w:b/>
          <w:bCs/>
          <w:color w:val="auto"/>
          <w:sz w:val="21"/>
          <w:szCs w:val="21"/>
          <w:lang w:val="en-US" w:eastAsia="zh-CN"/>
        </w:rPr>
        <w:t>.3</w:t>
      </w:r>
      <w:r>
        <w:rPr>
          <w:rFonts w:hint="default" w:ascii="Times New Roman" w:hAnsi="Times New Roman" w:eastAsia="宋体" w:cs="Times New Roman"/>
          <w:b/>
          <w:bCs/>
          <w:color w:val="auto"/>
          <w:sz w:val="21"/>
          <w:szCs w:val="21"/>
        </w:rPr>
        <w:t>-</w:t>
      </w:r>
      <w:r>
        <w:rPr>
          <w:rFonts w:hint="eastAsia" w:ascii="Times New Roman" w:hAnsi="Times New Roman" w:eastAsia="宋体" w:cs="Times New Roman"/>
          <w:b/>
          <w:bCs/>
          <w:color w:val="auto"/>
          <w:sz w:val="21"/>
          <w:szCs w:val="21"/>
          <w:lang w:val="en-US" w:eastAsia="zh-CN"/>
        </w:rPr>
        <w:t>3</w:t>
      </w:r>
      <w:r>
        <w:rPr>
          <w:rFonts w:hint="default" w:ascii="Times New Roman" w:hAnsi="Times New Roman" w:eastAsia="宋体" w:cs="Times New Roman"/>
          <w:b/>
          <w:bCs/>
          <w:color w:val="auto"/>
          <w:sz w:val="21"/>
          <w:szCs w:val="21"/>
        </w:rPr>
        <w:t xml:space="preserve">  推荐线路沿线涵洞工程数量统计表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185"/>
        <w:gridCol w:w="2205"/>
        <w:gridCol w:w="970"/>
        <w:gridCol w:w="1270"/>
        <w:gridCol w:w="1270"/>
        <w:gridCol w:w="1270"/>
      </w:tblGrid>
      <w:tr w14:paraId="5BD7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restart"/>
            <w:noWrap w:val="0"/>
            <w:vAlign w:val="center"/>
          </w:tcPr>
          <w:p w14:paraId="05CEA27B">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185" w:type="dxa"/>
            <w:vMerge w:val="restart"/>
            <w:noWrap w:val="0"/>
            <w:vAlign w:val="center"/>
          </w:tcPr>
          <w:p w14:paraId="48528DD7">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里程桩号</w:t>
            </w:r>
          </w:p>
        </w:tc>
        <w:tc>
          <w:tcPr>
            <w:tcW w:w="2205" w:type="dxa"/>
            <w:vMerge w:val="restart"/>
            <w:noWrap w:val="0"/>
            <w:vAlign w:val="center"/>
          </w:tcPr>
          <w:p w14:paraId="45811795">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结构类型</w:t>
            </w:r>
          </w:p>
        </w:tc>
        <w:tc>
          <w:tcPr>
            <w:tcW w:w="970" w:type="dxa"/>
            <w:vMerge w:val="restart"/>
            <w:noWrap w:val="0"/>
            <w:vAlign w:val="center"/>
          </w:tcPr>
          <w:p w14:paraId="6637AAD7">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涵长</w:t>
            </w:r>
          </w:p>
        </w:tc>
        <w:tc>
          <w:tcPr>
            <w:tcW w:w="1270" w:type="dxa"/>
            <w:vMerge w:val="restart"/>
            <w:noWrap w:val="0"/>
            <w:vAlign w:val="center"/>
          </w:tcPr>
          <w:p w14:paraId="2A018DD6">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孔数-孔径</w:t>
            </w:r>
          </w:p>
          <w:p w14:paraId="7ADE7468">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（孔-B）</w:t>
            </w:r>
          </w:p>
        </w:tc>
        <w:tc>
          <w:tcPr>
            <w:tcW w:w="2540" w:type="dxa"/>
            <w:gridSpan w:val="2"/>
            <w:noWrap w:val="0"/>
            <w:vAlign w:val="center"/>
          </w:tcPr>
          <w:p w14:paraId="18DBEA68">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进出口形式</w:t>
            </w:r>
          </w:p>
        </w:tc>
      </w:tr>
      <w:tr w14:paraId="45D4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vMerge w:val="continue"/>
            <w:noWrap w:val="0"/>
            <w:vAlign w:val="center"/>
          </w:tcPr>
          <w:p w14:paraId="0645E6F1">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1185" w:type="dxa"/>
            <w:vMerge w:val="continue"/>
            <w:noWrap w:val="0"/>
            <w:vAlign w:val="center"/>
          </w:tcPr>
          <w:p w14:paraId="126E2C73">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205" w:type="dxa"/>
            <w:vMerge w:val="continue"/>
            <w:noWrap w:val="0"/>
            <w:vAlign w:val="center"/>
          </w:tcPr>
          <w:p w14:paraId="33F6C3FA">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970" w:type="dxa"/>
            <w:vMerge w:val="continue"/>
            <w:noWrap w:val="0"/>
            <w:vAlign w:val="center"/>
          </w:tcPr>
          <w:p w14:paraId="58172B38">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1270" w:type="dxa"/>
            <w:vMerge w:val="continue"/>
            <w:noWrap w:val="0"/>
            <w:vAlign w:val="center"/>
          </w:tcPr>
          <w:p w14:paraId="7FE61332">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1270" w:type="dxa"/>
            <w:noWrap w:val="0"/>
            <w:vAlign w:val="center"/>
          </w:tcPr>
          <w:p w14:paraId="258A42B4">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进口</w:t>
            </w:r>
          </w:p>
        </w:tc>
        <w:tc>
          <w:tcPr>
            <w:tcW w:w="1270" w:type="dxa"/>
            <w:noWrap w:val="0"/>
            <w:vAlign w:val="center"/>
          </w:tcPr>
          <w:p w14:paraId="132179EC">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出口</w:t>
            </w:r>
          </w:p>
        </w:tc>
      </w:tr>
      <w:tr w14:paraId="0AC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noWrap w:val="0"/>
            <w:vAlign w:val="center"/>
          </w:tcPr>
          <w:p w14:paraId="42AB0C0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185" w:type="dxa"/>
            <w:noWrap w:val="0"/>
            <w:vAlign w:val="center"/>
          </w:tcPr>
          <w:p w14:paraId="2F37487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K0+270.0</w:t>
            </w:r>
          </w:p>
        </w:tc>
        <w:tc>
          <w:tcPr>
            <w:tcW w:w="2205" w:type="dxa"/>
            <w:noWrap w:val="0"/>
            <w:vAlign w:val="center"/>
          </w:tcPr>
          <w:p w14:paraId="6B972AD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钢筋混凝土圆管涵</w:t>
            </w:r>
          </w:p>
        </w:tc>
        <w:tc>
          <w:tcPr>
            <w:tcW w:w="970" w:type="dxa"/>
            <w:noWrap w:val="0"/>
            <w:vAlign w:val="center"/>
          </w:tcPr>
          <w:p w14:paraId="2868A77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w:t>
            </w:r>
          </w:p>
        </w:tc>
        <w:tc>
          <w:tcPr>
            <w:tcW w:w="1270" w:type="dxa"/>
            <w:noWrap w:val="0"/>
            <w:vAlign w:val="center"/>
          </w:tcPr>
          <w:p w14:paraId="4E3AE2B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1-Φ1.0</w:t>
            </w:r>
          </w:p>
        </w:tc>
        <w:tc>
          <w:tcPr>
            <w:tcW w:w="1270" w:type="dxa"/>
            <w:noWrap w:val="0"/>
            <w:vAlign w:val="center"/>
          </w:tcPr>
          <w:p w14:paraId="6749A5A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边沟跌井</w:t>
            </w:r>
          </w:p>
        </w:tc>
        <w:tc>
          <w:tcPr>
            <w:tcW w:w="1270" w:type="dxa"/>
            <w:noWrap w:val="0"/>
            <w:vAlign w:val="center"/>
          </w:tcPr>
          <w:p w14:paraId="056CD04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一字墙</w:t>
            </w:r>
          </w:p>
        </w:tc>
      </w:tr>
      <w:tr w14:paraId="78AE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noWrap w:val="0"/>
            <w:vAlign w:val="center"/>
          </w:tcPr>
          <w:p w14:paraId="0EDFB2A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185" w:type="dxa"/>
            <w:noWrap w:val="0"/>
            <w:vAlign w:val="center"/>
          </w:tcPr>
          <w:p w14:paraId="05C5C8A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K0+800.0</w:t>
            </w:r>
          </w:p>
        </w:tc>
        <w:tc>
          <w:tcPr>
            <w:tcW w:w="2205" w:type="dxa"/>
            <w:noWrap w:val="0"/>
            <w:vAlign w:val="center"/>
          </w:tcPr>
          <w:p w14:paraId="7886F20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钢筋混凝土圆管涵</w:t>
            </w:r>
          </w:p>
        </w:tc>
        <w:tc>
          <w:tcPr>
            <w:tcW w:w="970" w:type="dxa"/>
            <w:noWrap w:val="0"/>
            <w:vAlign w:val="center"/>
          </w:tcPr>
          <w:p w14:paraId="1904D93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w:t>
            </w:r>
          </w:p>
        </w:tc>
        <w:tc>
          <w:tcPr>
            <w:tcW w:w="1270" w:type="dxa"/>
            <w:noWrap w:val="0"/>
            <w:vAlign w:val="center"/>
          </w:tcPr>
          <w:p w14:paraId="5B9C6EF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1-Φ1.2</w:t>
            </w:r>
          </w:p>
        </w:tc>
        <w:tc>
          <w:tcPr>
            <w:tcW w:w="1270" w:type="dxa"/>
            <w:noWrap w:val="0"/>
            <w:vAlign w:val="center"/>
          </w:tcPr>
          <w:p w14:paraId="5071BB6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八字墙</w:t>
            </w:r>
          </w:p>
        </w:tc>
        <w:tc>
          <w:tcPr>
            <w:tcW w:w="1270" w:type="dxa"/>
            <w:noWrap w:val="0"/>
            <w:vAlign w:val="center"/>
          </w:tcPr>
          <w:p w14:paraId="0FD8504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八字墙</w:t>
            </w:r>
          </w:p>
        </w:tc>
      </w:tr>
      <w:tr w14:paraId="79F1C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16" w:type="dxa"/>
            <w:noWrap w:val="0"/>
            <w:vAlign w:val="center"/>
          </w:tcPr>
          <w:p w14:paraId="7222A6C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185" w:type="dxa"/>
            <w:noWrap w:val="0"/>
            <w:vAlign w:val="center"/>
          </w:tcPr>
          <w:p w14:paraId="2ABFE75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K1+185.0</w:t>
            </w:r>
          </w:p>
        </w:tc>
        <w:tc>
          <w:tcPr>
            <w:tcW w:w="2205" w:type="dxa"/>
            <w:noWrap w:val="0"/>
            <w:vAlign w:val="center"/>
          </w:tcPr>
          <w:p w14:paraId="0864BC1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钢筋混凝土圆管涵</w:t>
            </w:r>
          </w:p>
        </w:tc>
        <w:tc>
          <w:tcPr>
            <w:tcW w:w="970" w:type="dxa"/>
            <w:noWrap w:val="0"/>
            <w:vAlign w:val="center"/>
          </w:tcPr>
          <w:p w14:paraId="576FE8C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w:t>
            </w:r>
          </w:p>
        </w:tc>
        <w:tc>
          <w:tcPr>
            <w:tcW w:w="1270" w:type="dxa"/>
            <w:noWrap w:val="0"/>
            <w:vAlign w:val="center"/>
          </w:tcPr>
          <w:p w14:paraId="6477B1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1-Φ1.0</w:t>
            </w:r>
          </w:p>
        </w:tc>
        <w:tc>
          <w:tcPr>
            <w:tcW w:w="1270" w:type="dxa"/>
            <w:noWrap w:val="0"/>
            <w:vAlign w:val="center"/>
          </w:tcPr>
          <w:p w14:paraId="378D07D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八字墙</w:t>
            </w:r>
          </w:p>
        </w:tc>
        <w:tc>
          <w:tcPr>
            <w:tcW w:w="1270" w:type="dxa"/>
            <w:noWrap w:val="0"/>
            <w:vAlign w:val="center"/>
          </w:tcPr>
          <w:p w14:paraId="63B2FEB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八字墙</w:t>
            </w:r>
          </w:p>
        </w:tc>
      </w:tr>
    </w:tbl>
    <w:p w14:paraId="5875DF73">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2.3.6交叉工程</w:t>
      </w:r>
    </w:p>
    <w:p w14:paraId="104A4AA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为与各道路相连接，全线共有平面交叉3处。同时完善标志标牌，保证交叉口交通安全。详见下表。</w:t>
      </w:r>
    </w:p>
    <w:p w14:paraId="531F4648">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w:t>
      </w:r>
      <w:r>
        <w:rPr>
          <w:rFonts w:hint="eastAsia" w:ascii="Times New Roman" w:hAnsi="Times New Roman" w:eastAsia="宋体" w:cs="Times New Roman"/>
          <w:b/>
          <w:bCs/>
          <w:color w:val="auto"/>
          <w:kern w:val="0"/>
          <w:sz w:val="21"/>
          <w:szCs w:val="21"/>
          <w:lang w:val="en-US" w:eastAsia="zh-CN" w:bidi="ar"/>
        </w:rPr>
        <w:t>2.3</w:t>
      </w:r>
      <w:r>
        <w:rPr>
          <w:rFonts w:hint="default" w:ascii="Times New Roman" w:hAnsi="Times New Roman" w:eastAsia="宋体" w:cs="Times New Roman"/>
          <w:b/>
          <w:bCs/>
          <w:color w:val="auto"/>
          <w:kern w:val="0"/>
          <w:sz w:val="21"/>
          <w:szCs w:val="21"/>
          <w:lang w:bidi="ar"/>
        </w:rPr>
        <w:t>-</w:t>
      </w:r>
      <w:r>
        <w:rPr>
          <w:rFonts w:hint="eastAsia"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 xml:space="preserve">  线路交叉统计表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1"/>
        <w:gridCol w:w="2221"/>
        <w:gridCol w:w="1842"/>
        <w:gridCol w:w="2602"/>
      </w:tblGrid>
      <w:tr w14:paraId="4D63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noWrap w:val="0"/>
            <w:vAlign w:val="center"/>
          </w:tcPr>
          <w:p w14:paraId="06355AED">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中心桩号</w:t>
            </w:r>
          </w:p>
        </w:tc>
        <w:tc>
          <w:tcPr>
            <w:tcW w:w="2221" w:type="dxa"/>
            <w:noWrap w:val="0"/>
            <w:vAlign w:val="center"/>
          </w:tcPr>
          <w:p w14:paraId="47C671BD">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被交叉道路名称</w:t>
            </w:r>
          </w:p>
        </w:tc>
        <w:tc>
          <w:tcPr>
            <w:tcW w:w="1842" w:type="dxa"/>
            <w:noWrap w:val="0"/>
            <w:vAlign w:val="center"/>
          </w:tcPr>
          <w:p w14:paraId="1C3056A9">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交叉形式</w:t>
            </w:r>
          </w:p>
        </w:tc>
        <w:tc>
          <w:tcPr>
            <w:tcW w:w="2602" w:type="dxa"/>
            <w:noWrap w:val="0"/>
            <w:vAlign w:val="center"/>
          </w:tcPr>
          <w:p w14:paraId="4D6BCA34">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交叉道路平均宽度（m）</w:t>
            </w:r>
          </w:p>
        </w:tc>
      </w:tr>
      <w:tr w14:paraId="6EBB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noWrap w:val="0"/>
            <w:vAlign w:val="center"/>
          </w:tcPr>
          <w:p w14:paraId="5D49AEE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K0+000</w:t>
            </w:r>
          </w:p>
        </w:tc>
        <w:tc>
          <w:tcPr>
            <w:tcW w:w="2221" w:type="dxa"/>
            <w:noWrap w:val="0"/>
            <w:vAlign w:val="center"/>
          </w:tcPr>
          <w:p w14:paraId="0100AAD3">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G213</w:t>
            </w:r>
          </w:p>
        </w:tc>
        <w:tc>
          <w:tcPr>
            <w:tcW w:w="1842" w:type="dxa"/>
            <w:noWrap w:val="0"/>
            <w:vAlign w:val="center"/>
          </w:tcPr>
          <w:p w14:paraId="44A504F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T</w:t>
            </w:r>
          </w:p>
        </w:tc>
        <w:tc>
          <w:tcPr>
            <w:tcW w:w="2602" w:type="dxa"/>
            <w:noWrap w:val="0"/>
            <w:vAlign w:val="center"/>
          </w:tcPr>
          <w:p w14:paraId="244A67EF">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w:t>
            </w:r>
          </w:p>
        </w:tc>
      </w:tr>
      <w:tr w14:paraId="47A5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noWrap w:val="0"/>
            <w:vAlign w:val="center"/>
          </w:tcPr>
          <w:p w14:paraId="30073A0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K1+378</w:t>
            </w:r>
          </w:p>
        </w:tc>
        <w:tc>
          <w:tcPr>
            <w:tcW w:w="2221" w:type="dxa"/>
            <w:noWrap w:val="0"/>
            <w:vAlign w:val="center"/>
          </w:tcPr>
          <w:p w14:paraId="22909695">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G213</w:t>
            </w:r>
          </w:p>
        </w:tc>
        <w:tc>
          <w:tcPr>
            <w:tcW w:w="1842" w:type="dxa"/>
            <w:noWrap w:val="0"/>
            <w:vAlign w:val="center"/>
          </w:tcPr>
          <w:p w14:paraId="4F767E06">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Y</w:t>
            </w:r>
          </w:p>
        </w:tc>
        <w:tc>
          <w:tcPr>
            <w:tcW w:w="2602" w:type="dxa"/>
            <w:noWrap w:val="0"/>
            <w:vAlign w:val="center"/>
          </w:tcPr>
          <w:p w14:paraId="7B80C306">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w:t>
            </w:r>
          </w:p>
        </w:tc>
      </w:tr>
      <w:tr w14:paraId="6493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21" w:type="dxa"/>
            <w:noWrap w:val="0"/>
            <w:vAlign w:val="center"/>
          </w:tcPr>
          <w:p w14:paraId="69A41F76">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K1+447</w:t>
            </w:r>
          </w:p>
        </w:tc>
        <w:tc>
          <w:tcPr>
            <w:tcW w:w="2221" w:type="dxa"/>
            <w:noWrap w:val="0"/>
            <w:vAlign w:val="center"/>
          </w:tcPr>
          <w:p w14:paraId="198F151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G213</w:t>
            </w:r>
          </w:p>
        </w:tc>
        <w:tc>
          <w:tcPr>
            <w:tcW w:w="1842" w:type="dxa"/>
            <w:noWrap w:val="0"/>
            <w:vAlign w:val="center"/>
          </w:tcPr>
          <w:p w14:paraId="5C4908F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Y</w:t>
            </w:r>
          </w:p>
        </w:tc>
        <w:tc>
          <w:tcPr>
            <w:tcW w:w="2602" w:type="dxa"/>
            <w:noWrap w:val="0"/>
            <w:vAlign w:val="center"/>
          </w:tcPr>
          <w:p w14:paraId="6DFD8A30">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7</w:t>
            </w:r>
          </w:p>
        </w:tc>
      </w:tr>
    </w:tbl>
    <w:p w14:paraId="5AD43193">
      <w:pPr>
        <w:widowControl/>
        <w:ind w:firstLine="0" w:firstLineChars="0"/>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lang w:bidi="ar"/>
        </w:rPr>
        <w:t>2.3.7交通工程及沿线设施</w:t>
      </w:r>
    </w:p>
    <w:p w14:paraId="2B15062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本项目全线设置完善的交通工程设施，其主要内容包括交通标志、标线、安全护栏、视线诱导设施等。</w:t>
      </w:r>
    </w:p>
    <w:p w14:paraId="631EFDBB">
      <w:pPr>
        <w:widowControl/>
        <w:numPr>
          <w:ilvl w:val="0"/>
          <w:numId w:val="0"/>
        </w:numPr>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（1）</w:t>
      </w:r>
      <w:r>
        <w:rPr>
          <w:rFonts w:hint="default" w:ascii="Times New Roman" w:hAnsi="Times New Roman" w:eastAsia="宋体" w:cs="Times New Roman"/>
          <w:color w:val="auto"/>
        </w:rPr>
        <w:t>交通标志</w:t>
      </w:r>
    </w:p>
    <w:p w14:paraId="180D2B53">
      <w:pPr>
        <w:widowControl/>
        <w:numPr>
          <w:ilvl w:val="0"/>
          <w:numId w:val="0"/>
        </w:numPr>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道路交通标志包括设置完善的提高道路前进方向合理道路信息的禁令、指路、指示标志和各平面交叉口所至地方的名称。</w:t>
      </w:r>
    </w:p>
    <w:p w14:paraId="5FE50F1B">
      <w:pPr>
        <w:widowControl/>
        <w:numPr>
          <w:ilvl w:val="0"/>
          <w:numId w:val="0"/>
        </w:numPr>
        <w:ind w:left="0" w:leftChars="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（2）</w:t>
      </w:r>
      <w:r>
        <w:rPr>
          <w:rFonts w:hint="default" w:ascii="Times New Roman" w:hAnsi="Times New Roman" w:eastAsia="宋体" w:cs="Times New Roman"/>
          <w:color w:val="auto"/>
        </w:rPr>
        <w:t>交通标线</w:t>
      </w:r>
    </w:p>
    <w:p w14:paraId="084BCAC4">
      <w:pPr>
        <w:widowControl/>
        <w:numPr>
          <w:ilvl w:val="0"/>
          <w:numId w:val="0"/>
        </w:numPr>
        <w:ind w:left="0" w:leftChars="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交通标线主要内容为车道分界线、车道边缘线等各类标线。</w:t>
      </w:r>
    </w:p>
    <w:p w14:paraId="6260BDD1">
      <w:pPr>
        <w:widowControl/>
        <w:numPr>
          <w:ilvl w:val="0"/>
          <w:numId w:val="0"/>
        </w:numPr>
        <w:ind w:left="0" w:leftChars="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2"/>
          <w:sz w:val="24"/>
          <w:szCs w:val="24"/>
          <w:lang w:val="en-US" w:eastAsia="zh-CN" w:bidi="ar-SA"/>
        </w:rPr>
        <w:t>（3）</w:t>
      </w:r>
      <w:r>
        <w:rPr>
          <w:rFonts w:hint="default" w:ascii="Times New Roman" w:hAnsi="Times New Roman" w:eastAsia="宋体" w:cs="Times New Roman"/>
          <w:color w:val="auto"/>
        </w:rPr>
        <w:t>诱导设施</w:t>
      </w:r>
    </w:p>
    <w:p w14:paraId="0413C228">
      <w:pPr>
        <w:widowControl/>
        <w:numPr>
          <w:ilvl w:val="0"/>
          <w:numId w:val="0"/>
        </w:numPr>
        <w:ind w:left="0" w:leftChars="0"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rPr>
        <w:t>主要为在车道路侧设置路侧轮廓标，在设置护栏的路段采用附着式轮廓标。</w:t>
      </w:r>
    </w:p>
    <w:p w14:paraId="12038D9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）安全设施</w:t>
      </w:r>
    </w:p>
    <w:p w14:paraId="6CF599B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安全设施主要考虑波形护栏、墙式护栏及示警护墩的合理配置，交通标线、标志及路线诱导设施的使用。</w:t>
      </w:r>
    </w:p>
    <w:p w14:paraId="54A69A32">
      <w:pPr>
        <w:widowControl/>
        <w:ind w:firstLine="0" w:firstLineChars="0"/>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2.3.8排水工程</w:t>
      </w:r>
    </w:p>
    <w:p w14:paraId="1E9738F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（1）路基排水与当地农田水利建设相配合，公路修建后，尽量做到不干扰、不改变农田原有排灌系统。</w:t>
      </w:r>
    </w:p>
    <w:p w14:paraId="0C0C860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（2）排水沟尽量根据地形起伏和路线线形来布置，并使路基排水系统自成体系，</w:t>
      </w:r>
    </w:p>
    <w:p w14:paraId="7A3F8E0F">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rPr>
        <w:t>防止农田水进入路基排水沟。</w:t>
      </w:r>
    </w:p>
    <w:p w14:paraId="21B78BB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（3）路基排水按重现期10年进行设计。</w:t>
      </w:r>
    </w:p>
    <w:p w14:paraId="67BA5A09">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1）路基排水</w:t>
      </w:r>
    </w:p>
    <w:p w14:paraId="182BAD3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路基排水系统由边沟、排水沟组成。</w:t>
      </w:r>
    </w:p>
    <w:p w14:paraId="7D39BA0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①边沟：本项目挖方段采用浆砌片石矩形边沟形式，沟底宽60cm，沟深60cm。经过村镇、平交口以及路侧需增加横向安全距离地段设置带盖板的边沟，以方便村镇人员、车辆通行以及提高行车安全。</w:t>
      </w:r>
    </w:p>
    <w:p w14:paraId="501561B4">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经统计，全线共设置排水边沟长2132.858m，工程量为：C20混凝土浇筑1097.086m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w:t>
      </w:r>
    </w:p>
    <w:p w14:paraId="33C7084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②排水沟：排水沟主要设置在路基的坡脚处，与边沟相连通。一般路段采用60× </w:t>
      </w:r>
    </w:p>
    <w:p w14:paraId="06AF3FA6">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60cm的梯形浆砌片石排水沟。排水沟采用浆砌片石矩形断面，断面分别是60×60cm、</w:t>
      </w:r>
    </w:p>
    <w:p w14:paraId="3125A506">
      <w:pPr>
        <w:widowControl/>
        <w:ind w:firstLine="0" w:firstLineChars="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100×100cm，浇筑厚度25cm。</w:t>
      </w:r>
    </w:p>
    <w:p w14:paraId="6F65501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经统计，断面为60×60cm的排水沟设计长度435m，工程量为：C20混凝土浇筑226.20m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；断面为100×100cm的排水沟设计长度53m，工程量为：C20混凝土浇筑42.40m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w:t>
      </w:r>
    </w:p>
    <w:p w14:paraId="5EC48162">
      <w:pPr>
        <w:ind w:firstLine="482"/>
        <w:rPr>
          <w:rFonts w:hint="default" w:ascii="Times New Roman" w:hAnsi="Times New Roman" w:eastAsia="宋体" w:cs="Times New Roman"/>
          <w:color w:val="auto"/>
        </w:rPr>
      </w:pPr>
      <w:r>
        <w:rPr>
          <w:rFonts w:hint="default" w:ascii="Times New Roman" w:hAnsi="Times New Roman" w:eastAsia="宋体" w:cs="Times New Roman"/>
          <w:b/>
          <w:bCs/>
          <w:color w:val="auto"/>
        </w:rPr>
        <w:t>2）路面排水</w:t>
      </w:r>
    </w:p>
    <w:p w14:paraId="22A2DB3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土路肩均进行了加固，路面水不会对边坡形成冲刷破坏，故本项目路面水均采用分散排水方式。即路面水通过路面、路肩横坡漫流至路基两侧，挖方路段水直接流入边沟，再经排水沟排至路外；填方路基则经边坡坡面漫流至排水沟，排至路外。</w:t>
      </w:r>
    </w:p>
    <w:p w14:paraId="7F19A9D3">
      <w:pPr>
        <w:ind w:firstLine="482"/>
        <w:rPr>
          <w:rFonts w:hint="default" w:ascii="Times New Roman" w:hAnsi="Times New Roman" w:eastAsia="宋体" w:cs="Times New Roman"/>
          <w:color w:val="auto"/>
        </w:rPr>
      </w:pPr>
      <w:r>
        <w:rPr>
          <w:rFonts w:hint="default" w:ascii="Times New Roman" w:hAnsi="Times New Roman" w:eastAsia="宋体" w:cs="Times New Roman"/>
          <w:b/>
          <w:bCs/>
          <w:color w:val="auto"/>
        </w:rPr>
        <w:t>3）道路边坡排水</w:t>
      </w:r>
    </w:p>
    <w:p w14:paraId="533590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道路边坡排水系统由截水沟、急流槽组成。</w:t>
      </w:r>
    </w:p>
    <w:p w14:paraId="77B693C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截水沟：截水沟主要布设于路基边坡工程区域边坡平台上，便于有效拦截坡面汇流，断面尺寸为40×40cm，浇筑厚度25cm。边坡平台截水沟采取C20现浇砼砌筑矩形断面，设计长度3914m，工程量为：C20混凝土浇筑1479.90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6FE3A92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急流槽：急流槽用于深路堑地段，挖方边坡上有山坡截水沟、平台截水沟，且无低处排泄时，将水引入路堑边沟。急流槽身每隔5-10m设置一处变形缝，缝宽2cm，并用沥青麻筋填塞。防滑平台垂直间距2.0m设一道。急流槽采用C20现浇砼砌筑而成，其位置应结合边坡防护确定，避免与边坡主骨架重合，就溜槽进口与平台截水沟连接。急流槽为矩形断面，尺寸为60×50cm，浇筑厚度25cm。设计长度382m，工程量为：C20混凝土浇筑165.14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w:t>
      </w:r>
    </w:p>
    <w:p w14:paraId="0380D13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w:t>
      </w:r>
      <w:r>
        <w:rPr>
          <w:rFonts w:hint="eastAsia" w:ascii="Times New Roman" w:hAnsi="Times New Roman" w:eastAsia="宋体" w:cs="Times New Roman"/>
          <w:b/>
          <w:bCs/>
          <w:color w:val="auto"/>
          <w:kern w:val="0"/>
          <w:sz w:val="21"/>
          <w:szCs w:val="21"/>
          <w:lang w:val="en-US" w:eastAsia="zh-CN" w:bidi="ar"/>
        </w:rPr>
        <w:t>5</w:t>
      </w:r>
      <w:r>
        <w:rPr>
          <w:rFonts w:hint="default" w:ascii="Times New Roman" w:hAnsi="Times New Roman" w:eastAsia="宋体"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bidi="ar"/>
        </w:rPr>
        <w:t>排水工程数量统计表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5"/>
        <w:gridCol w:w="746"/>
        <w:gridCol w:w="2297"/>
        <w:gridCol w:w="1575"/>
        <w:gridCol w:w="1823"/>
      </w:tblGrid>
      <w:tr w14:paraId="489B4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2445" w:type="dxa"/>
            <w:vMerge w:val="restart"/>
            <w:noWrap w:val="0"/>
            <w:vAlign w:val="center"/>
          </w:tcPr>
          <w:p w14:paraId="7DF16D50">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线路</w:t>
            </w:r>
          </w:p>
        </w:tc>
        <w:tc>
          <w:tcPr>
            <w:tcW w:w="746" w:type="dxa"/>
            <w:vMerge w:val="restart"/>
            <w:noWrap w:val="0"/>
            <w:vAlign w:val="center"/>
          </w:tcPr>
          <w:p w14:paraId="3C1FC7DD">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w:t>
            </w:r>
          </w:p>
        </w:tc>
        <w:tc>
          <w:tcPr>
            <w:tcW w:w="2297" w:type="dxa"/>
            <w:vMerge w:val="restart"/>
            <w:noWrap w:val="0"/>
            <w:vAlign w:val="center"/>
          </w:tcPr>
          <w:p w14:paraId="5DCB34A8">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类型</w:t>
            </w:r>
          </w:p>
        </w:tc>
        <w:tc>
          <w:tcPr>
            <w:tcW w:w="3398" w:type="dxa"/>
            <w:gridSpan w:val="2"/>
            <w:noWrap w:val="0"/>
            <w:vAlign w:val="center"/>
          </w:tcPr>
          <w:p w14:paraId="58148F2B">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截排水沟</w:t>
            </w:r>
          </w:p>
        </w:tc>
      </w:tr>
      <w:tr w14:paraId="10E9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2445" w:type="dxa"/>
            <w:vMerge w:val="continue"/>
            <w:noWrap w:val="0"/>
            <w:vAlign w:val="center"/>
          </w:tcPr>
          <w:p w14:paraId="27FB6CFC">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746" w:type="dxa"/>
            <w:vMerge w:val="continue"/>
            <w:noWrap w:val="0"/>
            <w:vAlign w:val="center"/>
          </w:tcPr>
          <w:p w14:paraId="2AE441B3">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2297" w:type="dxa"/>
            <w:vMerge w:val="continue"/>
            <w:noWrap w:val="0"/>
            <w:vAlign w:val="center"/>
          </w:tcPr>
          <w:p w14:paraId="1495F2D9">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1575" w:type="dxa"/>
            <w:noWrap w:val="0"/>
            <w:vAlign w:val="center"/>
          </w:tcPr>
          <w:p w14:paraId="7775E9F3">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长度（m）</w:t>
            </w:r>
          </w:p>
        </w:tc>
        <w:tc>
          <w:tcPr>
            <w:tcW w:w="1823" w:type="dxa"/>
            <w:noWrap w:val="0"/>
            <w:vAlign w:val="center"/>
          </w:tcPr>
          <w:p w14:paraId="2DB29964">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C20混凝土（m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r>
      <w:tr w14:paraId="73384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2445" w:type="dxa"/>
            <w:noWrap w:val="0"/>
            <w:vAlign w:val="center"/>
          </w:tcPr>
          <w:p w14:paraId="13AE05E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K0+040.000</w:t>
            </w:r>
          </w:p>
        </w:tc>
        <w:tc>
          <w:tcPr>
            <w:tcW w:w="746" w:type="dxa"/>
            <w:noWrap w:val="0"/>
            <w:vAlign w:val="center"/>
          </w:tcPr>
          <w:p w14:paraId="700E7BF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012CAB4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100*100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排水沟</w:t>
            </w:r>
          </w:p>
        </w:tc>
        <w:tc>
          <w:tcPr>
            <w:tcW w:w="1575" w:type="dxa"/>
            <w:noWrap w:val="0"/>
            <w:vAlign w:val="center"/>
          </w:tcPr>
          <w:p w14:paraId="5797DB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53.000</w:t>
            </w:r>
          </w:p>
        </w:tc>
        <w:tc>
          <w:tcPr>
            <w:tcW w:w="1823" w:type="dxa"/>
            <w:noWrap w:val="0"/>
            <w:vAlign w:val="center"/>
          </w:tcPr>
          <w:p w14:paraId="5BD571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42.400</w:t>
            </w:r>
          </w:p>
        </w:tc>
      </w:tr>
      <w:tr w14:paraId="22B94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D0C820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K0+040.000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K0+650.000</w:t>
            </w:r>
          </w:p>
        </w:tc>
        <w:tc>
          <w:tcPr>
            <w:tcW w:w="746" w:type="dxa"/>
            <w:noWrap w:val="0"/>
            <w:vAlign w:val="center"/>
          </w:tcPr>
          <w:p w14:paraId="76C09DD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2E106D0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2F65773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610.000</w:t>
            </w:r>
          </w:p>
        </w:tc>
        <w:tc>
          <w:tcPr>
            <w:tcW w:w="1823" w:type="dxa"/>
            <w:noWrap w:val="0"/>
            <w:vAlign w:val="center"/>
          </w:tcPr>
          <w:p w14:paraId="460F407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317.200</w:t>
            </w:r>
          </w:p>
        </w:tc>
      </w:tr>
      <w:tr w14:paraId="150B8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05BADA4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K0+650.000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K0+710.000</w:t>
            </w:r>
          </w:p>
        </w:tc>
        <w:tc>
          <w:tcPr>
            <w:tcW w:w="746" w:type="dxa"/>
            <w:noWrap w:val="0"/>
            <w:vAlign w:val="center"/>
          </w:tcPr>
          <w:p w14:paraId="77E8FAC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4731AD6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60*60L型边沟</w:t>
            </w:r>
          </w:p>
        </w:tc>
        <w:tc>
          <w:tcPr>
            <w:tcW w:w="1575" w:type="dxa"/>
            <w:noWrap w:val="0"/>
            <w:vAlign w:val="center"/>
          </w:tcPr>
          <w:p w14:paraId="11C7BA4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60.000</w:t>
            </w:r>
          </w:p>
        </w:tc>
        <w:tc>
          <w:tcPr>
            <w:tcW w:w="1823" w:type="dxa"/>
            <w:noWrap w:val="0"/>
            <w:vAlign w:val="center"/>
          </w:tcPr>
          <w:p w14:paraId="116811D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19.200</w:t>
            </w:r>
          </w:p>
        </w:tc>
      </w:tr>
      <w:tr w14:paraId="7439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61FFF3A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K0+710.000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K0+780.000</w:t>
            </w:r>
          </w:p>
        </w:tc>
        <w:tc>
          <w:tcPr>
            <w:tcW w:w="746" w:type="dxa"/>
            <w:noWrap w:val="0"/>
            <w:vAlign w:val="center"/>
          </w:tcPr>
          <w:p w14:paraId="44389A4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3EF168C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6E7CEE9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70.000</w:t>
            </w:r>
          </w:p>
        </w:tc>
        <w:tc>
          <w:tcPr>
            <w:tcW w:w="1823" w:type="dxa"/>
            <w:noWrap w:val="0"/>
            <w:vAlign w:val="center"/>
          </w:tcPr>
          <w:p w14:paraId="3642416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36.400</w:t>
            </w:r>
          </w:p>
        </w:tc>
      </w:tr>
      <w:tr w14:paraId="0199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407681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K0+830.000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K1+330.000</w:t>
            </w:r>
          </w:p>
        </w:tc>
        <w:tc>
          <w:tcPr>
            <w:tcW w:w="746" w:type="dxa"/>
            <w:noWrap w:val="0"/>
            <w:vAlign w:val="center"/>
          </w:tcPr>
          <w:p w14:paraId="048E82A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09EF04C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755158A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500.000</w:t>
            </w:r>
          </w:p>
        </w:tc>
        <w:tc>
          <w:tcPr>
            <w:tcW w:w="1823" w:type="dxa"/>
            <w:noWrap w:val="0"/>
            <w:vAlign w:val="center"/>
          </w:tcPr>
          <w:p w14:paraId="7E59D2B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260.000</w:t>
            </w:r>
          </w:p>
        </w:tc>
      </w:tr>
      <w:tr w14:paraId="5BEE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E3054E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K1+330.000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K1+380.000</w:t>
            </w:r>
          </w:p>
        </w:tc>
        <w:tc>
          <w:tcPr>
            <w:tcW w:w="746" w:type="dxa"/>
            <w:noWrap w:val="0"/>
            <w:vAlign w:val="center"/>
          </w:tcPr>
          <w:p w14:paraId="6800511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58B47C6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109764F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50.000</w:t>
            </w:r>
          </w:p>
        </w:tc>
        <w:tc>
          <w:tcPr>
            <w:tcW w:w="1823" w:type="dxa"/>
            <w:noWrap w:val="0"/>
            <w:vAlign w:val="center"/>
          </w:tcPr>
          <w:p w14:paraId="4215DEE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26.000</w:t>
            </w:r>
          </w:p>
        </w:tc>
      </w:tr>
      <w:tr w14:paraId="49B0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6D005A0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K1+380.000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K1+447.858</w:t>
            </w:r>
          </w:p>
        </w:tc>
        <w:tc>
          <w:tcPr>
            <w:tcW w:w="746" w:type="dxa"/>
            <w:noWrap w:val="0"/>
            <w:vAlign w:val="center"/>
          </w:tcPr>
          <w:p w14:paraId="766E18A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6B4B4B1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6F28827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67.858</w:t>
            </w:r>
          </w:p>
        </w:tc>
        <w:tc>
          <w:tcPr>
            <w:tcW w:w="1823" w:type="dxa"/>
            <w:noWrap w:val="0"/>
            <w:vAlign w:val="center"/>
          </w:tcPr>
          <w:p w14:paraId="3AD2CFB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35.286</w:t>
            </w:r>
          </w:p>
        </w:tc>
      </w:tr>
      <w:tr w14:paraId="4983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47620F7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K0+040.000</w:t>
            </w:r>
          </w:p>
        </w:tc>
        <w:tc>
          <w:tcPr>
            <w:tcW w:w="746" w:type="dxa"/>
            <w:noWrap w:val="0"/>
            <w:vAlign w:val="center"/>
          </w:tcPr>
          <w:p w14:paraId="3896DF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776406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100*100矩形排水沟</w:t>
            </w:r>
          </w:p>
        </w:tc>
        <w:tc>
          <w:tcPr>
            <w:tcW w:w="1575" w:type="dxa"/>
            <w:noWrap w:val="0"/>
            <w:vAlign w:val="center"/>
          </w:tcPr>
          <w:p w14:paraId="5EF7CD7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53.00</w:t>
            </w:r>
          </w:p>
        </w:tc>
        <w:tc>
          <w:tcPr>
            <w:tcW w:w="1823" w:type="dxa"/>
            <w:noWrap w:val="0"/>
            <w:vAlign w:val="center"/>
          </w:tcPr>
          <w:p w14:paraId="3B059F8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42.40</w:t>
            </w:r>
          </w:p>
        </w:tc>
      </w:tr>
      <w:tr w14:paraId="7887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784282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K0+040.00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K0+650.000</w:t>
            </w:r>
          </w:p>
        </w:tc>
        <w:tc>
          <w:tcPr>
            <w:tcW w:w="746" w:type="dxa"/>
            <w:noWrap w:val="0"/>
            <w:vAlign w:val="center"/>
          </w:tcPr>
          <w:p w14:paraId="5FED713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132C055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60*60矩形边沟</w:t>
            </w:r>
          </w:p>
        </w:tc>
        <w:tc>
          <w:tcPr>
            <w:tcW w:w="1575" w:type="dxa"/>
            <w:noWrap w:val="0"/>
            <w:vAlign w:val="center"/>
          </w:tcPr>
          <w:p w14:paraId="56DF52E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610.00</w:t>
            </w:r>
          </w:p>
        </w:tc>
        <w:tc>
          <w:tcPr>
            <w:tcW w:w="1823" w:type="dxa"/>
            <w:noWrap w:val="0"/>
            <w:vAlign w:val="center"/>
          </w:tcPr>
          <w:p w14:paraId="1E09F9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317.20</w:t>
            </w:r>
          </w:p>
        </w:tc>
      </w:tr>
      <w:tr w14:paraId="4DF1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6156A8B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K0+650.000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K0+710.000</w:t>
            </w:r>
          </w:p>
        </w:tc>
        <w:tc>
          <w:tcPr>
            <w:tcW w:w="746" w:type="dxa"/>
            <w:noWrap w:val="0"/>
            <w:vAlign w:val="center"/>
          </w:tcPr>
          <w:p w14:paraId="2683B76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619858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60*60L型边沟</w:t>
            </w:r>
          </w:p>
        </w:tc>
        <w:tc>
          <w:tcPr>
            <w:tcW w:w="1575" w:type="dxa"/>
            <w:noWrap w:val="0"/>
            <w:vAlign w:val="center"/>
          </w:tcPr>
          <w:p w14:paraId="195972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1823" w:type="dxa"/>
            <w:noWrap w:val="0"/>
            <w:vAlign w:val="center"/>
          </w:tcPr>
          <w:p w14:paraId="50184F7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19.20</w:t>
            </w:r>
          </w:p>
        </w:tc>
      </w:tr>
      <w:tr w14:paraId="7D65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7B1732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K0+710.000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K0+780.000</w:t>
            </w:r>
          </w:p>
        </w:tc>
        <w:tc>
          <w:tcPr>
            <w:tcW w:w="746" w:type="dxa"/>
            <w:noWrap w:val="0"/>
            <w:vAlign w:val="center"/>
          </w:tcPr>
          <w:p w14:paraId="744E827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6436370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60*60矩形边沟</w:t>
            </w:r>
          </w:p>
        </w:tc>
        <w:tc>
          <w:tcPr>
            <w:tcW w:w="1575" w:type="dxa"/>
            <w:noWrap w:val="0"/>
            <w:vAlign w:val="center"/>
          </w:tcPr>
          <w:p w14:paraId="54F5C8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70.00</w:t>
            </w:r>
          </w:p>
        </w:tc>
        <w:tc>
          <w:tcPr>
            <w:tcW w:w="1823" w:type="dxa"/>
            <w:noWrap w:val="0"/>
            <w:vAlign w:val="center"/>
          </w:tcPr>
          <w:p w14:paraId="5A8A2BC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36.40</w:t>
            </w:r>
          </w:p>
        </w:tc>
      </w:tr>
      <w:tr w14:paraId="75AA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04A8102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K0+780.000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K0+830.000</w:t>
            </w:r>
          </w:p>
        </w:tc>
        <w:tc>
          <w:tcPr>
            <w:tcW w:w="746" w:type="dxa"/>
            <w:noWrap w:val="0"/>
            <w:vAlign w:val="center"/>
          </w:tcPr>
          <w:p w14:paraId="4F606C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22CBED2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60*60矩形排水</w:t>
            </w:r>
          </w:p>
        </w:tc>
        <w:tc>
          <w:tcPr>
            <w:tcW w:w="1575" w:type="dxa"/>
            <w:noWrap w:val="0"/>
            <w:vAlign w:val="center"/>
          </w:tcPr>
          <w:p w14:paraId="1C6A5D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1823" w:type="dxa"/>
            <w:noWrap w:val="0"/>
            <w:vAlign w:val="center"/>
          </w:tcPr>
          <w:p w14:paraId="740FDEB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w:t>
            </w:r>
          </w:p>
        </w:tc>
      </w:tr>
      <w:tr w14:paraId="7844C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110593B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K0+830.000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K1+330.000</w:t>
            </w:r>
          </w:p>
        </w:tc>
        <w:tc>
          <w:tcPr>
            <w:tcW w:w="746" w:type="dxa"/>
            <w:noWrap w:val="0"/>
            <w:vAlign w:val="center"/>
          </w:tcPr>
          <w:p w14:paraId="6DB1836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5C116B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60*60矩形边沟</w:t>
            </w:r>
          </w:p>
        </w:tc>
        <w:tc>
          <w:tcPr>
            <w:tcW w:w="1575" w:type="dxa"/>
            <w:noWrap w:val="0"/>
            <w:vAlign w:val="center"/>
          </w:tcPr>
          <w:p w14:paraId="55E375E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500.00</w:t>
            </w:r>
          </w:p>
        </w:tc>
        <w:tc>
          <w:tcPr>
            <w:tcW w:w="1823" w:type="dxa"/>
            <w:noWrap w:val="0"/>
            <w:vAlign w:val="center"/>
          </w:tcPr>
          <w:p w14:paraId="6489137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260.00</w:t>
            </w:r>
          </w:p>
        </w:tc>
      </w:tr>
      <w:tr w14:paraId="011EF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D939F6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K1+330.000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K1+380.000</w:t>
            </w:r>
          </w:p>
        </w:tc>
        <w:tc>
          <w:tcPr>
            <w:tcW w:w="746" w:type="dxa"/>
            <w:noWrap w:val="0"/>
            <w:vAlign w:val="center"/>
          </w:tcPr>
          <w:p w14:paraId="05CD404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1EB78AA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60*60矩形排水沟</w:t>
            </w:r>
          </w:p>
        </w:tc>
        <w:tc>
          <w:tcPr>
            <w:tcW w:w="1575" w:type="dxa"/>
            <w:noWrap w:val="0"/>
            <w:vAlign w:val="center"/>
          </w:tcPr>
          <w:p w14:paraId="15E3828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1823" w:type="dxa"/>
            <w:noWrap w:val="0"/>
            <w:vAlign w:val="center"/>
          </w:tcPr>
          <w:p w14:paraId="2E5F8E0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w:t>
            </w:r>
          </w:p>
        </w:tc>
      </w:tr>
      <w:tr w14:paraId="050E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7D0114D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K1+380.000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K1+447.858</w:t>
            </w:r>
          </w:p>
        </w:tc>
        <w:tc>
          <w:tcPr>
            <w:tcW w:w="746" w:type="dxa"/>
            <w:noWrap w:val="0"/>
            <w:vAlign w:val="center"/>
          </w:tcPr>
          <w:p w14:paraId="79604AD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4F0FD26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60*60矩形边沟</w:t>
            </w:r>
          </w:p>
        </w:tc>
        <w:tc>
          <w:tcPr>
            <w:tcW w:w="1575" w:type="dxa"/>
            <w:noWrap w:val="0"/>
            <w:vAlign w:val="center"/>
          </w:tcPr>
          <w:p w14:paraId="5DE9F74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67.858</w:t>
            </w:r>
          </w:p>
        </w:tc>
        <w:tc>
          <w:tcPr>
            <w:tcW w:w="1823" w:type="dxa"/>
            <w:noWrap w:val="0"/>
            <w:vAlign w:val="center"/>
          </w:tcPr>
          <w:p w14:paraId="4E2909A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35.286</w:t>
            </w:r>
          </w:p>
        </w:tc>
      </w:tr>
      <w:tr w14:paraId="1FF4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522719E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K0+150.000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K0+270.000</w:t>
            </w:r>
          </w:p>
        </w:tc>
        <w:tc>
          <w:tcPr>
            <w:tcW w:w="746" w:type="dxa"/>
            <w:noWrap w:val="0"/>
            <w:vAlign w:val="center"/>
          </w:tcPr>
          <w:p w14:paraId="28B375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52F9018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1A65E60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180.00</w:t>
            </w:r>
          </w:p>
        </w:tc>
        <w:tc>
          <w:tcPr>
            <w:tcW w:w="1823" w:type="dxa"/>
            <w:noWrap w:val="0"/>
            <w:vAlign w:val="center"/>
          </w:tcPr>
          <w:p w14:paraId="32D1CC9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68.40</w:t>
            </w:r>
          </w:p>
        </w:tc>
      </w:tr>
      <w:tr w14:paraId="27259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724EFBB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K0+280.000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K0+700.000</w:t>
            </w:r>
          </w:p>
        </w:tc>
        <w:tc>
          <w:tcPr>
            <w:tcW w:w="746" w:type="dxa"/>
            <w:noWrap w:val="0"/>
            <w:vAlign w:val="center"/>
          </w:tcPr>
          <w:p w14:paraId="54317E4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46795CB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62980B0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1460.00</w:t>
            </w:r>
          </w:p>
        </w:tc>
        <w:tc>
          <w:tcPr>
            <w:tcW w:w="1823" w:type="dxa"/>
            <w:noWrap w:val="0"/>
            <w:vAlign w:val="center"/>
          </w:tcPr>
          <w:p w14:paraId="5F65C78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554.80</w:t>
            </w:r>
          </w:p>
        </w:tc>
      </w:tr>
      <w:tr w14:paraId="11229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0096283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K0+880.000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K0+940.000</w:t>
            </w:r>
          </w:p>
        </w:tc>
        <w:tc>
          <w:tcPr>
            <w:tcW w:w="746" w:type="dxa"/>
            <w:noWrap w:val="0"/>
            <w:vAlign w:val="center"/>
          </w:tcPr>
          <w:p w14:paraId="7BF4170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35CCFD1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485CA88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135.00</w:t>
            </w:r>
          </w:p>
        </w:tc>
        <w:tc>
          <w:tcPr>
            <w:tcW w:w="1823" w:type="dxa"/>
            <w:noWrap w:val="0"/>
            <w:vAlign w:val="center"/>
          </w:tcPr>
          <w:p w14:paraId="48B79CE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51.30</w:t>
            </w:r>
          </w:p>
        </w:tc>
      </w:tr>
      <w:tr w14:paraId="0501F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63A0BD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K0+955.000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K1+160.000</w:t>
            </w:r>
          </w:p>
        </w:tc>
        <w:tc>
          <w:tcPr>
            <w:tcW w:w="746" w:type="dxa"/>
            <w:noWrap w:val="0"/>
            <w:vAlign w:val="center"/>
          </w:tcPr>
          <w:p w14:paraId="3108C6C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6AD97D6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13CFDC4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680.00</w:t>
            </w:r>
          </w:p>
        </w:tc>
        <w:tc>
          <w:tcPr>
            <w:tcW w:w="1823" w:type="dxa"/>
            <w:noWrap w:val="0"/>
            <w:vAlign w:val="center"/>
          </w:tcPr>
          <w:p w14:paraId="3F9E400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258.40</w:t>
            </w:r>
          </w:p>
        </w:tc>
      </w:tr>
      <w:tr w14:paraId="3D1B2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5A1955E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K0+220.000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K0+275.000</w:t>
            </w:r>
          </w:p>
        </w:tc>
        <w:tc>
          <w:tcPr>
            <w:tcW w:w="746" w:type="dxa"/>
            <w:noWrap w:val="0"/>
            <w:vAlign w:val="center"/>
          </w:tcPr>
          <w:p w14:paraId="198FC04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10F9923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40*40边坡坡外截水沟</w:t>
            </w:r>
          </w:p>
        </w:tc>
        <w:tc>
          <w:tcPr>
            <w:tcW w:w="1575" w:type="dxa"/>
            <w:noWrap w:val="0"/>
            <w:vAlign w:val="center"/>
          </w:tcPr>
          <w:p w14:paraId="58B455E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1823" w:type="dxa"/>
            <w:noWrap w:val="0"/>
            <w:vAlign w:val="center"/>
          </w:tcPr>
          <w:p w14:paraId="45BB114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14.40</w:t>
            </w:r>
          </w:p>
        </w:tc>
      </w:tr>
      <w:tr w14:paraId="0054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63AA52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K0+370.000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K0+680.000</w:t>
            </w:r>
          </w:p>
        </w:tc>
        <w:tc>
          <w:tcPr>
            <w:tcW w:w="746" w:type="dxa"/>
            <w:noWrap w:val="0"/>
            <w:vAlign w:val="center"/>
          </w:tcPr>
          <w:p w14:paraId="60A160A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4E58FFB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40*40边坡坡外截水沟</w:t>
            </w:r>
          </w:p>
        </w:tc>
        <w:tc>
          <w:tcPr>
            <w:tcW w:w="1575" w:type="dxa"/>
            <w:noWrap w:val="0"/>
            <w:vAlign w:val="center"/>
          </w:tcPr>
          <w:p w14:paraId="5F9BA2E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295.00</w:t>
            </w:r>
          </w:p>
        </w:tc>
        <w:tc>
          <w:tcPr>
            <w:tcW w:w="1823" w:type="dxa"/>
            <w:noWrap w:val="0"/>
            <w:vAlign w:val="center"/>
          </w:tcPr>
          <w:p w14:paraId="6017FAE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106.20</w:t>
            </w:r>
          </w:p>
        </w:tc>
      </w:tr>
      <w:tr w14:paraId="4377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0DC3D0E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K0+890.000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K0+940.000</w:t>
            </w:r>
          </w:p>
        </w:tc>
        <w:tc>
          <w:tcPr>
            <w:tcW w:w="746" w:type="dxa"/>
            <w:noWrap w:val="0"/>
            <w:vAlign w:val="center"/>
          </w:tcPr>
          <w:p w14:paraId="76793F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左</w:t>
            </w:r>
          </w:p>
        </w:tc>
        <w:tc>
          <w:tcPr>
            <w:tcW w:w="2297" w:type="dxa"/>
            <w:noWrap w:val="0"/>
            <w:vAlign w:val="center"/>
          </w:tcPr>
          <w:p w14:paraId="4206B1E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40*40边坡坡外截水沟</w:t>
            </w:r>
          </w:p>
        </w:tc>
        <w:tc>
          <w:tcPr>
            <w:tcW w:w="1575" w:type="dxa"/>
            <w:noWrap w:val="0"/>
            <w:vAlign w:val="center"/>
          </w:tcPr>
          <w:p w14:paraId="1762AD6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36.00</w:t>
            </w:r>
          </w:p>
        </w:tc>
        <w:tc>
          <w:tcPr>
            <w:tcW w:w="1823" w:type="dxa"/>
            <w:noWrap w:val="0"/>
            <w:vAlign w:val="center"/>
          </w:tcPr>
          <w:p w14:paraId="7142B0A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12.96</w:t>
            </w:r>
          </w:p>
        </w:tc>
      </w:tr>
      <w:tr w14:paraId="7F5D2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19F7D10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K0+015.000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K0+075.000</w:t>
            </w:r>
          </w:p>
        </w:tc>
        <w:tc>
          <w:tcPr>
            <w:tcW w:w="746" w:type="dxa"/>
            <w:noWrap w:val="0"/>
            <w:vAlign w:val="center"/>
          </w:tcPr>
          <w:p w14:paraId="6262C6E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15BAAB6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51849D4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1823" w:type="dxa"/>
            <w:noWrap w:val="0"/>
            <w:vAlign w:val="center"/>
          </w:tcPr>
          <w:p w14:paraId="3E436E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31.20</w:t>
            </w:r>
          </w:p>
        </w:tc>
      </w:tr>
      <w:tr w14:paraId="5A9C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08F2822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K0+075.000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K0+135.000</w:t>
            </w:r>
          </w:p>
        </w:tc>
        <w:tc>
          <w:tcPr>
            <w:tcW w:w="746" w:type="dxa"/>
            <w:noWrap w:val="0"/>
            <w:vAlign w:val="center"/>
          </w:tcPr>
          <w:p w14:paraId="65D466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5C36D35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08DF729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1823" w:type="dxa"/>
            <w:noWrap w:val="0"/>
            <w:vAlign w:val="center"/>
          </w:tcPr>
          <w:p w14:paraId="4BA598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31.20</w:t>
            </w:r>
          </w:p>
        </w:tc>
      </w:tr>
      <w:tr w14:paraId="69E64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14AD265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K0+135.000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K0+155.000</w:t>
            </w:r>
          </w:p>
        </w:tc>
        <w:tc>
          <w:tcPr>
            <w:tcW w:w="746" w:type="dxa"/>
            <w:noWrap w:val="0"/>
            <w:vAlign w:val="center"/>
          </w:tcPr>
          <w:p w14:paraId="347B681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40CAC42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17BFF30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823" w:type="dxa"/>
            <w:noWrap w:val="0"/>
            <w:vAlign w:val="center"/>
          </w:tcPr>
          <w:p w14:paraId="32DF16C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10.40</w:t>
            </w:r>
          </w:p>
        </w:tc>
      </w:tr>
      <w:tr w14:paraId="107D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7878B8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K0+155.000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K0+175.000</w:t>
            </w:r>
          </w:p>
        </w:tc>
        <w:tc>
          <w:tcPr>
            <w:tcW w:w="746" w:type="dxa"/>
            <w:noWrap w:val="0"/>
            <w:vAlign w:val="center"/>
          </w:tcPr>
          <w:p w14:paraId="5D821A2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1D515F7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0F75508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1823" w:type="dxa"/>
            <w:noWrap w:val="0"/>
            <w:vAlign w:val="center"/>
          </w:tcPr>
          <w:p w14:paraId="0A8ABE8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10.40</w:t>
            </w:r>
          </w:p>
        </w:tc>
      </w:tr>
      <w:tr w14:paraId="19C9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4939052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K0+175.000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K0+185.000</w:t>
            </w:r>
          </w:p>
        </w:tc>
        <w:tc>
          <w:tcPr>
            <w:tcW w:w="746" w:type="dxa"/>
            <w:noWrap w:val="0"/>
            <w:vAlign w:val="center"/>
          </w:tcPr>
          <w:p w14:paraId="07CE7A1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1E9DFD8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503A24A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1823" w:type="dxa"/>
            <w:noWrap w:val="0"/>
            <w:vAlign w:val="center"/>
          </w:tcPr>
          <w:p w14:paraId="3369DF4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5.20</w:t>
            </w:r>
          </w:p>
        </w:tc>
      </w:tr>
      <w:tr w14:paraId="734D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9A05E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K0+185.000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K0+235.000</w:t>
            </w:r>
          </w:p>
        </w:tc>
        <w:tc>
          <w:tcPr>
            <w:tcW w:w="746" w:type="dxa"/>
            <w:noWrap w:val="0"/>
            <w:vAlign w:val="center"/>
          </w:tcPr>
          <w:p w14:paraId="02AC0E2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1DCF7EE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215C16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50.00</w:t>
            </w:r>
          </w:p>
        </w:tc>
        <w:tc>
          <w:tcPr>
            <w:tcW w:w="1823" w:type="dxa"/>
            <w:noWrap w:val="0"/>
            <w:vAlign w:val="center"/>
          </w:tcPr>
          <w:p w14:paraId="07793FA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26.00</w:t>
            </w:r>
          </w:p>
        </w:tc>
      </w:tr>
      <w:tr w14:paraId="15C12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3A52A13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K0+235.000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K0+245.000</w:t>
            </w:r>
          </w:p>
        </w:tc>
        <w:tc>
          <w:tcPr>
            <w:tcW w:w="746" w:type="dxa"/>
            <w:noWrap w:val="0"/>
            <w:vAlign w:val="center"/>
          </w:tcPr>
          <w:p w14:paraId="6CAB27E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7D27B90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7A22AAC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1823" w:type="dxa"/>
            <w:noWrap w:val="0"/>
            <w:vAlign w:val="center"/>
          </w:tcPr>
          <w:p w14:paraId="2D1ACF5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5.20</w:t>
            </w:r>
          </w:p>
        </w:tc>
      </w:tr>
      <w:tr w14:paraId="13353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D479B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K0+245.000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K0+305.000</w:t>
            </w:r>
          </w:p>
        </w:tc>
        <w:tc>
          <w:tcPr>
            <w:tcW w:w="746" w:type="dxa"/>
            <w:noWrap w:val="0"/>
            <w:vAlign w:val="center"/>
          </w:tcPr>
          <w:p w14:paraId="3059C22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02ADECA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74F2D0F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tc>
        <w:tc>
          <w:tcPr>
            <w:tcW w:w="1823" w:type="dxa"/>
            <w:noWrap w:val="0"/>
            <w:vAlign w:val="center"/>
          </w:tcPr>
          <w:p w14:paraId="3FD4FD1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31.20</w:t>
            </w:r>
          </w:p>
        </w:tc>
      </w:tr>
      <w:tr w14:paraId="28FC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4E1510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K0+305.000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K0+765.000</w:t>
            </w:r>
          </w:p>
        </w:tc>
        <w:tc>
          <w:tcPr>
            <w:tcW w:w="746" w:type="dxa"/>
            <w:noWrap w:val="0"/>
            <w:vAlign w:val="center"/>
          </w:tcPr>
          <w:p w14:paraId="79ED685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38B3A31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6502189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460.00</w:t>
            </w:r>
          </w:p>
        </w:tc>
        <w:tc>
          <w:tcPr>
            <w:tcW w:w="1823" w:type="dxa"/>
            <w:noWrap w:val="0"/>
            <w:vAlign w:val="center"/>
          </w:tcPr>
          <w:p w14:paraId="440DF33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239.20</w:t>
            </w:r>
          </w:p>
        </w:tc>
      </w:tr>
      <w:tr w14:paraId="45EB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0398B2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K0+765.000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K0+910.00</w:t>
            </w:r>
          </w:p>
        </w:tc>
        <w:tc>
          <w:tcPr>
            <w:tcW w:w="746" w:type="dxa"/>
            <w:noWrap w:val="0"/>
            <w:vAlign w:val="center"/>
          </w:tcPr>
          <w:p w14:paraId="218216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49F837F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60*60矩型排水沟</w:t>
            </w:r>
          </w:p>
        </w:tc>
        <w:tc>
          <w:tcPr>
            <w:tcW w:w="1575" w:type="dxa"/>
            <w:noWrap w:val="0"/>
            <w:vAlign w:val="center"/>
          </w:tcPr>
          <w:p w14:paraId="6ABDAE9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145.00</w:t>
            </w:r>
          </w:p>
        </w:tc>
        <w:tc>
          <w:tcPr>
            <w:tcW w:w="1823" w:type="dxa"/>
            <w:noWrap w:val="0"/>
            <w:vAlign w:val="center"/>
          </w:tcPr>
          <w:p w14:paraId="1AC9241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75.40</w:t>
            </w:r>
          </w:p>
        </w:tc>
      </w:tr>
      <w:tr w14:paraId="32A2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101423C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K0+910.000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K1+175.000</w:t>
            </w:r>
          </w:p>
        </w:tc>
        <w:tc>
          <w:tcPr>
            <w:tcW w:w="746" w:type="dxa"/>
            <w:noWrap w:val="0"/>
            <w:vAlign w:val="center"/>
          </w:tcPr>
          <w:p w14:paraId="71F5FAC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45491BC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60*60</w:t>
            </w:r>
            <w:r>
              <w:rPr>
                <w:rFonts w:hint="default" w:ascii="Times New Roman" w:hAnsi="Times New Roman" w:eastAsia="宋体" w:cs="Times New Roman"/>
                <w:color w:val="auto"/>
                <w:sz w:val="21"/>
                <w:szCs w:val="21"/>
                <w:lang w:eastAsia="zh-CN"/>
              </w:rPr>
              <w:t>矩形</w:t>
            </w:r>
            <w:r>
              <w:rPr>
                <w:rFonts w:hint="default" w:ascii="Times New Roman" w:hAnsi="Times New Roman" w:eastAsia="宋体" w:cs="Times New Roman"/>
                <w:color w:val="auto"/>
                <w:sz w:val="21"/>
                <w:szCs w:val="21"/>
              </w:rPr>
              <w:t>边沟</w:t>
            </w:r>
          </w:p>
        </w:tc>
        <w:tc>
          <w:tcPr>
            <w:tcW w:w="1575" w:type="dxa"/>
            <w:noWrap w:val="0"/>
            <w:vAlign w:val="center"/>
          </w:tcPr>
          <w:p w14:paraId="14F126E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265.00</w:t>
            </w:r>
          </w:p>
        </w:tc>
        <w:tc>
          <w:tcPr>
            <w:tcW w:w="1823" w:type="dxa"/>
            <w:noWrap w:val="0"/>
            <w:vAlign w:val="center"/>
          </w:tcPr>
          <w:p w14:paraId="294CF16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137.80</w:t>
            </w:r>
          </w:p>
        </w:tc>
      </w:tr>
      <w:tr w14:paraId="37E2E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618C2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K0+320.000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K0+630.000</w:t>
            </w:r>
          </w:p>
        </w:tc>
        <w:tc>
          <w:tcPr>
            <w:tcW w:w="746" w:type="dxa"/>
            <w:noWrap w:val="0"/>
            <w:vAlign w:val="center"/>
          </w:tcPr>
          <w:p w14:paraId="2371C0B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08D0BBA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4745AF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788.00</w:t>
            </w:r>
          </w:p>
        </w:tc>
        <w:tc>
          <w:tcPr>
            <w:tcW w:w="1823" w:type="dxa"/>
            <w:noWrap w:val="0"/>
            <w:vAlign w:val="center"/>
          </w:tcPr>
          <w:p w14:paraId="06A5C4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299.44</w:t>
            </w:r>
          </w:p>
        </w:tc>
      </w:tr>
      <w:tr w14:paraId="2910A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27A9A8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K0+940.000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K1+160.000</w:t>
            </w:r>
          </w:p>
        </w:tc>
        <w:tc>
          <w:tcPr>
            <w:tcW w:w="746" w:type="dxa"/>
            <w:noWrap w:val="0"/>
            <w:vAlign w:val="center"/>
          </w:tcPr>
          <w:p w14:paraId="57B47D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右</w:t>
            </w:r>
          </w:p>
        </w:tc>
        <w:tc>
          <w:tcPr>
            <w:tcW w:w="2297" w:type="dxa"/>
            <w:noWrap w:val="0"/>
            <w:vAlign w:val="center"/>
          </w:tcPr>
          <w:p w14:paraId="0F3C590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40*40边坡平台截水沟</w:t>
            </w:r>
          </w:p>
        </w:tc>
        <w:tc>
          <w:tcPr>
            <w:tcW w:w="1575" w:type="dxa"/>
            <w:noWrap w:val="0"/>
            <w:vAlign w:val="center"/>
          </w:tcPr>
          <w:p w14:paraId="3592299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300.00</w:t>
            </w:r>
          </w:p>
        </w:tc>
        <w:tc>
          <w:tcPr>
            <w:tcW w:w="1823" w:type="dxa"/>
            <w:noWrap w:val="0"/>
            <w:vAlign w:val="center"/>
          </w:tcPr>
          <w:p w14:paraId="12F301A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114.00</w:t>
            </w:r>
          </w:p>
        </w:tc>
      </w:tr>
      <w:tr w14:paraId="0620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45" w:type="dxa"/>
            <w:noWrap w:val="0"/>
            <w:vAlign w:val="center"/>
          </w:tcPr>
          <w:p w14:paraId="7930D6F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746" w:type="dxa"/>
            <w:noWrap w:val="0"/>
            <w:vAlign w:val="center"/>
          </w:tcPr>
          <w:p w14:paraId="23D263F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297" w:type="dxa"/>
            <w:noWrap w:val="0"/>
            <w:vAlign w:val="center"/>
          </w:tcPr>
          <w:p w14:paraId="55AB6FB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575" w:type="dxa"/>
            <w:noWrap w:val="0"/>
            <w:vAlign w:val="center"/>
          </w:tcPr>
          <w:p w14:paraId="4DAD8F3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6534.858</w:t>
            </w:r>
          </w:p>
        </w:tc>
        <w:tc>
          <w:tcPr>
            <w:tcW w:w="1823" w:type="dxa"/>
            <w:noWrap w:val="0"/>
            <w:vAlign w:val="center"/>
          </w:tcPr>
          <w:p w14:paraId="15776E7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2845.586</w:t>
            </w:r>
          </w:p>
        </w:tc>
      </w:tr>
    </w:tbl>
    <w:p w14:paraId="0280B3D9">
      <w:pPr>
        <w:widowControl/>
        <w:ind w:firstLine="0" w:firstLineChars="0"/>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2.3.9</w:t>
      </w:r>
      <w:r>
        <w:rPr>
          <w:rFonts w:hint="default" w:ascii="Times New Roman" w:hAnsi="Times New Roman" w:eastAsia="宋体" w:cs="Times New Roman"/>
          <w:b/>
          <w:bCs/>
          <w:color w:val="auto"/>
          <w:kern w:val="0"/>
          <w:lang w:bidi="ar"/>
        </w:rPr>
        <w:t>路基防护</w:t>
      </w:r>
    </w:p>
    <w:p w14:paraId="2FECB33C">
      <w:pPr>
        <w:widowControl/>
        <w:ind w:firstLine="482"/>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（1）路堤边坡防护</w:t>
      </w:r>
    </w:p>
    <w:p w14:paraId="0BB9A92A">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路堤边坡防护以稳定路基、美化环境、经济合理为原则，根据地形、地貌、工程地质及水文地质条件、建筑材料供应情况等确定合理的防护型式。在确保边坡稳定的前提下，路堤边坡防护型式的选择考虑以生态植物防护为主，工程防护为辅。</w:t>
      </w:r>
    </w:p>
    <w:p w14:paraId="3692857F">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①一般路段边坡，坡面采用自然绿化；</w:t>
      </w:r>
    </w:p>
    <w:p w14:paraId="5C8FDFBA">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②受地形地物限制无法正常放坡或抗滑稳定系数不足的陡坡路堤地段，根据具体情况设置护肩、护脚或挡土墙以收缩坡脚；</w:t>
      </w:r>
    </w:p>
    <w:p w14:paraId="56CF681F">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③挡土墙（采用C20片石砼，石料应经过严格挑选，采用结构密实、质地均匀、不易风化和无裂缝的硬质石料，其强度等级不低于30MPa，最小厚度不小于15cm，长宽不小于30cm；</w:t>
      </w:r>
    </w:p>
    <w:p w14:paraId="405B9F0D">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④挡土墙砌筑前，应将石料表面泥垢清扫干净，石料表面和基础垫层，均应用水湿润；</w:t>
      </w:r>
    </w:p>
    <w:p w14:paraId="736F6D9C">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挡土墙施工时，应该两面立杆挂线或样板挂线，外面线应该顺直整齐，逐层收坡，内面线可大致顺直。</w:t>
      </w:r>
    </w:p>
    <w:p w14:paraId="38731B65">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⑤施工分段位置宜设在沉降缝处，各墙段的水平</w:t>
      </w:r>
      <w:r>
        <w:rPr>
          <w:rFonts w:hint="default" w:ascii="Times New Roman" w:hAnsi="Times New Roman" w:eastAsia="宋体" w:cs="Times New Roman"/>
          <w:color w:val="auto"/>
        </w:rPr>
        <w:t>砌缝</w:t>
      </w:r>
      <w:r>
        <w:rPr>
          <w:rFonts w:hint="default" w:ascii="Times New Roman" w:hAnsi="Times New Roman" w:eastAsia="宋体" w:cs="Times New Roman"/>
          <w:color w:val="auto"/>
        </w:rPr>
        <w:t>应基本一致，采用分段砌筑时，相邻高差不宜超过1.2m，施工墙顶构造时，应按照设计要求正确布置预埋预留件；</w:t>
      </w:r>
    </w:p>
    <w:p w14:paraId="54D41A6F">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⑥对于既有路上使用良好强度及稳定性满足要求的建筑物，应全部利用。若部分损坏或不满足改建要求时可加固利用、改建或拆除重建；加固利用或接长利用的段落，新旧混凝土或砌体应紧密连接，形成整体。</w:t>
      </w:r>
    </w:p>
    <w:p w14:paraId="0F842D65">
      <w:pPr>
        <w:widowControl/>
        <w:adjustRightInd w:val="0"/>
        <w:snapToGrid w:val="0"/>
        <w:ind w:firstLine="482"/>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（2）路堑边坡防护</w:t>
      </w:r>
    </w:p>
    <w:p w14:paraId="1D1D523C">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路堑边坡以边坡稳定、美化环境、经济合理为原则，在确保边坡稳定的前提下，路堑边坡防护型式的选择优先考虑放缓边坡，以生态植物防护为主，工程防护为辅。一般软质岩或土质路堑边坡，</w:t>
      </w:r>
      <w:r>
        <w:rPr>
          <w:rFonts w:hint="default" w:ascii="Times New Roman" w:hAnsi="Times New Roman" w:eastAsia="宋体" w:cs="Times New Roman"/>
          <w:color w:val="auto"/>
          <w:lang w:eastAsia="zh-CN"/>
        </w:rPr>
        <w:t>保持稳定</w:t>
      </w:r>
      <w:r>
        <w:rPr>
          <w:rFonts w:hint="default" w:ascii="Times New Roman" w:hAnsi="Times New Roman" w:eastAsia="宋体" w:cs="Times New Roman"/>
          <w:color w:val="auto"/>
        </w:rPr>
        <w:t>的前提下均以当地野生植物自然生长防护为主；</w:t>
      </w:r>
    </w:p>
    <w:p w14:paraId="37F22A68">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地形较陡土质或软岩边坡，为了减少边坡开挖，少破坏自然环境，采用M7.5浆砌片石路堑墙支挡防护坡脚；</w:t>
      </w:r>
    </w:p>
    <w:p w14:paraId="0A09EFF2">
      <w:pPr>
        <w:widowControl/>
        <w:adjustRightInd w:val="0"/>
        <w:snapToGrid w:val="0"/>
        <w:ind w:left="480" w:leftChars="200"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对于容易风化的岩石边坡采取加强日常养护、清坍排险，以确保其自然稳定；对于稳定的硬质岩质路堑或稳定的弱～微风化岩石坡面根据具体情况不设护。</w:t>
      </w:r>
    </w:p>
    <w:p w14:paraId="5B46BDBC">
      <w:pPr>
        <w:widowControl/>
        <w:adjustRightInd w:val="0"/>
        <w:snapToGrid w:val="0"/>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（3）高填深挖路基设计</w:t>
      </w:r>
    </w:p>
    <w:p w14:paraId="6E4F66E3">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次路堑高边坡设计主要为桩号K0+360～K0+707左侧、K0+320～K0+640右侧、K0+856.7～K1+180左侧路堑边坡，道路在此段路中线挖方高度从8.5～49m不等，左，右侧均为山体，如采用放坡形式，8m一台并设置2m碎落台形式，则最高挖方高度达65.9m，针对此段边坡位置，设计综合景观、投资、用地等因素，对该路堑高边坡进行处理。</w:t>
      </w:r>
    </w:p>
    <w:p w14:paraId="1B3F3137">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1、坡脚采用矮挡土墙加固，挡土墙上采用石笼绿格网箱客土绿化；以上各级边坡采用拱形骨架护坡防护，第二级、三级边坡结合地质情况采用锚杆、锚索加固。</w:t>
      </w:r>
    </w:p>
    <w:p w14:paraId="312A50E9">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2、拱形骨架之间结合土质情况采用喷播植草、挂三维网客土喷播植草或挂铁丝网有机基材喷播植草防护。</w:t>
      </w:r>
    </w:p>
    <w:p w14:paraId="447B069B">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本项目全线共设置片石砼挡墙60m（217.66m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）。边坡防护面积46051m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。道路沿线填方边坡、挖方边坡分布情况见表2.2-6。</w:t>
      </w:r>
    </w:p>
    <w:p w14:paraId="31B8322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-6</w:t>
      </w:r>
      <w:r>
        <w:rPr>
          <w:rFonts w:hint="eastAsia" w:ascii="Times New Roman" w:hAnsi="Times New Roman" w:eastAsia="宋体"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bidi="ar"/>
        </w:rPr>
        <w:t>公路沿线填方边坡、挖方边坡分布情况表</w:t>
      </w:r>
    </w:p>
    <w:tbl>
      <w:tblPr>
        <w:tblStyle w:val="58"/>
        <w:tblW w:w="9420" w:type="dxa"/>
        <w:tblInd w:w="-3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0"/>
        <w:gridCol w:w="2070"/>
        <w:gridCol w:w="2610"/>
        <w:gridCol w:w="1980"/>
      </w:tblGrid>
      <w:tr w14:paraId="3006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30" w:type="dxa"/>
            <w:gridSpan w:val="2"/>
            <w:noWrap w:val="0"/>
            <w:vAlign w:val="center"/>
          </w:tcPr>
          <w:p w14:paraId="2DB919DF">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挖方路段</w:t>
            </w:r>
          </w:p>
        </w:tc>
        <w:tc>
          <w:tcPr>
            <w:tcW w:w="4590" w:type="dxa"/>
            <w:gridSpan w:val="2"/>
            <w:noWrap w:val="0"/>
            <w:vAlign w:val="center"/>
          </w:tcPr>
          <w:p w14:paraId="75CAD8A6">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填方路段</w:t>
            </w:r>
          </w:p>
        </w:tc>
      </w:tr>
      <w:tr w14:paraId="50514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noWrap w:val="0"/>
            <w:vAlign w:val="center"/>
          </w:tcPr>
          <w:p w14:paraId="5FCC2C3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路段起止桩号</w:t>
            </w:r>
          </w:p>
        </w:tc>
        <w:tc>
          <w:tcPr>
            <w:tcW w:w="2070" w:type="dxa"/>
            <w:noWrap w:val="0"/>
            <w:vAlign w:val="center"/>
          </w:tcPr>
          <w:p w14:paraId="46F91B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最大挖高</w:t>
            </w:r>
          </w:p>
        </w:tc>
        <w:tc>
          <w:tcPr>
            <w:tcW w:w="2610" w:type="dxa"/>
            <w:noWrap w:val="0"/>
            <w:vAlign w:val="center"/>
          </w:tcPr>
          <w:p w14:paraId="6D14115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路段起止桩号</w:t>
            </w:r>
          </w:p>
        </w:tc>
        <w:tc>
          <w:tcPr>
            <w:tcW w:w="1980" w:type="dxa"/>
            <w:noWrap w:val="0"/>
            <w:vAlign w:val="center"/>
          </w:tcPr>
          <w:p w14:paraId="00A85E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最大填深</w:t>
            </w:r>
          </w:p>
        </w:tc>
      </w:tr>
      <w:tr w14:paraId="6331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noWrap w:val="0"/>
            <w:vAlign w:val="center"/>
          </w:tcPr>
          <w:p w14:paraId="14E2DFD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K0+360～K0+707左侧</w:t>
            </w:r>
          </w:p>
        </w:tc>
        <w:tc>
          <w:tcPr>
            <w:tcW w:w="2070" w:type="dxa"/>
            <w:noWrap w:val="0"/>
            <w:vAlign w:val="center"/>
          </w:tcPr>
          <w:p w14:paraId="0DD59E8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49.00m（K0+500）</w:t>
            </w:r>
          </w:p>
        </w:tc>
        <w:tc>
          <w:tcPr>
            <w:tcW w:w="2610" w:type="dxa"/>
            <w:noWrap w:val="0"/>
            <w:vAlign w:val="center"/>
          </w:tcPr>
          <w:p w14:paraId="751E50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K0+780～K0+880右侧</w:t>
            </w:r>
          </w:p>
        </w:tc>
        <w:tc>
          <w:tcPr>
            <w:tcW w:w="1980" w:type="dxa"/>
            <w:noWrap w:val="0"/>
            <w:vAlign w:val="center"/>
          </w:tcPr>
          <w:p w14:paraId="4DD82AE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6.41m（K0+830）</w:t>
            </w:r>
          </w:p>
        </w:tc>
      </w:tr>
      <w:tr w14:paraId="214A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noWrap w:val="0"/>
            <w:vAlign w:val="center"/>
          </w:tcPr>
          <w:p w14:paraId="16D93B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K0+320～K0+640右侧</w:t>
            </w:r>
          </w:p>
        </w:tc>
        <w:tc>
          <w:tcPr>
            <w:tcW w:w="2070" w:type="dxa"/>
            <w:noWrap w:val="0"/>
            <w:vAlign w:val="center"/>
          </w:tcPr>
          <w:p w14:paraId="37D5763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39.50m（K0+460）</w:t>
            </w:r>
          </w:p>
        </w:tc>
        <w:tc>
          <w:tcPr>
            <w:tcW w:w="2610" w:type="dxa"/>
            <w:noWrap w:val="0"/>
            <w:vAlign w:val="center"/>
          </w:tcPr>
          <w:p w14:paraId="7CB6759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980" w:type="dxa"/>
            <w:noWrap w:val="0"/>
            <w:vAlign w:val="center"/>
          </w:tcPr>
          <w:p w14:paraId="430A8C0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4A56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60" w:type="dxa"/>
            <w:noWrap w:val="0"/>
            <w:vAlign w:val="center"/>
          </w:tcPr>
          <w:p w14:paraId="68EA14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K0+856.7～K1+180左侧</w:t>
            </w:r>
          </w:p>
        </w:tc>
        <w:tc>
          <w:tcPr>
            <w:tcW w:w="2070" w:type="dxa"/>
            <w:noWrap w:val="0"/>
            <w:vAlign w:val="center"/>
          </w:tcPr>
          <w:p w14:paraId="076257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18.13m（K1+010）</w:t>
            </w:r>
          </w:p>
        </w:tc>
        <w:tc>
          <w:tcPr>
            <w:tcW w:w="2610" w:type="dxa"/>
            <w:noWrap w:val="0"/>
            <w:vAlign w:val="center"/>
          </w:tcPr>
          <w:p w14:paraId="3305DB7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1980" w:type="dxa"/>
            <w:noWrap w:val="0"/>
            <w:vAlign w:val="center"/>
          </w:tcPr>
          <w:p w14:paraId="3456B1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bl>
    <w:p w14:paraId="40E9455A">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2.3.10不良地质路段</w:t>
      </w:r>
    </w:p>
    <w:p w14:paraId="694F951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根据收集的周边道路地质资料和沿线踏勘的情况，本道路沿线有可能局部路段存在浅层软土。</w:t>
      </w:r>
    </w:p>
    <w:p w14:paraId="5F5170D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对于浅层软土主要采用换填法：</w:t>
      </w:r>
    </w:p>
    <w:p w14:paraId="681CE62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（1）换土垫层法，该工法在进行基底开挖清除软弱土层时，必须清除至力学性质较好的原状土层，因此，开挖的深度和范围随底层情况而定，施工过程中质量控制相对较难。</w:t>
      </w:r>
    </w:p>
    <w:p w14:paraId="3C342D3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片石换填及抛石挤淤，该工法对于地下水位高，软土位于地基上部的情况有较好的处理效果。一方面由于挤淤开挖深度不需太深，对周边影响相对较小，另一方面由于片石换填后存在较多的孔隙，该层位可作为土基内部的正常排水通道，减小毛细作用而形成的路堤含水量过高的情况。</w:t>
      </w:r>
    </w:p>
    <w:p w14:paraId="08C69B0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w:t>
      </w:r>
      <w:r>
        <w:rPr>
          <w:rFonts w:hint="eastAsia" w:ascii="Times New Roman" w:hAnsi="Times New Roman" w:eastAsia="宋体"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bidi="ar"/>
        </w:rPr>
        <w:t xml:space="preserve">  公路沿线特殊路基处理情况表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635"/>
        <w:gridCol w:w="645"/>
        <w:gridCol w:w="1668"/>
        <w:gridCol w:w="1049"/>
        <w:gridCol w:w="1049"/>
        <w:gridCol w:w="1067"/>
        <w:gridCol w:w="1063"/>
      </w:tblGrid>
      <w:tr w14:paraId="1E121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10" w:type="dxa"/>
            <w:vMerge w:val="restart"/>
            <w:noWrap w:val="0"/>
            <w:vAlign w:val="center"/>
          </w:tcPr>
          <w:p w14:paraId="22B1519D">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起讫桩号</w:t>
            </w:r>
          </w:p>
        </w:tc>
        <w:tc>
          <w:tcPr>
            <w:tcW w:w="1280" w:type="dxa"/>
            <w:gridSpan w:val="2"/>
            <w:noWrap w:val="0"/>
            <w:vAlign w:val="center"/>
          </w:tcPr>
          <w:p w14:paraId="4203A5EF">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平均宽度（m）</w:t>
            </w:r>
          </w:p>
        </w:tc>
        <w:tc>
          <w:tcPr>
            <w:tcW w:w="1668" w:type="dxa"/>
            <w:vMerge w:val="restart"/>
            <w:noWrap w:val="0"/>
            <w:vAlign w:val="center"/>
          </w:tcPr>
          <w:p w14:paraId="3FA98E3A">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工程名称</w:t>
            </w:r>
          </w:p>
        </w:tc>
        <w:tc>
          <w:tcPr>
            <w:tcW w:w="1049" w:type="dxa"/>
            <w:vMerge w:val="restart"/>
            <w:noWrap w:val="0"/>
            <w:vAlign w:val="center"/>
          </w:tcPr>
          <w:p w14:paraId="0A026B7E">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长度</w:t>
            </w:r>
          </w:p>
          <w:p w14:paraId="63F0D545">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（m）</w:t>
            </w:r>
          </w:p>
        </w:tc>
        <w:tc>
          <w:tcPr>
            <w:tcW w:w="1049" w:type="dxa"/>
            <w:vMerge w:val="restart"/>
            <w:noWrap w:val="0"/>
            <w:vAlign w:val="center"/>
          </w:tcPr>
          <w:p w14:paraId="0762BA1B">
            <w:pPr>
              <w:widowControl/>
              <w:adjustRightInd w:val="0"/>
              <w:snapToGrid w:val="0"/>
              <w:spacing w:line="240" w:lineRule="auto"/>
              <w:ind w:firstLine="0" w:firstLineChars="0"/>
              <w:jc w:val="both"/>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处理厚度（m）</w:t>
            </w:r>
          </w:p>
        </w:tc>
        <w:tc>
          <w:tcPr>
            <w:tcW w:w="1067" w:type="dxa"/>
            <w:vMerge w:val="restart"/>
            <w:noWrap w:val="0"/>
            <w:vAlign w:val="center"/>
          </w:tcPr>
          <w:p w14:paraId="16A2864E">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换填片石（m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063" w:type="dxa"/>
            <w:vMerge w:val="restart"/>
            <w:noWrap w:val="0"/>
            <w:vAlign w:val="center"/>
          </w:tcPr>
          <w:p w14:paraId="7DE825BD">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换填碎石（m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r>
      <w:tr w14:paraId="758D0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710" w:type="dxa"/>
            <w:vMerge w:val="continue"/>
            <w:noWrap w:val="0"/>
            <w:vAlign w:val="center"/>
          </w:tcPr>
          <w:p w14:paraId="696277A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35" w:type="dxa"/>
            <w:noWrap w:val="0"/>
            <w:vAlign w:val="center"/>
          </w:tcPr>
          <w:p w14:paraId="4594C6D1">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左</w:t>
            </w:r>
          </w:p>
        </w:tc>
        <w:tc>
          <w:tcPr>
            <w:tcW w:w="645" w:type="dxa"/>
            <w:noWrap w:val="0"/>
            <w:vAlign w:val="center"/>
          </w:tcPr>
          <w:p w14:paraId="51F904A9">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右</w:t>
            </w:r>
          </w:p>
        </w:tc>
        <w:tc>
          <w:tcPr>
            <w:tcW w:w="1668" w:type="dxa"/>
            <w:vMerge w:val="continue"/>
            <w:noWrap w:val="0"/>
            <w:vAlign w:val="center"/>
          </w:tcPr>
          <w:p w14:paraId="3037578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49" w:type="dxa"/>
            <w:vMerge w:val="continue"/>
            <w:noWrap w:val="0"/>
            <w:vAlign w:val="center"/>
          </w:tcPr>
          <w:p w14:paraId="0A622F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49" w:type="dxa"/>
            <w:vMerge w:val="continue"/>
            <w:noWrap w:val="0"/>
            <w:vAlign w:val="center"/>
          </w:tcPr>
          <w:p w14:paraId="61D161A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67" w:type="dxa"/>
            <w:vMerge w:val="continue"/>
            <w:noWrap w:val="0"/>
            <w:vAlign w:val="center"/>
          </w:tcPr>
          <w:p w14:paraId="65B2B72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63" w:type="dxa"/>
            <w:vMerge w:val="continue"/>
            <w:noWrap w:val="0"/>
            <w:vAlign w:val="center"/>
          </w:tcPr>
          <w:p w14:paraId="7E2F7A3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203D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30E3FE5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K0+025</w:t>
            </w:r>
          </w:p>
        </w:tc>
        <w:tc>
          <w:tcPr>
            <w:tcW w:w="635" w:type="dxa"/>
            <w:noWrap w:val="0"/>
            <w:vAlign w:val="center"/>
          </w:tcPr>
          <w:p w14:paraId="29646F9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45" w:type="dxa"/>
            <w:noWrap w:val="0"/>
            <w:vAlign w:val="center"/>
          </w:tcPr>
          <w:p w14:paraId="4CC6665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68" w:type="dxa"/>
            <w:noWrap w:val="0"/>
            <w:vAlign w:val="center"/>
          </w:tcPr>
          <w:p w14:paraId="7FF3F5F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低填、浅挖路基</w:t>
            </w:r>
          </w:p>
        </w:tc>
        <w:tc>
          <w:tcPr>
            <w:tcW w:w="1049" w:type="dxa"/>
            <w:noWrap w:val="0"/>
            <w:vAlign w:val="center"/>
          </w:tcPr>
          <w:p w14:paraId="64C5FE8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1049" w:type="dxa"/>
            <w:noWrap w:val="0"/>
            <w:vAlign w:val="center"/>
          </w:tcPr>
          <w:p w14:paraId="317E813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1067" w:type="dxa"/>
            <w:noWrap w:val="0"/>
            <w:vAlign w:val="center"/>
          </w:tcPr>
          <w:p w14:paraId="2A7C546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180.00</w:t>
            </w:r>
          </w:p>
        </w:tc>
        <w:tc>
          <w:tcPr>
            <w:tcW w:w="1063" w:type="dxa"/>
            <w:noWrap w:val="0"/>
            <w:vAlign w:val="center"/>
          </w:tcPr>
          <w:p w14:paraId="3206745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60.00</w:t>
            </w:r>
          </w:p>
          <w:p w14:paraId="0DDF15E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1A92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5E2DD0B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K0+055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K0+085</w:t>
            </w:r>
          </w:p>
        </w:tc>
        <w:tc>
          <w:tcPr>
            <w:tcW w:w="635" w:type="dxa"/>
            <w:noWrap w:val="0"/>
            <w:vAlign w:val="center"/>
          </w:tcPr>
          <w:p w14:paraId="67CA103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45" w:type="dxa"/>
            <w:noWrap w:val="0"/>
            <w:vAlign w:val="center"/>
          </w:tcPr>
          <w:p w14:paraId="530502A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68" w:type="dxa"/>
            <w:noWrap w:val="0"/>
            <w:vAlign w:val="center"/>
          </w:tcPr>
          <w:p w14:paraId="43299A2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低填、浅挖路基</w:t>
            </w:r>
          </w:p>
        </w:tc>
        <w:tc>
          <w:tcPr>
            <w:tcW w:w="1049" w:type="dxa"/>
            <w:noWrap w:val="0"/>
            <w:vAlign w:val="center"/>
          </w:tcPr>
          <w:p w14:paraId="748DE2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1049" w:type="dxa"/>
            <w:noWrap w:val="0"/>
            <w:vAlign w:val="center"/>
          </w:tcPr>
          <w:p w14:paraId="7EE86E1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1067" w:type="dxa"/>
            <w:noWrap w:val="0"/>
            <w:vAlign w:val="center"/>
          </w:tcPr>
          <w:p w14:paraId="3CD7996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216.00</w:t>
            </w:r>
          </w:p>
          <w:p w14:paraId="7150E0D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63" w:type="dxa"/>
            <w:noWrap w:val="0"/>
            <w:vAlign w:val="center"/>
          </w:tcPr>
          <w:p w14:paraId="04D37D8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72.00</w:t>
            </w:r>
          </w:p>
          <w:p w14:paraId="2CA4FDB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590FA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5FCAD7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K0+705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K0+775</w:t>
            </w:r>
          </w:p>
        </w:tc>
        <w:tc>
          <w:tcPr>
            <w:tcW w:w="635" w:type="dxa"/>
            <w:noWrap w:val="0"/>
            <w:vAlign w:val="center"/>
          </w:tcPr>
          <w:p w14:paraId="25988FC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45" w:type="dxa"/>
            <w:noWrap w:val="0"/>
            <w:vAlign w:val="center"/>
          </w:tcPr>
          <w:p w14:paraId="5A9D5DB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68" w:type="dxa"/>
            <w:noWrap w:val="0"/>
            <w:vAlign w:val="center"/>
          </w:tcPr>
          <w:p w14:paraId="34E855D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低填、浅挖路基</w:t>
            </w:r>
          </w:p>
        </w:tc>
        <w:tc>
          <w:tcPr>
            <w:tcW w:w="1049" w:type="dxa"/>
            <w:noWrap w:val="0"/>
            <w:vAlign w:val="center"/>
          </w:tcPr>
          <w:p w14:paraId="56C31C9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1049" w:type="dxa"/>
            <w:noWrap w:val="0"/>
            <w:vAlign w:val="center"/>
          </w:tcPr>
          <w:p w14:paraId="7725567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1067" w:type="dxa"/>
            <w:noWrap w:val="0"/>
            <w:vAlign w:val="center"/>
          </w:tcPr>
          <w:p w14:paraId="5CBFD21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504.00</w:t>
            </w:r>
          </w:p>
        </w:tc>
        <w:tc>
          <w:tcPr>
            <w:tcW w:w="1063" w:type="dxa"/>
            <w:noWrap w:val="0"/>
            <w:vAlign w:val="center"/>
          </w:tcPr>
          <w:p w14:paraId="0F20AC2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168.00</w:t>
            </w:r>
          </w:p>
        </w:tc>
      </w:tr>
      <w:tr w14:paraId="4DD7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4252CC4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K1+225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K1+345</w:t>
            </w:r>
          </w:p>
        </w:tc>
        <w:tc>
          <w:tcPr>
            <w:tcW w:w="635" w:type="dxa"/>
            <w:noWrap w:val="0"/>
            <w:vAlign w:val="center"/>
          </w:tcPr>
          <w:p w14:paraId="2C17B08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45" w:type="dxa"/>
            <w:noWrap w:val="0"/>
            <w:vAlign w:val="center"/>
          </w:tcPr>
          <w:p w14:paraId="68020DA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68" w:type="dxa"/>
            <w:noWrap w:val="0"/>
            <w:vAlign w:val="center"/>
          </w:tcPr>
          <w:p w14:paraId="28526EA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浅挖路基</w:t>
            </w:r>
          </w:p>
        </w:tc>
        <w:tc>
          <w:tcPr>
            <w:tcW w:w="1049" w:type="dxa"/>
            <w:noWrap w:val="0"/>
            <w:vAlign w:val="center"/>
          </w:tcPr>
          <w:p w14:paraId="020EDCD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c>
          <w:tcPr>
            <w:tcW w:w="1049" w:type="dxa"/>
            <w:noWrap w:val="0"/>
            <w:vAlign w:val="center"/>
          </w:tcPr>
          <w:p w14:paraId="397337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1067" w:type="dxa"/>
            <w:noWrap w:val="0"/>
            <w:vAlign w:val="center"/>
          </w:tcPr>
          <w:p w14:paraId="71D1700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864.00</w:t>
            </w:r>
          </w:p>
        </w:tc>
        <w:tc>
          <w:tcPr>
            <w:tcW w:w="1063" w:type="dxa"/>
            <w:noWrap w:val="0"/>
            <w:vAlign w:val="center"/>
          </w:tcPr>
          <w:p w14:paraId="41DEECA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288.00</w:t>
            </w:r>
          </w:p>
        </w:tc>
      </w:tr>
      <w:tr w14:paraId="1E50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1EAE6E2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K1+375</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K1+405</w:t>
            </w:r>
          </w:p>
        </w:tc>
        <w:tc>
          <w:tcPr>
            <w:tcW w:w="635" w:type="dxa"/>
            <w:noWrap w:val="0"/>
            <w:vAlign w:val="center"/>
          </w:tcPr>
          <w:p w14:paraId="6522C58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645" w:type="dxa"/>
            <w:noWrap w:val="0"/>
            <w:vAlign w:val="center"/>
          </w:tcPr>
          <w:p w14:paraId="66F8724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1668" w:type="dxa"/>
            <w:noWrap w:val="0"/>
            <w:vAlign w:val="center"/>
          </w:tcPr>
          <w:p w14:paraId="21DB307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浅挖路基</w:t>
            </w:r>
          </w:p>
        </w:tc>
        <w:tc>
          <w:tcPr>
            <w:tcW w:w="1049" w:type="dxa"/>
            <w:noWrap w:val="0"/>
            <w:vAlign w:val="center"/>
          </w:tcPr>
          <w:p w14:paraId="08F0BB9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1049" w:type="dxa"/>
            <w:noWrap w:val="0"/>
            <w:vAlign w:val="center"/>
          </w:tcPr>
          <w:p w14:paraId="30F53D4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1067" w:type="dxa"/>
            <w:noWrap w:val="0"/>
            <w:vAlign w:val="center"/>
          </w:tcPr>
          <w:p w14:paraId="1F81AA8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216.00</w:t>
            </w:r>
          </w:p>
        </w:tc>
        <w:tc>
          <w:tcPr>
            <w:tcW w:w="1063" w:type="dxa"/>
            <w:noWrap w:val="0"/>
            <w:vAlign w:val="center"/>
          </w:tcPr>
          <w:p w14:paraId="198218F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72.00</w:t>
            </w:r>
          </w:p>
        </w:tc>
      </w:tr>
      <w:tr w14:paraId="26A0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0" w:type="dxa"/>
            <w:noWrap w:val="0"/>
            <w:vAlign w:val="center"/>
          </w:tcPr>
          <w:p w14:paraId="5F01A7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全线合计</w:t>
            </w:r>
          </w:p>
        </w:tc>
        <w:tc>
          <w:tcPr>
            <w:tcW w:w="635" w:type="dxa"/>
            <w:noWrap w:val="0"/>
            <w:vAlign w:val="center"/>
          </w:tcPr>
          <w:p w14:paraId="5043091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45" w:type="dxa"/>
            <w:noWrap w:val="0"/>
            <w:vAlign w:val="center"/>
          </w:tcPr>
          <w:p w14:paraId="69FDCC3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668" w:type="dxa"/>
            <w:noWrap w:val="0"/>
            <w:vAlign w:val="center"/>
          </w:tcPr>
          <w:p w14:paraId="3902F7F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49" w:type="dxa"/>
            <w:noWrap w:val="0"/>
            <w:vAlign w:val="center"/>
          </w:tcPr>
          <w:p w14:paraId="6C7AEBD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275</w:t>
            </w:r>
          </w:p>
        </w:tc>
        <w:tc>
          <w:tcPr>
            <w:tcW w:w="1049" w:type="dxa"/>
            <w:noWrap w:val="0"/>
            <w:vAlign w:val="center"/>
          </w:tcPr>
          <w:p w14:paraId="291CCEA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67" w:type="dxa"/>
            <w:noWrap w:val="0"/>
            <w:vAlign w:val="center"/>
          </w:tcPr>
          <w:p w14:paraId="7A8C9CD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1980.00</w:t>
            </w:r>
          </w:p>
        </w:tc>
        <w:tc>
          <w:tcPr>
            <w:tcW w:w="1063" w:type="dxa"/>
            <w:noWrap w:val="0"/>
            <w:vAlign w:val="center"/>
          </w:tcPr>
          <w:p w14:paraId="3CCCF27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660.00</w:t>
            </w:r>
          </w:p>
        </w:tc>
      </w:tr>
    </w:tbl>
    <w:p w14:paraId="6EC54A1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2.3.11道路绿化工程</w:t>
      </w:r>
    </w:p>
    <w:p w14:paraId="67EBF17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道路绿化环境景观设计结合项目区的地理特点，两侧混行车道与非机动车道间各设置2.5m绿化带。在植物选择上充分考虑交通与生态环境的密切联系，充分发挥植物自身的生态服务功能，降低粉尘与废气污染，考虑</w:t>
      </w:r>
      <w:r>
        <w:rPr>
          <w:rFonts w:hint="default" w:ascii="Times New Roman" w:hAnsi="Times New Roman" w:eastAsia="宋体" w:cs="Times New Roman"/>
          <w:color w:val="auto"/>
          <w:kern w:val="0"/>
          <w:lang w:eastAsia="zh-CN" w:bidi="ar"/>
        </w:rPr>
        <w:t>到</w:t>
      </w:r>
      <w:r>
        <w:rPr>
          <w:rFonts w:hint="default" w:ascii="Times New Roman" w:hAnsi="Times New Roman" w:eastAsia="宋体" w:cs="Times New Roman"/>
          <w:color w:val="auto"/>
          <w:kern w:val="0"/>
          <w:lang w:bidi="ar"/>
        </w:rPr>
        <w:t>快车道需适当留出上空以便受污染的空气上升扩散，形成良好的行驶环境。设计与当地自然环境相结合，塑造出具有本土特色的文化景观。</w:t>
      </w:r>
    </w:p>
    <w:p w14:paraId="466F21F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道路采用连体树池营造景观，乔木种植间距4.2m，连体树池以4株乔木为一个基准单元（长14.8m），每单元</w:t>
      </w:r>
      <w:r>
        <w:rPr>
          <w:rFonts w:hint="default" w:ascii="Times New Roman" w:hAnsi="Times New Roman" w:eastAsia="宋体" w:cs="Times New Roman"/>
          <w:color w:val="auto"/>
          <w:kern w:val="0"/>
          <w:lang w:eastAsia="zh-CN" w:bidi="ar"/>
        </w:rPr>
        <w:t>之间</w:t>
      </w:r>
      <w:r>
        <w:rPr>
          <w:rFonts w:hint="default" w:ascii="Times New Roman" w:hAnsi="Times New Roman" w:eastAsia="宋体" w:cs="Times New Roman"/>
          <w:color w:val="auto"/>
          <w:kern w:val="0"/>
          <w:lang w:bidi="ar"/>
        </w:rPr>
        <w:t>增设2m开口，金森女贞与红叶石楠间隔设置。树池种植的乔木采用芒果树，灌木选用金森女贞与红叶石楠品种混搭。道路绿化面积为0.63hm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w:t>
      </w:r>
    </w:p>
    <w:p w14:paraId="77ED132D">
      <w:pPr>
        <w:widowControl/>
        <w:ind w:firstLine="0" w:firstLineChars="0"/>
        <w:jc w:val="left"/>
        <w:rPr>
          <w:rFonts w:hint="eastAsia" w:ascii="Times New Roman" w:hAnsi="Times New Roman" w:eastAsia="宋体" w:cs="Times New Roman"/>
          <w:color w:val="auto"/>
          <w:lang w:val="en-US" w:eastAsia="zh-CN"/>
        </w:rPr>
      </w:pPr>
      <w:r>
        <w:rPr>
          <w:rFonts w:hint="default" w:ascii="Times New Roman" w:hAnsi="Times New Roman" w:eastAsia="宋体" w:cs="Times New Roman"/>
          <w:b/>
          <w:bCs/>
          <w:color w:val="auto"/>
          <w:kern w:val="0"/>
          <w:lang w:bidi="ar"/>
        </w:rPr>
        <w:t>2.3.12道路配套设施</w:t>
      </w:r>
      <w:r>
        <w:rPr>
          <w:rFonts w:hint="eastAsia" w:cs="Times New Roman"/>
          <w:b/>
          <w:bCs/>
          <w:color w:val="auto"/>
          <w:kern w:val="0"/>
          <w:lang w:val="en-US" w:eastAsia="zh-CN" w:bidi="ar"/>
        </w:rPr>
        <w:t>工程</w:t>
      </w:r>
    </w:p>
    <w:p w14:paraId="21052B84">
      <w:pPr>
        <w:widowControl/>
        <w:numPr>
          <w:ilvl w:val="0"/>
          <w:numId w:val="0"/>
        </w:numPr>
        <w:ind w:firstLine="480" w:firstLineChars="2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sz w:val="24"/>
          <w:szCs w:val="24"/>
          <w:lang w:val="en-US" w:eastAsia="zh-CN" w:bidi="ar"/>
        </w:rPr>
        <w:t>（1）</w:t>
      </w:r>
      <w:r>
        <w:rPr>
          <w:rFonts w:hint="default" w:ascii="Times New Roman" w:hAnsi="Times New Roman" w:eastAsia="宋体" w:cs="Times New Roman"/>
          <w:color w:val="auto"/>
          <w:kern w:val="0"/>
          <w:lang w:bidi="ar"/>
        </w:rPr>
        <w:t>给水工程</w:t>
      </w:r>
    </w:p>
    <w:p w14:paraId="5110228D">
      <w:pPr>
        <w:widowControl/>
        <w:numPr>
          <w:ilvl w:val="0"/>
          <w:numId w:val="0"/>
        </w:numPr>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根据现状道路情况及横断面布置，本次给水管采用单侧布管，布设于道路东侧人行道下，距道路红线11.5m位置处。考虑远期道路两侧的开发使用，给水管径确定为DN200，给水管材采用</w:t>
      </w:r>
      <w:r>
        <w:rPr>
          <w:rFonts w:hint="default" w:ascii="Times New Roman" w:hAnsi="Times New Roman" w:eastAsia="宋体" w:cs="Times New Roman"/>
          <w:color w:val="auto"/>
          <w:kern w:val="0"/>
          <w:lang w:eastAsia="zh-CN" w:bidi="ar"/>
        </w:rPr>
        <w:t>球墨铸铁</w:t>
      </w:r>
      <w:r>
        <w:rPr>
          <w:rFonts w:hint="default" w:ascii="Times New Roman" w:hAnsi="Times New Roman" w:eastAsia="宋体" w:cs="Times New Roman"/>
          <w:color w:val="auto"/>
          <w:kern w:val="0"/>
          <w:lang w:bidi="ar"/>
        </w:rPr>
        <w:t>管。</w:t>
      </w:r>
    </w:p>
    <w:p w14:paraId="49E0DC7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管道位于车行道以下的，管顶覆土不小于0.7m；位于人行道下的，管顶覆土不小于0.6m。在各交叉路口设置</w:t>
      </w:r>
      <w:r>
        <w:rPr>
          <w:rFonts w:hint="default" w:ascii="Times New Roman" w:hAnsi="Times New Roman" w:eastAsia="宋体" w:cs="Times New Roman"/>
          <w:color w:val="auto"/>
          <w:kern w:val="0"/>
          <w:lang w:eastAsia="zh-CN" w:bidi="ar"/>
        </w:rPr>
        <w:t>连通管</w:t>
      </w:r>
      <w:r>
        <w:rPr>
          <w:rFonts w:hint="default" w:ascii="Times New Roman" w:hAnsi="Times New Roman" w:eastAsia="宋体" w:cs="Times New Roman"/>
          <w:color w:val="auto"/>
          <w:kern w:val="0"/>
          <w:lang w:bidi="ar"/>
        </w:rPr>
        <w:t>，并间隔100m设置给水管支管。</w:t>
      </w:r>
    </w:p>
    <w:p w14:paraId="0E9B9D4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（2）排水工程</w:t>
      </w:r>
    </w:p>
    <w:p w14:paraId="32E70A4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元江县甘庄街道片区规划》（2016-2030）》指导要求，本项目采用雨、污分流制。根据相关规划，河道、水体位于片区东侧。结合道路竖向控制标高，片区排水主要依靠东西向道路为排水主通道。片区内雨水最终排入东侧的河道、规划水体，片区内污水排入东侧的沿规划水系铺设的污水主干管，最终进入现状的污水处理厂。</w:t>
      </w:r>
    </w:p>
    <w:p w14:paraId="06596B6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本工程污水管管径为DN300～DN600，雨水管道为DN800～DN1100，污水管采用HDPE钢带增强管，环刚度为12.5KN/m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，雨水管道采用Ⅱ级钢筋混凝土承插管。</w:t>
      </w:r>
    </w:p>
    <w:p w14:paraId="5C00163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（3）综合管线布置</w:t>
      </w:r>
    </w:p>
    <w:p w14:paraId="0E7A11A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结合本项目整体情况及片区规划和现状道路采用管线埋置方式，目前甘庄街道均为电信管道直埋，电力管道采用缆线沟的形式，考虑片区统一，本次电力管道推荐采用1.0mx1.0m隐蔽式缆线沟，电信管道采用直埋排管。综合管线包括污水管线、雨水管线、燃气管线、电力电缆、弱电管线、给水管线，共6种管线。</w:t>
      </w:r>
    </w:p>
    <w:p w14:paraId="53D9D480">
      <w:pPr>
        <w:widowControl/>
        <w:ind w:firstLine="480"/>
        <w:jc w:val="left"/>
        <w:rPr>
          <w:rFonts w:hint="eastAsia"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（4）改移</w:t>
      </w:r>
      <w:r>
        <w:rPr>
          <w:rFonts w:hint="eastAsia" w:cs="Times New Roman"/>
          <w:color w:val="auto"/>
          <w:kern w:val="0"/>
          <w:lang w:val="en-US" w:eastAsia="zh-CN" w:bidi="ar"/>
        </w:rPr>
        <w:t>工程</w:t>
      </w:r>
    </w:p>
    <w:p w14:paraId="3F4C46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1）新增改路截水沟长度约85m。截水沟尺寸设计：40*40坡外截水沟，每延米0.38m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14:paraId="2A56F0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2）新增连接原坡外截水沟长度约30m，截水沟尺寸设计：40*40坡外截水沟，每延米0.38m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lang w:val="en-US" w:eastAsia="zh-CN"/>
        </w:rPr>
        <w:t>。</w:t>
      </w:r>
    </w:p>
    <w:p w14:paraId="36408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3）K1+050左侧改路坡脚新增挡土墙（2.5M）长度15m。挡土墙每延米2.86m</w:t>
      </w:r>
      <w:r>
        <w:rPr>
          <w:rFonts w:hint="default" w:ascii="Times New Roman" w:hAnsi="Times New Roman" w:eastAsia="宋体" w:cs="Times New Roman"/>
          <w:color w:val="auto"/>
          <w:sz w:val="24"/>
          <w:szCs w:val="24"/>
          <w:vertAlign w:val="superscript"/>
          <w:lang w:val="en-US" w:eastAsia="zh-CN"/>
        </w:rPr>
        <w:t>3</w:t>
      </w:r>
      <w:r>
        <w:rPr>
          <w:rFonts w:hint="default" w:ascii="Times New Roman" w:hAnsi="Times New Roman" w:eastAsia="宋体" w:cs="Times New Roman"/>
          <w:color w:val="auto"/>
          <w:sz w:val="24"/>
          <w:szCs w:val="24"/>
          <w:vertAlign w:val="baseline"/>
          <w:lang w:val="en-US" w:eastAsia="zh-CN"/>
        </w:rPr>
        <w:t>。</w:t>
      </w:r>
    </w:p>
    <w:p w14:paraId="0F1021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4）K1+050左侧改路道路硬化宽度3m，长度约105m。</w:t>
      </w:r>
    </w:p>
    <w:p w14:paraId="35EB63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5）改迁管道施工内容：设计长度迁移管线，总长度120m</w:t>
      </w:r>
      <w:r>
        <w:rPr>
          <w:rFonts w:hint="default" w:ascii="Times New Roman" w:hAnsi="Times New Roman" w:eastAsia="宋体" w:cs="Times New Roman"/>
          <w:color w:val="auto"/>
          <w:kern w:val="0"/>
          <w:sz w:val="24"/>
          <w:szCs w:val="24"/>
          <w:lang w:bidi="ar"/>
        </w:rPr>
        <w:t>。</w:t>
      </w:r>
    </w:p>
    <w:p w14:paraId="0AB9EC54">
      <w:pPr>
        <w:pStyle w:val="3"/>
        <w:numPr>
          <w:ilvl w:val="0"/>
          <w:numId w:val="0"/>
        </w:numPr>
        <w:rPr>
          <w:rFonts w:hint="default" w:ascii="Times New Roman" w:hAnsi="Times New Roman" w:eastAsia="宋体" w:cs="Times New Roman"/>
          <w:color w:val="auto"/>
        </w:rPr>
      </w:pPr>
      <w:bookmarkStart w:id="39" w:name="_Toc21336"/>
      <w:r>
        <w:rPr>
          <w:rFonts w:hint="default" w:ascii="Times New Roman" w:hAnsi="Times New Roman" w:eastAsia="宋体" w:cs="Times New Roman"/>
          <w:color w:val="auto"/>
        </w:rPr>
        <w:t>2.</w:t>
      </w:r>
      <w:bookmarkStart w:id="40" w:name="_Toc148373503"/>
      <w:bookmarkStart w:id="41" w:name="_Toc139797781"/>
      <w:bookmarkStart w:id="42" w:name="_Toc111823545"/>
      <w:r>
        <w:rPr>
          <w:rFonts w:hint="default" w:ascii="Times New Roman" w:hAnsi="Times New Roman" w:eastAsia="宋体" w:cs="Times New Roman"/>
          <w:color w:val="auto"/>
        </w:rPr>
        <w:t>4交通量</w:t>
      </w:r>
      <w:bookmarkEnd w:id="37"/>
      <w:bookmarkEnd w:id="38"/>
      <w:bookmarkEnd w:id="40"/>
      <w:bookmarkEnd w:id="41"/>
      <w:bookmarkEnd w:id="42"/>
      <w:r>
        <w:rPr>
          <w:rFonts w:hint="default" w:ascii="Times New Roman" w:hAnsi="Times New Roman" w:eastAsia="宋体" w:cs="Times New Roman"/>
          <w:color w:val="auto"/>
        </w:rPr>
        <w:t>预测</w:t>
      </w:r>
      <w:bookmarkEnd w:id="39"/>
    </w:p>
    <w:p w14:paraId="6040370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2.4.</w:t>
      </w:r>
      <w:r>
        <w:rPr>
          <w:rFonts w:hint="eastAsia" w:cs="Times New Roman"/>
          <w:b/>
          <w:bCs/>
          <w:color w:val="auto"/>
          <w:kern w:val="0"/>
          <w:lang w:val="en-US" w:eastAsia="zh-CN" w:bidi="ar"/>
        </w:rPr>
        <w:t>1</w:t>
      </w:r>
      <w:r>
        <w:rPr>
          <w:rFonts w:hint="default" w:ascii="Times New Roman" w:hAnsi="Times New Roman" w:eastAsia="宋体" w:cs="Times New Roman"/>
          <w:b/>
          <w:bCs/>
          <w:color w:val="auto"/>
          <w:kern w:val="0"/>
          <w:lang w:bidi="ar"/>
        </w:rPr>
        <w:t>工可交通量</w:t>
      </w:r>
    </w:p>
    <w:p w14:paraId="004E3F8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根据《元江火车站站前广场配套道路5号路建设项目可行性研究报告》的交通量分析及预测，项目预测交通量见表2</w:t>
      </w:r>
      <w:r>
        <w:rPr>
          <w:rFonts w:hint="default" w:ascii="Times New Roman" w:hAnsi="Times New Roman" w:eastAsia="宋体" w:cs="Times New Roman"/>
          <w:color w:val="auto"/>
          <w:kern w:val="0"/>
          <w:lang w:val="en-US" w:eastAsia="zh-CN" w:bidi="ar"/>
        </w:rPr>
        <w:t>.4</w:t>
      </w:r>
      <w:r>
        <w:rPr>
          <w:rFonts w:hint="default" w:ascii="Times New Roman" w:hAnsi="Times New Roman" w:eastAsia="宋体" w:cs="Times New Roman"/>
          <w:color w:val="auto"/>
          <w:kern w:val="0"/>
          <w:lang w:bidi="ar"/>
        </w:rPr>
        <w:t>-</w:t>
      </w:r>
      <w:r>
        <w:rPr>
          <w:rFonts w:hint="eastAsia" w:cs="Times New Roman"/>
          <w:color w:val="auto"/>
          <w:kern w:val="0"/>
          <w:lang w:val="en-US" w:eastAsia="zh-CN" w:bidi="ar"/>
        </w:rPr>
        <w:t>1</w:t>
      </w:r>
      <w:r>
        <w:rPr>
          <w:rFonts w:hint="default" w:ascii="Times New Roman" w:hAnsi="Times New Roman" w:eastAsia="宋体" w:cs="Times New Roman"/>
          <w:color w:val="auto"/>
          <w:kern w:val="0"/>
          <w:lang w:bidi="ar"/>
        </w:rPr>
        <w:t>。</w:t>
      </w:r>
    </w:p>
    <w:p w14:paraId="7C22A8E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w:t>
      </w:r>
      <w:r>
        <w:rPr>
          <w:rFonts w:hint="eastAsia" w:cs="Times New Roman"/>
          <w:b/>
          <w:bCs/>
          <w:color w:val="auto"/>
          <w:kern w:val="0"/>
          <w:sz w:val="21"/>
          <w:szCs w:val="21"/>
          <w:lang w:val="en-US" w:eastAsia="zh-CN" w:bidi="ar"/>
        </w:rPr>
        <w:t>1</w:t>
      </w:r>
      <w:r>
        <w:rPr>
          <w:rFonts w:hint="default" w:ascii="Times New Roman" w:hAnsi="Times New Roman" w:eastAsia="宋体" w:cs="Times New Roman"/>
          <w:b/>
          <w:bCs/>
          <w:color w:val="auto"/>
          <w:kern w:val="0"/>
          <w:sz w:val="21"/>
          <w:szCs w:val="21"/>
          <w:lang w:bidi="ar"/>
        </w:rPr>
        <w:t xml:space="preserve">  项目工可预测交通量表  单位：pcu/d</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4"/>
        <w:gridCol w:w="2957"/>
        <w:gridCol w:w="2971"/>
      </w:tblGrid>
      <w:tr w14:paraId="6DA2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204055D7">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特征年</w:t>
            </w:r>
          </w:p>
        </w:tc>
        <w:tc>
          <w:tcPr>
            <w:tcW w:w="1664" w:type="pct"/>
            <w:noWrap w:val="0"/>
            <w:vAlign w:val="center"/>
          </w:tcPr>
          <w:p w14:paraId="6609F638">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eastAsia" w:hAnsi="Times New Roman" w:cs="Times New Roman"/>
                <w:b/>
                <w:bCs/>
                <w:color w:val="auto"/>
                <w:sz w:val="21"/>
                <w:lang w:val="en-US" w:eastAsia="zh-CN"/>
              </w:rPr>
              <w:t>相对</w:t>
            </w:r>
            <w:r>
              <w:rPr>
                <w:rFonts w:hint="default" w:ascii="Times New Roman" w:hAnsi="Times New Roman" w:eastAsia="宋体" w:cs="Times New Roman"/>
                <w:b/>
                <w:bCs/>
                <w:color w:val="auto"/>
                <w:sz w:val="21"/>
              </w:rPr>
              <w:t>交通量</w:t>
            </w:r>
          </w:p>
        </w:tc>
        <w:tc>
          <w:tcPr>
            <w:tcW w:w="1672" w:type="pct"/>
            <w:noWrap w:val="0"/>
            <w:vAlign w:val="center"/>
          </w:tcPr>
          <w:p w14:paraId="0B39326C">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备注</w:t>
            </w:r>
          </w:p>
        </w:tc>
      </w:tr>
      <w:tr w14:paraId="4858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018065D1">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202</w:t>
            </w:r>
            <w:r>
              <w:rPr>
                <w:rFonts w:hint="eastAsia" w:hAnsi="Times New Roman" w:cs="Times New Roman"/>
                <w:color w:val="auto"/>
                <w:sz w:val="21"/>
                <w:lang w:val="en-US" w:eastAsia="zh-CN"/>
              </w:rPr>
              <w:t>6</w:t>
            </w:r>
          </w:p>
        </w:tc>
        <w:tc>
          <w:tcPr>
            <w:tcW w:w="1664" w:type="pct"/>
            <w:noWrap w:val="0"/>
            <w:vAlign w:val="center"/>
          </w:tcPr>
          <w:p w14:paraId="3E48A604">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6457</w:t>
            </w:r>
          </w:p>
        </w:tc>
        <w:tc>
          <w:tcPr>
            <w:tcW w:w="1672" w:type="pct"/>
            <w:noWrap w:val="0"/>
            <w:vAlign w:val="center"/>
          </w:tcPr>
          <w:p w14:paraId="09D3682F">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r w14:paraId="3CC5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522F1617">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203</w:t>
            </w:r>
            <w:r>
              <w:rPr>
                <w:rFonts w:hint="eastAsia" w:hAnsi="Times New Roman" w:cs="Times New Roman"/>
                <w:color w:val="auto"/>
                <w:sz w:val="21"/>
                <w:lang w:val="en-US" w:eastAsia="zh-CN"/>
              </w:rPr>
              <w:t>1</w:t>
            </w:r>
          </w:p>
        </w:tc>
        <w:tc>
          <w:tcPr>
            <w:tcW w:w="1664" w:type="pct"/>
            <w:noWrap w:val="0"/>
            <w:vAlign w:val="center"/>
          </w:tcPr>
          <w:p w14:paraId="6FA3A0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kern w:val="0"/>
                <w:sz w:val="20"/>
                <w:szCs w:val="20"/>
                <w:lang w:val="en-US" w:eastAsia="zh-CN" w:bidi="ar"/>
              </w:rPr>
              <w:t>8972</w:t>
            </w:r>
          </w:p>
        </w:tc>
        <w:tc>
          <w:tcPr>
            <w:tcW w:w="1672" w:type="pct"/>
            <w:noWrap w:val="0"/>
            <w:vAlign w:val="center"/>
          </w:tcPr>
          <w:p w14:paraId="44DCDE9F">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r w14:paraId="062A7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006B6F48">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204</w:t>
            </w:r>
            <w:r>
              <w:rPr>
                <w:rFonts w:hint="eastAsia" w:hAnsi="Times New Roman" w:cs="Times New Roman"/>
                <w:color w:val="auto"/>
                <w:sz w:val="21"/>
                <w:lang w:val="en-US" w:eastAsia="zh-CN"/>
              </w:rPr>
              <w:t>1</w:t>
            </w:r>
          </w:p>
        </w:tc>
        <w:tc>
          <w:tcPr>
            <w:tcW w:w="1664" w:type="pct"/>
            <w:noWrap w:val="0"/>
            <w:vAlign w:val="center"/>
          </w:tcPr>
          <w:p w14:paraId="125A1ECD">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15108</w:t>
            </w:r>
          </w:p>
        </w:tc>
        <w:tc>
          <w:tcPr>
            <w:tcW w:w="1672" w:type="pct"/>
            <w:noWrap w:val="0"/>
            <w:vAlign w:val="center"/>
          </w:tcPr>
          <w:p w14:paraId="755B6EBE">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bl>
    <w:p w14:paraId="15FE0B40">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本次环评报告根据工可及中交通量预测数据采用插值法和类比法得出本项目环评所需预测年份，即营运近期第一年（</w:t>
      </w:r>
      <w:r>
        <w:rPr>
          <w:rFonts w:hint="default" w:ascii="Times New Roman" w:hAnsi="Times New Roman" w:eastAsia="宋体" w:cs="Times New Roman"/>
          <w:color w:val="auto"/>
          <w:kern w:val="0"/>
          <w:sz w:val="24"/>
          <w:szCs w:val="24"/>
          <w:lang w:val="en-US" w:eastAsia="zh-CN" w:bidi="ar"/>
        </w:rPr>
        <w:t>202</w:t>
      </w:r>
      <w:r>
        <w:rPr>
          <w:rFonts w:hint="eastAsia" w:ascii="Times New Roman" w:hAnsi="Times New Roman" w:eastAsia="宋体"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年）、中期第</w:t>
      </w:r>
      <w:r>
        <w:rPr>
          <w:rFonts w:hint="default" w:ascii="Times New Roman" w:hAnsi="Times New Roman" w:eastAsia="宋体"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年（</w:t>
      </w:r>
      <w:r>
        <w:rPr>
          <w:rFonts w:hint="default" w:ascii="Times New Roman" w:hAnsi="Times New Roman" w:eastAsia="宋体" w:cs="Times New Roman"/>
          <w:color w:val="auto"/>
          <w:kern w:val="0"/>
          <w:sz w:val="24"/>
          <w:szCs w:val="24"/>
          <w:lang w:val="en-US" w:eastAsia="zh-CN" w:bidi="ar"/>
        </w:rPr>
        <w:t>2034</w:t>
      </w:r>
      <w:r>
        <w:rPr>
          <w:rFonts w:hint="eastAsia" w:ascii="宋体" w:hAnsi="宋体" w:eastAsia="宋体" w:cs="宋体"/>
          <w:color w:val="auto"/>
          <w:kern w:val="0"/>
          <w:sz w:val="24"/>
          <w:szCs w:val="24"/>
          <w:lang w:val="en-US" w:eastAsia="zh-CN" w:bidi="ar"/>
        </w:rPr>
        <w:t>年）和远期第</w:t>
      </w:r>
      <w:r>
        <w:rPr>
          <w:rFonts w:hint="default" w:ascii="Times New Roman" w:hAnsi="Times New Roman" w:eastAsia="宋体" w:cs="Times New Roman"/>
          <w:color w:val="auto"/>
          <w:kern w:val="0"/>
          <w:sz w:val="24"/>
          <w:szCs w:val="24"/>
          <w:lang w:val="en-US" w:eastAsia="zh-CN" w:bidi="ar"/>
        </w:rPr>
        <w:t>15</w:t>
      </w:r>
      <w:r>
        <w:rPr>
          <w:rFonts w:hint="eastAsia" w:ascii="宋体" w:hAnsi="宋体" w:eastAsia="宋体" w:cs="宋体"/>
          <w:color w:val="auto"/>
          <w:kern w:val="0"/>
          <w:sz w:val="24"/>
          <w:szCs w:val="24"/>
          <w:lang w:val="en-US" w:eastAsia="zh-CN" w:bidi="ar"/>
        </w:rPr>
        <w:t>年（</w:t>
      </w:r>
      <w:r>
        <w:rPr>
          <w:rFonts w:hint="default" w:ascii="Times New Roman" w:hAnsi="Times New Roman" w:eastAsia="宋体" w:cs="Times New Roman"/>
          <w:color w:val="auto"/>
          <w:kern w:val="0"/>
          <w:sz w:val="24"/>
          <w:szCs w:val="24"/>
          <w:lang w:val="en-US" w:eastAsia="zh-CN" w:bidi="ar"/>
        </w:rPr>
        <w:t>2042</w:t>
      </w:r>
      <w:r>
        <w:rPr>
          <w:rFonts w:hint="eastAsia" w:ascii="宋体" w:hAnsi="宋体" w:eastAsia="宋体" w:cs="宋体"/>
          <w:color w:val="auto"/>
          <w:kern w:val="0"/>
          <w:sz w:val="24"/>
          <w:szCs w:val="24"/>
          <w:lang w:val="en-US" w:eastAsia="zh-CN" w:bidi="ar"/>
        </w:rPr>
        <w:t>年），各特征年交通量见下表：</w:t>
      </w:r>
    </w:p>
    <w:p w14:paraId="12DAFED3">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w:t>
      </w:r>
      <w:r>
        <w:rPr>
          <w:rFonts w:hint="eastAsia"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 xml:space="preserve">  项目工可预测交通量表  单位：pcu/d</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4"/>
        <w:gridCol w:w="2957"/>
        <w:gridCol w:w="2971"/>
      </w:tblGrid>
      <w:tr w14:paraId="7DA1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7897A1CF">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特征年</w:t>
            </w:r>
          </w:p>
        </w:tc>
        <w:tc>
          <w:tcPr>
            <w:tcW w:w="1664" w:type="pct"/>
            <w:noWrap w:val="0"/>
            <w:vAlign w:val="center"/>
          </w:tcPr>
          <w:p w14:paraId="5EC44F71">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预测总交通量</w:t>
            </w:r>
          </w:p>
        </w:tc>
        <w:tc>
          <w:tcPr>
            <w:tcW w:w="1672" w:type="pct"/>
            <w:noWrap w:val="0"/>
            <w:vAlign w:val="center"/>
          </w:tcPr>
          <w:p w14:paraId="645964B4">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备注</w:t>
            </w:r>
          </w:p>
        </w:tc>
      </w:tr>
      <w:tr w14:paraId="698C9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7BBB9531">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202</w:t>
            </w:r>
            <w:r>
              <w:rPr>
                <w:rFonts w:hint="eastAsia" w:hAnsi="Times New Roman" w:cs="Times New Roman"/>
                <w:color w:val="auto"/>
                <w:sz w:val="21"/>
                <w:lang w:val="en-US" w:eastAsia="zh-CN"/>
              </w:rPr>
              <w:t>7</w:t>
            </w:r>
          </w:p>
        </w:tc>
        <w:tc>
          <w:tcPr>
            <w:tcW w:w="1664" w:type="pct"/>
            <w:noWrap w:val="0"/>
            <w:vAlign w:val="center"/>
          </w:tcPr>
          <w:p w14:paraId="5D914CAF">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8972</w:t>
            </w:r>
          </w:p>
        </w:tc>
        <w:tc>
          <w:tcPr>
            <w:tcW w:w="1672" w:type="pct"/>
            <w:noWrap w:val="0"/>
            <w:vAlign w:val="center"/>
          </w:tcPr>
          <w:p w14:paraId="76F96D8A">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r w14:paraId="1D96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068F02EB">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203</w:t>
            </w:r>
            <w:r>
              <w:rPr>
                <w:rFonts w:hint="eastAsia" w:hAnsi="Times New Roman" w:cs="Times New Roman"/>
                <w:color w:val="auto"/>
                <w:sz w:val="21"/>
                <w:lang w:val="en-US" w:eastAsia="zh-CN"/>
              </w:rPr>
              <w:t>4</w:t>
            </w:r>
          </w:p>
        </w:tc>
        <w:tc>
          <w:tcPr>
            <w:tcW w:w="1664" w:type="pct"/>
            <w:noWrap w:val="0"/>
            <w:vAlign w:val="center"/>
          </w:tcPr>
          <w:p w14:paraId="6538CFEC">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11951</w:t>
            </w:r>
          </w:p>
        </w:tc>
        <w:tc>
          <w:tcPr>
            <w:tcW w:w="1672" w:type="pct"/>
            <w:noWrap w:val="0"/>
            <w:vAlign w:val="center"/>
          </w:tcPr>
          <w:p w14:paraId="24C11CCB">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r w14:paraId="71C5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pct"/>
            <w:noWrap w:val="0"/>
            <w:vAlign w:val="center"/>
          </w:tcPr>
          <w:p w14:paraId="68B90F2F">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204</w:t>
            </w:r>
            <w:r>
              <w:rPr>
                <w:rFonts w:hint="eastAsia" w:hAnsi="Times New Roman" w:cs="Times New Roman"/>
                <w:color w:val="auto"/>
                <w:sz w:val="21"/>
                <w:lang w:val="en-US" w:eastAsia="zh-CN"/>
              </w:rPr>
              <w:t>2</w:t>
            </w:r>
          </w:p>
        </w:tc>
        <w:tc>
          <w:tcPr>
            <w:tcW w:w="1664" w:type="pct"/>
            <w:noWrap w:val="0"/>
            <w:vAlign w:val="center"/>
          </w:tcPr>
          <w:p w14:paraId="50FDEB2D">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default" w:ascii="Times New Roman" w:hAnsi="Times New Roman" w:eastAsia="宋体" w:cs="Times New Roman"/>
                <w:color w:val="auto"/>
                <w:sz w:val="21"/>
              </w:rPr>
              <w:t>15</w:t>
            </w:r>
            <w:r>
              <w:rPr>
                <w:rFonts w:hint="eastAsia" w:hAnsi="Times New Roman" w:cs="Times New Roman"/>
                <w:color w:val="auto"/>
                <w:sz w:val="21"/>
                <w:lang w:val="en-US" w:eastAsia="zh-CN"/>
              </w:rPr>
              <w:t>666</w:t>
            </w:r>
          </w:p>
        </w:tc>
        <w:tc>
          <w:tcPr>
            <w:tcW w:w="1672" w:type="pct"/>
            <w:noWrap w:val="0"/>
            <w:vAlign w:val="center"/>
          </w:tcPr>
          <w:p w14:paraId="0DAB8BBC">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w:t>
            </w:r>
          </w:p>
        </w:tc>
      </w:tr>
    </w:tbl>
    <w:p w14:paraId="4DAC8F6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2.4.</w:t>
      </w:r>
      <w:r>
        <w:rPr>
          <w:rFonts w:hint="eastAsia" w:cs="Times New Roman"/>
          <w:b/>
          <w:bCs/>
          <w:color w:val="auto"/>
          <w:kern w:val="0"/>
          <w:lang w:val="en-US" w:eastAsia="zh-CN" w:bidi="ar"/>
        </w:rPr>
        <w:t>2</w:t>
      </w:r>
      <w:r>
        <w:rPr>
          <w:rFonts w:hint="default" w:ascii="Times New Roman" w:hAnsi="Times New Roman" w:eastAsia="宋体" w:cs="Times New Roman"/>
          <w:b/>
          <w:bCs/>
          <w:color w:val="auto"/>
          <w:kern w:val="0"/>
          <w:lang w:bidi="ar"/>
        </w:rPr>
        <w:t>交通量换算（</w:t>
      </w:r>
      <w:r>
        <w:rPr>
          <w:rFonts w:hint="eastAsia" w:cs="Times New Roman"/>
          <w:b/>
          <w:bCs/>
          <w:color w:val="auto"/>
          <w:kern w:val="0"/>
          <w:lang w:val="en-US" w:eastAsia="zh-CN" w:bidi="ar"/>
        </w:rPr>
        <w:t>绝对</w:t>
      </w:r>
      <w:r>
        <w:rPr>
          <w:rFonts w:hint="default" w:ascii="Times New Roman" w:hAnsi="Times New Roman" w:eastAsia="宋体" w:cs="Times New Roman"/>
          <w:b/>
          <w:bCs/>
          <w:color w:val="auto"/>
          <w:kern w:val="0"/>
          <w:lang w:bidi="ar"/>
        </w:rPr>
        <w:t>交通量）</w:t>
      </w:r>
    </w:p>
    <w:p w14:paraId="5882C744">
      <w:pPr>
        <w:widowControl/>
        <w:ind w:firstLine="480"/>
        <w:jc w:val="left"/>
        <w:rPr>
          <w:rFonts w:hint="eastAsia" w:ascii="Times New Roman" w:hAnsi="Times New Roman" w:eastAsia="宋体" w:cs="Times New Roman"/>
          <w:color w:val="auto"/>
          <w:kern w:val="0"/>
          <w:lang w:val="en-US" w:eastAsia="zh-CN" w:bidi="ar"/>
        </w:rPr>
      </w:pPr>
      <w:r>
        <w:rPr>
          <w:rFonts w:hint="default" w:ascii="Times New Roman" w:hAnsi="Times New Roman" w:eastAsia="宋体" w:cs="Times New Roman"/>
          <w:color w:val="auto"/>
          <w:kern w:val="0"/>
          <w:lang w:bidi="ar"/>
        </w:rPr>
        <w:t>（1）</w:t>
      </w:r>
      <w:r>
        <w:rPr>
          <w:rFonts w:hint="eastAsia" w:cs="Times New Roman"/>
          <w:color w:val="auto"/>
          <w:kern w:val="0"/>
          <w:lang w:val="en-US" w:eastAsia="zh-CN" w:bidi="ar"/>
        </w:rPr>
        <w:t>折算系数</w:t>
      </w:r>
    </w:p>
    <w:p w14:paraId="36DCF87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1358-2024）附表B.1车型分类表，车型分类方法按照《公路工程技术标准》（JTGB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01-2014）中有关车型划分的标准进行，交通量换算根据工程设计文件提供的小客车标准车型，按照不同折算系数分别折算成大、中、小型车，本次评价各车型划分要求折算系数取值见下表。</w:t>
      </w:r>
    </w:p>
    <w:p w14:paraId="66C5E5D4">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表2</w:t>
      </w:r>
      <w:r>
        <w:rPr>
          <w:rFonts w:hint="eastAsia"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w:t>
      </w:r>
      <w:r>
        <w:rPr>
          <w:rFonts w:hint="eastAsia"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 xml:space="preserve">  </w:t>
      </w:r>
      <w:r>
        <w:rPr>
          <w:rFonts w:hint="default" w:ascii="Times New Roman" w:hAnsi="Times New Roman" w:eastAsia="宋体" w:cs="Times New Roman"/>
          <w:b/>
          <w:bCs/>
          <w:color w:val="auto"/>
          <w:sz w:val="21"/>
          <w:szCs w:val="21"/>
        </w:rPr>
        <w:t>公路交通情况调查车型划分及折算系数</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1622"/>
        <w:gridCol w:w="1604"/>
        <w:gridCol w:w="2702"/>
        <w:gridCol w:w="2158"/>
      </w:tblGrid>
      <w:tr w14:paraId="2B2FD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noWrap w:val="0"/>
            <w:vAlign w:val="center"/>
          </w:tcPr>
          <w:p w14:paraId="6508DC21">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车型</w:t>
            </w:r>
          </w:p>
        </w:tc>
        <w:tc>
          <w:tcPr>
            <w:tcW w:w="913" w:type="pct"/>
            <w:noWrap w:val="0"/>
            <w:vAlign w:val="center"/>
          </w:tcPr>
          <w:p w14:paraId="1FF302EA">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一级分类</w:t>
            </w:r>
          </w:p>
        </w:tc>
        <w:tc>
          <w:tcPr>
            <w:tcW w:w="903" w:type="pct"/>
            <w:noWrap w:val="0"/>
            <w:vAlign w:val="center"/>
          </w:tcPr>
          <w:p w14:paraId="66D759FD">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二级分类</w:t>
            </w:r>
          </w:p>
        </w:tc>
        <w:tc>
          <w:tcPr>
            <w:tcW w:w="1521" w:type="pct"/>
            <w:noWrap w:val="0"/>
            <w:vAlign w:val="center"/>
          </w:tcPr>
          <w:p w14:paraId="73F19B22">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车辆折算系数</w:t>
            </w:r>
          </w:p>
        </w:tc>
        <w:tc>
          <w:tcPr>
            <w:tcW w:w="1212" w:type="pct"/>
            <w:noWrap w:val="0"/>
            <w:vAlign w:val="center"/>
          </w:tcPr>
          <w:p w14:paraId="03FCBBD5">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说明</w:t>
            </w:r>
          </w:p>
        </w:tc>
      </w:tr>
      <w:tr w14:paraId="74A1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restart"/>
            <w:noWrap w:val="0"/>
            <w:vAlign w:val="center"/>
          </w:tcPr>
          <w:p w14:paraId="6ABC85C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小</w:t>
            </w:r>
          </w:p>
        </w:tc>
        <w:tc>
          <w:tcPr>
            <w:tcW w:w="913" w:type="pct"/>
            <w:vMerge w:val="restart"/>
            <w:noWrap w:val="0"/>
            <w:vAlign w:val="center"/>
          </w:tcPr>
          <w:p w14:paraId="30CBD7E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小客车</w:t>
            </w:r>
          </w:p>
        </w:tc>
        <w:tc>
          <w:tcPr>
            <w:tcW w:w="903" w:type="pct"/>
            <w:noWrap w:val="0"/>
            <w:vAlign w:val="center"/>
          </w:tcPr>
          <w:p w14:paraId="60CEB0C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摩托车</w:t>
            </w:r>
          </w:p>
        </w:tc>
        <w:tc>
          <w:tcPr>
            <w:tcW w:w="1521" w:type="pct"/>
            <w:vMerge w:val="restart"/>
            <w:noWrap w:val="0"/>
            <w:vAlign w:val="center"/>
          </w:tcPr>
          <w:p w14:paraId="1E17E44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1212" w:type="pct"/>
            <w:noWrap w:val="0"/>
            <w:vAlign w:val="center"/>
          </w:tcPr>
          <w:p w14:paraId="6C507FC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BB6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3F35294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vMerge w:val="continue"/>
            <w:noWrap w:val="0"/>
            <w:vAlign w:val="center"/>
          </w:tcPr>
          <w:p w14:paraId="07CAB90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03" w:type="pct"/>
            <w:noWrap w:val="0"/>
            <w:vAlign w:val="center"/>
          </w:tcPr>
          <w:p w14:paraId="1CCABE2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中小客车</w:t>
            </w:r>
          </w:p>
        </w:tc>
        <w:tc>
          <w:tcPr>
            <w:tcW w:w="1521" w:type="pct"/>
            <w:vMerge w:val="continue"/>
            <w:noWrap w:val="0"/>
            <w:vAlign w:val="center"/>
          </w:tcPr>
          <w:p w14:paraId="3FA6FB6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212" w:type="pct"/>
            <w:noWrap w:val="0"/>
            <w:vAlign w:val="center"/>
          </w:tcPr>
          <w:p w14:paraId="1222CE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额定座位≤19座</w:t>
            </w:r>
          </w:p>
        </w:tc>
      </w:tr>
      <w:tr w14:paraId="67671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0EA9A20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vMerge w:val="continue"/>
            <w:noWrap w:val="0"/>
            <w:vAlign w:val="center"/>
          </w:tcPr>
          <w:p w14:paraId="2192BD9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03" w:type="pct"/>
            <w:noWrap w:val="0"/>
            <w:vAlign w:val="center"/>
          </w:tcPr>
          <w:p w14:paraId="1385D96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小型货车</w:t>
            </w:r>
          </w:p>
        </w:tc>
        <w:tc>
          <w:tcPr>
            <w:tcW w:w="1521" w:type="pct"/>
            <w:vMerge w:val="continue"/>
            <w:noWrap w:val="0"/>
            <w:vAlign w:val="center"/>
          </w:tcPr>
          <w:p w14:paraId="1211A4D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212" w:type="pct"/>
            <w:noWrap w:val="0"/>
            <w:vAlign w:val="center"/>
          </w:tcPr>
          <w:p w14:paraId="6224D60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载质量≤2吨</w:t>
            </w:r>
          </w:p>
        </w:tc>
      </w:tr>
      <w:tr w14:paraId="35101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restart"/>
            <w:noWrap w:val="0"/>
            <w:vAlign w:val="center"/>
          </w:tcPr>
          <w:p w14:paraId="3ABD254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w:t>
            </w:r>
          </w:p>
        </w:tc>
        <w:tc>
          <w:tcPr>
            <w:tcW w:w="913" w:type="pct"/>
            <w:vMerge w:val="restart"/>
            <w:noWrap w:val="0"/>
            <w:vAlign w:val="center"/>
          </w:tcPr>
          <w:p w14:paraId="21482EF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中型车</w:t>
            </w:r>
          </w:p>
        </w:tc>
        <w:tc>
          <w:tcPr>
            <w:tcW w:w="903" w:type="pct"/>
            <w:noWrap w:val="0"/>
            <w:vAlign w:val="center"/>
          </w:tcPr>
          <w:p w14:paraId="6483911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大客车</w:t>
            </w:r>
          </w:p>
        </w:tc>
        <w:tc>
          <w:tcPr>
            <w:tcW w:w="1521" w:type="pct"/>
            <w:vMerge w:val="restart"/>
            <w:noWrap w:val="0"/>
            <w:vAlign w:val="center"/>
          </w:tcPr>
          <w:p w14:paraId="402B9F2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1212" w:type="pct"/>
            <w:noWrap w:val="0"/>
            <w:vAlign w:val="center"/>
          </w:tcPr>
          <w:p w14:paraId="5F7787E5">
            <w:pPr>
              <w:widowControl/>
              <w:adjustRightInd w:val="0"/>
              <w:snapToGrid w:val="0"/>
              <w:spacing w:line="240" w:lineRule="auto"/>
              <w:ind w:firstLine="0" w:firstLineChar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0"/>
                <w:szCs w:val="20"/>
                <w:lang w:bidi="ar"/>
              </w:rPr>
              <w:t>额定座位＞19座</w:t>
            </w:r>
          </w:p>
        </w:tc>
      </w:tr>
      <w:tr w14:paraId="3F275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2EFA714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vMerge w:val="continue"/>
            <w:noWrap w:val="0"/>
            <w:vAlign w:val="center"/>
          </w:tcPr>
          <w:p w14:paraId="385D534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03" w:type="pct"/>
            <w:noWrap w:val="0"/>
            <w:vAlign w:val="center"/>
          </w:tcPr>
          <w:p w14:paraId="308B540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中型客车</w:t>
            </w:r>
          </w:p>
        </w:tc>
        <w:tc>
          <w:tcPr>
            <w:tcW w:w="1521" w:type="pct"/>
            <w:vMerge w:val="continue"/>
            <w:noWrap w:val="0"/>
            <w:vAlign w:val="center"/>
          </w:tcPr>
          <w:p w14:paraId="6B54AB3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212" w:type="pct"/>
            <w:noWrap w:val="0"/>
            <w:vAlign w:val="center"/>
          </w:tcPr>
          <w:p w14:paraId="61EB002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2吨＜载质量≤7吨</w:t>
            </w:r>
          </w:p>
        </w:tc>
      </w:tr>
      <w:tr w14:paraId="153CB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restart"/>
            <w:noWrap w:val="0"/>
            <w:vAlign w:val="center"/>
          </w:tcPr>
          <w:p w14:paraId="6D6FD19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w:t>
            </w:r>
          </w:p>
        </w:tc>
        <w:tc>
          <w:tcPr>
            <w:tcW w:w="913" w:type="pct"/>
            <w:noWrap w:val="0"/>
            <w:vAlign w:val="center"/>
          </w:tcPr>
          <w:p w14:paraId="31459F5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大型车</w:t>
            </w:r>
          </w:p>
        </w:tc>
        <w:tc>
          <w:tcPr>
            <w:tcW w:w="903" w:type="pct"/>
            <w:noWrap w:val="0"/>
            <w:vAlign w:val="center"/>
          </w:tcPr>
          <w:p w14:paraId="547BB6A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大型货车</w:t>
            </w:r>
          </w:p>
        </w:tc>
        <w:tc>
          <w:tcPr>
            <w:tcW w:w="1521" w:type="pct"/>
            <w:noWrap w:val="0"/>
            <w:vAlign w:val="center"/>
          </w:tcPr>
          <w:p w14:paraId="12C92B3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1212" w:type="pct"/>
            <w:noWrap w:val="0"/>
            <w:vAlign w:val="center"/>
          </w:tcPr>
          <w:p w14:paraId="706CF8A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7吨＜载质量≤20吨</w:t>
            </w:r>
          </w:p>
        </w:tc>
      </w:tr>
      <w:tr w14:paraId="798A8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4378C0E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noWrap w:val="0"/>
            <w:vAlign w:val="center"/>
          </w:tcPr>
          <w:p w14:paraId="49D68A7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拖拉机</w:t>
            </w:r>
          </w:p>
        </w:tc>
        <w:tc>
          <w:tcPr>
            <w:tcW w:w="903" w:type="pct"/>
            <w:noWrap w:val="0"/>
            <w:vAlign w:val="center"/>
          </w:tcPr>
          <w:p w14:paraId="31F8BB4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各式拖拉机</w:t>
            </w:r>
          </w:p>
        </w:tc>
        <w:tc>
          <w:tcPr>
            <w:tcW w:w="1521" w:type="pct"/>
            <w:vMerge w:val="restart"/>
            <w:noWrap w:val="0"/>
            <w:vAlign w:val="center"/>
          </w:tcPr>
          <w:p w14:paraId="1BD458A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p>
        </w:tc>
        <w:tc>
          <w:tcPr>
            <w:tcW w:w="1212" w:type="pct"/>
            <w:noWrap w:val="0"/>
            <w:vAlign w:val="center"/>
          </w:tcPr>
          <w:p w14:paraId="52722D5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35A2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769C604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vMerge w:val="restart"/>
            <w:noWrap w:val="0"/>
            <w:vAlign w:val="center"/>
          </w:tcPr>
          <w:p w14:paraId="1557557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汽车列车</w:t>
            </w:r>
          </w:p>
        </w:tc>
        <w:tc>
          <w:tcPr>
            <w:tcW w:w="903" w:type="pct"/>
            <w:noWrap w:val="0"/>
            <w:vAlign w:val="center"/>
          </w:tcPr>
          <w:p w14:paraId="0A24FBC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特大型货车</w:t>
            </w:r>
          </w:p>
        </w:tc>
        <w:tc>
          <w:tcPr>
            <w:tcW w:w="1521" w:type="pct"/>
            <w:vMerge w:val="continue"/>
            <w:noWrap w:val="0"/>
            <w:vAlign w:val="center"/>
          </w:tcPr>
          <w:p w14:paraId="53FA382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212" w:type="pct"/>
            <w:vMerge w:val="restart"/>
            <w:noWrap w:val="0"/>
            <w:vAlign w:val="center"/>
          </w:tcPr>
          <w:p w14:paraId="64BF6C1C">
            <w:pPr>
              <w:widowControl/>
              <w:adjustRightInd w:val="0"/>
              <w:snapToGrid w:val="0"/>
              <w:spacing w:line="240" w:lineRule="auto"/>
              <w:ind w:firstLine="0" w:firstLineChar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0"/>
                <w:szCs w:val="20"/>
                <w:lang w:bidi="ar"/>
              </w:rPr>
              <w:t>载质量＞20吨</w:t>
            </w:r>
          </w:p>
        </w:tc>
      </w:tr>
      <w:tr w14:paraId="7A8F2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14:paraId="65E29DB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13" w:type="pct"/>
            <w:vMerge w:val="continue"/>
            <w:noWrap w:val="0"/>
            <w:vAlign w:val="center"/>
          </w:tcPr>
          <w:p w14:paraId="66C770E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03" w:type="pct"/>
            <w:noWrap w:val="0"/>
            <w:vAlign w:val="center"/>
          </w:tcPr>
          <w:p w14:paraId="22C9FE1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集装箱车</w:t>
            </w:r>
          </w:p>
        </w:tc>
        <w:tc>
          <w:tcPr>
            <w:tcW w:w="1521" w:type="pct"/>
            <w:vMerge w:val="continue"/>
            <w:noWrap w:val="0"/>
            <w:vAlign w:val="center"/>
          </w:tcPr>
          <w:p w14:paraId="21DC2AF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212" w:type="pct"/>
            <w:vMerge w:val="continue"/>
            <w:noWrap w:val="0"/>
            <w:vAlign w:val="center"/>
          </w:tcPr>
          <w:p w14:paraId="2AB1F98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652A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5000" w:type="pct"/>
            <w:gridSpan w:val="5"/>
            <w:noWrap w:val="0"/>
            <w:vAlign w:val="center"/>
          </w:tcPr>
          <w:p w14:paraId="0C06134C">
            <w:pPr>
              <w:widowControl/>
              <w:adjustRightInd w:val="0"/>
              <w:snapToGrid w:val="0"/>
              <w:spacing w:line="240" w:lineRule="auto"/>
              <w:ind w:firstLine="0" w:firstLineChars="0"/>
              <w:jc w:val="left"/>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0"/>
                <w:szCs w:val="20"/>
                <w:lang w:bidi="ar"/>
              </w:rPr>
              <w:t>注：交通量折算采用小型车做标准车型，本次评价特大型车按大型车统计。</w:t>
            </w:r>
          </w:p>
        </w:tc>
      </w:tr>
    </w:tbl>
    <w:p w14:paraId="7352210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工程可研》提供的交通量预测结果、昼夜比例及车型比例计算预测年各类车辆的日均交通量。其中，白天（6：00～22：00）交通流量大约占80％，夜间（22：00～6：00）占20％。高峰小时确定为17:00～18:00，车流量占全天的10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。营运期的交通噪声等级L</w:t>
      </w:r>
      <w:r>
        <w:rPr>
          <w:rFonts w:hint="default" w:ascii="Times New Roman" w:hAnsi="Times New Roman" w:eastAsia="宋体" w:cs="Times New Roman"/>
          <w:color w:val="auto"/>
          <w:vertAlign w:val="subscript"/>
        </w:rPr>
        <w:t>Aeq</w:t>
      </w:r>
      <w:r>
        <w:rPr>
          <w:rFonts w:hint="default" w:ascii="Times New Roman" w:hAnsi="Times New Roman" w:eastAsia="宋体" w:cs="Times New Roman"/>
          <w:color w:val="auto"/>
        </w:rPr>
        <w:t>取决于营运期的交通流量、车型构成比、车速、车辆辐射声功率及道路的路面状况、坡度等因素。</w:t>
      </w:r>
    </w:p>
    <w:p w14:paraId="568A3693">
      <w:pPr>
        <w:keepNext w:val="0"/>
        <w:keepLines w:val="0"/>
        <w:widowControl/>
        <w:suppressLineNumbers w:val="0"/>
        <w:jc w:val="left"/>
        <w:rPr>
          <w:rFonts w:hint="default"/>
          <w:color w:val="auto"/>
          <w:lang w:val="en-US"/>
        </w:rPr>
      </w:pPr>
      <w:r>
        <w:rPr>
          <w:rFonts w:hint="eastAsia" w:ascii="宋体" w:hAnsi="宋体" w:eastAsia="宋体" w:cs="宋体"/>
          <w:color w:val="auto"/>
          <w:kern w:val="0"/>
          <w:sz w:val="24"/>
          <w:szCs w:val="24"/>
          <w:lang w:val="en-US" w:eastAsia="zh-CN" w:bidi="ar"/>
        </w:rPr>
        <w:t>车辆流量</w:t>
      </w:r>
      <w:r>
        <w:rPr>
          <w:rFonts w:hint="default" w:ascii="Times New Roman" w:hAnsi="Times New Roman" w:eastAsia="宋体" w:cs="Times New Roman"/>
          <w:color w:val="auto"/>
          <w:kern w:val="0"/>
          <w:sz w:val="24"/>
          <w:szCs w:val="24"/>
          <w:lang w:val="en-US" w:eastAsia="zh-CN" w:bidi="ar"/>
        </w:rPr>
        <w:t>PCU</w:t>
      </w:r>
      <w:r>
        <w:rPr>
          <w:rFonts w:hint="eastAsia" w:ascii="宋体" w:hAnsi="宋体" w:eastAsia="宋体" w:cs="宋体"/>
          <w:color w:val="auto"/>
          <w:kern w:val="0"/>
          <w:sz w:val="24"/>
          <w:szCs w:val="24"/>
          <w:lang w:val="en-US" w:eastAsia="zh-CN" w:bidi="ar"/>
        </w:rPr>
        <w:t>值转换成选用交通噪声预测模型所需要的大、中、小型车的昼间和夜间绝对车流量的转换的公式如下：已知昼夜</w:t>
      </w:r>
      <w:r>
        <w:rPr>
          <w:rFonts w:hint="default" w:ascii="Times New Roman" w:hAnsi="Times New Roman" w:eastAsia="宋体" w:cs="Times New Roman"/>
          <w:color w:val="auto"/>
          <w:kern w:val="0"/>
          <w:sz w:val="24"/>
          <w:szCs w:val="24"/>
          <w:lang w:val="en-US" w:eastAsia="zh-CN" w:bidi="ar"/>
        </w:rPr>
        <w:t>PCU</w:t>
      </w:r>
      <w:r>
        <w:rPr>
          <w:rFonts w:hint="eastAsia" w:ascii="宋体" w:hAnsi="宋体" w:eastAsia="宋体" w:cs="宋体"/>
          <w:color w:val="auto"/>
          <w:kern w:val="0"/>
          <w:sz w:val="24"/>
          <w:szCs w:val="24"/>
          <w:lang w:val="en-US" w:eastAsia="zh-CN" w:bidi="ar"/>
        </w:rPr>
        <w:t>值</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，大型车、中型车、小型车的车型比例</w:t>
      </w:r>
      <w:r>
        <w:rPr>
          <w:rFonts w:hint="default" w:ascii="Times New Roman" w:hAnsi="Times New Roman" w:eastAsia="宋体" w:cs="Times New Roman"/>
          <w:color w:val="auto"/>
          <w:kern w:val="0"/>
          <w:sz w:val="24"/>
          <w:szCs w:val="24"/>
          <w:lang w:val="en-US" w:eastAsia="zh-CN" w:bidi="ar"/>
        </w:rPr>
        <w:t>（</w:t>
      </w:r>
      <w:r>
        <w:rPr>
          <w:rFonts w:hint="default" w:ascii="Times New Roman" w:hAnsi="Times New Roman" w:eastAsia="宋体" w:cs="Times New Roman"/>
          <w:color w:val="auto"/>
          <w:kern w:val="0"/>
          <w:sz w:val="28"/>
          <w:szCs w:val="28"/>
          <w:lang w:val="en-US" w:eastAsia="zh-CN" w:bidi="ar"/>
        </w:rPr>
        <w:t>a</w:t>
      </w:r>
      <w:r>
        <w:rPr>
          <w:rFonts w:hint="default" w:ascii="Times New Roman" w:hAnsi="Times New Roman" w:eastAsia="宋体" w:cs="Times New Roman"/>
          <w:color w:val="auto"/>
          <w:kern w:val="0"/>
          <w:sz w:val="24"/>
          <w:szCs w:val="24"/>
          <w:vertAlign w:val="subscript"/>
          <w:lang w:val="en-US" w:eastAsia="zh-CN" w:bidi="ar"/>
        </w:rPr>
        <w:t>大</w:t>
      </w:r>
      <w:r>
        <w:rPr>
          <w:rFonts w:hint="default" w:ascii="Times New Roman" w:hAnsi="Times New Roman" w:eastAsia="宋体" w:cs="Times New Roman"/>
          <w:color w:val="auto"/>
          <w:kern w:val="0"/>
          <w:sz w:val="24"/>
          <w:szCs w:val="24"/>
          <w:vertAlign w:val="baseline"/>
          <w:lang w:val="en-US" w:eastAsia="zh-CN" w:bidi="ar"/>
        </w:rPr>
        <w:t>、</w:t>
      </w:r>
      <w:r>
        <w:rPr>
          <w:rFonts w:hint="default" w:ascii="Times New Roman" w:hAnsi="Times New Roman" w:eastAsia="宋体" w:cs="Times New Roman"/>
          <w:color w:val="auto"/>
          <w:kern w:val="0"/>
          <w:sz w:val="28"/>
          <w:szCs w:val="28"/>
          <w:lang w:val="en-US" w:eastAsia="zh-CN" w:bidi="ar"/>
        </w:rPr>
        <w:t>a</w:t>
      </w:r>
      <w:r>
        <w:rPr>
          <w:rFonts w:hint="default" w:ascii="Times New Roman" w:hAnsi="Times New Roman" w:cs="Times New Roman"/>
          <w:color w:val="auto"/>
          <w:kern w:val="0"/>
          <w:sz w:val="24"/>
          <w:szCs w:val="24"/>
          <w:vertAlign w:val="subscript"/>
          <w:lang w:val="en-US" w:eastAsia="zh-CN" w:bidi="ar"/>
        </w:rPr>
        <w:t>中</w:t>
      </w:r>
      <w:r>
        <w:rPr>
          <w:rFonts w:hint="default" w:ascii="Times New Roman" w:hAnsi="Times New Roman" w:cs="Times New Roman"/>
          <w:color w:val="auto"/>
          <w:kern w:val="0"/>
          <w:sz w:val="24"/>
          <w:szCs w:val="24"/>
          <w:vertAlign w:val="baseline"/>
          <w:lang w:val="en-US" w:eastAsia="zh-CN" w:bidi="ar"/>
        </w:rPr>
        <w:t>和</w:t>
      </w:r>
      <w:r>
        <w:rPr>
          <w:rFonts w:hint="default" w:ascii="Times New Roman" w:hAnsi="Times New Roman" w:eastAsia="宋体" w:cs="Times New Roman"/>
          <w:color w:val="auto"/>
          <w:kern w:val="0"/>
          <w:sz w:val="28"/>
          <w:szCs w:val="28"/>
          <w:lang w:val="en-US" w:eastAsia="zh-CN" w:bidi="ar"/>
        </w:rPr>
        <w:t>a</w:t>
      </w:r>
      <w:r>
        <w:rPr>
          <w:rFonts w:hint="default" w:ascii="Times New Roman" w:hAnsi="Times New Roman" w:cs="Times New Roman"/>
          <w:color w:val="auto"/>
          <w:kern w:val="0"/>
          <w:sz w:val="24"/>
          <w:szCs w:val="24"/>
          <w:vertAlign w:val="subscript"/>
          <w:lang w:val="en-US" w:eastAsia="zh-CN" w:bidi="ar"/>
        </w:rPr>
        <w:t>小</w:t>
      </w:r>
      <w:r>
        <w:rPr>
          <w:rFonts w:hint="default" w:ascii="Times New Roman" w:hAnsi="Times New Roman" w:eastAsia="宋体" w:cs="Times New Roman"/>
          <w:color w:val="auto"/>
          <w:kern w:val="0"/>
          <w:sz w:val="24"/>
          <w:szCs w:val="24"/>
          <w:lang w:val="en-US" w:eastAsia="zh-CN" w:bidi="ar"/>
        </w:rPr>
        <w:t>）以及各车型的当量系数C</w:t>
      </w:r>
      <w:r>
        <w:rPr>
          <w:rFonts w:hint="default" w:ascii="Times New Roman" w:hAnsi="Times New Roman" w:eastAsia="宋体" w:cs="Times New Roman"/>
          <w:color w:val="auto"/>
          <w:kern w:val="0"/>
          <w:sz w:val="24"/>
          <w:szCs w:val="24"/>
          <w:vertAlign w:val="subscript"/>
          <w:lang w:val="en-US" w:eastAsia="zh-CN" w:bidi="ar"/>
        </w:rPr>
        <w:t>i</w:t>
      </w:r>
      <w:r>
        <w:rPr>
          <w:rFonts w:hint="default" w:ascii="Times New Roman" w:hAnsi="Times New Roman" w:eastAsia="宋体" w:cs="Times New Roman"/>
          <w:color w:val="auto"/>
          <w:kern w:val="0"/>
          <w:sz w:val="24"/>
          <w:szCs w:val="24"/>
          <w:vertAlign w:val="baseline"/>
          <w:lang w:val="en-US" w:eastAsia="zh-CN" w:bidi="ar"/>
        </w:rPr>
        <w:t>（i=1,2……n）</w:t>
      </w:r>
      <w:r>
        <w:rPr>
          <w:rFonts w:hint="eastAsia" w:ascii="Times New Roman" w:hAnsi="Times New Roman" w:eastAsia="宋体" w:cs="Times New Roman"/>
          <w:color w:val="auto"/>
          <w:kern w:val="0"/>
          <w:sz w:val="24"/>
          <w:szCs w:val="24"/>
          <w:vertAlign w:val="baseline"/>
          <w:lang w:val="en-US" w:eastAsia="zh-CN" w:bidi="ar"/>
        </w:rPr>
        <w:t>。求昼夜绝对车流Q、昼间绝对车流量Q</w:t>
      </w:r>
      <w:r>
        <w:rPr>
          <w:rFonts w:hint="eastAsia" w:ascii="Times New Roman" w:hAnsi="Times New Roman" w:eastAsia="宋体" w:cs="Times New Roman"/>
          <w:color w:val="auto"/>
          <w:kern w:val="0"/>
          <w:sz w:val="24"/>
          <w:szCs w:val="24"/>
          <w:vertAlign w:val="subscript"/>
          <w:lang w:val="en-US" w:eastAsia="zh-CN" w:bidi="ar"/>
        </w:rPr>
        <w:t>昼</w:t>
      </w:r>
      <w:r>
        <w:rPr>
          <w:rFonts w:hint="eastAsia" w:ascii="Times New Roman" w:hAnsi="Times New Roman" w:eastAsia="宋体" w:cs="Times New Roman"/>
          <w:color w:val="auto"/>
          <w:kern w:val="0"/>
          <w:sz w:val="24"/>
          <w:szCs w:val="24"/>
          <w:vertAlign w:val="baseline"/>
          <w:lang w:val="en-US" w:eastAsia="zh-CN" w:bidi="ar"/>
        </w:rPr>
        <w:t>以及各车型不同时段的绝对车流量。</w:t>
      </w:r>
    </w:p>
    <w:p w14:paraId="252741B4">
      <w:pPr>
        <w:widowControl/>
        <w:ind w:firstLine="480"/>
        <w:jc w:val="left"/>
        <w:rPr>
          <w:rFonts w:hint="eastAsia" w:cs="Times New Roman"/>
          <w:color w:val="auto"/>
          <w:kern w:val="0"/>
          <w:lang w:val="en-US" w:eastAsia="zh-CN" w:bidi="ar"/>
        </w:rPr>
      </w:pPr>
      <w:r>
        <w:rPr>
          <w:rFonts w:hint="eastAsia" w:cs="Times New Roman"/>
          <w:color w:val="auto"/>
          <w:kern w:val="0"/>
          <w:lang w:val="en-US" w:eastAsia="zh-CN" w:bidi="ar"/>
        </w:rPr>
        <w:t>计算方法：</w:t>
      </w:r>
    </w:p>
    <w:p w14:paraId="6719A0CB">
      <w:pPr>
        <w:widowControl/>
        <w:ind w:left="0" w:leftChars="0" w:firstLine="0" w:firstLineChars="0"/>
        <w:jc w:val="left"/>
        <w:rPr>
          <w:rFonts w:hint="default" w:cs="Times New Roman"/>
          <w:color w:val="auto"/>
          <w:kern w:val="0"/>
          <w:lang w:val="en-US" w:eastAsia="zh-CN" w:bidi="ar"/>
        </w:rPr>
      </w:pPr>
      <w:r>
        <w:rPr>
          <w:rFonts w:hint="default" w:cs="Times New Roman"/>
          <w:color w:val="auto"/>
          <w:kern w:val="0"/>
          <w:lang w:val="en-US" w:eastAsia="zh-CN" w:bidi="ar"/>
        </w:rPr>
        <w:drawing>
          <wp:inline distT="0" distB="0" distL="114300" distR="114300">
            <wp:extent cx="5302885" cy="1105535"/>
            <wp:effectExtent l="0" t="0" r="12065" b="18415"/>
            <wp:docPr id="14" name="图片 14" descr="96fa3a78-26c5-41f5-aacb-9888e58f36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96fa3a78-26c5-41f5-aacb-9888e58f36cc"/>
                    <pic:cNvPicPr>
                      <a:picLocks noChangeAspect="1"/>
                    </pic:cNvPicPr>
                  </pic:nvPicPr>
                  <pic:blipFill>
                    <a:blip r:embed="rId40"/>
                    <a:stretch>
                      <a:fillRect/>
                    </a:stretch>
                  </pic:blipFill>
                  <pic:spPr>
                    <a:xfrm>
                      <a:off x="0" y="0"/>
                      <a:ext cx="5302885" cy="1105535"/>
                    </a:xfrm>
                    <a:prstGeom prst="rect">
                      <a:avLst/>
                    </a:prstGeom>
                  </pic:spPr>
                </pic:pic>
              </a:graphicData>
            </a:graphic>
          </wp:inline>
        </w:drawing>
      </w:r>
    </w:p>
    <w:p w14:paraId="6F2EFD6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（2）车型比</w:t>
      </w:r>
    </w:p>
    <w:p w14:paraId="28E600E9">
      <w:pPr>
        <w:widowControl/>
        <w:ind w:firstLine="480" w:firstLineChars="200"/>
        <w:jc w:val="left"/>
        <w:rPr>
          <w:rFonts w:hint="eastAsia"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根据工可报告，本项目预测交通量中的车型共分为</w:t>
      </w:r>
      <w:r>
        <w:rPr>
          <w:rFonts w:hint="default" w:ascii="Times New Roman" w:hAnsi="Times New Roman" w:eastAsia="宋体" w:cs="Times New Roman"/>
          <w:color w:val="auto"/>
          <w:kern w:val="0"/>
          <w:lang w:bidi="ar"/>
        </w:rPr>
        <w:t>小</w:t>
      </w:r>
      <w:r>
        <w:rPr>
          <w:rFonts w:hint="eastAsia" w:cs="Times New Roman"/>
          <w:color w:val="auto"/>
          <w:kern w:val="0"/>
          <w:lang w:val="en-US" w:eastAsia="zh-CN" w:bidi="ar"/>
        </w:rPr>
        <w:t>型</w:t>
      </w:r>
      <w:r>
        <w:rPr>
          <w:rFonts w:hint="default" w:ascii="Times New Roman" w:hAnsi="Times New Roman" w:eastAsia="宋体" w:cs="Times New Roman"/>
          <w:color w:val="auto"/>
          <w:kern w:val="0"/>
          <w:lang w:bidi="ar"/>
        </w:rPr>
        <w:t>货</w:t>
      </w:r>
      <w:r>
        <w:rPr>
          <w:rFonts w:hint="eastAsia" w:cs="Times New Roman"/>
          <w:color w:val="auto"/>
          <w:kern w:val="0"/>
          <w:lang w:val="en-US" w:eastAsia="zh-CN" w:bidi="ar"/>
        </w:rPr>
        <w:t>车</w:t>
      </w:r>
      <w:r>
        <w:rPr>
          <w:rFonts w:hint="default" w:ascii="Times New Roman" w:hAnsi="Times New Roman" w:eastAsia="宋体" w:cs="Times New Roman"/>
          <w:color w:val="auto"/>
          <w:kern w:val="0"/>
          <w:lang w:bidi="ar"/>
        </w:rPr>
        <w:t>、中</w:t>
      </w:r>
      <w:r>
        <w:rPr>
          <w:rFonts w:hint="eastAsia" w:cs="Times New Roman"/>
          <w:color w:val="auto"/>
          <w:kern w:val="0"/>
          <w:lang w:val="en-US" w:eastAsia="zh-CN" w:bidi="ar"/>
        </w:rPr>
        <w:t>型</w:t>
      </w:r>
      <w:r>
        <w:rPr>
          <w:rFonts w:hint="default" w:ascii="Times New Roman" w:hAnsi="Times New Roman" w:eastAsia="宋体" w:cs="Times New Roman"/>
          <w:color w:val="auto"/>
          <w:kern w:val="0"/>
          <w:lang w:bidi="ar"/>
        </w:rPr>
        <w:t>货</w:t>
      </w:r>
      <w:r>
        <w:rPr>
          <w:rFonts w:hint="eastAsia" w:cs="Times New Roman"/>
          <w:color w:val="auto"/>
          <w:kern w:val="0"/>
          <w:lang w:val="en-US" w:eastAsia="zh-CN" w:bidi="ar"/>
        </w:rPr>
        <w:t>车</w:t>
      </w:r>
      <w:r>
        <w:rPr>
          <w:rFonts w:hint="default" w:ascii="Times New Roman" w:hAnsi="Times New Roman" w:eastAsia="宋体" w:cs="Times New Roman"/>
          <w:color w:val="auto"/>
          <w:kern w:val="0"/>
          <w:lang w:bidi="ar"/>
        </w:rPr>
        <w:t>、大</w:t>
      </w:r>
      <w:r>
        <w:rPr>
          <w:rFonts w:hint="eastAsia" w:cs="Times New Roman"/>
          <w:color w:val="auto"/>
          <w:kern w:val="0"/>
          <w:lang w:val="en-US" w:eastAsia="zh-CN" w:bidi="ar"/>
        </w:rPr>
        <w:t>型</w:t>
      </w:r>
      <w:r>
        <w:rPr>
          <w:rFonts w:hint="default" w:ascii="Times New Roman" w:hAnsi="Times New Roman" w:eastAsia="宋体" w:cs="Times New Roman"/>
          <w:color w:val="auto"/>
          <w:kern w:val="0"/>
          <w:lang w:bidi="ar"/>
        </w:rPr>
        <w:t>货</w:t>
      </w:r>
      <w:r>
        <w:rPr>
          <w:rFonts w:hint="eastAsia" w:cs="Times New Roman"/>
          <w:color w:val="auto"/>
          <w:kern w:val="0"/>
          <w:lang w:val="en-US" w:eastAsia="zh-CN" w:bidi="ar"/>
        </w:rPr>
        <w:t>车（以下简称小货、中货、大货）</w:t>
      </w:r>
      <w:r>
        <w:rPr>
          <w:rFonts w:hint="default" w:ascii="Times New Roman" w:hAnsi="Times New Roman" w:eastAsia="宋体" w:cs="Times New Roman"/>
          <w:color w:val="auto"/>
          <w:kern w:val="0"/>
          <w:lang w:bidi="ar"/>
        </w:rPr>
        <w:t>、小客车、拖拉机</w:t>
      </w:r>
      <w:r>
        <w:rPr>
          <w:rFonts w:hint="eastAsia" w:cs="Times New Roman"/>
          <w:color w:val="auto"/>
          <w:kern w:val="0"/>
          <w:lang w:eastAsia="zh-CN" w:bidi="ar"/>
        </w:rPr>
        <w:t>、</w:t>
      </w:r>
      <w:r>
        <w:rPr>
          <w:rFonts w:hint="eastAsia" w:cs="Times New Roman"/>
          <w:color w:val="auto"/>
          <w:kern w:val="0"/>
          <w:lang w:val="en-US" w:eastAsia="zh-CN" w:bidi="ar"/>
        </w:rPr>
        <w:t>摩托车</w:t>
      </w:r>
      <w:r>
        <w:rPr>
          <w:rFonts w:hint="eastAsia" w:cs="Times New Roman"/>
          <w:color w:val="auto"/>
          <w:kern w:val="0"/>
          <w:lang w:eastAsia="zh-CN" w:bidi="ar"/>
        </w:rPr>
        <w:t>。</w:t>
      </w:r>
    </w:p>
    <w:p w14:paraId="7B29ACC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本次评价车型按照《</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1358-2024）要求分为小型车、中型车、大型车；本次评价小型车包括中小客车、小货</w:t>
      </w:r>
      <w:r>
        <w:rPr>
          <w:rFonts w:hint="eastAsia" w:cs="Times New Roman"/>
          <w:color w:val="auto"/>
          <w:kern w:val="0"/>
          <w:lang w:val="en-US" w:eastAsia="zh-CN" w:bidi="ar"/>
        </w:rPr>
        <w:t>和摩托车</w:t>
      </w:r>
      <w:r>
        <w:rPr>
          <w:rFonts w:hint="default" w:ascii="Times New Roman" w:hAnsi="Times New Roman" w:eastAsia="宋体" w:cs="Times New Roman"/>
          <w:color w:val="auto"/>
          <w:kern w:val="0"/>
          <w:lang w:bidi="ar"/>
        </w:rPr>
        <w:t>；中型车包括中货；大型车包括大货、拖拉机。本次评价预测车型比例见表2.4-4。本次评价昼间、夜间车型比例相同。</w:t>
      </w:r>
    </w:p>
    <w:p w14:paraId="5AC0D248">
      <w:pPr>
        <w:widowControl/>
        <w:adjustRightInd w:val="0"/>
        <w:snapToGrid w:val="0"/>
        <w:spacing w:line="240" w:lineRule="auto"/>
        <w:ind w:firstLine="422"/>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表2.4-4工可预测交通量车型比例（绝对数）</w:t>
      </w:r>
    </w:p>
    <w:tbl>
      <w:tblPr>
        <w:tblStyle w:val="5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1125"/>
        <w:gridCol w:w="1125"/>
        <w:gridCol w:w="1125"/>
        <w:gridCol w:w="1125"/>
        <w:gridCol w:w="1125"/>
        <w:gridCol w:w="1136"/>
      </w:tblGrid>
      <w:tr w14:paraId="020A0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pct"/>
            <w:tcBorders>
              <w:tl2br w:val="single" w:color="auto" w:sz="4" w:space="0"/>
            </w:tcBorders>
            <w:noWrap w:val="0"/>
            <w:vAlign w:val="center"/>
          </w:tcPr>
          <w:p w14:paraId="0389F1AD">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车型</w:t>
            </w:r>
          </w:p>
          <w:p w14:paraId="7AB650D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年份</w:t>
            </w:r>
          </w:p>
        </w:tc>
        <w:tc>
          <w:tcPr>
            <w:tcW w:w="633" w:type="pct"/>
            <w:noWrap w:val="0"/>
            <w:vAlign w:val="center"/>
          </w:tcPr>
          <w:p w14:paraId="5F3C779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小货</w:t>
            </w:r>
          </w:p>
        </w:tc>
        <w:tc>
          <w:tcPr>
            <w:tcW w:w="633" w:type="pct"/>
            <w:noWrap w:val="0"/>
            <w:vAlign w:val="center"/>
          </w:tcPr>
          <w:p w14:paraId="044C14E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中货</w:t>
            </w:r>
          </w:p>
        </w:tc>
        <w:tc>
          <w:tcPr>
            <w:tcW w:w="633" w:type="pct"/>
            <w:noWrap w:val="0"/>
            <w:vAlign w:val="center"/>
          </w:tcPr>
          <w:p w14:paraId="47BC021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大货</w:t>
            </w:r>
          </w:p>
        </w:tc>
        <w:tc>
          <w:tcPr>
            <w:tcW w:w="633" w:type="pct"/>
            <w:noWrap w:val="0"/>
            <w:vAlign w:val="center"/>
          </w:tcPr>
          <w:p w14:paraId="4BF440E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w:t>
            </w:r>
          </w:p>
          <w:p w14:paraId="74266E6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客车</w:t>
            </w:r>
          </w:p>
        </w:tc>
        <w:tc>
          <w:tcPr>
            <w:tcW w:w="633" w:type="pct"/>
            <w:noWrap w:val="0"/>
            <w:vAlign w:val="center"/>
          </w:tcPr>
          <w:p w14:paraId="54E877C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摩托车</w:t>
            </w:r>
          </w:p>
        </w:tc>
        <w:tc>
          <w:tcPr>
            <w:tcW w:w="639" w:type="pct"/>
            <w:noWrap w:val="0"/>
            <w:vAlign w:val="center"/>
          </w:tcPr>
          <w:p w14:paraId="7C2C6C7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拖拉机</w:t>
            </w:r>
          </w:p>
        </w:tc>
      </w:tr>
      <w:tr w14:paraId="52485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pct"/>
            <w:noWrap w:val="0"/>
            <w:vAlign w:val="center"/>
          </w:tcPr>
          <w:p w14:paraId="0E31B8A8">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202</w:t>
            </w:r>
            <w:r>
              <w:rPr>
                <w:rFonts w:hint="eastAsia" w:hAnsi="Times New Roman" w:cs="Times New Roman"/>
                <w:color w:val="auto"/>
                <w:sz w:val="21"/>
                <w:lang w:val="en-US" w:eastAsia="zh-CN"/>
              </w:rPr>
              <w:t>7</w:t>
            </w:r>
          </w:p>
        </w:tc>
        <w:tc>
          <w:tcPr>
            <w:tcW w:w="633" w:type="pct"/>
            <w:noWrap w:val="0"/>
            <w:vAlign w:val="center"/>
          </w:tcPr>
          <w:p w14:paraId="263C531B">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eastAsia" w:hAnsi="Times New Roman" w:cs="Times New Roman"/>
                <w:color w:val="auto"/>
                <w:sz w:val="21"/>
                <w:lang w:val="en-US" w:eastAsia="zh-CN"/>
              </w:rPr>
              <w:t>7.85</w:t>
            </w:r>
            <w:r>
              <w:rPr>
                <w:rFonts w:hint="default" w:ascii="Times New Roman" w:hAnsi="Times New Roman" w:eastAsia="宋体" w:cs="Times New Roman"/>
                <w:color w:val="auto"/>
                <w:sz w:val="21"/>
              </w:rPr>
              <w:t>%</w:t>
            </w:r>
          </w:p>
        </w:tc>
        <w:tc>
          <w:tcPr>
            <w:tcW w:w="633" w:type="pct"/>
            <w:noWrap w:val="0"/>
            <w:vAlign w:val="center"/>
          </w:tcPr>
          <w:p w14:paraId="33D32EC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3.61</w:t>
            </w:r>
            <w:r>
              <w:rPr>
                <w:rFonts w:hint="default" w:ascii="Times New Roman" w:hAnsi="Times New Roman" w:eastAsia="宋体" w:cs="Times New Roman"/>
                <w:color w:val="auto"/>
                <w:sz w:val="21"/>
                <w:szCs w:val="21"/>
              </w:rPr>
              <w:t>%</w:t>
            </w:r>
          </w:p>
        </w:tc>
        <w:tc>
          <w:tcPr>
            <w:tcW w:w="633" w:type="pct"/>
            <w:noWrap w:val="0"/>
            <w:vAlign w:val="center"/>
          </w:tcPr>
          <w:p w14:paraId="1EE9073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3.86</w:t>
            </w:r>
            <w:r>
              <w:rPr>
                <w:rFonts w:hint="default" w:ascii="Times New Roman" w:hAnsi="Times New Roman" w:eastAsia="宋体" w:cs="Times New Roman"/>
                <w:color w:val="auto"/>
                <w:sz w:val="21"/>
                <w:szCs w:val="21"/>
              </w:rPr>
              <w:t>%</w:t>
            </w:r>
          </w:p>
        </w:tc>
        <w:tc>
          <w:tcPr>
            <w:tcW w:w="633" w:type="pct"/>
            <w:noWrap w:val="0"/>
            <w:vAlign w:val="center"/>
          </w:tcPr>
          <w:p w14:paraId="4D22099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75.73</w:t>
            </w:r>
            <w:r>
              <w:rPr>
                <w:rFonts w:hint="default" w:ascii="Times New Roman" w:hAnsi="Times New Roman" w:eastAsia="宋体" w:cs="Times New Roman"/>
                <w:color w:val="auto"/>
                <w:sz w:val="21"/>
                <w:szCs w:val="21"/>
              </w:rPr>
              <w:t>%</w:t>
            </w:r>
          </w:p>
        </w:tc>
        <w:tc>
          <w:tcPr>
            <w:tcW w:w="633" w:type="pct"/>
            <w:noWrap w:val="0"/>
            <w:vAlign w:val="center"/>
          </w:tcPr>
          <w:p w14:paraId="5E50234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8.12</w:t>
            </w:r>
            <w:r>
              <w:rPr>
                <w:rFonts w:hint="default" w:ascii="Times New Roman" w:hAnsi="Times New Roman" w:eastAsia="宋体" w:cs="Times New Roman"/>
                <w:color w:val="auto"/>
                <w:sz w:val="21"/>
                <w:szCs w:val="21"/>
              </w:rPr>
              <w:t>%</w:t>
            </w:r>
          </w:p>
        </w:tc>
        <w:tc>
          <w:tcPr>
            <w:tcW w:w="639" w:type="pct"/>
            <w:noWrap w:val="0"/>
            <w:vAlign w:val="center"/>
          </w:tcPr>
          <w:p w14:paraId="7255E80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0.83</w:t>
            </w:r>
            <w:r>
              <w:rPr>
                <w:rFonts w:hint="default" w:ascii="Times New Roman" w:hAnsi="Times New Roman" w:eastAsia="宋体" w:cs="Times New Roman"/>
                <w:color w:val="auto"/>
                <w:sz w:val="21"/>
                <w:szCs w:val="21"/>
              </w:rPr>
              <w:t>%</w:t>
            </w:r>
          </w:p>
        </w:tc>
      </w:tr>
      <w:tr w14:paraId="21226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pct"/>
            <w:noWrap w:val="0"/>
            <w:vAlign w:val="center"/>
          </w:tcPr>
          <w:p w14:paraId="6B1DEFF9">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203</w:t>
            </w:r>
            <w:r>
              <w:rPr>
                <w:rFonts w:hint="eastAsia" w:hAnsi="Times New Roman" w:cs="Times New Roman"/>
                <w:color w:val="auto"/>
                <w:sz w:val="21"/>
                <w:lang w:val="en-US" w:eastAsia="zh-CN"/>
              </w:rPr>
              <w:t>4</w:t>
            </w:r>
          </w:p>
        </w:tc>
        <w:tc>
          <w:tcPr>
            <w:tcW w:w="633" w:type="pct"/>
            <w:noWrap w:val="0"/>
            <w:vAlign w:val="center"/>
          </w:tcPr>
          <w:p w14:paraId="0DA21D2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.8</w:t>
            </w:r>
            <w:r>
              <w:rPr>
                <w:rFonts w:hint="eastAsia" w:cs="Times New Roman"/>
                <w:color w:val="auto"/>
                <w:sz w:val="21"/>
                <w:szCs w:val="21"/>
                <w:lang w:val="en-US" w:eastAsia="zh-CN"/>
              </w:rPr>
              <w:t>4</w:t>
            </w:r>
            <w:r>
              <w:rPr>
                <w:rFonts w:hint="default" w:ascii="Times New Roman" w:hAnsi="Times New Roman" w:eastAsia="宋体" w:cs="Times New Roman"/>
                <w:color w:val="auto"/>
                <w:sz w:val="21"/>
                <w:szCs w:val="21"/>
              </w:rPr>
              <w:t>%</w:t>
            </w:r>
          </w:p>
        </w:tc>
        <w:tc>
          <w:tcPr>
            <w:tcW w:w="633" w:type="pct"/>
            <w:noWrap w:val="0"/>
            <w:vAlign w:val="center"/>
          </w:tcPr>
          <w:p w14:paraId="79E8204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7%</w:t>
            </w:r>
          </w:p>
        </w:tc>
        <w:tc>
          <w:tcPr>
            <w:tcW w:w="633" w:type="pct"/>
            <w:noWrap w:val="0"/>
            <w:vAlign w:val="center"/>
          </w:tcPr>
          <w:p w14:paraId="50480AF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rPr>
              <w:t>.61%</w:t>
            </w:r>
          </w:p>
        </w:tc>
        <w:tc>
          <w:tcPr>
            <w:tcW w:w="633" w:type="pct"/>
            <w:noWrap w:val="0"/>
            <w:vAlign w:val="center"/>
          </w:tcPr>
          <w:p w14:paraId="1E8CBF1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75.72</w:t>
            </w:r>
            <w:r>
              <w:rPr>
                <w:rFonts w:hint="default" w:ascii="Times New Roman" w:hAnsi="Times New Roman" w:eastAsia="宋体" w:cs="Times New Roman"/>
                <w:color w:val="auto"/>
                <w:sz w:val="21"/>
                <w:szCs w:val="21"/>
              </w:rPr>
              <w:t>%</w:t>
            </w:r>
          </w:p>
        </w:tc>
        <w:tc>
          <w:tcPr>
            <w:tcW w:w="633" w:type="pct"/>
            <w:noWrap w:val="0"/>
            <w:vAlign w:val="center"/>
          </w:tcPr>
          <w:p w14:paraId="65E4E33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32</w:t>
            </w:r>
            <w:r>
              <w:rPr>
                <w:rFonts w:hint="default" w:ascii="Times New Roman" w:hAnsi="Times New Roman" w:eastAsia="宋体" w:cs="Times New Roman"/>
                <w:color w:val="auto"/>
                <w:sz w:val="21"/>
                <w:szCs w:val="21"/>
              </w:rPr>
              <w:t>%</w:t>
            </w:r>
          </w:p>
        </w:tc>
        <w:tc>
          <w:tcPr>
            <w:tcW w:w="639" w:type="pct"/>
            <w:noWrap w:val="0"/>
            <w:vAlign w:val="center"/>
          </w:tcPr>
          <w:p w14:paraId="03B4645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94</w:t>
            </w:r>
            <w:r>
              <w:rPr>
                <w:rFonts w:hint="default" w:ascii="Times New Roman" w:hAnsi="Times New Roman" w:eastAsia="宋体" w:cs="Times New Roman"/>
                <w:color w:val="auto"/>
                <w:sz w:val="21"/>
                <w:szCs w:val="21"/>
              </w:rPr>
              <w:t>%</w:t>
            </w:r>
          </w:p>
        </w:tc>
      </w:tr>
      <w:tr w14:paraId="0FC07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3" w:type="pct"/>
            <w:noWrap w:val="0"/>
            <w:vAlign w:val="center"/>
          </w:tcPr>
          <w:p w14:paraId="0D935BD0">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204</w:t>
            </w:r>
            <w:r>
              <w:rPr>
                <w:rFonts w:hint="eastAsia" w:hAnsi="Times New Roman" w:cs="Times New Roman"/>
                <w:color w:val="auto"/>
                <w:sz w:val="21"/>
                <w:lang w:val="en-US" w:eastAsia="zh-CN"/>
              </w:rPr>
              <w:t>2</w:t>
            </w:r>
          </w:p>
        </w:tc>
        <w:tc>
          <w:tcPr>
            <w:tcW w:w="633" w:type="pct"/>
            <w:noWrap w:val="0"/>
            <w:vAlign w:val="center"/>
          </w:tcPr>
          <w:p w14:paraId="1F72E69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82</w:t>
            </w:r>
            <w:r>
              <w:rPr>
                <w:rFonts w:hint="default" w:ascii="Times New Roman" w:hAnsi="Times New Roman" w:eastAsia="宋体" w:cs="Times New Roman"/>
                <w:color w:val="auto"/>
                <w:sz w:val="21"/>
                <w:szCs w:val="21"/>
              </w:rPr>
              <w:t>%</w:t>
            </w:r>
          </w:p>
        </w:tc>
        <w:tc>
          <w:tcPr>
            <w:tcW w:w="633" w:type="pct"/>
            <w:noWrap w:val="0"/>
            <w:vAlign w:val="center"/>
          </w:tcPr>
          <w:p w14:paraId="1A05953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633" w:type="pct"/>
            <w:noWrap w:val="0"/>
            <w:vAlign w:val="center"/>
          </w:tcPr>
          <w:p w14:paraId="6B2FD0F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56</w:t>
            </w:r>
            <w:r>
              <w:rPr>
                <w:rFonts w:hint="default" w:ascii="Times New Roman" w:hAnsi="Times New Roman" w:eastAsia="宋体" w:cs="Times New Roman"/>
                <w:color w:val="auto"/>
                <w:sz w:val="21"/>
                <w:szCs w:val="21"/>
              </w:rPr>
              <w:t>%</w:t>
            </w:r>
          </w:p>
        </w:tc>
        <w:tc>
          <w:tcPr>
            <w:tcW w:w="633" w:type="pct"/>
            <w:noWrap w:val="0"/>
            <w:vAlign w:val="center"/>
          </w:tcPr>
          <w:p w14:paraId="2A739CB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71</w:t>
            </w:r>
            <w:r>
              <w:rPr>
                <w:rFonts w:hint="default" w:ascii="Times New Roman" w:hAnsi="Times New Roman" w:eastAsia="宋体" w:cs="Times New Roman"/>
                <w:color w:val="auto"/>
                <w:sz w:val="21"/>
                <w:szCs w:val="21"/>
              </w:rPr>
              <w:t>%</w:t>
            </w:r>
          </w:p>
        </w:tc>
        <w:tc>
          <w:tcPr>
            <w:tcW w:w="633" w:type="pct"/>
            <w:noWrap w:val="0"/>
            <w:vAlign w:val="center"/>
          </w:tcPr>
          <w:p w14:paraId="28A5564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8.41</w:t>
            </w:r>
            <w:r>
              <w:rPr>
                <w:rFonts w:hint="default" w:ascii="Times New Roman" w:hAnsi="Times New Roman" w:eastAsia="宋体" w:cs="Times New Roman"/>
                <w:color w:val="auto"/>
                <w:sz w:val="21"/>
                <w:szCs w:val="21"/>
              </w:rPr>
              <w:t>%</w:t>
            </w:r>
          </w:p>
        </w:tc>
        <w:tc>
          <w:tcPr>
            <w:tcW w:w="639" w:type="pct"/>
            <w:noWrap w:val="0"/>
            <w:vAlign w:val="center"/>
          </w:tcPr>
          <w:p w14:paraId="79C4253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1.14</w:t>
            </w:r>
            <w:r>
              <w:rPr>
                <w:rFonts w:hint="default" w:ascii="Times New Roman" w:hAnsi="Times New Roman" w:eastAsia="宋体" w:cs="Times New Roman"/>
                <w:color w:val="auto"/>
                <w:sz w:val="21"/>
                <w:szCs w:val="21"/>
              </w:rPr>
              <w:t>%</w:t>
            </w:r>
          </w:p>
        </w:tc>
      </w:tr>
    </w:tbl>
    <w:p w14:paraId="37C0EC57">
      <w:pPr>
        <w:pStyle w:val="32"/>
        <w:adjustRightInd w:val="0"/>
        <w:snapToGrid w:val="0"/>
        <w:spacing w:line="240" w:lineRule="auto"/>
        <w:ind w:firstLine="0" w:firstLineChars="0"/>
        <w:jc w:val="center"/>
        <w:rPr>
          <w:rFonts w:hint="default" w:ascii="Times New Roman" w:hAnsi="Times New Roman" w:eastAsia="宋体" w:cs="Times New Roman"/>
          <w:b/>
          <w:bCs/>
          <w:color w:val="auto"/>
          <w:sz w:val="21"/>
        </w:rPr>
      </w:pPr>
      <w:r>
        <w:rPr>
          <w:rFonts w:hint="default" w:ascii="Times New Roman" w:hAnsi="Times New Roman" w:eastAsia="宋体" w:cs="Times New Roman"/>
          <w:b/>
          <w:bCs/>
          <w:color w:val="auto"/>
          <w:sz w:val="21"/>
        </w:rPr>
        <w:t>表2.4-5  环评交通量车型比例（绝对数）</w:t>
      </w:r>
    </w:p>
    <w:tbl>
      <w:tblPr>
        <w:tblStyle w:val="5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2013"/>
        <w:gridCol w:w="2013"/>
        <w:gridCol w:w="2017"/>
      </w:tblGrid>
      <w:tr w14:paraId="6391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97" w:type="pct"/>
            <w:tcBorders>
              <w:tl2br w:val="single" w:color="auto" w:sz="4" w:space="0"/>
            </w:tcBorders>
            <w:noWrap w:val="0"/>
            <w:vAlign w:val="center"/>
          </w:tcPr>
          <w:p w14:paraId="328E6605">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车型</w:t>
            </w:r>
          </w:p>
          <w:p w14:paraId="2E50841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年份</w:t>
            </w:r>
          </w:p>
        </w:tc>
        <w:tc>
          <w:tcPr>
            <w:tcW w:w="1133" w:type="pct"/>
            <w:noWrap w:val="0"/>
            <w:vAlign w:val="center"/>
          </w:tcPr>
          <w:p w14:paraId="6BE1F3EB">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小型车</w:t>
            </w:r>
          </w:p>
        </w:tc>
        <w:tc>
          <w:tcPr>
            <w:tcW w:w="1133" w:type="pct"/>
            <w:noWrap w:val="0"/>
            <w:vAlign w:val="center"/>
          </w:tcPr>
          <w:p w14:paraId="116E54F5">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中型车</w:t>
            </w:r>
          </w:p>
        </w:tc>
        <w:tc>
          <w:tcPr>
            <w:tcW w:w="1135" w:type="pct"/>
            <w:noWrap w:val="0"/>
            <w:vAlign w:val="center"/>
          </w:tcPr>
          <w:p w14:paraId="427A8EC8">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大型车</w:t>
            </w:r>
          </w:p>
        </w:tc>
      </w:tr>
      <w:tr w14:paraId="0FB4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pct"/>
            <w:noWrap w:val="0"/>
            <w:vAlign w:val="center"/>
          </w:tcPr>
          <w:p w14:paraId="4C1979D2">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202</w:t>
            </w:r>
            <w:r>
              <w:rPr>
                <w:rFonts w:hint="eastAsia" w:hAnsi="Times New Roman" w:cs="Times New Roman"/>
                <w:color w:val="auto"/>
                <w:sz w:val="21"/>
                <w:lang w:val="en-US" w:eastAsia="zh-CN"/>
              </w:rPr>
              <w:t>7</w:t>
            </w:r>
          </w:p>
        </w:tc>
        <w:tc>
          <w:tcPr>
            <w:tcW w:w="1133" w:type="pct"/>
            <w:noWrap w:val="0"/>
            <w:vAlign w:val="center"/>
          </w:tcPr>
          <w:p w14:paraId="1BA11BEE">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eastAsia" w:hAnsi="Times New Roman" w:cs="Times New Roman"/>
                <w:color w:val="auto"/>
                <w:sz w:val="21"/>
                <w:lang w:val="en-US" w:eastAsia="zh-CN"/>
              </w:rPr>
              <w:t>91.7</w:t>
            </w:r>
            <w:r>
              <w:rPr>
                <w:rFonts w:hint="default" w:ascii="Times New Roman" w:hAnsi="Times New Roman" w:eastAsia="宋体" w:cs="Times New Roman"/>
                <w:color w:val="auto"/>
                <w:sz w:val="21"/>
              </w:rPr>
              <w:t>%</w:t>
            </w:r>
          </w:p>
        </w:tc>
        <w:tc>
          <w:tcPr>
            <w:tcW w:w="1133" w:type="pct"/>
            <w:noWrap w:val="0"/>
            <w:vAlign w:val="center"/>
          </w:tcPr>
          <w:p w14:paraId="465E4FD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3.61</w:t>
            </w:r>
            <w:r>
              <w:rPr>
                <w:rFonts w:hint="default" w:ascii="Times New Roman" w:hAnsi="Times New Roman" w:eastAsia="宋体" w:cs="Times New Roman"/>
                <w:color w:val="auto"/>
                <w:sz w:val="21"/>
                <w:szCs w:val="21"/>
              </w:rPr>
              <w:t>%</w:t>
            </w:r>
          </w:p>
        </w:tc>
        <w:tc>
          <w:tcPr>
            <w:tcW w:w="1135" w:type="pct"/>
            <w:noWrap w:val="0"/>
            <w:vAlign w:val="center"/>
          </w:tcPr>
          <w:p w14:paraId="2430ED1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69</w:t>
            </w:r>
            <w:r>
              <w:rPr>
                <w:rFonts w:hint="default" w:ascii="Times New Roman" w:hAnsi="Times New Roman" w:eastAsia="宋体" w:cs="Times New Roman"/>
                <w:color w:val="auto"/>
                <w:sz w:val="21"/>
                <w:szCs w:val="21"/>
              </w:rPr>
              <w:t>%</w:t>
            </w:r>
          </w:p>
        </w:tc>
      </w:tr>
      <w:tr w14:paraId="72A99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pct"/>
            <w:noWrap w:val="0"/>
            <w:vAlign w:val="center"/>
          </w:tcPr>
          <w:p w14:paraId="6B52486A">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203</w:t>
            </w:r>
            <w:r>
              <w:rPr>
                <w:rFonts w:hint="eastAsia" w:hAnsi="Times New Roman" w:cs="Times New Roman"/>
                <w:color w:val="auto"/>
                <w:sz w:val="21"/>
                <w:lang w:val="en-US" w:eastAsia="zh-CN"/>
              </w:rPr>
              <w:t>4</w:t>
            </w:r>
          </w:p>
        </w:tc>
        <w:tc>
          <w:tcPr>
            <w:tcW w:w="1133" w:type="pct"/>
            <w:noWrap w:val="0"/>
            <w:vAlign w:val="center"/>
          </w:tcPr>
          <w:p w14:paraId="25D6CCE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91.88</w:t>
            </w:r>
            <w:r>
              <w:rPr>
                <w:rFonts w:hint="default" w:ascii="Times New Roman" w:hAnsi="Times New Roman" w:eastAsia="宋体" w:cs="Times New Roman"/>
                <w:color w:val="auto"/>
                <w:sz w:val="21"/>
                <w:szCs w:val="21"/>
              </w:rPr>
              <w:t>%</w:t>
            </w:r>
          </w:p>
        </w:tc>
        <w:tc>
          <w:tcPr>
            <w:tcW w:w="1133" w:type="pct"/>
            <w:noWrap w:val="0"/>
            <w:vAlign w:val="center"/>
          </w:tcPr>
          <w:p w14:paraId="34AD635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3.57</w:t>
            </w:r>
            <w:r>
              <w:rPr>
                <w:rFonts w:hint="default" w:ascii="Times New Roman" w:hAnsi="Times New Roman" w:eastAsia="宋体" w:cs="Times New Roman"/>
                <w:color w:val="auto"/>
                <w:sz w:val="21"/>
                <w:szCs w:val="21"/>
              </w:rPr>
              <w:t>%</w:t>
            </w:r>
          </w:p>
        </w:tc>
        <w:tc>
          <w:tcPr>
            <w:tcW w:w="1135" w:type="pct"/>
            <w:noWrap w:val="0"/>
            <w:vAlign w:val="center"/>
          </w:tcPr>
          <w:p w14:paraId="1C04EE5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4.55</w:t>
            </w:r>
            <w:r>
              <w:rPr>
                <w:rFonts w:hint="default" w:ascii="Times New Roman" w:hAnsi="Times New Roman" w:eastAsia="宋体" w:cs="Times New Roman"/>
                <w:color w:val="auto"/>
                <w:sz w:val="21"/>
                <w:szCs w:val="21"/>
              </w:rPr>
              <w:t>%</w:t>
            </w:r>
          </w:p>
        </w:tc>
      </w:tr>
      <w:tr w14:paraId="3071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7" w:type="pct"/>
            <w:noWrap w:val="0"/>
            <w:vAlign w:val="center"/>
          </w:tcPr>
          <w:p w14:paraId="2C957532">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204</w:t>
            </w:r>
            <w:r>
              <w:rPr>
                <w:rFonts w:hint="eastAsia" w:hAnsi="Times New Roman" w:cs="Times New Roman"/>
                <w:color w:val="auto"/>
                <w:sz w:val="21"/>
                <w:lang w:val="en-US" w:eastAsia="zh-CN"/>
              </w:rPr>
              <w:t>2</w:t>
            </w:r>
          </w:p>
        </w:tc>
        <w:tc>
          <w:tcPr>
            <w:tcW w:w="1133" w:type="pct"/>
            <w:noWrap w:val="0"/>
            <w:vAlign w:val="center"/>
          </w:tcPr>
          <w:p w14:paraId="54B354E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91.94</w:t>
            </w:r>
            <w:r>
              <w:rPr>
                <w:rFonts w:hint="default" w:ascii="Times New Roman" w:hAnsi="Times New Roman" w:eastAsia="宋体" w:cs="Times New Roman"/>
                <w:color w:val="auto"/>
                <w:sz w:val="21"/>
                <w:szCs w:val="21"/>
              </w:rPr>
              <w:t>%</w:t>
            </w:r>
          </w:p>
        </w:tc>
        <w:tc>
          <w:tcPr>
            <w:tcW w:w="1133" w:type="pct"/>
            <w:noWrap w:val="0"/>
            <w:vAlign w:val="center"/>
          </w:tcPr>
          <w:p w14:paraId="1E0908C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3.36</w:t>
            </w:r>
            <w:r>
              <w:rPr>
                <w:rFonts w:hint="default" w:ascii="Times New Roman" w:hAnsi="Times New Roman" w:eastAsia="宋体" w:cs="Times New Roman"/>
                <w:color w:val="auto"/>
                <w:sz w:val="21"/>
                <w:szCs w:val="21"/>
              </w:rPr>
              <w:t>%</w:t>
            </w:r>
          </w:p>
        </w:tc>
        <w:tc>
          <w:tcPr>
            <w:tcW w:w="1135" w:type="pct"/>
            <w:noWrap w:val="0"/>
            <w:vAlign w:val="center"/>
          </w:tcPr>
          <w:p w14:paraId="774C657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p>
        </w:tc>
      </w:tr>
    </w:tbl>
    <w:p w14:paraId="39E0101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（4）预测小时交通量</w:t>
      </w:r>
    </w:p>
    <w:p w14:paraId="17F76A3A">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val="en-US" w:eastAsia="zh-CN" w:bidi="ar"/>
        </w:rPr>
        <w:t>本次评价根据工可提供的交通量、车型比以及昼夜比计算各路段不同年份小时交通量，计算结果见下表：</w:t>
      </w:r>
    </w:p>
    <w:p w14:paraId="34575139">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bidi="ar"/>
        </w:rPr>
        <w:t>表2.4-6各路段预测年昼夜小时交通量（绝对交通量）</w:t>
      </w:r>
      <w:r>
        <w:rPr>
          <w:rFonts w:hint="eastAsia"/>
          <w:color w:val="auto"/>
          <w:lang w:val="en-US" w:eastAsia="zh-CN"/>
        </w:rPr>
        <w:t xml:space="preserve">  辆/h</w:t>
      </w:r>
    </w:p>
    <w:tbl>
      <w:tblPr>
        <w:tblStyle w:val="5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3"/>
        <w:gridCol w:w="999"/>
        <w:gridCol w:w="999"/>
        <w:gridCol w:w="1001"/>
        <w:gridCol w:w="999"/>
        <w:gridCol w:w="1001"/>
        <w:gridCol w:w="999"/>
        <w:gridCol w:w="1001"/>
      </w:tblGrid>
      <w:tr w14:paraId="269B7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59" w:type="pct"/>
            <w:vMerge w:val="restart"/>
            <w:noWrap w:val="0"/>
            <w:vAlign w:val="center"/>
          </w:tcPr>
          <w:p w14:paraId="090CC6E2">
            <w:pPr>
              <w:pStyle w:val="32"/>
              <w:adjustRightInd w:val="0"/>
              <w:snapToGrid w:val="0"/>
              <w:spacing w:line="240" w:lineRule="auto"/>
              <w:ind w:firstLine="630" w:firstLineChars="300"/>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路段</w:t>
            </w:r>
          </w:p>
        </w:tc>
        <w:tc>
          <w:tcPr>
            <w:tcW w:w="562" w:type="pct"/>
            <w:vMerge w:val="restart"/>
            <w:noWrap w:val="0"/>
            <w:vAlign w:val="center"/>
          </w:tcPr>
          <w:p w14:paraId="14DD7CB8">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车型</w:t>
            </w:r>
          </w:p>
        </w:tc>
        <w:tc>
          <w:tcPr>
            <w:tcW w:w="1125" w:type="pct"/>
            <w:gridSpan w:val="2"/>
            <w:noWrap w:val="0"/>
            <w:vAlign w:val="center"/>
          </w:tcPr>
          <w:p w14:paraId="1480E08A">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202</w:t>
            </w:r>
            <w:r>
              <w:rPr>
                <w:rFonts w:hint="eastAsia" w:hAnsi="Times New Roman" w:cs="Times New Roman"/>
                <w:color w:val="auto"/>
                <w:sz w:val="21"/>
                <w:lang w:val="en-US" w:eastAsia="zh-CN"/>
              </w:rPr>
              <w:t>7</w:t>
            </w:r>
            <w:r>
              <w:rPr>
                <w:rFonts w:hint="default" w:ascii="Times New Roman" w:hAnsi="Times New Roman" w:eastAsia="宋体" w:cs="Times New Roman"/>
                <w:color w:val="auto"/>
                <w:sz w:val="21"/>
              </w:rPr>
              <w:t>年</w:t>
            </w:r>
          </w:p>
        </w:tc>
        <w:tc>
          <w:tcPr>
            <w:tcW w:w="1125" w:type="pct"/>
            <w:gridSpan w:val="2"/>
            <w:noWrap w:val="0"/>
            <w:vAlign w:val="center"/>
          </w:tcPr>
          <w:p w14:paraId="1E70987D">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203</w:t>
            </w:r>
            <w:r>
              <w:rPr>
                <w:rFonts w:hint="eastAsia" w:hAnsi="Times New Roman" w:cs="Times New Roman"/>
                <w:color w:val="auto"/>
                <w:sz w:val="21"/>
                <w:lang w:val="en-US" w:eastAsia="zh-CN"/>
              </w:rPr>
              <w:t>4</w:t>
            </w:r>
            <w:r>
              <w:rPr>
                <w:rFonts w:hint="default" w:ascii="Times New Roman" w:hAnsi="Times New Roman" w:eastAsia="宋体" w:cs="Times New Roman"/>
                <w:color w:val="auto"/>
                <w:sz w:val="21"/>
              </w:rPr>
              <w:t>年</w:t>
            </w:r>
          </w:p>
        </w:tc>
        <w:tc>
          <w:tcPr>
            <w:tcW w:w="1125" w:type="pct"/>
            <w:gridSpan w:val="2"/>
            <w:noWrap w:val="0"/>
            <w:vAlign w:val="center"/>
          </w:tcPr>
          <w:p w14:paraId="1F5A1122">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204</w:t>
            </w:r>
            <w:r>
              <w:rPr>
                <w:rFonts w:hint="eastAsia" w:hAnsi="Times New Roman" w:cs="Times New Roman"/>
                <w:color w:val="auto"/>
                <w:sz w:val="21"/>
                <w:lang w:val="en-US" w:eastAsia="zh-CN"/>
              </w:rPr>
              <w:t>2</w:t>
            </w:r>
            <w:r>
              <w:rPr>
                <w:rFonts w:hint="default" w:ascii="Times New Roman" w:hAnsi="Times New Roman" w:eastAsia="宋体" w:cs="Times New Roman"/>
                <w:color w:val="auto"/>
                <w:sz w:val="21"/>
              </w:rPr>
              <w:t>年</w:t>
            </w:r>
          </w:p>
        </w:tc>
      </w:tr>
      <w:tr w14:paraId="6995C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59" w:type="pct"/>
            <w:vMerge w:val="continue"/>
            <w:noWrap w:val="0"/>
            <w:vAlign w:val="center"/>
          </w:tcPr>
          <w:p w14:paraId="7EF2490B">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p>
        </w:tc>
        <w:tc>
          <w:tcPr>
            <w:tcW w:w="562" w:type="pct"/>
            <w:vMerge w:val="continue"/>
            <w:noWrap w:val="0"/>
            <w:vAlign w:val="center"/>
          </w:tcPr>
          <w:p w14:paraId="5A2EFE92">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p>
        </w:tc>
        <w:tc>
          <w:tcPr>
            <w:tcW w:w="562" w:type="pct"/>
            <w:noWrap w:val="0"/>
            <w:vAlign w:val="center"/>
          </w:tcPr>
          <w:p w14:paraId="24CD4B13">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昼间</w:t>
            </w:r>
          </w:p>
        </w:tc>
        <w:tc>
          <w:tcPr>
            <w:tcW w:w="563" w:type="pct"/>
            <w:noWrap w:val="0"/>
            <w:vAlign w:val="center"/>
          </w:tcPr>
          <w:p w14:paraId="1DC1693B">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夜间</w:t>
            </w:r>
          </w:p>
        </w:tc>
        <w:tc>
          <w:tcPr>
            <w:tcW w:w="562" w:type="pct"/>
            <w:noWrap w:val="0"/>
            <w:vAlign w:val="center"/>
          </w:tcPr>
          <w:p w14:paraId="46810ED7">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昼间</w:t>
            </w:r>
          </w:p>
        </w:tc>
        <w:tc>
          <w:tcPr>
            <w:tcW w:w="563" w:type="pct"/>
            <w:noWrap w:val="0"/>
            <w:vAlign w:val="center"/>
          </w:tcPr>
          <w:p w14:paraId="7F7DF434">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夜间</w:t>
            </w:r>
          </w:p>
        </w:tc>
        <w:tc>
          <w:tcPr>
            <w:tcW w:w="562" w:type="pct"/>
            <w:noWrap w:val="0"/>
            <w:vAlign w:val="center"/>
          </w:tcPr>
          <w:p w14:paraId="268AB22F">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昼间</w:t>
            </w:r>
          </w:p>
        </w:tc>
        <w:tc>
          <w:tcPr>
            <w:tcW w:w="563" w:type="pct"/>
            <w:noWrap w:val="0"/>
            <w:vAlign w:val="center"/>
          </w:tcPr>
          <w:p w14:paraId="35E8191A">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夜间</w:t>
            </w:r>
          </w:p>
        </w:tc>
      </w:tr>
      <w:tr w14:paraId="1F062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restart"/>
            <w:noWrap w:val="0"/>
            <w:vAlign w:val="center"/>
          </w:tcPr>
          <w:p w14:paraId="7BD6E7B5">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K0+000~K1+447</w:t>
            </w:r>
          </w:p>
        </w:tc>
        <w:tc>
          <w:tcPr>
            <w:tcW w:w="562" w:type="pct"/>
            <w:noWrap w:val="0"/>
            <w:vAlign w:val="center"/>
          </w:tcPr>
          <w:p w14:paraId="29FC64FE">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小型车</w:t>
            </w:r>
          </w:p>
        </w:tc>
        <w:tc>
          <w:tcPr>
            <w:tcW w:w="562" w:type="pct"/>
            <w:noWrap w:val="0"/>
            <w:vAlign w:val="center"/>
          </w:tcPr>
          <w:p w14:paraId="0A6DE197">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373</w:t>
            </w:r>
          </w:p>
        </w:tc>
        <w:tc>
          <w:tcPr>
            <w:tcW w:w="563" w:type="pct"/>
            <w:noWrap w:val="0"/>
            <w:vAlign w:val="center"/>
          </w:tcPr>
          <w:p w14:paraId="73110365">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189</w:t>
            </w:r>
          </w:p>
        </w:tc>
        <w:tc>
          <w:tcPr>
            <w:tcW w:w="562" w:type="pct"/>
            <w:noWrap w:val="0"/>
            <w:vAlign w:val="center"/>
          </w:tcPr>
          <w:p w14:paraId="5C8D03CD">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eastAsia" w:hAnsi="Times New Roman" w:cs="Times New Roman"/>
                <w:color w:val="auto"/>
                <w:sz w:val="21"/>
                <w:lang w:val="en-US" w:eastAsia="zh-CN"/>
              </w:rPr>
              <w:t>4</w:t>
            </w:r>
            <w:r>
              <w:rPr>
                <w:rFonts w:hint="default" w:ascii="Times New Roman" w:hAnsi="Times New Roman" w:eastAsia="宋体" w:cs="Times New Roman"/>
                <w:color w:val="auto"/>
                <w:sz w:val="21"/>
              </w:rPr>
              <w:t>99</w:t>
            </w:r>
          </w:p>
        </w:tc>
        <w:tc>
          <w:tcPr>
            <w:tcW w:w="563" w:type="pct"/>
            <w:noWrap w:val="0"/>
            <w:vAlign w:val="center"/>
          </w:tcPr>
          <w:p w14:paraId="56FE9E85">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250</w:t>
            </w:r>
          </w:p>
        </w:tc>
        <w:tc>
          <w:tcPr>
            <w:tcW w:w="562" w:type="pct"/>
            <w:noWrap w:val="0"/>
            <w:vAlign w:val="center"/>
          </w:tcPr>
          <w:p w14:paraId="04DACF65">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652</w:t>
            </w:r>
          </w:p>
        </w:tc>
        <w:tc>
          <w:tcPr>
            <w:tcW w:w="563" w:type="pct"/>
            <w:noWrap w:val="0"/>
            <w:vAlign w:val="center"/>
          </w:tcPr>
          <w:p w14:paraId="600D1957">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326</w:t>
            </w:r>
          </w:p>
        </w:tc>
      </w:tr>
      <w:tr w14:paraId="6BE3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noWrap w:val="0"/>
            <w:vAlign w:val="center"/>
          </w:tcPr>
          <w:p w14:paraId="5791C7F1">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p>
        </w:tc>
        <w:tc>
          <w:tcPr>
            <w:tcW w:w="562" w:type="pct"/>
            <w:noWrap w:val="0"/>
            <w:vAlign w:val="center"/>
          </w:tcPr>
          <w:p w14:paraId="265420AA">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kern w:val="0"/>
                <w:sz w:val="21"/>
                <w:lang w:bidi="ar"/>
              </w:rPr>
              <w:t>中型车</w:t>
            </w:r>
          </w:p>
        </w:tc>
        <w:tc>
          <w:tcPr>
            <w:tcW w:w="562" w:type="pct"/>
            <w:noWrap w:val="0"/>
            <w:vAlign w:val="center"/>
          </w:tcPr>
          <w:p w14:paraId="184422BA">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15</w:t>
            </w:r>
          </w:p>
        </w:tc>
        <w:tc>
          <w:tcPr>
            <w:tcW w:w="563" w:type="pct"/>
            <w:noWrap w:val="0"/>
            <w:vAlign w:val="center"/>
          </w:tcPr>
          <w:p w14:paraId="334D3A5F">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eastAsia" w:hAnsi="Times New Roman" w:cs="Times New Roman"/>
                <w:color w:val="auto"/>
                <w:sz w:val="21"/>
                <w:lang w:val="en-US" w:eastAsia="zh-CN"/>
              </w:rPr>
              <w:t>8</w:t>
            </w:r>
          </w:p>
        </w:tc>
        <w:tc>
          <w:tcPr>
            <w:tcW w:w="562" w:type="pct"/>
            <w:noWrap w:val="0"/>
            <w:vAlign w:val="center"/>
          </w:tcPr>
          <w:p w14:paraId="1F7A8D37">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20</w:t>
            </w:r>
          </w:p>
        </w:tc>
        <w:tc>
          <w:tcPr>
            <w:tcW w:w="563" w:type="pct"/>
            <w:noWrap w:val="0"/>
            <w:vAlign w:val="center"/>
          </w:tcPr>
          <w:p w14:paraId="0A71657A">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10</w:t>
            </w:r>
          </w:p>
        </w:tc>
        <w:tc>
          <w:tcPr>
            <w:tcW w:w="562" w:type="pct"/>
            <w:noWrap w:val="0"/>
            <w:vAlign w:val="center"/>
          </w:tcPr>
          <w:p w14:paraId="54E97674">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24</w:t>
            </w:r>
          </w:p>
        </w:tc>
        <w:tc>
          <w:tcPr>
            <w:tcW w:w="563" w:type="pct"/>
            <w:noWrap w:val="0"/>
            <w:vAlign w:val="center"/>
          </w:tcPr>
          <w:p w14:paraId="208ACD61">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12</w:t>
            </w:r>
          </w:p>
        </w:tc>
      </w:tr>
      <w:tr w14:paraId="1C64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9" w:type="pct"/>
            <w:vMerge w:val="continue"/>
            <w:noWrap w:val="0"/>
            <w:vAlign w:val="center"/>
          </w:tcPr>
          <w:p w14:paraId="0B978778">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p>
        </w:tc>
        <w:tc>
          <w:tcPr>
            <w:tcW w:w="562" w:type="pct"/>
            <w:noWrap w:val="0"/>
            <w:vAlign w:val="center"/>
          </w:tcPr>
          <w:p w14:paraId="0F0C2537">
            <w:pPr>
              <w:pStyle w:val="32"/>
              <w:adjustRightInd w:val="0"/>
              <w:snapToGrid w:val="0"/>
              <w:spacing w:line="240" w:lineRule="auto"/>
              <w:ind w:firstLine="0" w:firstLineChars="0"/>
              <w:jc w:val="center"/>
              <w:rPr>
                <w:rFonts w:hint="default" w:ascii="Times New Roman" w:hAnsi="Times New Roman" w:eastAsia="宋体" w:cs="Times New Roman"/>
                <w:color w:val="auto"/>
                <w:sz w:val="21"/>
              </w:rPr>
            </w:pPr>
            <w:r>
              <w:rPr>
                <w:rFonts w:hint="default" w:ascii="Times New Roman" w:hAnsi="Times New Roman" w:eastAsia="宋体" w:cs="Times New Roman"/>
                <w:color w:val="auto"/>
                <w:sz w:val="21"/>
              </w:rPr>
              <w:t>大型车</w:t>
            </w:r>
          </w:p>
        </w:tc>
        <w:tc>
          <w:tcPr>
            <w:tcW w:w="562" w:type="pct"/>
            <w:noWrap w:val="0"/>
            <w:vAlign w:val="center"/>
          </w:tcPr>
          <w:p w14:paraId="52F208D7">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19</w:t>
            </w:r>
          </w:p>
        </w:tc>
        <w:tc>
          <w:tcPr>
            <w:tcW w:w="563" w:type="pct"/>
            <w:noWrap w:val="0"/>
            <w:vAlign w:val="center"/>
          </w:tcPr>
          <w:p w14:paraId="6EFA4CE4">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10</w:t>
            </w:r>
          </w:p>
        </w:tc>
        <w:tc>
          <w:tcPr>
            <w:tcW w:w="562" w:type="pct"/>
            <w:noWrap w:val="0"/>
            <w:vAlign w:val="center"/>
          </w:tcPr>
          <w:p w14:paraId="5B3C4159">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25</w:t>
            </w:r>
          </w:p>
        </w:tc>
        <w:tc>
          <w:tcPr>
            <w:tcW w:w="563" w:type="pct"/>
            <w:noWrap w:val="0"/>
            <w:vAlign w:val="center"/>
          </w:tcPr>
          <w:p w14:paraId="0B263A8F">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13</w:t>
            </w:r>
          </w:p>
        </w:tc>
        <w:tc>
          <w:tcPr>
            <w:tcW w:w="562" w:type="pct"/>
            <w:noWrap w:val="0"/>
            <w:vAlign w:val="center"/>
          </w:tcPr>
          <w:p w14:paraId="574D7D27">
            <w:pPr>
              <w:pStyle w:val="32"/>
              <w:adjustRightInd w:val="0"/>
              <w:snapToGrid w:val="0"/>
              <w:spacing w:line="240" w:lineRule="auto"/>
              <w:ind w:firstLine="0" w:firstLineChars="0"/>
              <w:jc w:val="center"/>
              <w:rPr>
                <w:rFonts w:hint="default" w:ascii="Times New Roman" w:hAnsi="Times New Roman" w:eastAsia="宋体" w:cs="Times New Roman"/>
                <w:color w:val="auto"/>
                <w:sz w:val="21"/>
                <w:lang w:val="en-US" w:eastAsia="zh-CN"/>
              </w:rPr>
            </w:pPr>
            <w:r>
              <w:rPr>
                <w:rFonts w:hint="eastAsia" w:hAnsi="Times New Roman" w:cs="Times New Roman"/>
                <w:color w:val="auto"/>
                <w:sz w:val="21"/>
                <w:lang w:val="en-US" w:eastAsia="zh-CN"/>
              </w:rPr>
              <w:t>34</w:t>
            </w:r>
          </w:p>
        </w:tc>
        <w:tc>
          <w:tcPr>
            <w:tcW w:w="563" w:type="pct"/>
            <w:noWrap w:val="0"/>
            <w:vAlign w:val="center"/>
          </w:tcPr>
          <w:p w14:paraId="2DDC09D7">
            <w:pPr>
              <w:pStyle w:val="32"/>
              <w:adjustRightInd w:val="0"/>
              <w:snapToGrid w:val="0"/>
              <w:spacing w:line="240" w:lineRule="auto"/>
              <w:ind w:firstLine="0" w:firstLineChars="0"/>
              <w:jc w:val="center"/>
              <w:rPr>
                <w:rFonts w:hint="eastAsia" w:ascii="Times New Roman" w:hAnsi="Times New Roman" w:eastAsia="宋体" w:cs="Times New Roman"/>
                <w:color w:val="auto"/>
                <w:sz w:val="21"/>
                <w:lang w:eastAsia="zh-CN"/>
              </w:rPr>
            </w:pPr>
            <w:r>
              <w:rPr>
                <w:rFonts w:hint="default" w:ascii="Times New Roman" w:hAnsi="Times New Roman" w:eastAsia="宋体" w:cs="Times New Roman"/>
                <w:color w:val="auto"/>
                <w:sz w:val="21"/>
              </w:rPr>
              <w:t>1</w:t>
            </w:r>
            <w:r>
              <w:rPr>
                <w:rFonts w:hint="eastAsia" w:hAnsi="Times New Roman" w:cs="Times New Roman"/>
                <w:color w:val="auto"/>
                <w:sz w:val="21"/>
                <w:lang w:val="en-US" w:eastAsia="zh-CN"/>
              </w:rPr>
              <w:t>7</w:t>
            </w:r>
          </w:p>
        </w:tc>
      </w:tr>
    </w:tbl>
    <w:p w14:paraId="7E404EB9">
      <w:pPr>
        <w:pStyle w:val="3"/>
        <w:numPr>
          <w:ilvl w:val="0"/>
          <w:numId w:val="0"/>
        </w:numPr>
        <w:rPr>
          <w:rFonts w:hint="default" w:ascii="Times New Roman" w:hAnsi="Times New Roman" w:eastAsia="宋体" w:cs="Times New Roman"/>
          <w:color w:val="auto"/>
        </w:rPr>
      </w:pPr>
      <w:bookmarkStart w:id="43" w:name="_Toc19639"/>
      <w:bookmarkStart w:id="44" w:name="_Toc139797782"/>
      <w:bookmarkStart w:id="45" w:name="_Toc208114781"/>
      <w:bookmarkStart w:id="46" w:name="_Toc111823546"/>
      <w:bookmarkStart w:id="47" w:name="_Toc461057378"/>
      <w:bookmarkStart w:id="48" w:name="_Toc148373504"/>
      <w:r>
        <w:rPr>
          <w:rFonts w:hint="default" w:ascii="Times New Roman" w:hAnsi="Times New Roman" w:eastAsia="宋体" w:cs="Times New Roman"/>
          <w:color w:val="auto"/>
        </w:rPr>
        <w:t>2.5工程用地及拆迁工程</w:t>
      </w:r>
      <w:bookmarkEnd w:id="43"/>
    </w:p>
    <w:p w14:paraId="27A75FD1">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2.5.1工程用地</w:t>
      </w:r>
    </w:p>
    <w:p w14:paraId="4F65ACF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根据工程主体设计资料，项目占地情况如下。</w:t>
      </w:r>
    </w:p>
    <w:p w14:paraId="0AAB6E6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表2.5-1  工程永久占地统计表</w:t>
      </w:r>
    </w:p>
    <w:tbl>
      <w:tblPr>
        <w:tblStyle w:val="5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1007"/>
        <w:gridCol w:w="1025"/>
        <w:gridCol w:w="1498"/>
        <w:gridCol w:w="1302"/>
        <w:gridCol w:w="807"/>
        <w:gridCol w:w="1247"/>
        <w:gridCol w:w="1144"/>
      </w:tblGrid>
      <w:tr w14:paraId="2742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046" w:type="pct"/>
            <w:gridSpan w:val="2"/>
            <w:vMerge w:val="restart"/>
            <w:noWrap w:val="0"/>
            <w:vAlign w:val="center"/>
          </w:tcPr>
          <w:p w14:paraId="60885E2D">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分区</w:t>
            </w:r>
          </w:p>
        </w:tc>
        <w:tc>
          <w:tcPr>
            <w:tcW w:w="3309" w:type="pct"/>
            <w:gridSpan w:val="5"/>
            <w:noWrap w:val="0"/>
            <w:vAlign w:val="center"/>
          </w:tcPr>
          <w:p w14:paraId="4603DA68">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占地类型及面积</w:t>
            </w:r>
            <w:r>
              <w:rPr>
                <w:rFonts w:hint="default" w:ascii="Times New Roman" w:hAnsi="Times New Roman" w:eastAsia="宋体" w:cs="Times New Roman"/>
                <w:b/>
                <w:bCs/>
                <w:color w:val="auto"/>
                <w:sz w:val="21"/>
                <w:szCs w:val="21"/>
              </w:rPr>
              <w:t>（hm</w:t>
            </w:r>
            <w:r>
              <w:rPr>
                <w:rFonts w:hint="default" w:ascii="Times New Roman" w:hAnsi="Times New Roman" w:eastAsia="宋体" w:cs="Times New Roman"/>
                <w:b/>
                <w:bCs/>
                <w:color w:val="auto"/>
                <w:sz w:val="21"/>
                <w:szCs w:val="21"/>
                <w:vertAlign w:val="superscript"/>
              </w:rPr>
              <w:t>2</w:t>
            </w:r>
            <w:r>
              <w:rPr>
                <w:rFonts w:hint="default" w:ascii="Times New Roman" w:hAnsi="Times New Roman" w:eastAsia="宋体" w:cs="Times New Roman"/>
                <w:b/>
                <w:bCs/>
                <w:color w:val="auto"/>
                <w:sz w:val="21"/>
                <w:szCs w:val="21"/>
              </w:rPr>
              <w:t>）</w:t>
            </w:r>
          </w:p>
        </w:tc>
        <w:tc>
          <w:tcPr>
            <w:tcW w:w="644" w:type="pct"/>
            <w:vMerge w:val="restart"/>
            <w:noWrap w:val="0"/>
            <w:vAlign w:val="center"/>
          </w:tcPr>
          <w:p w14:paraId="411DE57F">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0008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046" w:type="pct"/>
            <w:gridSpan w:val="2"/>
            <w:vMerge w:val="continue"/>
            <w:noWrap w:val="0"/>
            <w:vAlign w:val="center"/>
          </w:tcPr>
          <w:p w14:paraId="3E51C042">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577" w:type="pct"/>
            <w:noWrap w:val="0"/>
            <w:vAlign w:val="center"/>
          </w:tcPr>
          <w:p w14:paraId="3BF994AE">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园地</w:t>
            </w:r>
          </w:p>
        </w:tc>
        <w:tc>
          <w:tcPr>
            <w:tcW w:w="843" w:type="pct"/>
            <w:noWrap w:val="0"/>
            <w:vAlign w:val="center"/>
          </w:tcPr>
          <w:p w14:paraId="6DE2BAC1">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交通运输用地</w:t>
            </w:r>
          </w:p>
        </w:tc>
        <w:tc>
          <w:tcPr>
            <w:tcW w:w="733" w:type="pct"/>
            <w:noWrap w:val="0"/>
            <w:vAlign w:val="center"/>
          </w:tcPr>
          <w:p w14:paraId="7334232E">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水域及水利设施用地</w:t>
            </w:r>
          </w:p>
        </w:tc>
        <w:tc>
          <w:tcPr>
            <w:tcW w:w="454" w:type="pct"/>
            <w:noWrap w:val="0"/>
            <w:vAlign w:val="center"/>
          </w:tcPr>
          <w:p w14:paraId="7F0F258C">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住宅用地</w:t>
            </w:r>
          </w:p>
        </w:tc>
        <w:tc>
          <w:tcPr>
            <w:tcW w:w="702" w:type="pct"/>
            <w:noWrap w:val="0"/>
            <w:vAlign w:val="center"/>
          </w:tcPr>
          <w:p w14:paraId="458AD355">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其他</w:t>
            </w:r>
          </w:p>
          <w:p w14:paraId="40EE1C9D">
            <w:pPr>
              <w:pStyle w:val="4"/>
              <w:adjustRightInd w:val="0"/>
              <w:snapToGrid w:val="0"/>
              <w:spacing w:line="240" w:lineRule="auto"/>
              <w:ind w:firstLine="0" w:firstLineChars="0"/>
              <w:jc w:val="center"/>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土地</w:t>
            </w:r>
            <w:r>
              <w:rPr>
                <w:rFonts w:hint="eastAsia" w:cs="Times New Roman"/>
                <w:b/>
                <w:bCs/>
                <w:color w:val="auto"/>
                <w:sz w:val="21"/>
                <w:szCs w:val="21"/>
                <w:lang w:eastAsia="zh-CN"/>
              </w:rPr>
              <w:t>（</w:t>
            </w:r>
            <w:r>
              <w:rPr>
                <w:rFonts w:hint="eastAsia" w:cs="Times New Roman"/>
                <w:b/>
                <w:bCs/>
                <w:color w:val="auto"/>
                <w:sz w:val="21"/>
                <w:szCs w:val="21"/>
                <w:lang w:val="en-US" w:eastAsia="zh-CN"/>
              </w:rPr>
              <w:t>荒地和草地</w:t>
            </w:r>
            <w:r>
              <w:rPr>
                <w:rFonts w:hint="eastAsia" w:cs="Times New Roman"/>
                <w:b/>
                <w:bCs/>
                <w:color w:val="auto"/>
                <w:sz w:val="21"/>
                <w:szCs w:val="21"/>
                <w:lang w:eastAsia="zh-CN"/>
              </w:rPr>
              <w:t>）</w:t>
            </w:r>
          </w:p>
        </w:tc>
        <w:tc>
          <w:tcPr>
            <w:tcW w:w="644" w:type="pct"/>
            <w:vMerge w:val="continue"/>
            <w:noWrap w:val="0"/>
            <w:vAlign w:val="center"/>
          </w:tcPr>
          <w:p w14:paraId="67C6E7D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r>
      <w:tr w14:paraId="2B13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vMerge w:val="restart"/>
            <w:noWrap w:val="0"/>
            <w:vAlign w:val="center"/>
          </w:tcPr>
          <w:p w14:paraId="1A96D84A">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道路工程区</w:t>
            </w:r>
          </w:p>
        </w:tc>
        <w:tc>
          <w:tcPr>
            <w:tcW w:w="566" w:type="pct"/>
            <w:noWrap w:val="0"/>
            <w:vAlign w:val="center"/>
          </w:tcPr>
          <w:p w14:paraId="34F8CB5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路基路面区</w:t>
            </w:r>
          </w:p>
        </w:tc>
        <w:tc>
          <w:tcPr>
            <w:tcW w:w="577" w:type="pct"/>
            <w:noWrap w:val="0"/>
            <w:vAlign w:val="center"/>
          </w:tcPr>
          <w:p w14:paraId="055EB767">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2.31</w:t>
            </w:r>
          </w:p>
        </w:tc>
        <w:tc>
          <w:tcPr>
            <w:tcW w:w="843" w:type="pct"/>
            <w:noWrap w:val="0"/>
            <w:vAlign w:val="center"/>
          </w:tcPr>
          <w:p w14:paraId="3012286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733" w:type="pct"/>
            <w:noWrap w:val="0"/>
            <w:vAlign w:val="center"/>
          </w:tcPr>
          <w:p w14:paraId="301AAFE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454" w:type="pct"/>
            <w:noWrap w:val="0"/>
            <w:vAlign w:val="center"/>
          </w:tcPr>
          <w:p w14:paraId="232E7E2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c>
          <w:tcPr>
            <w:tcW w:w="702" w:type="pct"/>
            <w:noWrap w:val="0"/>
            <w:vAlign w:val="center"/>
          </w:tcPr>
          <w:p w14:paraId="6AA063BD">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0.66</w:t>
            </w:r>
          </w:p>
        </w:tc>
        <w:tc>
          <w:tcPr>
            <w:tcW w:w="644" w:type="pct"/>
            <w:vMerge w:val="restart"/>
            <w:noWrap w:val="0"/>
            <w:vAlign w:val="center"/>
          </w:tcPr>
          <w:p w14:paraId="68A017D3">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永久占地</w:t>
            </w:r>
          </w:p>
        </w:tc>
      </w:tr>
      <w:tr w14:paraId="731F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vMerge w:val="continue"/>
            <w:noWrap w:val="0"/>
            <w:vAlign w:val="center"/>
          </w:tcPr>
          <w:p w14:paraId="7F082F02">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566" w:type="pct"/>
            <w:noWrap w:val="0"/>
            <w:vAlign w:val="center"/>
          </w:tcPr>
          <w:p w14:paraId="040B4D4A">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道路绿化区</w:t>
            </w:r>
          </w:p>
        </w:tc>
        <w:tc>
          <w:tcPr>
            <w:tcW w:w="577" w:type="pct"/>
            <w:noWrap w:val="0"/>
            <w:vAlign w:val="center"/>
          </w:tcPr>
          <w:p w14:paraId="45B75D7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0.31</w:t>
            </w:r>
          </w:p>
        </w:tc>
        <w:tc>
          <w:tcPr>
            <w:tcW w:w="843" w:type="pct"/>
            <w:noWrap w:val="0"/>
            <w:vAlign w:val="center"/>
          </w:tcPr>
          <w:p w14:paraId="31214F5C">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0.01</w:t>
            </w:r>
          </w:p>
        </w:tc>
        <w:tc>
          <w:tcPr>
            <w:tcW w:w="733" w:type="pct"/>
            <w:noWrap w:val="0"/>
            <w:vAlign w:val="center"/>
          </w:tcPr>
          <w:p w14:paraId="3E97F6D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54" w:type="pct"/>
            <w:noWrap w:val="0"/>
            <w:vAlign w:val="center"/>
          </w:tcPr>
          <w:p w14:paraId="03AEE664">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0.02</w:t>
            </w:r>
          </w:p>
        </w:tc>
        <w:tc>
          <w:tcPr>
            <w:tcW w:w="702" w:type="pct"/>
            <w:noWrap w:val="0"/>
            <w:vAlign w:val="center"/>
          </w:tcPr>
          <w:p w14:paraId="4AC1FE4F">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0.29</w:t>
            </w:r>
          </w:p>
        </w:tc>
        <w:tc>
          <w:tcPr>
            <w:tcW w:w="644" w:type="pct"/>
            <w:vMerge w:val="continue"/>
            <w:noWrap w:val="0"/>
            <w:vAlign w:val="center"/>
          </w:tcPr>
          <w:p w14:paraId="20FC6020">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736AF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vMerge w:val="continue"/>
            <w:noWrap w:val="0"/>
            <w:vAlign w:val="center"/>
          </w:tcPr>
          <w:p w14:paraId="521245A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566" w:type="pct"/>
            <w:noWrap w:val="0"/>
            <w:vAlign w:val="center"/>
          </w:tcPr>
          <w:p w14:paraId="0839418F">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边坡工程区</w:t>
            </w:r>
          </w:p>
        </w:tc>
        <w:tc>
          <w:tcPr>
            <w:tcW w:w="577" w:type="pct"/>
            <w:noWrap w:val="0"/>
            <w:vAlign w:val="center"/>
          </w:tcPr>
          <w:p w14:paraId="56C8024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4.66</w:t>
            </w:r>
          </w:p>
        </w:tc>
        <w:tc>
          <w:tcPr>
            <w:tcW w:w="843" w:type="pct"/>
            <w:noWrap w:val="0"/>
            <w:vAlign w:val="center"/>
          </w:tcPr>
          <w:p w14:paraId="2ABC31C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733" w:type="pct"/>
            <w:noWrap w:val="0"/>
            <w:vAlign w:val="center"/>
          </w:tcPr>
          <w:p w14:paraId="3383187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54" w:type="pct"/>
            <w:noWrap w:val="0"/>
            <w:vAlign w:val="center"/>
          </w:tcPr>
          <w:p w14:paraId="2F0DDECF">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02" w:type="pct"/>
            <w:noWrap w:val="0"/>
            <w:vAlign w:val="center"/>
          </w:tcPr>
          <w:p w14:paraId="71B82E5C">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0.89</w:t>
            </w:r>
          </w:p>
        </w:tc>
        <w:tc>
          <w:tcPr>
            <w:tcW w:w="644" w:type="pct"/>
            <w:vMerge w:val="continue"/>
            <w:noWrap w:val="0"/>
            <w:vAlign w:val="center"/>
          </w:tcPr>
          <w:p w14:paraId="6C141A74">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1670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9" w:type="pct"/>
            <w:vMerge w:val="continue"/>
            <w:noWrap w:val="0"/>
            <w:vAlign w:val="center"/>
          </w:tcPr>
          <w:p w14:paraId="460823F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566" w:type="pct"/>
            <w:noWrap w:val="0"/>
            <w:vAlign w:val="center"/>
          </w:tcPr>
          <w:p w14:paraId="3DA3D48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小计</w:t>
            </w:r>
          </w:p>
        </w:tc>
        <w:tc>
          <w:tcPr>
            <w:tcW w:w="577" w:type="pct"/>
            <w:noWrap w:val="0"/>
            <w:vAlign w:val="center"/>
          </w:tcPr>
          <w:p w14:paraId="56BEA3B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7.28</w:t>
            </w:r>
          </w:p>
        </w:tc>
        <w:tc>
          <w:tcPr>
            <w:tcW w:w="843" w:type="pct"/>
            <w:noWrap w:val="0"/>
            <w:vAlign w:val="center"/>
          </w:tcPr>
          <w:p w14:paraId="059467C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0.09</w:t>
            </w:r>
          </w:p>
        </w:tc>
        <w:tc>
          <w:tcPr>
            <w:tcW w:w="733" w:type="pct"/>
            <w:noWrap w:val="0"/>
            <w:vAlign w:val="center"/>
          </w:tcPr>
          <w:p w14:paraId="568DA83C">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454" w:type="pct"/>
            <w:noWrap w:val="0"/>
            <w:vAlign w:val="center"/>
          </w:tcPr>
          <w:p w14:paraId="5D831E3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0.07</w:t>
            </w:r>
          </w:p>
        </w:tc>
        <w:tc>
          <w:tcPr>
            <w:tcW w:w="702" w:type="pct"/>
            <w:noWrap w:val="0"/>
            <w:vAlign w:val="center"/>
          </w:tcPr>
          <w:p w14:paraId="336BEB60">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1.84</w:t>
            </w:r>
          </w:p>
        </w:tc>
        <w:tc>
          <w:tcPr>
            <w:tcW w:w="644" w:type="pct"/>
            <w:vMerge w:val="continue"/>
            <w:noWrap w:val="0"/>
            <w:vAlign w:val="center"/>
          </w:tcPr>
          <w:p w14:paraId="4C7998B9">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0F98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6" w:type="pct"/>
            <w:gridSpan w:val="2"/>
            <w:noWrap w:val="0"/>
            <w:vAlign w:val="center"/>
          </w:tcPr>
          <w:p w14:paraId="53AEEBB4">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合计</w:t>
            </w:r>
          </w:p>
        </w:tc>
        <w:tc>
          <w:tcPr>
            <w:tcW w:w="3953" w:type="pct"/>
            <w:gridSpan w:val="6"/>
            <w:noWrap w:val="0"/>
            <w:vAlign w:val="center"/>
          </w:tcPr>
          <w:p w14:paraId="233DF65F">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9.31</w:t>
            </w:r>
          </w:p>
        </w:tc>
      </w:tr>
    </w:tbl>
    <w:p w14:paraId="45D1EC2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表2.5-2  工程临时占地统计表</w:t>
      </w:r>
    </w:p>
    <w:tbl>
      <w:tblPr>
        <w:tblStyle w:val="5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0"/>
        <w:gridCol w:w="6163"/>
        <w:gridCol w:w="1243"/>
      </w:tblGrid>
      <w:tr w14:paraId="5D382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833" w:type="pct"/>
            <w:vMerge w:val="restart"/>
            <w:noWrap w:val="0"/>
            <w:vAlign w:val="center"/>
          </w:tcPr>
          <w:p w14:paraId="71FB270B">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路段</w:t>
            </w:r>
          </w:p>
        </w:tc>
        <w:tc>
          <w:tcPr>
            <w:tcW w:w="4166" w:type="pct"/>
            <w:gridSpan w:val="2"/>
            <w:noWrap w:val="0"/>
            <w:vAlign w:val="center"/>
          </w:tcPr>
          <w:p w14:paraId="31244C1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占地类型及面积（hm</w:t>
            </w:r>
            <w:r>
              <w:rPr>
                <w:rFonts w:hint="default" w:ascii="Times New Roman" w:hAnsi="Times New Roman" w:eastAsia="宋体" w:cs="Times New Roman"/>
                <w:b/>
                <w:bCs/>
                <w:color w:val="auto"/>
                <w:sz w:val="21"/>
                <w:szCs w:val="21"/>
                <w:vertAlign w:val="superscript"/>
              </w:rPr>
              <w:t>2</w:t>
            </w:r>
            <w:r>
              <w:rPr>
                <w:rFonts w:hint="default" w:ascii="Times New Roman" w:hAnsi="Times New Roman" w:eastAsia="宋体" w:cs="Times New Roman"/>
                <w:b/>
                <w:bCs/>
                <w:color w:val="auto"/>
                <w:sz w:val="21"/>
                <w:szCs w:val="21"/>
              </w:rPr>
              <w:t>）</w:t>
            </w:r>
          </w:p>
        </w:tc>
      </w:tr>
      <w:tr w14:paraId="0666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833" w:type="pct"/>
            <w:vMerge w:val="continue"/>
            <w:noWrap w:val="0"/>
            <w:vAlign w:val="center"/>
          </w:tcPr>
          <w:p w14:paraId="3E06AE8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3467" w:type="pct"/>
            <w:noWrap w:val="0"/>
            <w:vAlign w:val="center"/>
          </w:tcPr>
          <w:p w14:paraId="076AE85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耕地</w:t>
            </w:r>
          </w:p>
        </w:tc>
        <w:tc>
          <w:tcPr>
            <w:tcW w:w="698" w:type="pct"/>
            <w:noWrap w:val="0"/>
            <w:vAlign w:val="center"/>
          </w:tcPr>
          <w:p w14:paraId="08D71E39">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合计</w:t>
            </w:r>
          </w:p>
        </w:tc>
      </w:tr>
      <w:tr w14:paraId="11C6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 w:type="pct"/>
            <w:noWrap w:val="0"/>
            <w:vAlign w:val="center"/>
          </w:tcPr>
          <w:p w14:paraId="77E217F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弃渣场</w:t>
            </w:r>
          </w:p>
        </w:tc>
        <w:tc>
          <w:tcPr>
            <w:tcW w:w="3467" w:type="pct"/>
            <w:noWrap w:val="0"/>
            <w:vAlign w:val="center"/>
          </w:tcPr>
          <w:p w14:paraId="539E984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6.07</w:t>
            </w:r>
          </w:p>
        </w:tc>
        <w:tc>
          <w:tcPr>
            <w:tcW w:w="698" w:type="pct"/>
            <w:noWrap w:val="0"/>
            <w:vAlign w:val="center"/>
          </w:tcPr>
          <w:p w14:paraId="55378E03">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6.07</w:t>
            </w:r>
          </w:p>
        </w:tc>
      </w:tr>
    </w:tbl>
    <w:p w14:paraId="04A9A713">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2.5.2拆迁工程</w:t>
      </w:r>
    </w:p>
    <w:p w14:paraId="6C5AFB0D">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根据工程主体设计资料，项目工程拆迁建筑物情况如下表。</w:t>
      </w:r>
    </w:p>
    <w:p w14:paraId="1E4165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表2.5</w:t>
      </w:r>
      <w:r>
        <w:rPr>
          <w:rFonts w:hint="default"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 xml:space="preserve">  工程拆迁建筑物统计表</w:t>
      </w:r>
    </w:p>
    <w:tbl>
      <w:tblPr>
        <w:tblStyle w:val="5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1196"/>
        <w:gridCol w:w="1194"/>
        <w:gridCol w:w="1190"/>
        <w:gridCol w:w="1194"/>
        <w:gridCol w:w="1201"/>
        <w:gridCol w:w="1199"/>
      </w:tblGrid>
      <w:tr w14:paraId="565A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55" w:type="pct"/>
            <w:vMerge w:val="restart"/>
            <w:noWrap w:val="0"/>
            <w:vAlign w:val="center"/>
          </w:tcPr>
          <w:p w14:paraId="72C4FD9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桩号</w:t>
            </w:r>
          </w:p>
        </w:tc>
        <w:tc>
          <w:tcPr>
            <w:tcW w:w="4344" w:type="pct"/>
            <w:gridSpan w:val="6"/>
            <w:noWrap w:val="0"/>
            <w:vAlign w:val="center"/>
          </w:tcPr>
          <w:p w14:paraId="37548602">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建筑类型及面积（m</w:t>
            </w:r>
            <w:r>
              <w:rPr>
                <w:rFonts w:hint="default" w:ascii="Times New Roman" w:hAnsi="Times New Roman" w:eastAsia="宋体" w:cs="Times New Roman"/>
                <w:b/>
                <w:bCs/>
                <w:color w:val="auto"/>
                <w:sz w:val="21"/>
                <w:szCs w:val="21"/>
                <w:vertAlign w:val="superscript"/>
              </w:rPr>
              <w:t>2</w:t>
            </w:r>
            <w:r>
              <w:rPr>
                <w:rFonts w:hint="default" w:ascii="Times New Roman" w:hAnsi="Times New Roman" w:eastAsia="宋体" w:cs="Times New Roman"/>
                <w:b/>
                <w:bCs/>
                <w:color w:val="auto"/>
                <w:sz w:val="21"/>
                <w:szCs w:val="21"/>
              </w:rPr>
              <w:t>）</w:t>
            </w:r>
          </w:p>
        </w:tc>
      </w:tr>
      <w:tr w14:paraId="0DBF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655" w:type="pct"/>
            <w:vMerge w:val="continue"/>
            <w:noWrap w:val="0"/>
            <w:vAlign w:val="center"/>
          </w:tcPr>
          <w:p w14:paraId="79346AC8">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724" w:type="pct"/>
            <w:noWrap w:val="0"/>
            <w:vAlign w:val="center"/>
          </w:tcPr>
          <w:p w14:paraId="416F4900">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混房</w:t>
            </w:r>
          </w:p>
        </w:tc>
        <w:tc>
          <w:tcPr>
            <w:tcW w:w="723" w:type="pct"/>
            <w:noWrap w:val="0"/>
            <w:vAlign w:val="center"/>
          </w:tcPr>
          <w:p w14:paraId="49FD3D9B">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砖房</w:t>
            </w:r>
          </w:p>
        </w:tc>
        <w:tc>
          <w:tcPr>
            <w:tcW w:w="721" w:type="pct"/>
            <w:noWrap w:val="0"/>
            <w:vAlign w:val="center"/>
          </w:tcPr>
          <w:p w14:paraId="0D07BCD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土房</w:t>
            </w:r>
          </w:p>
        </w:tc>
        <w:tc>
          <w:tcPr>
            <w:tcW w:w="723" w:type="pct"/>
            <w:noWrap w:val="0"/>
            <w:vAlign w:val="center"/>
          </w:tcPr>
          <w:p w14:paraId="79273442">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砖围墙</w:t>
            </w:r>
          </w:p>
        </w:tc>
        <w:tc>
          <w:tcPr>
            <w:tcW w:w="724" w:type="pct"/>
            <w:noWrap w:val="0"/>
            <w:vAlign w:val="center"/>
          </w:tcPr>
          <w:p w14:paraId="75223448">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砼地板</w:t>
            </w:r>
          </w:p>
        </w:tc>
        <w:tc>
          <w:tcPr>
            <w:tcW w:w="726" w:type="pct"/>
            <w:noWrap w:val="0"/>
            <w:vAlign w:val="center"/>
          </w:tcPr>
          <w:p w14:paraId="37AF4C8D">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合计</w:t>
            </w:r>
          </w:p>
        </w:tc>
      </w:tr>
      <w:tr w14:paraId="0CCA9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noWrap w:val="0"/>
            <w:vAlign w:val="center"/>
          </w:tcPr>
          <w:p w14:paraId="1F9743D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K0+000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K0+020</w:t>
            </w:r>
          </w:p>
        </w:tc>
        <w:tc>
          <w:tcPr>
            <w:tcW w:w="724" w:type="pct"/>
            <w:noWrap w:val="0"/>
            <w:vAlign w:val="center"/>
          </w:tcPr>
          <w:p w14:paraId="2349B31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150.05</w:t>
            </w:r>
          </w:p>
        </w:tc>
        <w:tc>
          <w:tcPr>
            <w:tcW w:w="723" w:type="pct"/>
            <w:noWrap w:val="0"/>
            <w:vAlign w:val="center"/>
          </w:tcPr>
          <w:p w14:paraId="7F4840EE">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1" w:type="pct"/>
            <w:noWrap w:val="0"/>
            <w:vAlign w:val="center"/>
          </w:tcPr>
          <w:p w14:paraId="6B417A2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3" w:type="pct"/>
            <w:noWrap w:val="0"/>
            <w:vAlign w:val="center"/>
          </w:tcPr>
          <w:p w14:paraId="001A3E7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724" w:type="pct"/>
            <w:noWrap w:val="0"/>
            <w:vAlign w:val="center"/>
          </w:tcPr>
          <w:p w14:paraId="2F43EC75">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140.26</w:t>
            </w:r>
          </w:p>
        </w:tc>
        <w:tc>
          <w:tcPr>
            <w:tcW w:w="726" w:type="pct"/>
            <w:noWrap w:val="0"/>
            <w:vAlign w:val="center"/>
          </w:tcPr>
          <w:p w14:paraId="28B0033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340.31</w:t>
            </w:r>
          </w:p>
        </w:tc>
      </w:tr>
      <w:tr w14:paraId="08E9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noWrap w:val="0"/>
            <w:vAlign w:val="center"/>
          </w:tcPr>
          <w:p w14:paraId="79740F83">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K0+020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K0+050</w:t>
            </w:r>
          </w:p>
        </w:tc>
        <w:tc>
          <w:tcPr>
            <w:tcW w:w="724" w:type="pct"/>
            <w:noWrap w:val="0"/>
            <w:vAlign w:val="center"/>
          </w:tcPr>
          <w:p w14:paraId="100F98DC">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3" w:type="pct"/>
            <w:noWrap w:val="0"/>
            <w:vAlign w:val="center"/>
          </w:tcPr>
          <w:p w14:paraId="5A3AD7B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48.36</w:t>
            </w:r>
          </w:p>
        </w:tc>
        <w:tc>
          <w:tcPr>
            <w:tcW w:w="721" w:type="pct"/>
            <w:noWrap w:val="0"/>
            <w:vAlign w:val="center"/>
          </w:tcPr>
          <w:p w14:paraId="621722C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3" w:type="pct"/>
            <w:noWrap w:val="0"/>
            <w:vAlign w:val="center"/>
          </w:tcPr>
          <w:p w14:paraId="2BCC31E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52.40</w:t>
            </w:r>
          </w:p>
        </w:tc>
        <w:tc>
          <w:tcPr>
            <w:tcW w:w="724" w:type="pct"/>
            <w:noWrap w:val="0"/>
            <w:vAlign w:val="center"/>
          </w:tcPr>
          <w:p w14:paraId="2328652D">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324.78</w:t>
            </w:r>
          </w:p>
        </w:tc>
        <w:tc>
          <w:tcPr>
            <w:tcW w:w="726" w:type="pct"/>
            <w:noWrap w:val="0"/>
            <w:vAlign w:val="center"/>
          </w:tcPr>
          <w:p w14:paraId="733B32EB">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425.54</w:t>
            </w:r>
          </w:p>
        </w:tc>
      </w:tr>
      <w:tr w14:paraId="3764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noWrap w:val="0"/>
            <w:vAlign w:val="center"/>
          </w:tcPr>
          <w:p w14:paraId="04D691E2">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K0+380</w:t>
            </w:r>
          </w:p>
        </w:tc>
        <w:tc>
          <w:tcPr>
            <w:tcW w:w="724" w:type="pct"/>
            <w:noWrap w:val="0"/>
            <w:vAlign w:val="center"/>
          </w:tcPr>
          <w:p w14:paraId="6AF431E4">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3" w:type="pct"/>
            <w:noWrap w:val="0"/>
            <w:vAlign w:val="center"/>
          </w:tcPr>
          <w:p w14:paraId="580A376B">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1" w:type="pct"/>
            <w:noWrap w:val="0"/>
            <w:vAlign w:val="center"/>
          </w:tcPr>
          <w:p w14:paraId="4ACE023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8.9</w:t>
            </w:r>
          </w:p>
        </w:tc>
        <w:tc>
          <w:tcPr>
            <w:tcW w:w="723" w:type="pct"/>
            <w:noWrap w:val="0"/>
            <w:vAlign w:val="center"/>
          </w:tcPr>
          <w:p w14:paraId="2889AF5F">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4" w:type="pct"/>
            <w:noWrap w:val="0"/>
            <w:vAlign w:val="center"/>
          </w:tcPr>
          <w:p w14:paraId="77BA441F">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6" w:type="pct"/>
            <w:noWrap w:val="0"/>
            <w:vAlign w:val="center"/>
          </w:tcPr>
          <w:p w14:paraId="5A273F1B">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8.9</w:t>
            </w:r>
          </w:p>
        </w:tc>
      </w:tr>
      <w:tr w14:paraId="3BC94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73" w:type="pct"/>
            <w:gridSpan w:val="6"/>
            <w:noWrap w:val="0"/>
            <w:vAlign w:val="center"/>
          </w:tcPr>
          <w:p w14:paraId="7E917DA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总合计</w:t>
            </w:r>
          </w:p>
        </w:tc>
        <w:tc>
          <w:tcPr>
            <w:tcW w:w="726" w:type="pct"/>
            <w:noWrap w:val="0"/>
            <w:vAlign w:val="center"/>
          </w:tcPr>
          <w:p w14:paraId="516B5C0C">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774.75</w:t>
            </w:r>
          </w:p>
        </w:tc>
      </w:tr>
    </w:tbl>
    <w:p w14:paraId="23C6282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表2.5</w:t>
      </w:r>
      <w:r>
        <w:rPr>
          <w:rFonts w:hint="default"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 xml:space="preserve">  工程拆迁电力、电信及其它管线设施统计表</w:t>
      </w:r>
    </w:p>
    <w:tbl>
      <w:tblPr>
        <w:tblStyle w:val="5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1193"/>
        <w:gridCol w:w="1194"/>
        <w:gridCol w:w="1194"/>
        <w:gridCol w:w="1194"/>
        <w:gridCol w:w="1199"/>
        <w:gridCol w:w="1197"/>
      </w:tblGrid>
      <w:tr w14:paraId="674C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trPr>
        <w:tc>
          <w:tcPr>
            <w:tcW w:w="655" w:type="pct"/>
            <w:noWrap w:val="0"/>
            <w:vAlign w:val="center"/>
          </w:tcPr>
          <w:p w14:paraId="00798D2B">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桩号</w:t>
            </w:r>
          </w:p>
        </w:tc>
        <w:tc>
          <w:tcPr>
            <w:tcW w:w="723" w:type="pct"/>
            <w:noWrap w:val="0"/>
            <w:vAlign w:val="center"/>
          </w:tcPr>
          <w:p w14:paraId="198774A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用途</w:t>
            </w:r>
          </w:p>
        </w:tc>
        <w:tc>
          <w:tcPr>
            <w:tcW w:w="723" w:type="pct"/>
            <w:noWrap w:val="0"/>
            <w:vAlign w:val="center"/>
          </w:tcPr>
          <w:p w14:paraId="4B57CE3A">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电杆（根数）</w:t>
            </w:r>
          </w:p>
        </w:tc>
        <w:tc>
          <w:tcPr>
            <w:tcW w:w="723" w:type="pct"/>
            <w:noWrap w:val="0"/>
            <w:vAlign w:val="center"/>
          </w:tcPr>
          <w:p w14:paraId="4D08DEFE">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电信（根数）</w:t>
            </w:r>
          </w:p>
        </w:tc>
        <w:tc>
          <w:tcPr>
            <w:tcW w:w="723" w:type="pct"/>
            <w:noWrap w:val="0"/>
            <w:vAlign w:val="center"/>
          </w:tcPr>
          <w:p w14:paraId="7B75ED10">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电压（kV）</w:t>
            </w:r>
          </w:p>
        </w:tc>
        <w:tc>
          <w:tcPr>
            <w:tcW w:w="723" w:type="pct"/>
            <w:noWrap w:val="0"/>
            <w:vAlign w:val="center"/>
          </w:tcPr>
          <w:p w14:paraId="1BE1D44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电缆（m）</w:t>
            </w:r>
          </w:p>
        </w:tc>
        <w:tc>
          <w:tcPr>
            <w:tcW w:w="725" w:type="pct"/>
            <w:noWrap w:val="0"/>
            <w:vAlign w:val="center"/>
          </w:tcPr>
          <w:p w14:paraId="3327FB5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电线（m）</w:t>
            </w:r>
          </w:p>
        </w:tc>
      </w:tr>
      <w:tr w14:paraId="4444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noWrap w:val="0"/>
            <w:vAlign w:val="center"/>
          </w:tcPr>
          <w:p w14:paraId="6DC48C1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K0+059</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K0+071</w:t>
            </w:r>
          </w:p>
        </w:tc>
        <w:tc>
          <w:tcPr>
            <w:tcW w:w="723" w:type="pct"/>
            <w:noWrap w:val="0"/>
            <w:vAlign w:val="center"/>
          </w:tcPr>
          <w:p w14:paraId="2379270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通讯</w:t>
            </w:r>
          </w:p>
        </w:tc>
        <w:tc>
          <w:tcPr>
            <w:tcW w:w="723" w:type="pct"/>
            <w:noWrap w:val="0"/>
            <w:vAlign w:val="center"/>
          </w:tcPr>
          <w:p w14:paraId="424D49EB">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3" w:type="pct"/>
            <w:noWrap w:val="0"/>
            <w:vAlign w:val="center"/>
          </w:tcPr>
          <w:p w14:paraId="14CFA604">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w:t>
            </w:r>
          </w:p>
        </w:tc>
        <w:tc>
          <w:tcPr>
            <w:tcW w:w="721" w:type="pct"/>
            <w:noWrap w:val="0"/>
            <w:vAlign w:val="center"/>
          </w:tcPr>
          <w:p w14:paraId="45D9337B">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6" w:type="pct"/>
            <w:noWrap w:val="0"/>
            <w:vAlign w:val="center"/>
          </w:tcPr>
          <w:p w14:paraId="27E51BCD">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897</w:t>
            </w:r>
          </w:p>
        </w:tc>
        <w:tc>
          <w:tcPr>
            <w:tcW w:w="725" w:type="pct"/>
            <w:noWrap w:val="0"/>
            <w:vAlign w:val="center"/>
          </w:tcPr>
          <w:p w14:paraId="059C9A3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r>
      <w:tr w14:paraId="09DA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5" w:type="pct"/>
            <w:noWrap w:val="0"/>
            <w:vAlign w:val="center"/>
          </w:tcPr>
          <w:p w14:paraId="0459B59D">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K0+156</w:t>
            </w:r>
          </w:p>
        </w:tc>
        <w:tc>
          <w:tcPr>
            <w:tcW w:w="723" w:type="pct"/>
            <w:noWrap w:val="0"/>
            <w:vAlign w:val="center"/>
          </w:tcPr>
          <w:p w14:paraId="09A5C86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输电</w:t>
            </w:r>
          </w:p>
        </w:tc>
        <w:tc>
          <w:tcPr>
            <w:tcW w:w="723" w:type="pct"/>
            <w:noWrap w:val="0"/>
            <w:vAlign w:val="center"/>
          </w:tcPr>
          <w:p w14:paraId="3994E46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723" w:type="pct"/>
            <w:noWrap w:val="0"/>
            <w:vAlign w:val="center"/>
          </w:tcPr>
          <w:p w14:paraId="595B8C8F">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1" w:type="pct"/>
            <w:noWrap w:val="0"/>
            <w:vAlign w:val="center"/>
          </w:tcPr>
          <w:p w14:paraId="1EF1A294">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726" w:type="pct"/>
            <w:noWrap w:val="0"/>
            <w:vAlign w:val="center"/>
          </w:tcPr>
          <w:p w14:paraId="790EC50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725" w:type="pct"/>
            <w:noWrap w:val="0"/>
            <w:vAlign w:val="center"/>
          </w:tcPr>
          <w:p w14:paraId="0C7D7625">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705</w:t>
            </w:r>
          </w:p>
        </w:tc>
      </w:tr>
    </w:tbl>
    <w:p w14:paraId="569F57A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表2.5</w:t>
      </w:r>
      <w:r>
        <w:rPr>
          <w:rFonts w:hint="default" w:ascii="Times New Roman" w:hAnsi="Times New Roman" w:eastAsia="宋体" w:cs="Times New Roman"/>
          <w:b/>
          <w:bCs/>
          <w:color w:val="auto"/>
          <w:kern w:val="0"/>
          <w:sz w:val="21"/>
          <w:szCs w:val="21"/>
          <w:lang w:val="en-US" w:eastAsia="zh-CN" w:bidi="ar"/>
        </w:rPr>
        <w:t>-5</w:t>
      </w:r>
      <w:r>
        <w:rPr>
          <w:rFonts w:hint="default" w:ascii="Times New Roman" w:hAnsi="Times New Roman" w:eastAsia="宋体" w:cs="Times New Roman"/>
          <w:b/>
          <w:bCs/>
          <w:color w:val="auto"/>
          <w:kern w:val="0"/>
          <w:sz w:val="21"/>
          <w:szCs w:val="21"/>
          <w:lang w:bidi="ar"/>
        </w:rPr>
        <w:t xml:space="preserve">  赔偿树木、青苗数量统计表</w:t>
      </w:r>
    </w:p>
    <w:tbl>
      <w:tblPr>
        <w:tblStyle w:val="5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5"/>
        <w:gridCol w:w="1611"/>
        <w:gridCol w:w="1607"/>
        <w:gridCol w:w="1604"/>
        <w:gridCol w:w="1610"/>
        <w:gridCol w:w="7"/>
      </w:tblGrid>
      <w:tr w14:paraId="389B3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204" w:type="pct"/>
            <w:vMerge w:val="restart"/>
            <w:noWrap w:val="0"/>
            <w:vAlign w:val="center"/>
          </w:tcPr>
          <w:p w14:paraId="35D0D4FC">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桩号</w:t>
            </w:r>
          </w:p>
        </w:tc>
        <w:tc>
          <w:tcPr>
            <w:tcW w:w="3795" w:type="pct"/>
            <w:gridSpan w:val="5"/>
            <w:noWrap w:val="0"/>
            <w:vAlign w:val="center"/>
          </w:tcPr>
          <w:p w14:paraId="1D21400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树木、青苗数量（棵），仅涉及芒果树</w:t>
            </w:r>
          </w:p>
        </w:tc>
      </w:tr>
      <w:tr w14:paraId="60FA9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204" w:type="pct"/>
            <w:vMerge w:val="continue"/>
            <w:noWrap w:val="0"/>
            <w:vAlign w:val="center"/>
          </w:tcPr>
          <w:p w14:paraId="4A2400F0">
            <w:pPr>
              <w:pStyle w:val="4"/>
              <w:adjustRightInd w:val="0"/>
              <w:snapToGrid w:val="0"/>
              <w:spacing w:line="240" w:lineRule="auto"/>
              <w:ind w:firstLine="0" w:firstLineChars="0"/>
              <w:jc w:val="center"/>
              <w:rPr>
                <w:rFonts w:hint="default" w:ascii="Times New Roman" w:hAnsi="Times New Roman" w:eastAsia="宋体" w:cs="Times New Roman"/>
                <w:color w:val="auto"/>
              </w:rPr>
            </w:pPr>
          </w:p>
        </w:tc>
        <w:tc>
          <w:tcPr>
            <w:tcW w:w="947" w:type="pct"/>
            <w:noWrap w:val="0"/>
            <w:vAlign w:val="center"/>
          </w:tcPr>
          <w:p w14:paraId="33D5BF20">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Ф﹤10cm</w:t>
            </w:r>
          </w:p>
        </w:tc>
        <w:tc>
          <w:tcPr>
            <w:tcW w:w="947" w:type="pct"/>
            <w:noWrap w:val="0"/>
            <w:vAlign w:val="center"/>
          </w:tcPr>
          <w:p w14:paraId="54078A35">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10≤Ф</w:t>
            </w:r>
            <w:r>
              <w:rPr>
                <w:rFonts w:hint="default" w:ascii="Times New Roman" w:hAnsi="Times New Roman" w:eastAsia="宋体" w:cs="Times New Roman"/>
                <w:color w:val="auto"/>
                <w:lang w:eastAsia="zh-CN"/>
              </w:rPr>
              <w:t>&lt;</w:t>
            </w:r>
            <w:r>
              <w:rPr>
                <w:rFonts w:hint="default" w:ascii="Times New Roman" w:hAnsi="Times New Roman" w:eastAsia="宋体" w:cs="Times New Roman"/>
                <w:color w:val="auto"/>
              </w:rPr>
              <w:t>20</w:t>
            </w:r>
          </w:p>
        </w:tc>
        <w:tc>
          <w:tcPr>
            <w:tcW w:w="945" w:type="pct"/>
            <w:noWrap w:val="0"/>
            <w:vAlign w:val="center"/>
          </w:tcPr>
          <w:p w14:paraId="3CB97E91">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20≤Ф</w:t>
            </w:r>
            <w:r>
              <w:rPr>
                <w:rFonts w:hint="default" w:ascii="Times New Roman" w:hAnsi="Times New Roman" w:eastAsia="宋体" w:cs="Times New Roman"/>
                <w:color w:val="auto"/>
                <w:lang w:eastAsia="zh-CN"/>
              </w:rPr>
              <w:t>&lt;</w:t>
            </w:r>
            <w:r>
              <w:rPr>
                <w:rFonts w:hint="default" w:ascii="Times New Roman" w:hAnsi="Times New Roman" w:eastAsia="宋体" w:cs="Times New Roman"/>
                <w:color w:val="auto"/>
              </w:rPr>
              <w:t>30</w:t>
            </w:r>
          </w:p>
        </w:tc>
        <w:tc>
          <w:tcPr>
            <w:tcW w:w="954" w:type="pct"/>
            <w:gridSpan w:val="2"/>
            <w:noWrap w:val="0"/>
            <w:vAlign w:val="center"/>
          </w:tcPr>
          <w:p w14:paraId="4D54E94F">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rPr>
              <w:t>30≤Ф</w:t>
            </w:r>
            <w:r>
              <w:rPr>
                <w:rFonts w:hint="default" w:ascii="Times New Roman" w:hAnsi="Times New Roman" w:eastAsia="宋体" w:cs="Times New Roman"/>
                <w:color w:val="auto"/>
                <w:lang w:eastAsia="zh-CN"/>
              </w:rPr>
              <w:t>&lt;</w:t>
            </w:r>
            <w:r>
              <w:rPr>
                <w:rFonts w:hint="default" w:ascii="Times New Roman" w:hAnsi="Times New Roman" w:eastAsia="宋体" w:cs="Times New Roman"/>
                <w:color w:val="auto"/>
              </w:rPr>
              <w:t>45</w:t>
            </w:r>
          </w:p>
        </w:tc>
      </w:tr>
      <w:tr w14:paraId="02C4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1" w:type="dxa"/>
        </w:trPr>
        <w:tc>
          <w:tcPr>
            <w:tcW w:w="1204" w:type="pct"/>
            <w:noWrap w:val="0"/>
            <w:vAlign w:val="center"/>
          </w:tcPr>
          <w:p w14:paraId="2C051F9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K0+000.000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K1+447.858</w:t>
            </w:r>
          </w:p>
        </w:tc>
        <w:tc>
          <w:tcPr>
            <w:tcW w:w="949" w:type="pct"/>
            <w:noWrap w:val="0"/>
            <w:vAlign w:val="center"/>
          </w:tcPr>
          <w:p w14:paraId="19BD623D">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1938</w:t>
            </w:r>
          </w:p>
        </w:tc>
        <w:tc>
          <w:tcPr>
            <w:tcW w:w="944" w:type="pct"/>
            <w:noWrap w:val="0"/>
            <w:vAlign w:val="center"/>
          </w:tcPr>
          <w:p w14:paraId="7BAA0823">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3876</w:t>
            </w:r>
          </w:p>
        </w:tc>
        <w:tc>
          <w:tcPr>
            <w:tcW w:w="944" w:type="pct"/>
            <w:noWrap w:val="0"/>
            <w:vAlign w:val="center"/>
          </w:tcPr>
          <w:p w14:paraId="7503270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5814</w:t>
            </w:r>
          </w:p>
        </w:tc>
        <w:tc>
          <w:tcPr>
            <w:tcW w:w="948" w:type="pct"/>
            <w:noWrap w:val="0"/>
            <w:vAlign w:val="center"/>
          </w:tcPr>
          <w:p w14:paraId="538CE20E">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1292</w:t>
            </w:r>
          </w:p>
        </w:tc>
      </w:tr>
    </w:tbl>
    <w:p w14:paraId="53D8A56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本工程的建设涉及的电力、电讯等专用设施拆迁及拆迁民用建筑采用货币拆迁制，即建设单位一次性将拆迁费交予设施所有单位及地方政府，由设施所有单位及地方政府负责项目涉及的改建、拆迁安置工作。</w:t>
      </w:r>
    </w:p>
    <w:bookmarkEnd w:id="44"/>
    <w:bookmarkEnd w:id="45"/>
    <w:bookmarkEnd w:id="46"/>
    <w:bookmarkEnd w:id="47"/>
    <w:bookmarkEnd w:id="48"/>
    <w:p w14:paraId="2A4D443E">
      <w:pPr>
        <w:pStyle w:val="3"/>
        <w:numPr>
          <w:ilvl w:val="0"/>
          <w:numId w:val="0"/>
        </w:numPr>
        <w:rPr>
          <w:rFonts w:hint="default" w:ascii="Times New Roman" w:hAnsi="Times New Roman" w:eastAsia="宋体" w:cs="Times New Roman"/>
          <w:color w:val="auto"/>
        </w:rPr>
      </w:pPr>
      <w:bookmarkStart w:id="49" w:name="_Toc2245"/>
      <w:r>
        <w:rPr>
          <w:rFonts w:hint="default" w:ascii="Times New Roman" w:hAnsi="Times New Roman" w:eastAsia="宋体" w:cs="Times New Roman"/>
          <w:color w:val="auto"/>
        </w:rPr>
        <w:t>2.6土石方平衡</w:t>
      </w:r>
      <w:bookmarkEnd w:id="49"/>
    </w:p>
    <w:p w14:paraId="315926B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根据主体设计资料，结合现场踏勘，本工程建设过程中的土石方主要由道路工程的路基开挖及填筑、绿化覆土等，施工场地平整、覆土复耕等组成。</w:t>
      </w:r>
    </w:p>
    <w:p w14:paraId="4D7056C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2.6.1道路工程区土石方平衡</w:t>
      </w:r>
    </w:p>
    <w:p w14:paraId="4154764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（1）路基开挖及填筑</w:t>
      </w:r>
    </w:p>
    <w:p w14:paraId="70291130">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根据主体设计资料及水保资料统计，本工程的土石方调运在建筑垃圾、路基、边坡、涵洞、改移沟渠开挖等施工过程中产生开挖土石方68.37万m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），填方总量6.42万m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，产生弃方61.95万m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，运至规划弃渣场堆放。</w:t>
      </w:r>
    </w:p>
    <w:p w14:paraId="736E50A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（2）绿化覆土</w:t>
      </w:r>
    </w:p>
    <w:p w14:paraId="2F30D46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本项道路工程区绿化面积5.04hm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，前期表土剥离1.34万m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。本工程植被恢复采取撒草绿化或喷播的形式，为保证绿化苗木成活率和绿化效果，项目绿化区按平均覆土20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35cm计算，全部用于本区绿化覆土来源。</w:t>
      </w:r>
    </w:p>
    <w:p w14:paraId="2A8F4469">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综上，</w:t>
      </w:r>
      <w:r>
        <w:rPr>
          <w:rFonts w:hint="default" w:ascii="Times New Roman" w:hAnsi="Times New Roman" w:eastAsia="宋体" w:cs="Times New Roman"/>
          <w:color w:val="auto"/>
          <w:kern w:val="0"/>
          <w:lang w:bidi="ar"/>
        </w:rPr>
        <w:t>道路工程区共计产生土石方开挖69.71万m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（其中，表土剥离1.34万m3，建筑垃圾0.04万m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），土石方回填利用7.76万m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（其中，表土回覆1.34万m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，一般土石方回填6.42万m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）；产生弃方61.95万m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，运至规划弃渣场堆放。本工程区不产生外借方。</w:t>
      </w:r>
    </w:p>
    <w:p w14:paraId="55137ABB">
      <w:pPr>
        <w:widowControl/>
        <w:ind w:firstLine="0" w:firstLineChars="0"/>
        <w:jc w:val="left"/>
        <w:rPr>
          <w:rFonts w:hint="default" w:ascii="Times New Roman" w:hAnsi="Times New Roman" w:eastAsia="宋体" w:cs="Times New Roman"/>
          <w:color w:val="auto"/>
          <w:lang w:val="en-US" w:eastAsia="zh-CN"/>
        </w:rPr>
      </w:pPr>
      <w:r>
        <w:rPr>
          <w:rFonts w:hint="default" w:ascii="Times New Roman" w:hAnsi="Times New Roman" w:eastAsia="宋体" w:cs="Times New Roman"/>
          <w:b/>
          <w:bCs/>
          <w:color w:val="auto"/>
          <w:kern w:val="0"/>
          <w:lang w:bidi="ar"/>
        </w:rPr>
        <w:t>2.6.2工程土石方平衡汇总</w:t>
      </w:r>
    </w:p>
    <w:p w14:paraId="270D3A30">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综上所述，本工程</w:t>
      </w:r>
      <w:r>
        <w:rPr>
          <w:rFonts w:hint="eastAsia" w:cs="Times New Roman"/>
          <w:color w:val="auto"/>
          <w:kern w:val="0"/>
          <w:lang w:eastAsia="zh-CN" w:bidi="ar"/>
        </w:rPr>
        <w:t>（</w:t>
      </w:r>
      <w:r>
        <w:rPr>
          <w:rFonts w:hint="eastAsia" w:cs="Times New Roman"/>
          <w:color w:val="auto"/>
          <w:kern w:val="0"/>
          <w:lang w:val="en-US" w:eastAsia="zh-CN" w:bidi="ar"/>
        </w:rPr>
        <w:t>包括道路工程区弃渣场区</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共计产生土石方开挖71.76万m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（其中，表土剥离3.39万m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），土石方回填利用9.81万m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（其中，表土回覆3.39万m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，一般土石方回填6.42万m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，无外借土石方。本工程产生的弃渣运至项目规划的弃渣场堆放。</w:t>
      </w:r>
    </w:p>
    <w:p w14:paraId="6987E372">
      <w:pPr>
        <w:ind w:firstLine="480"/>
        <w:rPr>
          <w:rFonts w:hint="default" w:ascii="Times New Roman" w:hAnsi="Times New Roman" w:eastAsia="宋体" w:cs="Times New Roman"/>
          <w:color w:val="auto"/>
          <w:kern w:val="24"/>
        </w:rPr>
      </w:pPr>
      <w:r>
        <w:rPr>
          <w:rFonts w:hint="default" w:ascii="Times New Roman" w:hAnsi="Times New Roman" w:eastAsia="宋体" w:cs="Times New Roman"/>
          <w:color w:val="auto"/>
        </w:rPr>
        <w:t>土石方平衡分析及流向汇总表详见表2.6-1；土石方平衡及流向框图详见图2.6.-1。</w:t>
      </w:r>
    </w:p>
    <w:p w14:paraId="248AC7D3">
      <w:pPr>
        <w:pStyle w:val="500"/>
        <w:ind w:firstLine="480"/>
        <w:rPr>
          <w:rFonts w:hint="default" w:ascii="Times New Roman" w:hAnsi="Times New Roman" w:eastAsia="宋体" w:cs="Times New Roman"/>
          <w:color w:val="auto"/>
          <w:kern w:val="24"/>
        </w:rPr>
        <w:sectPr>
          <w:pgSz w:w="11910" w:h="16840"/>
          <w:pgMar w:top="1480" w:right="1560" w:bottom="1580" w:left="1680" w:header="992" w:footer="992" w:gutter="0"/>
          <w:lnNumType w:countBy="0" w:distance="360"/>
          <w:pgNumType w:fmt="decimal"/>
          <w:cols w:space="720" w:num="1"/>
        </w:sectPr>
      </w:pPr>
    </w:p>
    <w:p w14:paraId="31077A82">
      <w:pPr>
        <w:spacing w:before="5" w:line="240" w:lineRule="auto"/>
        <w:ind w:firstLine="141"/>
        <w:rPr>
          <w:rFonts w:hint="default" w:ascii="Times New Roman" w:hAnsi="Times New Roman" w:eastAsia="宋体" w:cs="Times New Roman"/>
          <w:b/>
          <w:bCs/>
          <w:color w:val="auto"/>
          <w:sz w:val="7"/>
          <w:szCs w:val="7"/>
        </w:rPr>
      </w:pPr>
    </w:p>
    <w:p w14:paraId="22778AD8">
      <w:pPr>
        <w:pStyle w:val="240"/>
        <w:ind w:left="480"/>
        <w:rPr>
          <w:rFonts w:hint="default" w:ascii="Times New Roman" w:hAnsi="Times New Roman" w:eastAsia="宋体" w:cs="Times New Roman"/>
          <w:color w:val="auto"/>
          <w:szCs w:val="21"/>
        </w:rPr>
      </w:pPr>
      <w:r>
        <w:rPr>
          <w:rFonts w:hint="default" w:ascii="Times New Roman" w:hAnsi="Times New Roman" w:eastAsia="宋体" w:cs="Times New Roman"/>
          <w:color w:val="auto"/>
        </w:rPr>
        <w:t>表2.6-1工程土石方平衡表    单位万m</w:t>
      </w:r>
      <w:r>
        <w:rPr>
          <w:rFonts w:hint="default" w:ascii="Times New Roman" w:hAnsi="Times New Roman" w:eastAsia="宋体" w:cs="Times New Roman"/>
          <w:color w:val="auto"/>
          <w:vertAlign w:val="superscript"/>
        </w:rPr>
        <w:t>3</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813"/>
        <w:gridCol w:w="813"/>
        <w:gridCol w:w="813"/>
        <w:gridCol w:w="813"/>
        <w:gridCol w:w="813"/>
        <w:gridCol w:w="813"/>
        <w:gridCol w:w="813"/>
        <w:gridCol w:w="813"/>
        <w:gridCol w:w="818"/>
        <w:gridCol w:w="867"/>
        <w:gridCol w:w="867"/>
        <w:gridCol w:w="867"/>
        <w:gridCol w:w="1069"/>
        <w:gridCol w:w="1069"/>
        <w:gridCol w:w="1070"/>
      </w:tblGrid>
      <w:tr w14:paraId="1A6B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5" w:type="dxa"/>
            <w:vMerge w:val="restart"/>
            <w:noWrap w:val="0"/>
            <w:vAlign w:val="center"/>
          </w:tcPr>
          <w:p w14:paraId="71E091AC">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分区</w:t>
            </w:r>
          </w:p>
        </w:tc>
        <w:tc>
          <w:tcPr>
            <w:tcW w:w="4065" w:type="dxa"/>
            <w:gridSpan w:val="5"/>
            <w:noWrap w:val="0"/>
            <w:vAlign w:val="center"/>
          </w:tcPr>
          <w:p w14:paraId="2FB0A7A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挖方</w:t>
            </w:r>
          </w:p>
        </w:tc>
        <w:tc>
          <w:tcPr>
            <w:tcW w:w="3257" w:type="dxa"/>
            <w:gridSpan w:val="4"/>
            <w:noWrap w:val="0"/>
            <w:vAlign w:val="center"/>
          </w:tcPr>
          <w:p w14:paraId="6EE98B5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回填/利用</w:t>
            </w:r>
          </w:p>
        </w:tc>
        <w:tc>
          <w:tcPr>
            <w:tcW w:w="867" w:type="dxa"/>
            <w:vMerge w:val="restart"/>
            <w:noWrap w:val="0"/>
            <w:vAlign w:val="center"/>
          </w:tcPr>
          <w:p w14:paraId="1FD368D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调入方</w:t>
            </w:r>
          </w:p>
        </w:tc>
        <w:tc>
          <w:tcPr>
            <w:tcW w:w="867" w:type="dxa"/>
            <w:vMerge w:val="restart"/>
            <w:noWrap w:val="0"/>
            <w:vAlign w:val="center"/>
          </w:tcPr>
          <w:p w14:paraId="59F6DECF">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调出方</w:t>
            </w:r>
          </w:p>
        </w:tc>
        <w:tc>
          <w:tcPr>
            <w:tcW w:w="867" w:type="dxa"/>
            <w:vMerge w:val="restart"/>
            <w:noWrap w:val="0"/>
            <w:vAlign w:val="center"/>
          </w:tcPr>
          <w:p w14:paraId="0BA1DC19">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外借方</w:t>
            </w:r>
          </w:p>
        </w:tc>
        <w:tc>
          <w:tcPr>
            <w:tcW w:w="3208" w:type="dxa"/>
            <w:gridSpan w:val="3"/>
            <w:noWrap w:val="0"/>
            <w:vAlign w:val="center"/>
          </w:tcPr>
          <w:p w14:paraId="7551E24B">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弃方</w:t>
            </w:r>
          </w:p>
        </w:tc>
      </w:tr>
      <w:tr w14:paraId="3D06E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5" w:type="dxa"/>
            <w:vMerge w:val="continue"/>
            <w:noWrap w:val="0"/>
            <w:vAlign w:val="center"/>
          </w:tcPr>
          <w:p w14:paraId="1D816E46">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13" w:type="dxa"/>
            <w:noWrap w:val="0"/>
            <w:vAlign w:val="center"/>
          </w:tcPr>
          <w:p w14:paraId="10F409DD">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813" w:type="dxa"/>
            <w:noWrap w:val="0"/>
            <w:vAlign w:val="center"/>
          </w:tcPr>
          <w:p w14:paraId="27E2FD0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剥离</w:t>
            </w:r>
          </w:p>
          <w:p w14:paraId="5F43BC2F">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表土</w:t>
            </w:r>
          </w:p>
          <w:p w14:paraId="1A79FA2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13" w:type="dxa"/>
            <w:noWrap w:val="0"/>
            <w:vAlign w:val="center"/>
          </w:tcPr>
          <w:p w14:paraId="5E9DB5DB">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w:t>
            </w:r>
          </w:p>
          <w:p w14:paraId="5335B3B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垃圾</w:t>
            </w:r>
          </w:p>
          <w:p w14:paraId="23C04E0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13" w:type="dxa"/>
            <w:noWrap w:val="0"/>
            <w:vAlign w:val="center"/>
          </w:tcPr>
          <w:p w14:paraId="46E0C33D">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土方</w:t>
            </w:r>
          </w:p>
        </w:tc>
        <w:tc>
          <w:tcPr>
            <w:tcW w:w="813" w:type="dxa"/>
            <w:noWrap w:val="0"/>
            <w:vAlign w:val="center"/>
          </w:tcPr>
          <w:p w14:paraId="31F43B8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石方</w:t>
            </w:r>
          </w:p>
        </w:tc>
        <w:tc>
          <w:tcPr>
            <w:tcW w:w="813" w:type="dxa"/>
            <w:noWrap w:val="0"/>
            <w:vAlign w:val="center"/>
          </w:tcPr>
          <w:p w14:paraId="0BFEE6D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813" w:type="dxa"/>
            <w:noWrap w:val="0"/>
            <w:vAlign w:val="center"/>
          </w:tcPr>
          <w:p w14:paraId="28F94F62">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表土回覆</w:t>
            </w:r>
          </w:p>
          <w:p w14:paraId="35405D3D">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13" w:type="dxa"/>
            <w:noWrap w:val="0"/>
            <w:vAlign w:val="center"/>
          </w:tcPr>
          <w:p w14:paraId="45605864">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土方</w:t>
            </w:r>
          </w:p>
        </w:tc>
        <w:tc>
          <w:tcPr>
            <w:tcW w:w="818" w:type="dxa"/>
            <w:noWrap w:val="0"/>
            <w:vAlign w:val="center"/>
          </w:tcPr>
          <w:p w14:paraId="0830960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石方</w:t>
            </w:r>
          </w:p>
        </w:tc>
        <w:tc>
          <w:tcPr>
            <w:tcW w:w="867" w:type="dxa"/>
            <w:vMerge w:val="continue"/>
            <w:noWrap w:val="0"/>
            <w:vAlign w:val="center"/>
          </w:tcPr>
          <w:p w14:paraId="3B81A8F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67" w:type="dxa"/>
            <w:vMerge w:val="continue"/>
            <w:noWrap w:val="0"/>
            <w:vAlign w:val="center"/>
          </w:tcPr>
          <w:p w14:paraId="51C7F79D">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867" w:type="dxa"/>
            <w:vMerge w:val="continue"/>
            <w:noWrap w:val="0"/>
            <w:vAlign w:val="center"/>
          </w:tcPr>
          <w:p w14:paraId="360EB4DD">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c>
          <w:tcPr>
            <w:tcW w:w="1069" w:type="dxa"/>
            <w:noWrap w:val="0"/>
            <w:vAlign w:val="center"/>
          </w:tcPr>
          <w:p w14:paraId="321E6CE4">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土方</w:t>
            </w:r>
          </w:p>
        </w:tc>
        <w:tc>
          <w:tcPr>
            <w:tcW w:w="1069" w:type="dxa"/>
            <w:noWrap w:val="0"/>
            <w:vAlign w:val="center"/>
          </w:tcPr>
          <w:p w14:paraId="41BE01D9">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石方</w:t>
            </w:r>
          </w:p>
        </w:tc>
        <w:tc>
          <w:tcPr>
            <w:tcW w:w="1070" w:type="dxa"/>
            <w:noWrap w:val="0"/>
            <w:vAlign w:val="center"/>
          </w:tcPr>
          <w:p w14:paraId="2176AC6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建筑</w:t>
            </w:r>
          </w:p>
          <w:p w14:paraId="47E141E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垃圾</w:t>
            </w:r>
          </w:p>
          <w:p w14:paraId="2D463C0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p>
        </w:tc>
      </w:tr>
      <w:tr w14:paraId="61D8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5" w:type="dxa"/>
            <w:noWrap w:val="0"/>
            <w:vAlign w:val="center"/>
          </w:tcPr>
          <w:p w14:paraId="50C210E2">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道路工程区</w:t>
            </w:r>
          </w:p>
        </w:tc>
        <w:tc>
          <w:tcPr>
            <w:tcW w:w="813" w:type="dxa"/>
            <w:noWrap w:val="0"/>
            <w:vAlign w:val="center"/>
          </w:tcPr>
          <w:p w14:paraId="4C84414A">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69.71</w:t>
            </w:r>
          </w:p>
        </w:tc>
        <w:tc>
          <w:tcPr>
            <w:tcW w:w="813" w:type="dxa"/>
            <w:noWrap w:val="0"/>
            <w:vAlign w:val="center"/>
          </w:tcPr>
          <w:p w14:paraId="53E3746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813" w:type="dxa"/>
            <w:noWrap w:val="0"/>
            <w:vAlign w:val="center"/>
          </w:tcPr>
          <w:p w14:paraId="61192FD4">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813" w:type="dxa"/>
            <w:noWrap w:val="0"/>
            <w:vAlign w:val="center"/>
          </w:tcPr>
          <w:p w14:paraId="1A58C6F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42.5</w:t>
            </w:r>
          </w:p>
        </w:tc>
        <w:tc>
          <w:tcPr>
            <w:tcW w:w="813" w:type="dxa"/>
            <w:noWrap w:val="0"/>
            <w:vAlign w:val="center"/>
          </w:tcPr>
          <w:p w14:paraId="731452CC">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25.83</w:t>
            </w:r>
          </w:p>
        </w:tc>
        <w:tc>
          <w:tcPr>
            <w:tcW w:w="813" w:type="dxa"/>
            <w:noWrap w:val="0"/>
            <w:vAlign w:val="center"/>
          </w:tcPr>
          <w:p w14:paraId="0C44DF51">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7.76</w:t>
            </w:r>
          </w:p>
        </w:tc>
        <w:tc>
          <w:tcPr>
            <w:tcW w:w="813" w:type="dxa"/>
            <w:noWrap w:val="0"/>
            <w:vAlign w:val="center"/>
          </w:tcPr>
          <w:p w14:paraId="0B49A28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813" w:type="dxa"/>
            <w:noWrap w:val="0"/>
            <w:vAlign w:val="center"/>
          </w:tcPr>
          <w:p w14:paraId="259B39E8">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3.07</w:t>
            </w:r>
          </w:p>
        </w:tc>
        <w:tc>
          <w:tcPr>
            <w:tcW w:w="818" w:type="dxa"/>
            <w:noWrap w:val="0"/>
            <w:vAlign w:val="center"/>
          </w:tcPr>
          <w:p w14:paraId="7028FDE6">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3.35</w:t>
            </w:r>
          </w:p>
        </w:tc>
        <w:tc>
          <w:tcPr>
            <w:tcW w:w="867" w:type="dxa"/>
            <w:noWrap w:val="0"/>
            <w:vAlign w:val="center"/>
          </w:tcPr>
          <w:p w14:paraId="187A93BF">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68C2E6B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7DFAC6E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69" w:type="dxa"/>
            <w:noWrap w:val="0"/>
            <w:vAlign w:val="center"/>
          </w:tcPr>
          <w:p w14:paraId="101D7C2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39.47</w:t>
            </w:r>
          </w:p>
        </w:tc>
        <w:tc>
          <w:tcPr>
            <w:tcW w:w="1069" w:type="dxa"/>
            <w:noWrap w:val="0"/>
            <w:vAlign w:val="center"/>
          </w:tcPr>
          <w:p w14:paraId="1B9DF92A">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22.44</w:t>
            </w:r>
          </w:p>
        </w:tc>
        <w:tc>
          <w:tcPr>
            <w:tcW w:w="1070" w:type="dxa"/>
            <w:noWrap w:val="0"/>
            <w:vAlign w:val="center"/>
          </w:tcPr>
          <w:p w14:paraId="430AE839">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r>
      <w:tr w14:paraId="4B5D0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5" w:type="dxa"/>
            <w:noWrap w:val="0"/>
            <w:vAlign w:val="center"/>
          </w:tcPr>
          <w:p w14:paraId="2FE2A4A4">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弃渣场区</w:t>
            </w:r>
          </w:p>
        </w:tc>
        <w:tc>
          <w:tcPr>
            <w:tcW w:w="813" w:type="dxa"/>
            <w:noWrap w:val="0"/>
            <w:vAlign w:val="center"/>
          </w:tcPr>
          <w:p w14:paraId="46A6179F">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813" w:type="dxa"/>
            <w:noWrap w:val="0"/>
            <w:vAlign w:val="center"/>
          </w:tcPr>
          <w:p w14:paraId="75E8D176">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813" w:type="dxa"/>
            <w:noWrap w:val="0"/>
            <w:vAlign w:val="center"/>
          </w:tcPr>
          <w:p w14:paraId="7E7918CC">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13" w:type="dxa"/>
            <w:noWrap w:val="0"/>
            <w:vAlign w:val="center"/>
          </w:tcPr>
          <w:p w14:paraId="150E652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13" w:type="dxa"/>
            <w:noWrap w:val="0"/>
            <w:vAlign w:val="center"/>
          </w:tcPr>
          <w:p w14:paraId="13EAB782">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13" w:type="dxa"/>
            <w:noWrap w:val="0"/>
            <w:vAlign w:val="center"/>
          </w:tcPr>
          <w:p w14:paraId="53A430F1">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813" w:type="dxa"/>
            <w:noWrap w:val="0"/>
            <w:vAlign w:val="center"/>
          </w:tcPr>
          <w:p w14:paraId="5A2B065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813" w:type="dxa"/>
            <w:noWrap w:val="0"/>
            <w:vAlign w:val="center"/>
          </w:tcPr>
          <w:p w14:paraId="7BB7469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18" w:type="dxa"/>
            <w:noWrap w:val="0"/>
            <w:vAlign w:val="center"/>
          </w:tcPr>
          <w:p w14:paraId="4262B654">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35CC7EC8">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5E6B338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6FDB2CF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69" w:type="dxa"/>
            <w:noWrap w:val="0"/>
            <w:vAlign w:val="center"/>
          </w:tcPr>
          <w:p w14:paraId="59DAD78E">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69" w:type="dxa"/>
            <w:noWrap w:val="0"/>
            <w:vAlign w:val="center"/>
          </w:tcPr>
          <w:p w14:paraId="62B70D3C">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70" w:type="dxa"/>
            <w:noWrap w:val="0"/>
            <w:vAlign w:val="center"/>
          </w:tcPr>
          <w:p w14:paraId="4DCF01E1">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2D97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5" w:type="dxa"/>
            <w:noWrap w:val="0"/>
            <w:vAlign w:val="center"/>
          </w:tcPr>
          <w:p w14:paraId="3CA4F523">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合计</w:t>
            </w:r>
          </w:p>
        </w:tc>
        <w:tc>
          <w:tcPr>
            <w:tcW w:w="813" w:type="dxa"/>
            <w:noWrap w:val="0"/>
            <w:vAlign w:val="center"/>
          </w:tcPr>
          <w:p w14:paraId="3C4E2908">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71.76</w:t>
            </w:r>
          </w:p>
        </w:tc>
        <w:tc>
          <w:tcPr>
            <w:tcW w:w="813" w:type="dxa"/>
            <w:noWrap w:val="0"/>
            <w:vAlign w:val="center"/>
          </w:tcPr>
          <w:p w14:paraId="062C483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3.39</w:t>
            </w:r>
          </w:p>
        </w:tc>
        <w:tc>
          <w:tcPr>
            <w:tcW w:w="813" w:type="dxa"/>
            <w:noWrap w:val="0"/>
            <w:vAlign w:val="center"/>
          </w:tcPr>
          <w:p w14:paraId="1919296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813" w:type="dxa"/>
            <w:noWrap w:val="0"/>
            <w:vAlign w:val="center"/>
          </w:tcPr>
          <w:p w14:paraId="4DE6A70A">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42.5</w:t>
            </w:r>
          </w:p>
        </w:tc>
        <w:tc>
          <w:tcPr>
            <w:tcW w:w="813" w:type="dxa"/>
            <w:noWrap w:val="0"/>
            <w:vAlign w:val="center"/>
          </w:tcPr>
          <w:p w14:paraId="661EA92B">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25.83</w:t>
            </w:r>
          </w:p>
        </w:tc>
        <w:tc>
          <w:tcPr>
            <w:tcW w:w="813" w:type="dxa"/>
            <w:noWrap w:val="0"/>
            <w:vAlign w:val="center"/>
          </w:tcPr>
          <w:p w14:paraId="759AE8FC">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9.81</w:t>
            </w:r>
          </w:p>
        </w:tc>
        <w:tc>
          <w:tcPr>
            <w:tcW w:w="813" w:type="dxa"/>
            <w:noWrap w:val="0"/>
            <w:vAlign w:val="center"/>
          </w:tcPr>
          <w:p w14:paraId="39D8A08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3.39</w:t>
            </w:r>
          </w:p>
        </w:tc>
        <w:tc>
          <w:tcPr>
            <w:tcW w:w="813" w:type="dxa"/>
            <w:noWrap w:val="0"/>
            <w:vAlign w:val="center"/>
          </w:tcPr>
          <w:p w14:paraId="4C9CC780">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3.07</w:t>
            </w:r>
          </w:p>
        </w:tc>
        <w:tc>
          <w:tcPr>
            <w:tcW w:w="818" w:type="dxa"/>
            <w:noWrap w:val="0"/>
            <w:vAlign w:val="center"/>
          </w:tcPr>
          <w:p w14:paraId="3EEBBA6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3.35</w:t>
            </w:r>
          </w:p>
        </w:tc>
        <w:tc>
          <w:tcPr>
            <w:tcW w:w="867" w:type="dxa"/>
            <w:noWrap w:val="0"/>
            <w:vAlign w:val="center"/>
          </w:tcPr>
          <w:p w14:paraId="50B6609A">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7B43B785">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867" w:type="dxa"/>
            <w:noWrap w:val="0"/>
            <w:vAlign w:val="center"/>
          </w:tcPr>
          <w:p w14:paraId="7971055B">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1069" w:type="dxa"/>
            <w:noWrap w:val="0"/>
            <w:vAlign w:val="center"/>
          </w:tcPr>
          <w:p w14:paraId="2147B3E2">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39.47</w:t>
            </w:r>
          </w:p>
        </w:tc>
        <w:tc>
          <w:tcPr>
            <w:tcW w:w="1069" w:type="dxa"/>
            <w:noWrap w:val="0"/>
            <w:vAlign w:val="center"/>
          </w:tcPr>
          <w:p w14:paraId="5D21527A">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22.44</w:t>
            </w:r>
          </w:p>
        </w:tc>
        <w:tc>
          <w:tcPr>
            <w:tcW w:w="1070" w:type="dxa"/>
            <w:noWrap w:val="0"/>
            <w:vAlign w:val="center"/>
          </w:tcPr>
          <w:p w14:paraId="0196E7E7">
            <w:pPr>
              <w:pStyle w:val="24"/>
              <w:adjustRightInd w:val="0"/>
              <w:snapToGrid w:val="0"/>
              <w:spacing w:after="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r>
    </w:tbl>
    <w:p w14:paraId="7F754C43">
      <w:pPr>
        <w:pStyle w:val="24"/>
        <w:ind w:firstLine="0" w:firstLineChars="0"/>
        <w:rPr>
          <w:rFonts w:hint="default" w:ascii="Times New Roman" w:hAnsi="Times New Roman" w:eastAsia="宋体" w:cs="Times New Roman"/>
          <w:color w:val="auto"/>
        </w:rPr>
      </w:pPr>
    </w:p>
    <w:p w14:paraId="28EFE374">
      <w:pPr>
        <w:ind w:firstLine="480"/>
        <w:rPr>
          <w:rFonts w:hint="default" w:ascii="Times New Roman" w:hAnsi="Times New Roman" w:eastAsia="宋体" w:cs="Times New Roman"/>
          <w:color w:val="auto"/>
          <w:kern w:val="24"/>
        </w:rPr>
      </w:pPr>
    </w:p>
    <w:p w14:paraId="62F06182">
      <w:pPr>
        <w:ind w:firstLine="0" w:firstLineChars="0"/>
        <w:rPr>
          <w:rFonts w:hint="default" w:ascii="Times New Roman" w:hAnsi="Times New Roman" w:eastAsia="宋体" w:cs="Times New Roman"/>
          <w:color w:val="auto"/>
          <w:kern w:val="24"/>
        </w:rPr>
      </w:pPr>
      <w:r>
        <w:rPr>
          <w:rFonts w:hint="default" w:ascii="Times New Roman" w:hAnsi="Times New Roman" w:eastAsia="宋体" w:cs="Times New Roman"/>
          <w:color w:val="auto"/>
          <w:kern w:val="24"/>
        </w:rPr>
        <w:object>
          <v:shape id="_x0000_i1026" o:spt="75" type="#_x0000_t75" style="height:306.15pt;width:713.55pt;" o:ole="t" filled="f" o:preferrelative="t" stroked="t" coordsize="21600,21600">
            <v:path/>
            <v:fill on="f" focussize="0,0"/>
            <v:stroke joinstyle="miter"/>
            <v:imagedata r:id="rId42" o:title=""/>
            <o:lock v:ext="edit" aspectratio="f"/>
            <w10:wrap type="none"/>
            <w10:anchorlock/>
          </v:shape>
          <o:OLEObject Type="Embed" ProgID="Visio.Drawing.15" ShapeID="_x0000_i1026" DrawAspect="Content" ObjectID="_1468075726" r:id="rId41">
            <o:LockedField>false</o:LockedField>
          </o:OLEObject>
        </w:object>
      </w:r>
    </w:p>
    <w:p w14:paraId="53DD7F18">
      <w:pPr>
        <w:pStyle w:val="500"/>
        <w:ind w:firstLine="482"/>
        <w:jc w:val="center"/>
        <w:rPr>
          <w:rFonts w:hint="default" w:ascii="Times New Roman" w:hAnsi="Times New Roman" w:eastAsia="宋体" w:cs="Times New Roman"/>
          <w:b/>
          <w:bCs/>
          <w:color w:val="auto"/>
        </w:rPr>
        <w:sectPr>
          <w:pgSz w:w="16840" w:h="11910" w:orient="landscape"/>
          <w:pgMar w:top="1680" w:right="1480" w:bottom="1560" w:left="1580" w:header="992" w:footer="992" w:gutter="0"/>
          <w:lnNumType w:countBy="0" w:distance="360"/>
          <w:pgNumType w:fmt="decimal"/>
          <w:cols w:space="720" w:num="1"/>
        </w:sectPr>
      </w:pPr>
      <w:r>
        <w:rPr>
          <w:rFonts w:hint="default" w:ascii="Times New Roman" w:hAnsi="Times New Roman" w:eastAsia="宋体" w:cs="Times New Roman"/>
          <w:b/>
          <w:bCs/>
          <w:color w:val="auto"/>
        </w:rPr>
        <w:t>图2.6-1   土石方总量平衡框图  单位：万m</w:t>
      </w:r>
      <w:r>
        <w:rPr>
          <w:rFonts w:hint="default" w:ascii="Times New Roman" w:hAnsi="Times New Roman" w:eastAsia="宋体" w:cs="Times New Roman"/>
          <w:b/>
          <w:bCs/>
          <w:color w:val="auto"/>
          <w:vertAlign w:val="superscript"/>
        </w:rPr>
        <w:t>3</w:t>
      </w:r>
    </w:p>
    <w:p w14:paraId="4628DF0C">
      <w:pPr>
        <w:pStyle w:val="3"/>
        <w:numPr>
          <w:ilvl w:val="0"/>
          <w:numId w:val="0"/>
        </w:numPr>
        <w:rPr>
          <w:rFonts w:hint="default" w:ascii="Times New Roman" w:hAnsi="Times New Roman" w:eastAsia="宋体" w:cs="Times New Roman"/>
          <w:color w:val="auto"/>
        </w:rPr>
      </w:pPr>
      <w:bookmarkStart w:id="50" w:name="_Toc13770"/>
      <w:bookmarkStart w:id="51" w:name="_Toc111823548"/>
      <w:bookmarkStart w:id="52" w:name="_Toc139797784"/>
      <w:bookmarkStart w:id="53" w:name="_Toc148373506"/>
      <w:bookmarkStart w:id="54" w:name="_Toc96916922"/>
      <w:bookmarkStart w:id="55" w:name="_Toc101004930"/>
      <w:r>
        <w:rPr>
          <w:rFonts w:hint="default" w:ascii="Times New Roman" w:hAnsi="Times New Roman" w:eastAsia="宋体" w:cs="Times New Roman"/>
          <w:color w:val="auto"/>
        </w:rPr>
        <w:t>2.7施工工艺及施工组织</w:t>
      </w:r>
      <w:bookmarkEnd w:id="50"/>
    </w:p>
    <w:p w14:paraId="0CF5E74A">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2.7.1施工工艺</w:t>
      </w:r>
    </w:p>
    <w:p w14:paraId="0774FD80">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本项目工程内容主要包括路基工程、路面工程、涵洞工程、交叉工程、改移工程、绿化工程等主体工程，交通标志、安全防护设施等附属工程以及临时工程。公路施工中路基工程、路面工程等施工以机械化施工为主；边坡防护工程以人工施工为主；公路绿化美化工程施工为机械与人工施工相结合。具体施工工艺如下：</w:t>
      </w:r>
    </w:p>
    <w:p w14:paraId="3AD9FC7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路基施工的施工工序为：挖除树根、排除地表水→清除表层淤泥、杂草→平地机、推土机整平→截、排水沟放样→开挖截、排水沟→压路机压实→路基填筑、开挖→路基防护。</w:t>
      </w:r>
    </w:p>
    <w:p w14:paraId="6948CF1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eastAsia="zh-CN" w:bidi="ar"/>
        </w:rPr>
        <w:t>1.</w:t>
      </w:r>
      <w:r>
        <w:rPr>
          <w:rFonts w:hint="default" w:ascii="Times New Roman" w:hAnsi="Times New Roman" w:eastAsia="宋体" w:cs="Times New Roman"/>
          <w:color w:val="auto"/>
          <w:kern w:val="0"/>
          <w:lang w:bidi="ar"/>
        </w:rPr>
        <w:t>清表</w:t>
      </w:r>
    </w:p>
    <w:p w14:paraId="21B1385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路基在挖方前需清除原地面腐殖层，集中堆放，并采取临时挡护，作为路基</w:t>
      </w:r>
    </w:p>
    <w:p w14:paraId="13E1D12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防护覆土源，路基施工清理表土，随剥随覆，工程设表土堆存场，表土堆存期间</w:t>
      </w:r>
    </w:p>
    <w:p w14:paraId="795F9F2A">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应做好覆盖及挡护措施，工程结束后作为植被恢复的覆土源。在主体工程动工前，</w:t>
      </w:r>
    </w:p>
    <w:p w14:paraId="78D5818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将项目区的表土剥离后进行集中堆放并采取临时防护措施进行防护。表土保存过</w:t>
      </w:r>
    </w:p>
    <w:p w14:paraId="77D7E2D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程中应设有临时防护措施（临时覆盖、临时挡护、临时排水等），如保存期较长，</w:t>
      </w:r>
    </w:p>
    <w:p w14:paraId="31506536">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超过1个生长季，可撒播草籽临时绿化，草种应该选择有培肥地力的（豆科）牧</w:t>
      </w:r>
    </w:p>
    <w:p w14:paraId="7C99315A">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草；如堆放在渣场，一般应集中堆放在渣场上游或者两侧地势平缓处，避开低洼</w:t>
      </w:r>
    </w:p>
    <w:p w14:paraId="4FCCECC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及水流汇集处。</w:t>
      </w:r>
    </w:p>
    <w:p w14:paraId="7DC797B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eastAsia="zh-CN" w:bidi="ar"/>
        </w:rPr>
        <w:t>2.</w:t>
      </w:r>
      <w:r>
        <w:rPr>
          <w:rFonts w:hint="default" w:ascii="Times New Roman" w:hAnsi="Times New Roman" w:eastAsia="宋体" w:cs="Times New Roman"/>
          <w:color w:val="auto"/>
          <w:kern w:val="0"/>
          <w:lang w:bidi="ar"/>
        </w:rPr>
        <w:t>路基施工</w:t>
      </w:r>
    </w:p>
    <w:p w14:paraId="0AE2F92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1）填方路基施工</w:t>
      </w:r>
    </w:p>
    <w:p w14:paraId="48EDD94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填方路基采用逐层填筑，分层压实的方法施工。 施工工序为：挖除树根、排除地表水→清除表层淤泥、杂草→平地机、推土机整平→修筑挡墙→压路机压实→路基填筑。填筑土时适当加大宽度和高度，分层填土、压实，多余部分利用平地机或其他方法铲除修整。填方边坡地段，严格控制填土速度，当沉降量中心处大于3cm，路基边缘处大于1.5cm时，放缓填土速度或停止施工，等稳定后再施工。填筑路堤采用水平分层填筑法，原地形不平应由低处分层填起，分层碾压厚度不大于30cm，在挖填接触处设纵向土质台阶，并铺设土工隔栅。路基填料除选用透水性材料外，其强度应符合要求。在填方作业段交接处，不在同一时间填筑，则先填地段应按1</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1的边坡分台填筑，如同时填筑则应分层交叠衔接，长度不小于2m。填筑过程中每层完成以路基中心为界形成4%横坡以便排水。</w:t>
      </w:r>
    </w:p>
    <w:p w14:paraId="36B9D38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挡土墙施工：基础开挖前，应开挖临时排水设施，分段交错开挖，砌筑挡墙</w:t>
      </w:r>
    </w:p>
    <w:p w14:paraId="7352C5A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前应检测地基承载力是否满足设计要求，当基底地基承载力满足设计要求时，进</w:t>
      </w:r>
    </w:p>
    <w:p w14:paraId="28F476C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行路段挡墙的施工，避免路基填筑过程中造成土石方滑落。路堤填筑前，对基底</w:t>
      </w:r>
    </w:p>
    <w:p w14:paraId="706A452F">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表层碾压密实，在一般土质地段，基底的压实度（重型）不小于90％；在稻田、湖塘等地段，采取排水</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清除淤泥、</w:t>
      </w:r>
      <w:r>
        <w:rPr>
          <w:rFonts w:hint="default" w:ascii="Times New Roman" w:hAnsi="Times New Roman" w:eastAsia="宋体" w:cs="Times New Roman"/>
          <w:color w:val="auto"/>
          <w:kern w:val="0"/>
          <w:lang w:eastAsia="zh-CN" w:bidi="ar"/>
        </w:rPr>
        <w:t>腐殖土</w:t>
      </w:r>
      <w:r>
        <w:rPr>
          <w:rFonts w:hint="default" w:ascii="Times New Roman" w:hAnsi="Times New Roman" w:eastAsia="宋体" w:cs="Times New Roman"/>
          <w:color w:val="auto"/>
          <w:kern w:val="0"/>
          <w:lang w:bidi="ar"/>
        </w:rPr>
        <w:t>及耕植土，清除厚度通过调查资料确定。经过水塘或水库地段时，路堤高于设计水位0.5米以下范围内采用不易风化的片块石填筑，按填石路基标准压实。过湿地段，应视具体情况采取换填或其他有效措施处理。</w:t>
      </w:r>
    </w:p>
    <w:p w14:paraId="50B23477">
      <w:pPr>
        <w:widowControl/>
        <w:numPr>
          <w:ilvl w:val="0"/>
          <w:numId w:val="0"/>
        </w:numPr>
        <w:ind w:firstLine="480" w:firstLineChars="2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lang w:bidi="ar"/>
        </w:rPr>
        <w:t>挖方路基施工</w:t>
      </w:r>
    </w:p>
    <w:p w14:paraId="0632E9BD">
      <w:pPr>
        <w:widowControl/>
        <w:numPr>
          <w:ilvl w:val="0"/>
          <w:numId w:val="0"/>
        </w:numPr>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施工程序为：清表土→截、排水沟放样→开挖截、排水沟→边坡开挖→路基</w:t>
      </w:r>
    </w:p>
    <w:p w14:paraId="2F7DB62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防护。挖方路基施工，除需要考虑当地的地形条件、采用的机具等因素外，还需</w:t>
      </w:r>
    </w:p>
    <w:p w14:paraId="781876C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考虑土层分布及利用。在开挖前，做好现场伐树除根等清理工作和排水工作。路</w:t>
      </w:r>
    </w:p>
    <w:p w14:paraId="029480A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基开挖前对沿线土质进行检测试验。适用于种植草皮和其他用途的表土储存于指</w:t>
      </w:r>
    </w:p>
    <w:p w14:paraId="541CA052">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定地点；对于挖出的适用材料用于路基填筑，对不适用的材料</w:t>
      </w:r>
      <w:r>
        <w:rPr>
          <w:rFonts w:hint="default" w:ascii="Times New Roman" w:hAnsi="Times New Roman" w:eastAsia="宋体" w:cs="Times New Roman"/>
          <w:color w:val="auto"/>
          <w:kern w:val="0"/>
          <w:lang w:eastAsia="zh-CN" w:bidi="ar"/>
        </w:rPr>
        <w:t>做</w:t>
      </w:r>
      <w:r>
        <w:rPr>
          <w:rFonts w:hint="default" w:ascii="Times New Roman" w:hAnsi="Times New Roman" w:eastAsia="宋体" w:cs="Times New Roman"/>
          <w:color w:val="auto"/>
          <w:kern w:val="0"/>
          <w:lang w:bidi="ar"/>
        </w:rPr>
        <w:t>废弃处理。</w:t>
      </w:r>
    </w:p>
    <w:p w14:paraId="1A81DE7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开挖前要做好截水沟，并根据土质情况做好防渗工作。在施工期间修建与永</w:t>
      </w:r>
    </w:p>
    <w:p w14:paraId="1F6344FA">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久性排水设施相结合的临时排水设施，水流不得引起淤积或冲刷。为确保边坡的</w:t>
      </w:r>
    </w:p>
    <w:p w14:paraId="20955C66">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稳定和防护达到预期效果，挖方边坡地段开挖方式由上而下进行，以便开挖边坡</w:t>
      </w:r>
    </w:p>
    <w:p w14:paraId="5ADD53E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防护。设置上挡墙地段需间隔开挖、间隔施工，以免边坡失稳，造成山体坍塌。</w:t>
      </w:r>
    </w:p>
    <w:p w14:paraId="3CA3F3B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3）路堑开挖</w:t>
      </w:r>
    </w:p>
    <w:p w14:paraId="6A4761E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路堑开挖施工除需考虑当地的地形条件、采用的机具等因素外，还需考虑土</w:t>
      </w:r>
    </w:p>
    <w:p w14:paraId="0CCA480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层分布及利用。在路堑开挖前，做好现场伐树除根等清理工作和排水工作。如果</w:t>
      </w:r>
    </w:p>
    <w:p w14:paraId="6D2A7C6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移挖作填时，将表层土单独掘弃，或按不同的土层分层挖掘，以满足路堤填筑的</w:t>
      </w:r>
    </w:p>
    <w:p w14:paraId="25484DC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要求。施工程序为清表→截、排水沟放样→开挖截、排水沟→路基边坡开挖→路</w:t>
      </w:r>
    </w:p>
    <w:p w14:paraId="728F1FC2">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基防护。</w:t>
      </w:r>
    </w:p>
    <w:p w14:paraId="3D3CEBC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路基开挖前对沿线土质进行检测实验。适用于种植草皮和其他用途的表土应</w:t>
      </w:r>
    </w:p>
    <w:p w14:paraId="009953FA">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储存于指定地点；开挖出的适用材料，用于路基填筑。</w:t>
      </w:r>
    </w:p>
    <w:p w14:paraId="1729D70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开挖前要做好截水沟，并根据土质情况做好防渗工作。在施工期间修建与永</w:t>
      </w:r>
    </w:p>
    <w:p w14:paraId="3C533E05">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久性排水设施相结合的临时排水设施，水流不得引起淤积或冲刷。</w:t>
      </w:r>
    </w:p>
    <w:p w14:paraId="77F7AC8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土质路堑地段的边坡稳定极为重要。开挖时，不论开挖工程量和开挖深度多</w:t>
      </w:r>
    </w:p>
    <w:p w14:paraId="32BF364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少，均按原有自然坡面自上而下挖至坡脚，严禁掏洞取土。设有上挡墙路段进行</w:t>
      </w:r>
    </w:p>
    <w:p w14:paraId="78804411">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间隔开挖，间隔施工，以免造成山体坍塌。</w:t>
      </w:r>
    </w:p>
    <w:p w14:paraId="6A43FF9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为确保边坡的稳定和防护达到预期效果，挖方边坡地段开挖方式由上而下进</w:t>
      </w:r>
    </w:p>
    <w:p w14:paraId="45B433A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行，边开挖边防护。</w:t>
      </w:r>
    </w:p>
    <w:p w14:paraId="347838A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设有挡墙的挖方边坡应进行跳槽施工，即采用间隔开挖，间隔施工挡墙，以</w:t>
      </w:r>
    </w:p>
    <w:p w14:paraId="416FF6E6">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免造成滑坡或坍塌。</w:t>
      </w:r>
    </w:p>
    <w:p w14:paraId="74D271F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4）不良地质路段施工</w:t>
      </w:r>
    </w:p>
    <w:p w14:paraId="6DE755E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本项目沿线的不良地质主要为因堆积物成分</w:t>
      </w:r>
      <w:r>
        <w:rPr>
          <w:rFonts w:hint="eastAsia" w:cs="Times New Roman"/>
          <w:color w:val="auto"/>
          <w:kern w:val="0"/>
          <w:lang w:val="en-US" w:eastAsia="zh-CN" w:bidi="ar"/>
        </w:rPr>
        <w:t>复杂</w:t>
      </w:r>
      <w:r>
        <w:rPr>
          <w:rFonts w:hint="default" w:ascii="Times New Roman" w:hAnsi="Times New Roman" w:eastAsia="宋体" w:cs="Times New Roman"/>
          <w:color w:val="auto"/>
          <w:kern w:val="0"/>
          <w:lang w:bidi="ar"/>
        </w:rPr>
        <w:t>，结构松散，渗水性强，遇</w:t>
      </w:r>
    </w:p>
    <w:p w14:paraId="23EB469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水易软化、崩解、有的形成软土、软弱土、滑坍多发地带。根据不良地质情况，工可推荐采用换填片碎石+土工格栅等方式处理本项目沿线的不良地质主要</w:t>
      </w:r>
      <w:r>
        <w:rPr>
          <w:rFonts w:hint="default" w:ascii="Times New Roman" w:hAnsi="Times New Roman" w:eastAsia="宋体" w:cs="Times New Roman"/>
          <w:color w:val="auto"/>
          <w:kern w:val="0"/>
          <w:lang w:eastAsia="zh-CN" w:bidi="ar"/>
        </w:rPr>
        <w:t>为</w:t>
      </w:r>
      <w:r>
        <w:rPr>
          <w:rFonts w:hint="default" w:ascii="Times New Roman" w:hAnsi="Times New Roman" w:eastAsia="宋体" w:cs="Times New Roman"/>
          <w:color w:val="auto"/>
          <w:kern w:val="0"/>
          <w:lang w:bidi="ar"/>
        </w:rPr>
        <w:t>堆积物成分变杂，结构松散，渗水性强，遇水易软化、崩解、有的形成软土、软弱土、滑坍多发地带。根据不良地质情况，工可推荐采用换填片碎石+土工格栅等方式处理。</w:t>
      </w:r>
    </w:p>
    <w:p w14:paraId="3E40640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①换土填石法就是采用人工或机械方法把基底下一定深度范围内的软弱土基</w:t>
      </w:r>
    </w:p>
    <w:p w14:paraId="573DB91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全部或部分挖除，采用浅层处治措施，用砂、碎石、粉质粘土等材料回填，一般</w:t>
      </w:r>
    </w:p>
    <w:p w14:paraId="65C70C8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砂石级配应为良好，不含植物残体、垃圾等杂质。当使用粉细砂时，应掺入30%</w:t>
      </w:r>
    </w:p>
    <w:p w14:paraId="2FEDC3A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的碎石或卵石，最大粒径不宜大于50mm；粉质粘土料中有机质含量不得超过5%，</w:t>
      </w:r>
    </w:p>
    <w:p w14:paraId="3E27CE8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不得含有冻土或膨胀土。</w:t>
      </w:r>
    </w:p>
    <w:p w14:paraId="6B33E9E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②土工格栅处理方法为：场地压实平整、呈水平状、清除尖刺突起物。在平</w:t>
      </w:r>
    </w:p>
    <w:p w14:paraId="2FAF28F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整压实的场地上，安装铺设的格栅其主要受力方向（纵向）应垂直于路堤轴线方</w:t>
      </w:r>
    </w:p>
    <w:p w14:paraId="0A21418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向，铺设要平整，无</w:t>
      </w:r>
      <w:r>
        <w:rPr>
          <w:rFonts w:hint="default" w:ascii="Times New Roman" w:hAnsi="Times New Roman" w:eastAsia="宋体" w:cs="Times New Roman"/>
          <w:color w:val="auto"/>
          <w:kern w:val="0"/>
          <w:lang w:eastAsia="zh-CN" w:bidi="ar"/>
        </w:rPr>
        <w:t>皱褶</w:t>
      </w:r>
      <w:r>
        <w:rPr>
          <w:rFonts w:hint="default" w:ascii="Times New Roman" w:hAnsi="Times New Roman" w:eastAsia="宋体" w:cs="Times New Roman"/>
          <w:color w:val="auto"/>
          <w:kern w:val="0"/>
          <w:lang w:bidi="ar"/>
        </w:rPr>
        <w:t>，尽量张紧。用插钉及土石压重固定，铺设的格栅主要</w:t>
      </w:r>
    </w:p>
    <w:p w14:paraId="7A44A7C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受力方向最好是通长无接头，幅与幅之间的连接可以人工绑扎搭接，搭接宽度不</w:t>
      </w:r>
    </w:p>
    <w:p w14:paraId="5BB3D2D5">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小于10cm。如设置的格栅在两层以上，层与层之间应错缝。填料按设计要求选取。</w:t>
      </w:r>
    </w:p>
    <w:p w14:paraId="39D67D5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填料粒径不得大于15cm，并注意控制填料级配，以保证压实重量。当格栅铺设定</w:t>
      </w:r>
    </w:p>
    <w:p w14:paraId="1D1BECD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位后，可采取边铺设边回填的流水作业法。先在两端摊铺填料，将格栅固定，再</w:t>
      </w:r>
    </w:p>
    <w:p w14:paraId="245AC80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向中部推进。碾压的顺序是先两侧后中间。碾压时压轮不能直接与筋材接触。分</w:t>
      </w:r>
    </w:p>
    <w:p w14:paraId="6B67ABA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层压实度为20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30cm。压实度必须达到设计要求。在加筋土工程中，一定要做好</w:t>
      </w:r>
    </w:p>
    <w:p w14:paraId="3C1A874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墙体内外的排水处理；要做好护脚，防冲刷；在土体内要设置滤、排水措施，必</w:t>
      </w:r>
    </w:p>
    <w:p w14:paraId="66FA3AFF">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要时，应设置土工布、玻璃纤维土工格栅是一种用于路面增强、老路补强，加固</w:t>
      </w:r>
    </w:p>
    <w:p w14:paraId="4B8E0E3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路基及软土基的优良土工合成材料。</w:t>
      </w:r>
    </w:p>
    <w:p w14:paraId="63156CB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挖除的软土运至规划的临近弃渣场堆存，换填土石取自本路段或相邻路段的</w:t>
      </w:r>
    </w:p>
    <w:p w14:paraId="1123C6A3">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路基，经过加工筛选后使用。换填施工期间应注意将排水接入路基边沟，经沉淀</w:t>
      </w:r>
    </w:p>
    <w:p w14:paraId="331A5C3D">
      <w:pPr>
        <w:widowControl/>
        <w:ind w:firstLine="0" w:firstLineChars="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后再排入地方原有水系，以避免施工期间对周围水体造成污染。</w:t>
      </w:r>
    </w:p>
    <w:p w14:paraId="5B75347A">
      <w:pPr>
        <w:pStyle w:val="32"/>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133975" cy="2257425"/>
            <wp:effectExtent l="0" t="0" r="9525" b="9525"/>
            <wp:docPr id="36"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60"/>
                    <pic:cNvPicPr>
                      <a:picLocks noChangeAspect="1"/>
                    </pic:cNvPicPr>
                  </pic:nvPicPr>
                  <pic:blipFill>
                    <a:blip r:embed="rId43"/>
                    <a:stretch>
                      <a:fillRect/>
                    </a:stretch>
                  </pic:blipFill>
                  <pic:spPr>
                    <a:xfrm>
                      <a:off x="0" y="0"/>
                      <a:ext cx="5133975" cy="2257425"/>
                    </a:xfrm>
                    <a:prstGeom prst="rect">
                      <a:avLst/>
                    </a:prstGeom>
                    <a:noFill/>
                    <a:ln>
                      <a:noFill/>
                    </a:ln>
                  </pic:spPr>
                </pic:pic>
              </a:graphicData>
            </a:graphic>
          </wp:inline>
        </w:drawing>
      </w:r>
    </w:p>
    <w:p w14:paraId="60A184F6">
      <w:pPr>
        <w:widowControl/>
        <w:ind w:firstLine="48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图2.5-1  路基工程施工工艺路线</w:t>
      </w:r>
    </w:p>
    <w:p w14:paraId="09609ED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2.7.2路面工程</w:t>
      </w:r>
    </w:p>
    <w:p w14:paraId="549530A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路面采用配套路面施工机械设备，专业化施工方案，配置少量的人工辅助</w:t>
      </w:r>
      <w:r>
        <w:rPr>
          <w:rFonts w:hint="default" w:ascii="Times New Roman" w:hAnsi="Times New Roman" w:eastAsia="宋体" w:cs="Times New Roman"/>
          <w:color w:val="auto"/>
          <w:kern w:val="0"/>
          <w:lang w:eastAsia="zh-CN" w:bidi="ar"/>
        </w:rPr>
        <w:t>施工</w:t>
      </w:r>
    </w:p>
    <w:p w14:paraId="6D7BD0B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工。从经济性、使用要求、受力状态，土基支撑条件和受自然因素影响程度的不</w:t>
      </w:r>
    </w:p>
    <w:p w14:paraId="6D931FF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同需要，一般均采用多层结构，针对路面结构的不同层次，在强度、稳定性和耐</w:t>
      </w:r>
    </w:p>
    <w:p w14:paraId="0155FB61">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久性方面保证其质量。</w:t>
      </w:r>
    </w:p>
    <w:p w14:paraId="2B68715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路面工程路面材料全部采用外购成品、机械化施工方案，为保证路面各结构</w:t>
      </w:r>
    </w:p>
    <w:p w14:paraId="6220B89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层具有足够的强度和稳定性，水泥稳定碎石基层采用专用拌和设备运输、摊铺机</w:t>
      </w:r>
    </w:p>
    <w:p w14:paraId="081FA61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摊铺。沥青混合料采用外购成品，沥青混合料摊铺机摊铺，依据路面范围半幅全</w:t>
      </w:r>
    </w:p>
    <w:p w14:paraId="71901391">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宽一次摊铺完成。路面施工工期应避免雨季及低温气候的不利影响。</w:t>
      </w:r>
    </w:p>
    <w:p w14:paraId="5EE12CB6">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2.7.3涵洞工程</w:t>
      </w:r>
    </w:p>
    <w:p w14:paraId="417BFD8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（1）基础施工</w:t>
      </w:r>
    </w:p>
    <w:p w14:paraId="04ED5E0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明挖基础基坑采用挖掘机配合人工开挖，开挖至接近基底标高时，预留20cm</w:t>
      </w:r>
      <w:r>
        <w:rPr>
          <w:rFonts w:hint="default" w:ascii="Times New Roman" w:hAnsi="Times New Roman" w:eastAsia="宋体" w:cs="Times New Roman"/>
          <w:color w:val="auto"/>
          <w:kern w:val="0"/>
          <w:sz w:val="8"/>
          <w:szCs w:val="8"/>
          <w:lang w:bidi="ar"/>
        </w:rPr>
        <w:t xml:space="preserve"> </w:t>
      </w:r>
    </w:p>
    <w:p w14:paraId="23394955">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一层，在基础施工前，人工突击挖除。开挖过程中应加强排水，防止泡水软化。</w:t>
      </w:r>
    </w:p>
    <w:p w14:paraId="7A19B67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基础开挖到位后，验槽。如各项指标符合设计要求，尽快浇筑基础混凝土，避免</w:t>
      </w:r>
    </w:p>
    <w:p w14:paraId="7611B52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基坑长期暴露。基础混凝土模板采用钢模，施工时按设计沉降缝位置设置沉降缝。</w:t>
      </w:r>
    </w:p>
    <w:p w14:paraId="158C410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（2）涵台施工</w:t>
      </w:r>
    </w:p>
    <w:p w14:paraId="34BE60B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涵台采用钢管支架配合大平面模板立模，模板用对拉螺杆和内木撑组成固定</w:t>
      </w:r>
    </w:p>
    <w:p w14:paraId="6E85DD9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体系。模板外侧采用斜撑和缆风校正固定。涵台按基础沉降缝位置设置沉降缝，预埋板的位置要准确，固定要牢固，确保沉降缝线条顺直。混凝土浇筑时，采用串筒配合人模，插入式振动器振捣密实，每层混凝土浇筑厚度为30cm，混凝土浇筑完成后进行养护。每次浇混凝土现场预留规定组数试件，与墙体同时条件养护。</w:t>
      </w:r>
    </w:p>
    <w:p w14:paraId="065811C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（3）钢筋混凝土盖板施工</w:t>
      </w:r>
    </w:p>
    <w:p w14:paraId="54C9F4F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钢筋混凝土盖板集中预制，盖板用平板车运到工点，用汽车吊安装就位，盖板和涵台背墙间的缝隙必须用小石子混凝土填塞密实。沉降缝内沥青麻絮施工完成后，应快速回填封闭，严禁雨水等浸泡，降低承载力。</w:t>
      </w:r>
    </w:p>
    <w:p w14:paraId="3D476054">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2.7.4筑路材料</w:t>
      </w:r>
    </w:p>
    <w:p w14:paraId="6A77A7A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（1）路堤填筑材料</w:t>
      </w:r>
    </w:p>
    <w:p w14:paraId="0CB9ACA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本项目全线填挖方交替频繁，路线平纵面设计力求全线及局部土石方平衡，减少弃方，路基原则上利用沿线开挖土石方进行填筑。</w:t>
      </w:r>
    </w:p>
    <w:p w14:paraId="19ED027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（2）砂石料</w:t>
      </w:r>
    </w:p>
    <w:p w14:paraId="0541FCF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本项目施工中所需的主要建筑材料（如砂石料、砖块、水泥等）均采用外购。 根据现场调查，项目区周边合法的沙、石料场部分已开采多年，目前均处于正常运行期，储量丰富，本工程建设过程中所需要的路基</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路面填筑料通过外购于这些石料场，来满足本次工程建设的需求。</w:t>
      </w:r>
    </w:p>
    <w:p w14:paraId="333BB10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（3）沥青、钢材、水泥、木材等材料</w:t>
      </w:r>
    </w:p>
    <w:p w14:paraId="35A5D6B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本项目建设所需建筑材料数量大，业主可根据市场情况，选择信誉好、质量可靠的生产厂家和厂商，采取订购的方式购买，亦可采用招标方式进行购买。</w:t>
      </w:r>
    </w:p>
    <w:p w14:paraId="16F621CC">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2.7.5施工条件</w:t>
      </w:r>
    </w:p>
    <w:p w14:paraId="12CF47C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（1）水、电</w:t>
      </w:r>
    </w:p>
    <w:p w14:paraId="7ECACFC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本项目沿线有村镇分布，可与当地协商，取得生活用水。</w:t>
      </w:r>
    </w:p>
    <w:p w14:paraId="63A1E6E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全线经过的甘庄集镇电网覆盖面广，供、输电网稠密，工程用电沿线均可协商接线供电。</w:t>
      </w:r>
    </w:p>
    <w:p w14:paraId="04757DE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（2）运输条件 </w:t>
      </w:r>
    </w:p>
    <w:p w14:paraId="41430EA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沿线交通便捷，分布有国道G213、乡道等，为施工队伍、施工机械的进场、转移和外购材料的运输提供了良好的运输条件。</w:t>
      </w:r>
    </w:p>
    <w:p w14:paraId="7B4A3DC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（3）通讯条件</w:t>
      </w:r>
    </w:p>
    <w:p w14:paraId="22FE7955">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项目区域移动通讯及电信业发达，完全可以通过现有的通讯条件来满足工程建设期间的联络和沟通。项目经理部和具备接引条件的施工队安装程控电话，现场调度指挥采用无线对讲机，各工程队队长和现场主要管理人员配备移动电话，以保证对内和对外联系畅通。</w:t>
      </w:r>
    </w:p>
    <w:p w14:paraId="5D2A6AC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2.7.6施工便道</w:t>
      </w:r>
    </w:p>
    <w:p w14:paraId="11B75B3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材料运输主要靠现有公路，周边道路较为便利，交通条件较好，由于项目线路较短且没有桥梁和隧道工程，路基建设可利用现有起止点通道，首尾掘进，且根据项目施工设计方案，本项目不修建施工便道，施工机具和材料的运输主要依托区域内现有道路。</w:t>
      </w:r>
    </w:p>
    <w:p w14:paraId="01767454">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2.7.7“三场”布置</w:t>
      </w:r>
    </w:p>
    <w:p w14:paraId="0C30821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（1）取土场</w:t>
      </w:r>
    </w:p>
    <w:p w14:paraId="01FF4826">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主体工程设计资料，本项目开挖量大于回填量，通过项目自身挖方的本桩利用和相邻标段的调运利用效率较高，挖方基本能满足各路段之间的填方需求，路基填料尽量集中采用，因此，主体设计在此阶段不再设置取土场。</w:t>
      </w:r>
    </w:p>
    <w:p w14:paraId="35F4BC4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（2）路基</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路面料场</w:t>
      </w:r>
    </w:p>
    <w:p w14:paraId="136A041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工程所需的砂、石料充分考虑后期垫层换填、软基处理等用料，尽可能利用工程开挖石料加工而成，不足部分全部采取外购于合法料场。沿线筑路材料堆放在施工场地。</w:t>
      </w:r>
    </w:p>
    <w:p w14:paraId="6E9FBFB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（3）施工（营）场地</w:t>
      </w:r>
    </w:p>
    <w:p w14:paraId="6A6EE6B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本项目位于元江县甘庄，靠近甘庄集镇，施工人员日常生活要求均可通过周边民房生活设施解决。故不设置施工营地。</w:t>
      </w:r>
    </w:p>
    <w:p w14:paraId="2CCC4E9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（4）弃渣场</w:t>
      </w:r>
    </w:p>
    <w:p w14:paraId="1C164B71">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主体工程设计，本工程弃渣场规划1处，位于元江火车站站前广场配套道路5号路建设项目起点以南沿G213老路向南约4.9km，堆渣场紧挨G213，位于老路下方一处沟道上，地理中心坐标为E101°58′39.77″、N23°39′47.31″。本项目开挖大于回填，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，无外借土石方。本工程产生的弃渣运至项目规划的弃渣场堆放。</w:t>
      </w:r>
    </w:p>
    <w:p w14:paraId="574FAD35">
      <w:pPr>
        <w:widowControl/>
        <w:numPr>
          <w:ilvl w:val="0"/>
          <w:numId w:val="0"/>
        </w:numPr>
        <w:ind w:left="0" w:leftChars="0" w:firstLine="480" w:firstLineChars="200"/>
        <w:jc w:val="left"/>
        <w:rPr>
          <w:rFonts w:hint="default" w:ascii="Times New Roman" w:hAnsi="Times New Roman" w:eastAsia="宋体" w:cs="Times New Roman"/>
          <w:color w:val="auto"/>
          <w:kern w:val="0"/>
          <w:lang w:val="en-US" w:eastAsia="zh-CN" w:bidi="ar"/>
        </w:rPr>
      </w:pPr>
      <w:r>
        <w:rPr>
          <w:rFonts w:hint="default" w:ascii="Times New Roman" w:hAnsi="Times New Roman" w:eastAsia="宋体" w:cs="Times New Roman"/>
          <w:color w:val="auto"/>
          <w:kern w:val="0"/>
          <w:sz w:val="24"/>
          <w:szCs w:val="24"/>
          <w:lang w:val="en-US" w:eastAsia="zh-CN" w:bidi="ar"/>
        </w:rPr>
        <w:t>（4）</w:t>
      </w:r>
      <w:r>
        <w:rPr>
          <w:rFonts w:hint="default" w:ascii="Times New Roman" w:hAnsi="Times New Roman" w:eastAsia="宋体" w:cs="Times New Roman"/>
          <w:color w:val="auto"/>
          <w:kern w:val="0"/>
          <w:lang w:val="en-US" w:eastAsia="zh-CN" w:bidi="ar"/>
        </w:rPr>
        <w:t>拆迁工程内容</w:t>
      </w:r>
    </w:p>
    <w:p w14:paraId="6F50E3F4">
      <w:pPr>
        <w:keepNext w:val="0"/>
        <w:keepLines w:val="0"/>
        <w:pageBreakBefore w:val="0"/>
        <w:widowControl/>
        <w:numPr>
          <w:ilvl w:val="0"/>
          <w:numId w:val="0"/>
        </w:numPr>
        <w:kinsoku/>
        <w:wordWrap/>
        <w:overflowPunct/>
        <w:topLinePunct w:val="0"/>
        <w:autoSpaceDE/>
        <w:autoSpaceDN/>
        <w:bidi w:val="0"/>
        <w:adjustRightInd w:val="0"/>
        <w:snapToGrid w:val="0"/>
        <w:ind w:leftChars="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bidi="ar"/>
        </w:rPr>
        <w:t>项目</w:t>
      </w:r>
      <w:r>
        <w:rPr>
          <w:rFonts w:hint="default" w:ascii="Times New Roman" w:hAnsi="Times New Roman" w:eastAsia="宋体" w:cs="Times New Roman"/>
          <w:color w:val="auto"/>
        </w:rPr>
        <w:t>拆迁建筑物共计</w:t>
      </w:r>
      <w:r>
        <w:rPr>
          <w:rFonts w:hint="eastAsia" w:cs="Times New Roman"/>
          <w:color w:val="auto"/>
          <w:lang w:val="en-US" w:eastAsia="zh-CN"/>
        </w:rPr>
        <w:t>774.75</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kern w:val="0"/>
          <w:sz w:val="24"/>
          <w:szCs w:val="24"/>
          <w:lang w:bidi="ar"/>
        </w:rPr>
        <w:t>，</w:t>
      </w:r>
      <w:r>
        <w:rPr>
          <w:rFonts w:hint="eastAsia" w:cs="Times New Roman"/>
          <w:color w:val="auto"/>
          <w:kern w:val="0"/>
          <w:sz w:val="24"/>
          <w:szCs w:val="24"/>
          <w:lang w:val="en-US" w:eastAsia="zh-CN" w:bidi="ar"/>
        </w:rPr>
        <w:t>其中房屋207.31</w:t>
      </w:r>
      <w:r>
        <w:rPr>
          <w:rFonts w:hint="default" w:ascii="Times New Roman" w:hAnsi="Times New Roman" w:eastAsia="宋体" w:cs="Times New Roman"/>
          <w:color w:val="auto"/>
        </w:rPr>
        <w:t>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kern w:val="0"/>
          <w:sz w:val="24"/>
          <w:szCs w:val="24"/>
          <w:lang w:bidi="ar"/>
        </w:rPr>
        <w:t>，围墙102.4m（砖墙），砼地板1465.04m</w:t>
      </w:r>
      <w:r>
        <w:rPr>
          <w:rFonts w:hint="default" w:ascii="Times New Roman" w:hAnsi="Times New Roman" w:eastAsia="宋体" w:cs="Times New Roman"/>
          <w:color w:val="auto"/>
          <w:kern w:val="0"/>
          <w:sz w:val="24"/>
          <w:szCs w:val="24"/>
          <w:vertAlign w:val="superscript"/>
          <w:lang w:bidi="ar"/>
        </w:rPr>
        <w:t>2</w:t>
      </w:r>
      <w:r>
        <w:rPr>
          <w:rFonts w:hint="default" w:ascii="Times New Roman" w:hAnsi="Times New Roman" w:eastAsia="宋体" w:cs="Times New Roman"/>
          <w:color w:val="auto"/>
          <w:kern w:val="0"/>
          <w:sz w:val="24"/>
          <w:szCs w:val="24"/>
          <w:lang w:bidi="ar"/>
        </w:rPr>
        <w:t>。项目共拆迁电信设施6根，电杆5根，电压线705m，电缆897m</w:t>
      </w:r>
      <w:r>
        <w:rPr>
          <w:rFonts w:hint="eastAsia" w:cs="Times New Roman"/>
          <w:color w:val="auto"/>
          <w:kern w:val="0"/>
          <w:sz w:val="24"/>
          <w:szCs w:val="24"/>
          <w:lang w:val="en-US" w:eastAsia="zh-CN" w:bidi="ar"/>
        </w:rPr>
        <w:t>等</w:t>
      </w:r>
      <w:r>
        <w:rPr>
          <w:rFonts w:hint="default" w:ascii="Times New Roman" w:hAnsi="Times New Roman" w:eastAsia="宋体" w:cs="Times New Roman"/>
          <w:color w:val="auto"/>
          <w:kern w:val="0"/>
          <w:sz w:val="24"/>
          <w:szCs w:val="24"/>
          <w:lang w:bidi="ar"/>
        </w:rPr>
        <w:t>。</w:t>
      </w:r>
    </w:p>
    <w:p w14:paraId="318CC0AA">
      <w:pPr>
        <w:bidi w:val="0"/>
        <w:rPr>
          <w:rFonts w:hint="default"/>
          <w:color w:val="auto"/>
          <w:lang w:val="en-US" w:eastAsia="zh-CN"/>
        </w:rPr>
      </w:pPr>
      <w:r>
        <w:rPr>
          <w:rFonts w:hint="eastAsia"/>
          <w:color w:val="auto"/>
          <w:lang w:val="en-US" w:eastAsia="zh-CN"/>
        </w:rPr>
        <w:t>（5）</w:t>
      </w:r>
      <w:r>
        <w:rPr>
          <w:rFonts w:hint="default"/>
          <w:color w:val="auto"/>
          <w:lang w:val="en-US" w:eastAsia="zh-CN"/>
        </w:rPr>
        <w:t>临时混凝土拌合站</w:t>
      </w:r>
    </w:p>
    <w:p w14:paraId="6BE63692">
      <w:pPr>
        <w:bidi w:val="0"/>
        <w:rPr>
          <w:rFonts w:hint="default"/>
          <w:color w:val="auto"/>
          <w:lang w:val="en-US" w:eastAsia="zh-CN"/>
        </w:rPr>
      </w:pPr>
      <w:r>
        <w:rPr>
          <w:rFonts w:hint="default"/>
          <w:color w:val="auto"/>
          <w:lang w:val="en-US" w:eastAsia="zh-CN"/>
        </w:rPr>
        <w:t>本项目设置1个临时混凝土拌合站，位于K1+400右侧，</w:t>
      </w:r>
      <w:r>
        <w:rPr>
          <w:rFonts w:hint="eastAsia"/>
          <w:color w:val="auto"/>
          <w:lang w:val="en-US" w:eastAsia="zh-CN"/>
        </w:rPr>
        <w:t>占地面积9000m</w:t>
      </w:r>
      <w:r>
        <w:rPr>
          <w:rFonts w:hint="eastAsia"/>
          <w:color w:val="auto"/>
          <w:vertAlign w:val="superscript"/>
          <w:lang w:val="en-US" w:eastAsia="zh-CN"/>
        </w:rPr>
        <w:t>2</w:t>
      </w:r>
      <w:r>
        <w:rPr>
          <w:rFonts w:hint="eastAsia"/>
          <w:color w:val="auto"/>
          <w:lang w:val="en-US" w:eastAsia="zh-CN"/>
        </w:rPr>
        <w:t>，生产规模为年产20万立方混凝土，原料堆放在封闭厂房内，搅拌主楼封闭，水泥等筒仓设置布袋除尘器，厂区内设置雾炮机进行洒水降尘。</w:t>
      </w:r>
      <w:r>
        <w:rPr>
          <w:rFonts w:hint="default"/>
          <w:color w:val="auto"/>
          <w:lang w:val="en-US" w:eastAsia="zh-CN"/>
        </w:rPr>
        <w:t>项目采用的混凝土</w:t>
      </w:r>
      <w:r>
        <w:rPr>
          <w:rFonts w:hint="eastAsia"/>
          <w:color w:val="auto"/>
          <w:lang w:val="en-US" w:eastAsia="zh-CN"/>
        </w:rPr>
        <w:t>均从临时搅拌站生产，</w:t>
      </w:r>
      <w:r>
        <w:rPr>
          <w:rFonts w:hint="default"/>
          <w:color w:val="auto"/>
          <w:lang w:val="en-US" w:eastAsia="zh-CN"/>
        </w:rPr>
        <w:t>水泥、沥青</w:t>
      </w:r>
      <w:r>
        <w:rPr>
          <w:rFonts w:hint="eastAsia"/>
          <w:color w:val="auto"/>
          <w:lang w:val="en-US" w:eastAsia="zh-CN"/>
        </w:rPr>
        <w:t>等</w:t>
      </w:r>
      <w:r>
        <w:rPr>
          <w:rFonts w:hint="default"/>
          <w:color w:val="auto"/>
          <w:lang w:val="en-US" w:eastAsia="zh-CN"/>
        </w:rPr>
        <w:t>为外购商品。</w:t>
      </w:r>
    </w:p>
    <w:p w14:paraId="7B0BB67E">
      <w:pPr>
        <w:pStyle w:val="3"/>
        <w:numPr>
          <w:ilvl w:val="0"/>
          <w:numId w:val="0"/>
        </w:numPr>
        <w:rPr>
          <w:rFonts w:hint="default" w:ascii="Times New Roman" w:hAnsi="Times New Roman" w:eastAsia="宋体" w:cs="Times New Roman"/>
          <w:color w:val="auto"/>
        </w:rPr>
      </w:pPr>
      <w:bookmarkStart w:id="56" w:name="_Toc15898"/>
      <w:r>
        <w:rPr>
          <w:rFonts w:hint="default" w:ascii="Times New Roman" w:hAnsi="Times New Roman" w:eastAsia="宋体" w:cs="Times New Roman"/>
          <w:color w:val="auto"/>
        </w:rPr>
        <w:t xml:space="preserve">2.8 </w:t>
      </w:r>
      <w:bookmarkEnd w:id="51"/>
      <w:bookmarkEnd w:id="52"/>
      <w:bookmarkEnd w:id="53"/>
      <w:bookmarkEnd w:id="54"/>
      <w:bookmarkEnd w:id="55"/>
      <w:r>
        <w:rPr>
          <w:rFonts w:hint="default" w:ascii="Times New Roman" w:hAnsi="Times New Roman" w:eastAsia="宋体" w:cs="Times New Roman"/>
          <w:color w:val="auto"/>
        </w:rPr>
        <w:t>主要临时占地区规划</w:t>
      </w:r>
      <w:bookmarkEnd w:id="56"/>
    </w:p>
    <w:p w14:paraId="29DB5093">
      <w:pPr>
        <w:pStyle w:val="53"/>
        <w:spacing w:before="0" w:beforeAutospacing="0" w:after="0" w:afterAutospacing="0" w:line="360" w:lineRule="auto"/>
        <w:ind w:left="0" w:leftChars="0" w:firstLine="0" w:firstLineChars="0"/>
        <w:rPr>
          <w:rFonts w:hint="default" w:ascii="Times New Roman" w:hAnsi="Times New Roman" w:eastAsia="宋体" w:cs="Times New Roman"/>
          <w:b/>
          <w:color w:val="auto"/>
        </w:rPr>
      </w:pPr>
      <w:r>
        <w:rPr>
          <w:rFonts w:hint="eastAsia" w:hAnsi="Times New Roman" w:cs="Times New Roman"/>
          <w:b/>
          <w:color w:val="auto"/>
          <w:lang w:val="en-US" w:eastAsia="zh-CN"/>
        </w:rPr>
        <w:t>2.8.1</w:t>
      </w:r>
      <w:r>
        <w:rPr>
          <w:rFonts w:hint="default" w:ascii="Times New Roman" w:hAnsi="Times New Roman" w:eastAsia="宋体" w:cs="Times New Roman"/>
          <w:b/>
          <w:color w:val="auto"/>
        </w:rPr>
        <w:t>弃渣场规划</w:t>
      </w:r>
    </w:p>
    <w:p w14:paraId="79706D0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元江火车站站前广场配套道路5号路建设项目可行性研究报告》，本工程弃渣场是建设单位会同设计单位云南天指道建设有限公司共同选择的弃渣堆放地点。本工程弃渣场规划1处，位于元江火车站站前广场配套道路5号路建设项目起点以南沿G213老路向南约4.9km，堆渣场紧挨G213，位于老路下方一处沟道上，地理中心坐标为E101°58′39.77″、N23°39′47.31″。工程布设的弃渣场，总占地面积为6.07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，渣场堆渣容量92万m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。弃渣场周围地质条件较好，未发现泥石流、崩塌、滑坡等不良地质现象，周边</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00m范围内无敏感保护目标。</w:t>
      </w:r>
    </w:p>
    <w:p w14:paraId="2AF8322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本道路建设里程较短，考虑到公路沿线的敏感性、下游存在居民点等因素，因此将弃渣场规划到工程以南的位置，工程弃渣调运距离较近，且保护了生态。因此，从弃渣的方便性和运距的合理性来说，沿线弃渣场选址也是合理的。</w:t>
      </w:r>
    </w:p>
    <w:p w14:paraId="239DAB7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该弃渣场已取得元江县自然资源局、玉溪市生态环境局元江分局、元江县林业和草原局、元江县水利局、元江县农业农村局、元江县甘庄街道办事处等单位联合签署的《</w:t>
      </w:r>
      <w:r>
        <w:rPr>
          <w:rFonts w:hint="default" w:ascii="Times New Roman" w:hAnsi="Times New Roman" w:eastAsia="宋体" w:cs="Times New Roman"/>
          <w:color w:val="auto"/>
        </w:rPr>
        <w:t>联</w:t>
      </w:r>
      <w:r>
        <w:rPr>
          <w:rFonts w:hint="eastAsia" w:cs="Times New Roman"/>
          <w:color w:val="auto"/>
          <w:lang w:val="en-US" w:eastAsia="zh-CN"/>
        </w:rPr>
        <w:t>勘</w:t>
      </w:r>
      <w:r>
        <w:rPr>
          <w:rFonts w:hint="default" w:ascii="Times New Roman" w:hAnsi="Times New Roman" w:eastAsia="宋体" w:cs="Times New Roman"/>
          <w:color w:val="auto"/>
        </w:rPr>
        <w:t>联审意见书》（见附件1</w:t>
      </w:r>
      <w:r>
        <w:rPr>
          <w:rFonts w:hint="eastAsia" w:cs="Times New Roman"/>
          <w:color w:val="auto"/>
          <w:lang w:val="en-US" w:eastAsia="zh-CN"/>
        </w:rPr>
        <w:t>2</w:t>
      </w:r>
      <w:r>
        <w:rPr>
          <w:rFonts w:hint="default" w:ascii="Times New Roman" w:hAnsi="Times New Roman" w:eastAsia="宋体" w:cs="Times New Roman"/>
          <w:color w:val="auto"/>
        </w:rPr>
        <w:t>）。目前已明确本工程选定的弃渣场避让了生态保护红线、水源保护区、公益林。</w:t>
      </w:r>
    </w:p>
    <w:p w14:paraId="15AA5D7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弃渣场位于元江火车站站前广场配套道路5号路建设项目起点以南沿G213老路向南约4.9km，位于老路下方一处沟道中。弃渣场下游排水通道畅通，沟道内无公共设施、基础设施、工业企业、居民点等设施。根据《水土保持工程设计规范》（GB</w:t>
      </w:r>
      <w:r>
        <w:rPr>
          <w:rFonts w:hint="eastAsia" w:cs="Times New Roman"/>
          <w:color w:val="auto"/>
          <w:lang w:val="en-US" w:eastAsia="zh-CN"/>
        </w:rPr>
        <w:t xml:space="preserve"> </w:t>
      </w:r>
      <w:r>
        <w:rPr>
          <w:rFonts w:hint="default" w:ascii="Times New Roman" w:hAnsi="Times New Roman" w:eastAsia="宋体" w:cs="Times New Roman"/>
          <w:color w:val="auto"/>
        </w:rPr>
        <w:t>5018-2014），根据堆渣量、堆渣最大高度以及弃渣场失事后对主体工程或环境造成的危害程度确定弃渣场级别。该弃渣场堆渣容量92.0万m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堆渣高度30.0m，弃渣场失事后对主体工程或环境造成的危害程度确定弃渣场级别较轻，故该弃渣场等级为4级。挡渣墙高度为5.0m、3.0m，大致分为4台布置，第一平台堆高4.0m，堆渣边坡1:2.5，第二平台堆高8.0m，堆渣边坡1:2.5，第三平台堆高8.0m，堆渣边坡1:2.5，第四平台堆高5.0m，堆渣边坡比1:2.5。渣土从下往上进行堆填，场地进行了分台布设，弃渣场使用结束后进行复耕处理。</w:t>
      </w:r>
    </w:p>
    <w:p w14:paraId="0063A427">
      <w:pPr>
        <w:widowControl/>
        <w:ind w:left="0" w:leftChars="0" w:firstLine="0" w:firstLineChars="0"/>
        <w:jc w:val="left"/>
        <w:rPr>
          <w:rFonts w:hint="default" w:ascii="Times New Roman" w:hAnsi="Times New Roman" w:eastAsia="宋体" w:cs="Times New Roman"/>
          <w:b/>
          <w:color w:val="auto"/>
        </w:rPr>
      </w:pPr>
      <w:r>
        <w:rPr>
          <w:rFonts w:hint="eastAsia" w:hAnsi="Times New Roman" w:cs="Times New Roman"/>
          <w:b/>
          <w:color w:val="auto"/>
          <w:lang w:val="en-US" w:eastAsia="zh-CN"/>
        </w:rPr>
        <w:t>2.8.</w:t>
      </w:r>
      <w:r>
        <w:rPr>
          <w:rFonts w:hint="eastAsia" w:cs="Times New Roman"/>
          <w:b/>
          <w:color w:val="auto"/>
          <w:lang w:val="en-US" w:eastAsia="zh-CN"/>
        </w:rPr>
        <w:t>2其他施工临时占地</w:t>
      </w:r>
      <w:r>
        <w:rPr>
          <w:rFonts w:hint="default" w:ascii="Times New Roman" w:hAnsi="Times New Roman" w:eastAsia="宋体" w:cs="Times New Roman"/>
          <w:b/>
          <w:color w:val="auto"/>
        </w:rPr>
        <w:t>规划</w:t>
      </w:r>
    </w:p>
    <w:p w14:paraId="11ABDE1B">
      <w:pPr>
        <w:keepNext w:val="0"/>
        <w:keepLines w:val="0"/>
        <w:widowControl/>
        <w:suppressLineNumbers w:val="0"/>
        <w:jc w:val="left"/>
        <w:rPr>
          <w:rFonts w:hint="default"/>
          <w:color w:val="auto"/>
          <w:lang w:val="en-US"/>
        </w:rPr>
      </w:pPr>
      <w:r>
        <w:rPr>
          <w:rFonts w:hint="eastAsia" w:ascii="宋体" w:hAnsi="宋体" w:eastAsia="宋体" w:cs="宋体"/>
          <w:color w:val="auto"/>
          <w:kern w:val="0"/>
          <w:sz w:val="24"/>
          <w:szCs w:val="24"/>
          <w:lang w:val="en-US" w:eastAsia="zh-CN" w:bidi="ar"/>
        </w:rPr>
        <w:t>根据工程沿线的地形条件，施工总布置本着</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利于生产、方便生活、经济可靠、易于管理</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的原则进行布设。因工程线路较短，沿线粘土资源较丰富，可利用沿线开挖表土，不专门设置取土场、表土堆场。</w:t>
      </w:r>
    </w:p>
    <w:p w14:paraId="2954E3A9">
      <w:pPr>
        <w:keepNext w:val="0"/>
        <w:keepLines w:val="0"/>
        <w:widowControl/>
        <w:suppressLineNumbers w:val="0"/>
        <w:jc w:val="left"/>
        <w:rPr>
          <w:color w:val="auto"/>
        </w:rPr>
      </w:pPr>
    </w:p>
    <w:p w14:paraId="510D93F6">
      <w:pPr>
        <w:widowControl/>
        <w:ind w:left="0" w:leftChars="0" w:firstLine="0" w:firstLineChars="0"/>
        <w:jc w:val="left"/>
        <w:rPr>
          <w:rFonts w:hint="default" w:ascii="Times New Roman" w:hAnsi="Times New Roman" w:eastAsia="宋体" w:cs="Times New Roman"/>
          <w:b/>
          <w:color w:val="auto"/>
        </w:rPr>
        <w:sectPr>
          <w:footerReference r:id="rId10" w:type="default"/>
          <w:pgSz w:w="11910" w:h="16840"/>
          <w:pgMar w:top="1480" w:right="1560" w:bottom="1580" w:left="1680" w:header="992" w:footer="992" w:gutter="0"/>
          <w:lnNumType w:countBy="0" w:distance="360"/>
          <w:pgNumType w:fmt="decimal"/>
          <w:cols w:space="720" w:num="1"/>
        </w:sectPr>
      </w:pPr>
    </w:p>
    <w:p w14:paraId="108D1BCF">
      <w:pPr>
        <w:pStyle w:val="3"/>
        <w:numPr>
          <w:ilvl w:val="0"/>
          <w:numId w:val="0"/>
        </w:numPr>
        <w:rPr>
          <w:rFonts w:hint="default" w:ascii="Times New Roman" w:hAnsi="Times New Roman" w:eastAsia="宋体" w:cs="Times New Roman"/>
          <w:color w:val="auto"/>
        </w:rPr>
      </w:pPr>
      <w:bookmarkStart w:id="57" w:name="_Toc7739"/>
      <w:r>
        <w:rPr>
          <w:rFonts w:hint="default" w:ascii="Times New Roman" w:hAnsi="Times New Roman" w:eastAsia="宋体" w:cs="Times New Roman"/>
          <w:color w:val="auto"/>
        </w:rPr>
        <w:t>2.9其他工程施工</w:t>
      </w:r>
      <w:bookmarkEnd w:id="57"/>
    </w:p>
    <w:p w14:paraId="6D962297">
      <w:pPr>
        <w:pStyle w:val="501"/>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24"/>
        </w:rPr>
        <w:t>对施工过程中开挖形成的裸露边坡及时实施边坡防护措施，施工过程中产生的废弃土石禁止堆放在近河区域，应将其</w:t>
      </w:r>
      <w:r>
        <w:rPr>
          <w:rFonts w:hint="default" w:ascii="Times New Roman" w:hAnsi="Times New Roman" w:eastAsia="宋体" w:cs="Times New Roman"/>
          <w:color w:val="auto"/>
        </w:rPr>
        <w:t>及时运至指定弃渣点。此外，土、石料在运输过程中应采取保护措施，防止沿途散溢；各施工单位应树立全局观念，做好协调工作，路基土石方调运严格按设计进行，严禁任意取弃。</w:t>
      </w:r>
    </w:p>
    <w:p w14:paraId="4A260BB5">
      <w:pPr>
        <w:pStyle w:val="3"/>
        <w:numPr>
          <w:ilvl w:val="0"/>
          <w:numId w:val="0"/>
        </w:numPr>
        <w:rPr>
          <w:rFonts w:hint="default" w:ascii="Times New Roman" w:hAnsi="Times New Roman" w:eastAsia="宋体" w:cs="Times New Roman"/>
          <w:color w:val="auto"/>
        </w:rPr>
      </w:pPr>
      <w:bookmarkStart w:id="58" w:name="_Toc461057380"/>
      <w:bookmarkStart w:id="59" w:name="_Toc23835"/>
      <w:r>
        <w:rPr>
          <w:rFonts w:hint="default" w:ascii="Times New Roman" w:hAnsi="Times New Roman" w:eastAsia="宋体" w:cs="Times New Roman"/>
          <w:color w:val="auto"/>
        </w:rPr>
        <w:t>2.10总投资</w:t>
      </w:r>
      <w:bookmarkEnd w:id="58"/>
      <w:r>
        <w:rPr>
          <w:rFonts w:hint="default" w:ascii="Times New Roman" w:hAnsi="Times New Roman" w:eastAsia="宋体" w:cs="Times New Roman"/>
          <w:color w:val="auto"/>
        </w:rPr>
        <w:t>及建设周期</w:t>
      </w:r>
      <w:bookmarkEnd w:id="59"/>
    </w:p>
    <w:p w14:paraId="0837248B">
      <w:pPr>
        <w:ind w:firstLine="480"/>
        <w:rPr>
          <w:rFonts w:hint="default" w:ascii="Times New Roman" w:hAnsi="Times New Roman" w:eastAsia="宋体" w:cs="Times New Roman"/>
          <w:color w:val="auto"/>
        </w:rPr>
        <w:sectPr>
          <w:pgSz w:w="11910" w:h="16840"/>
          <w:pgMar w:top="1480" w:right="1560" w:bottom="1580" w:left="1680" w:header="992" w:footer="992" w:gutter="0"/>
          <w:lnNumType w:countBy="0" w:distance="360"/>
          <w:pgNumType w:fmt="decimal"/>
          <w:cols w:space="720" w:num="1"/>
        </w:sectPr>
      </w:pPr>
      <w:r>
        <w:rPr>
          <w:rFonts w:hint="default" w:ascii="Times New Roman" w:hAnsi="Times New Roman" w:eastAsia="宋体" w:cs="Times New Roman"/>
          <w:color w:val="auto"/>
        </w:rPr>
        <w:t>项目总投资概算12637.3025万元，工程计划202</w:t>
      </w:r>
      <w:r>
        <w:rPr>
          <w:rFonts w:hint="eastAsia" w:cs="Times New Roman"/>
          <w:color w:val="auto"/>
          <w:lang w:val="en-US" w:eastAsia="zh-CN"/>
        </w:rPr>
        <w:t>6</w:t>
      </w:r>
      <w:r>
        <w:rPr>
          <w:rFonts w:hint="default" w:ascii="Times New Roman" w:hAnsi="Times New Roman" w:eastAsia="宋体" w:cs="Times New Roman"/>
          <w:color w:val="auto"/>
        </w:rPr>
        <w:t>年10月开工，预计202</w:t>
      </w:r>
      <w:r>
        <w:rPr>
          <w:rFonts w:hint="eastAsia" w:cs="Times New Roman"/>
          <w:color w:val="auto"/>
          <w:lang w:val="en-US" w:eastAsia="zh-CN"/>
        </w:rPr>
        <w:t>7</w:t>
      </w:r>
      <w:r>
        <w:rPr>
          <w:rFonts w:hint="default" w:ascii="Times New Roman" w:hAnsi="Times New Roman" w:eastAsia="宋体" w:cs="Times New Roman"/>
          <w:color w:val="auto"/>
        </w:rPr>
        <w:t>年10月竣工，总工期为12个月。</w:t>
      </w:r>
    </w:p>
    <w:p w14:paraId="4F81CCCF">
      <w:pPr>
        <w:pStyle w:val="2"/>
        <w:rPr>
          <w:rFonts w:hint="default" w:ascii="Times New Roman" w:hAnsi="Times New Roman" w:eastAsia="宋体" w:cs="Times New Roman"/>
          <w:color w:val="auto"/>
        </w:rPr>
      </w:pPr>
      <w:bookmarkStart w:id="60" w:name="_Toc25449"/>
      <w:bookmarkStart w:id="61" w:name="_Toc383814015"/>
      <w:bookmarkStart w:id="62" w:name="_Toc461057384"/>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rPr>
        <w:t xml:space="preserve"> 工程分析</w:t>
      </w:r>
      <w:bookmarkEnd w:id="60"/>
    </w:p>
    <w:p w14:paraId="3281171A">
      <w:pPr>
        <w:pStyle w:val="3"/>
        <w:numPr>
          <w:ilvl w:val="0"/>
          <w:numId w:val="0"/>
        </w:numPr>
        <w:rPr>
          <w:rFonts w:hint="default" w:ascii="Times New Roman" w:hAnsi="Times New Roman" w:eastAsia="宋体" w:cs="Times New Roman"/>
          <w:color w:val="auto"/>
          <w:lang w:val="en-US" w:eastAsia="zh-CN"/>
        </w:rPr>
      </w:pPr>
      <w:bookmarkStart w:id="63" w:name="_Toc9633"/>
      <w:r>
        <w:rPr>
          <w:rFonts w:hint="default" w:ascii="Times New Roman" w:hAnsi="Times New Roman" w:eastAsia="宋体" w:cs="Times New Roman"/>
          <w:color w:val="auto"/>
          <w:szCs w:val="28"/>
          <w:lang w:bidi="ar"/>
        </w:rPr>
        <w:t>3.1工程环境影响因素</w:t>
      </w:r>
      <w:r>
        <w:rPr>
          <w:rFonts w:hint="eastAsia" w:cs="Times New Roman"/>
          <w:color w:val="auto"/>
          <w:szCs w:val="28"/>
          <w:lang w:val="en-US" w:eastAsia="zh-CN" w:bidi="ar"/>
        </w:rPr>
        <w:t>识别</w:t>
      </w:r>
      <w:bookmarkEnd w:id="63"/>
    </w:p>
    <w:p w14:paraId="4FC55628">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评价分施工期、</w:t>
      </w:r>
      <w:r>
        <w:rPr>
          <w:rFonts w:hint="eastAsia" w:ascii="Times New Roman" w:hAnsi="Times New Roman" w:cs="Times New Roman"/>
          <w:color w:val="auto"/>
          <w:lang w:eastAsia="zh-CN"/>
        </w:rPr>
        <w:t>营运期</w:t>
      </w:r>
      <w:r>
        <w:rPr>
          <w:rFonts w:hint="default" w:ascii="Times New Roman" w:hAnsi="Times New Roman" w:eastAsia="宋体" w:cs="Times New Roman"/>
          <w:color w:val="auto"/>
        </w:rPr>
        <w:t>两期进行。根据实地踏勘及收集资料，结合道路沿线的社会、经济和环境现状，对该项目的环境影响因素设置主要环境问题识别矩阵，见表</w:t>
      </w:r>
      <w:r>
        <w:rPr>
          <w:rFonts w:hint="eastAsia" w:ascii="Times New Roman" w:hAnsi="Times New Roman" w:cs="Times New Roman"/>
          <w:color w:val="auto"/>
          <w:lang w:val="en-US" w:eastAsia="zh-CN"/>
        </w:rPr>
        <w:t>3.1-1</w:t>
      </w:r>
      <w:r>
        <w:rPr>
          <w:rFonts w:hint="default" w:ascii="Times New Roman" w:hAnsi="Times New Roman" w:eastAsia="宋体" w:cs="Times New Roman"/>
          <w:color w:val="auto"/>
        </w:rPr>
        <w:t>。评价内容包括大气环境、地表水环境、固体废物处置、声环境、生态、土地利用现状改变等。</w:t>
      </w:r>
    </w:p>
    <w:p w14:paraId="0CCDB9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cs="Times New Roman"/>
          <w:b/>
          <w:bCs/>
          <w:color w:val="auto"/>
          <w:sz w:val="21"/>
          <w:szCs w:val="21"/>
          <w:lang w:val="en-US" w:eastAsia="zh-CN"/>
        </w:rPr>
        <w:t>3.1</w:t>
      </w:r>
      <w:r>
        <w:rPr>
          <w:rFonts w:hint="default" w:ascii="Times New Roman" w:hAnsi="Times New Roman" w:eastAsia="宋体" w:cs="Times New Roman"/>
          <w:b/>
          <w:bCs/>
          <w:color w:val="auto"/>
          <w:sz w:val="21"/>
          <w:szCs w:val="21"/>
        </w:rPr>
        <w:t>-1  主要环境问题识别矩阵</w:t>
      </w:r>
    </w:p>
    <w:tbl>
      <w:tblPr>
        <w:tblStyle w:val="58"/>
        <w:tblpPr w:leftFromText="180" w:rightFromText="180" w:vertAnchor="text" w:tblpXSpec="center" w:tblpY="1"/>
        <w:tblOverlap w:val="never"/>
        <w:tblW w:w="8696" w:type="dxa"/>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40" w:type="dxa"/>
          <w:left w:w="64" w:type="dxa"/>
          <w:bottom w:w="40" w:type="dxa"/>
          <w:right w:w="64" w:type="dxa"/>
        </w:tblCellMar>
      </w:tblPr>
      <w:tblGrid>
        <w:gridCol w:w="576"/>
        <w:gridCol w:w="1219"/>
        <w:gridCol w:w="495"/>
        <w:gridCol w:w="815"/>
        <w:gridCol w:w="498"/>
        <w:gridCol w:w="498"/>
        <w:gridCol w:w="498"/>
        <w:gridCol w:w="815"/>
        <w:gridCol w:w="827"/>
        <w:gridCol w:w="815"/>
        <w:gridCol w:w="498"/>
        <w:gridCol w:w="1142"/>
      </w:tblGrid>
      <w:tr w14:paraId="6FE4341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blHeader/>
        </w:trPr>
        <w:tc>
          <w:tcPr>
            <w:tcW w:w="1795" w:type="dxa"/>
            <w:gridSpan w:val="2"/>
            <w:vMerge w:val="restart"/>
            <w:tcBorders>
              <w:top w:val="single" w:color="auto" w:sz="12" w:space="0"/>
              <w:left w:val="single" w:color="auto" w:sz="12" w:space="0"/>
              <w:bottom w:val="single" w:color="auto" w:sz="4" w:space="0"/>
              <w:right w:val="single" w:color="auto" w:sz="4" w:space="0"/>
            </w:tcBorders>
            <w:noWrap w:val="0"/>
            <w:vAlign w:val="center"/>
          </w:tcPr>
          <w:p w14:paraId="05D8B2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施工行为环境要素</w:t>
            </w:r>
          </w:p>
        </w:tc>
        <w:tc>
          <w:tcPr>
            <w:tcW w:w="4446" w:type="dxa"/>
            <w:gridSpan w:val="7"/>
            <w:tcBorders>
              <w:top w:val="single" w:color="auto" w:sz="12" w:space="0"/>
              <w:left w:val="single" w:color="auto" w:sz="4" w:space="0"/>
              <w:bottom w:val="single" w:color="auto" w:sz="4" w:space="0"/>
              <w:right w:val="single" w:color="auto" w:sz="4" w:space="0"/>
            </w:tcBorders>
            <w:noWrap w:val="0"/>
            <w:vAlign w:val="center"/>
          </w:tcPr>
          <w:p w14:paraId="1B7CB4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施工期</w:t>
            </w:r>
          </w:p>
        </w:tc>
        <w:tc>
          <w:tcPr>
            <w:tcW w:w="2455" w:type="dxa"/>
            <w:gridSpan w:val="3"/>
            <w:tcBorders>
              <w:top w:val="single" w:color="auto" w:sz="12" w:space="0"/>
              <w:left w:val="single" w:color="auto" w:sz="4" w:space="0"/>
              <w:bottom w:val="single" w:color="auto" w:sz="4" w:space="0"/>
              <w:right w:val="single" w:color="auto" w:sz="12" w:space="0"/>
            </w:tcBorders>
            <w:noWrap w:val="0"/>
            <w:vAlign w:val="center"/>
          </w:tcPr>
          <w:p w14:paraId="15A6935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color w:val="auto"/>
                <w:sz w:val="21"/>
                <w:szCs w:val="21"/>
                <w:lang w:eastAsia="zh-CN"/>
              </w:rPr>
            </w:pPr>
            <w:r>
              <w:rPr>
                <w:rFonts w:hint="eastAsia" w:hAnsi="Times New Roman" w:cs="Times New Roman"/>
                <w:b/>
                <w:color w:val="auto"/>
                <w:sz w:val="21"/>
                <w:szCs w:val="21"/>
                <w:lang w:eastAsia="zh-CN"/>
              </w:rPr>
              <w:t>营运期</w:t>
            </w:r>
          </w:p>
        </w:tc>
      </w:tr>
      <w:tr w14:paraId="454670E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blHeader/>
        </w:trPr>
        <w:tc>
          <w:tcPr>
            <w:tcW w:w="1795" w:type="dxa"/>
            <w:gridSpan w:val="2"/>
            <w:vMerge w:val="continue"/>
            <w:tcBorders>
              <w:top w:val="single" w:color="auto" w:sz="4" w:space="0"/>
              <w:left w:val="single" w:color="auto" w:sz="12" w:space="0"/>
              <w:bottom w:val="single" w:color="auto" w:sz="4" w:space="0"/>
              <w:right w:val="single" w:color="auto" w:sz="4" w:space="0"/>
            </w:tcBorders>
            <w:noWrap w:val="0"/>
            <w:vAlign w:val="center"/>
          </w:tcPr>
          <w:p w14:paraId="3BEE7D4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p>
        </w:tc>
        <w:tc>
          <w:tcPr>
            <w:tcW w:w="495" w:type="dxa"/>
            <w:tcBorders>
              <w:top w:val="single" w:color="auto" w:sz="4" w:space="0"/>
              <w:left w:val="single" w:color="auto" w:sz="4" w:space="0"/>
              <w:bottom w:val="single" w:color="auto" w:sz="4" w:space="0"/>
              <w:right w:val="single" w:color="auto" w:sz="4" w:space="0"/>
            </w:tcBorders>
            <w:noWrap w:val="0"/>
            <w:vAlign w:val="center"/>
          </w:tcPr>
          <w:p w14:paraId="446DB5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占地</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1CD54F9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拆迁安置</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D1A0B7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弃渣</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51832DA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路基</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325CAD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路面</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350E46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材料运输</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445782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机械作业</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720D185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运输行驶</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297AF0B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绿化</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0DCF50D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城市道路养护</w:t>
            </w:r>
          </w:p>
        </w:tc>
      </w:tr>
      <w:tr w14:paraId="234700F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restart"/>
            <w:tcBorders>
              <w:top w:val="single" w:color="auto" w:sz="4" w:space="0"/>
              <w:left w:val="single" w:color="auto" w:sz="12" w:space="0"/>
              <w:right w:val="single" w:color="auto" w:sz="4" w:space="0"/>
            </w:tcBorders>
            <w:noWrap w:val="0"/>
            <w:vAlign w:val="center"/>
          </w:tcPr>
          <w:p w14:paraId="13D0D03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社会环境</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488FFA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经济</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77F794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6C8960D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86BAE7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0AE7C5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EF6BC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18A71B8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4F144F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DC6E37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7FC639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38E9FCA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F98470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2EF9D42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930C97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旅游</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48BD46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738CB30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00B0520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EDF88E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509FBA3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13BEA6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63CEA2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281ACD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72C8D2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3598C95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2D18ED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0AF5E62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46AF7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水利</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2345278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6449DF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7A3BF6E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130C2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4C0C93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1866BA7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42C483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22EC83B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D89F1B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588AF7F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3279D97">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622F90C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F2303C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土地利用</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DC4650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2FE9BAD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34C3432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65219E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D7E176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7D5D872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69C100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389FC3D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A8BB62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1A0A68C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DFDAFF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47D2B2B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00FDDD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城镇规划</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666CCB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62AAE75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BAC8A5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370866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011597D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2A68166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0A7C3F8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76B22E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3B9E6F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6F84536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6550E89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2DEB7E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2AAD8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文物</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2573B7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3F8DC54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523765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F07857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9AC0A7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0761C79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747A80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49B7965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1617C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11D0C94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77383F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bottom w:val="single" w:color="auto" w:sz="4" w:space="0"/>
              <w:right w:val="single" w:color="auto" w:sz="4" w:space="0"/>
            </w:tcBorders>
            <w:noWrap w:val="0"/>
            <w:vAlign w:val="center"/>
          </w:tcPr>
          <w:p w14:paraId="5A9FC85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335FDD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交通便利性</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BAE5B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6B4D65B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2E64AA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3AAE21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29925CC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75B4C4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7C8752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7736BE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55107B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61C2E69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0913108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restart"/>
            <w:tcBorders>
              <w:top w:val="single" w:color="auto" w:sz="4" w:space="0"/>
              <w:left w:val="single" w:color="auto" w:sz="12" w:space="0"/>
              <w:right w:val="single" w:color="auto" w:sz="4" w:space="0"/>
            </w:tcBorders>
            <w:noWrap w:val="0"/>
            <w:vAlign w:val="center"/>
          </w:tcPr>
          <w:p w14:paraId="45CF8DF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生态</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FE91A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陆地植被</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664C98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E18FA4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04E352D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4F0F1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3A35772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2FF592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3D2CE51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2BB0AF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2E53C7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360F12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23B27DE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51D1B8C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79267B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陆栖动物</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1D39C32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1E93B3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2817F6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88C65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050373B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490091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6F8719B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34AFAA2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70116B2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29B64E8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6E56AB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1CA1C7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DD75EE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水生生态及鱼类</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125446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596E862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38B2C06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9697C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153C03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150F2C2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4B07BA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2E0474B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5E2E4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2F7C537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485D1C7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048AE7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91A17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农业生态</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2D77B2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80DB40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947849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3D39B60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25BD5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39782B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220118D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65384F7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55B86A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7D12C64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7404D1E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0FF1B1B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7B974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景观</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A4024A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3EE631B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57AEA8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3094CD4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052AE62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2EDDF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01EA903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20771E3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A651C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7D62BA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r>
      <w:tr w14:paraId="15B79E3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6BB378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16DE79F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水土保持</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54F8173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43AB1D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089450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35EC38F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22BA70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4D22229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205853E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198DD29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5694C9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101DC6C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6C4838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right w:val="single" w:color="auto" w:sz="4" w:space="0"/>
            </w:tcBorders>
            <w:noWrap w:val="0"/>
            <w:vAlign w:val="center"/>
          </w:tcPr>
          <w:p w14:paraId="0BBC11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bookmarkStart w:id="64" w:name="OLE_LINK1" w:colFirst="11" w:colLast="11"/>
          </w:p>
        </w:tc>
        <w:tc>
          <w:tcPr>
            <w:tcW w:w="1219" w:type="dxa"/>
            <w:tcBorders>
              <w:top w:val="single" w:color="auto" w:sz="4" w:space="0"/>
              <w:left w:val="single" w:color="auto" w:sz="4" w:space="0"/>
              <w:bottom w:val="single" w:color="auto" w:sz="4" w:space="0"/>
              <w:right w:val="single" w:color="auto" w:sz="4" w:space="0"/>
            </w:tcBorders>
            <w:noWrap w:val="0"/>
            <w:vAlign w:val="center"/>
          </w:tcPr>
          <w:p w14:paraId="7FA37F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地表水</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75ED2F4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363434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7665F84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2F6D39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1BC35D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2CAAB5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23EA83E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2528E4B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91F7D2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1D069AC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8FFF86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left w:val="single" w:color="auto" w:sz="12" w:space="0"/>
              <w:bottom w:val="single" w:color="auto" w:sz="4" w:space="0"/>
              <w:right w:val="single" w:color="auto" w:sz="4" w:space="0"/>
            </w:tcBorders>
            <w:noWrap w:val="0"/>
            <w:vAlign w:val="center"/>
          </w:tcPr>
          <w:p w14:paraId="373FFAA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A8ED77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地下水</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687D2F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741E784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3C1BDEC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12FC9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FADBDF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3FBE781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27" w:type="dxa"/>
            <w:tcBorders>
              <w:top w:val="single" w:color="auto" w:sz="4" w:space="0"/>
              <w:left w:val="single" w:color="auto" w:sz="4" w:space="0"/>
              <w:bottom w:val="single" w:color="auto" w:sz="4" w:space="0"/>
              <w:right w:val="single" w:color="auto" w:sz="4" w:space="0"/>
            </w:tcBorders>
            <w:noWrap w:val="0"/>
            <w:vAlign w:val="center"/>
          </w:tcPr>
          <w:p w14:paraId="39D1DCB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11C523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17B4F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77E84D3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bookmarkEnd w:id="64"/>
      <w:tr w14:paraId="53FB7FE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restart"/>
            <w:tcBorders>
              <w:top w:val="single" w:color="auto" w:sz="4" w:space="0"/>
              <w:left w:val="single" w:color="auto" w:sz="12" w:space="0"/>
              <w:bottom w:val="single" w:color="auto" w:sz="4" w:space="0"/>
              <w:right w:val="single" w:color="auto" w:sz="4" w:space="0"/>
            </w:tcBorders>
            <w:noWrap w:val="0"/>
            <w:vAlign w:val="center"/>
          </w:tcPr>
          <w:p w14:paraId="6126546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生活</w:t>
            </w:r>
          </w:p>
          <w:p w14:paraId="70D6572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质量</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5192613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声环境</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42C508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6946E8B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5859E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4E76A83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42AAA9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5544C20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58B4FA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06D488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2BE7F6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0E26913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281C3C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top w:val="single" w:color="auto" w:sz="4" w:space="0"/>
              <w:left w:val="single" w:color="auto" w:sz="12" w:space="0"/>
              <w:bottom w:val="single" w:color="auto" w:sz="4" w:space="0"/>
              <w:right w:val="single" w:color="auto" w:sz="4" w:space="0"/>
            </w:tcBorders>
            <w:noWrap w:val="0"/>
            <w:vAlign w:val="center"/>
          </w:tcPr>
          <w:p w14:paraId="1D38D8E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D32723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空气环境</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4226594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0D9154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368F75D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63FB6E0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16B6708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6C69A2A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3A81D5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4774B5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B2EA2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1D08D20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2F5157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576" w:type="dxa"/>
            <w:vMerge w:val="continue"/>
            <w:tcBorders>
              <w:top w:val="single" w:color="auto" w:sz="4" w:space="0"/>
              <w:left w:val="single" w:color="auto" w:sz="12" w:space="0"/>
              <w:bottom w:val="single" w:color="auto" w:sz="4" w:space="0"/>
              <w:right w:val="single" w:color="auto" w:sz="4" w:space="0"/>
            </w:tcBorders>
            <w:noWrap w:val="0"/>
            <w:vAlign w:val="center"/>
          </w:tcPr>
          <w:p w14:paraId="0E79308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19" w:type="dxa"/>
            <w:tcBorders>
              <w:top w:val="single" w:color="auto" w:sz="4" w:space="0"/>
              <w:left w:val="single" w:color="auto" w:sz="4" w:space="0"/>
              <w:bottom w:val="single" w:color="auto" w:sz="4" w:space="0"/>
              <w:right w:val="single" w:color="auto" w:sz="4" w:space="0"/>
            </w:tcBorders>
            <w:noWrap w:val="0"/>
            <w:vAlign w:val="center"/>
          </w:tcPr>
          <w:p w14:paraId="3E2240E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环境风险</w:t>
            </w:r>
          </w:p>
        </w:tc>
        <w:tc>
          <w:tcPr>
            <w:tcW w:w="495" w:type="dxa"/>
            <w:tcBorders>
              <w:top w:val="single" w:color="auto" w:sz="4" w:space="0"/>
              <w:left w:val="single" w:color="auto" w:sz="4" w:space="0"/>
              <w:bottom w:val="single" w:color="auto" w:sz="4" w:space="0"/>
              <w:right w:val="single" w:color="auto" w:sz="4" w:space="0"/>
            </w:tcBorders>
            <w:noWrap w:val="0"/>
            <w:vAlign w:val="center"/>
          </w:tcPr>
          <w:p w14:paraId="3606C9C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815" w:type="dxa"/>
            <w:tcBorders>
              <w:top w:val="single" w:color="auto" w:sz="4" w:space="0"/>
              <w:left w:val="single" w:color="auto" w:sz="4" w:space="0"/>
              <w:bottom w:val="single" w:color="auto" w:sz="4" w:space="0"/>
              <w:right w:val="single" w:color="auto" w:sz="4" w:space="0"/>
            </w:tcBorders>
            <w:noWrap w:val="0"/>
            <w:vAlign w:val="center"/>
          </w:tcPr>
          <w:p w14:paraId="0F5673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697D2C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0D5E7B3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98" w:type="dxa"/>
            <w:tcBorders>
              <w:top w:val="single" w:color="auto" w:sz="4" w:space="0"/>
              <w:left w:val="single" w:color="auto" w:sz="4" w:space="0"/>
              <w:bottom w:val="single" w:color="auto" w:sz="4" w:space="0"/>
              <w:right w:val="single" w:color="auto" w:sz="4" w:space="0"/>
            </w:tcBorders>
            <w:noWrap w:val="0"/>
            <w:vAlign w:val="center"/>
          </w:tcPr>
          <w:p w14:paraId="412EF55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3F0AF9F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27" w:type="dxa"/>
            <w:tcBorders>
              <w:top w:val="single" w:color="auto" w:sz="4" w:space="0"/>
              <w:left w:val="single" w:color="auto" w:sz="4" w:space="0"/>
              <w:bottom w:val="single" w:color="auto" w:sz="4" w:space="0"/>
              <w:right w:val="single" w:color="auto" w:sz="4" w:space="0"/>
            </w:tcBorders>
            <w:noWrap w:val="0"/>
            <w:vAlign w:val="center"/>
          </w:tcPr>
          <w:p w14:paraId="566011D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815" w:type="dxa"/>
            <w:tcBorders>
              <w:top w:val="single" w:color="auto" w:sz="4" w:space="0"/>
              <w:left w:val="single" w:color="auto" w:sz="4" w:space="0"/>
              <w:bottom w:val="single" w:color="auto" w:sz="4" w:space="0"/>
              <w:right w:val="single" w:color="auto" w:sz="4" w:space="0"/>
            </w:tcBorders>
            <w:noWrap w:val="0"/>
            <w:vAlign w:val="center"/>
          </w:tcPr>
          <w:p w14:paraId="566AC95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p>
        </w:tc>
        <w:tc>
          <w:tcPr>
            <w:tcW w:w="498" w:type="dxa"/>
            <w:tcBorders>
              <w:top w:val="single" w:color="auto" w:sz="4" w:space="0"/>
              <w:left w:val="single" w:color="auto" w:sz="4" w:space="0"/>
              <w:bottom w:val="single" w:color="auto" w:sz="4" w:space="0"/>
              <w:right w:val="single" w:color="auto" w:sz="4" w:space="0"/>
            </w:tcBorders>
            <w:noWrap w:val="0"/>
            <w:vAlign w:val="center"/>
          </w:tcPr>
          <w:p w14:paraId="5F9BDA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1142" w:type="dxa"/>
            <w:tcBorders>
              <w:top w:val="single" w:color="auto" w:sz="4" w:space="0"/>
              <w:left w:val="single" w:color="auto" w:sz="4" w:space="0"/>
              <w:bottom w:val="single" w:color="auto" w:sz="4" w:space="0"/>
              <w:right w:val="single" w:color="auto" w:sz="12" w:space="0"/>
            </w:tcBorders>
            <w:noWrap w:val="0"/>
            <w:vAlign w:val="center"/>
          </w:tcPr>
          <w:p w14:paraId="508E9D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8D44FE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40" w:type="dxa"/>
            <w:left w:w="64" w:type="dxa"/>
            <w:bottom w:w="40" w:type="dxa"/>
            <w:right w:w="64" w:type="dxa"/>
          </w:tblCellMar>
        </w:tblPrEx>
        <w:trPr>
          <w:trHeight w:val="340" w:hRule="atLeast"/>
        </w:trPr>
        <w:tc>
          <w:tcPr>
            <w:tcW w:w="8696" w:type="dxa"/>
            <w:gridSpan w:val="12"/>
            <w:tcBorders>
              <w:top w:val="single" w:color="auto" w:sz="4" w:space="0"/>
              <w:left w:val="single" w:color="auto" w:sz="12" w:space="0"/>
              <w:bottom w:val="single" w:color="auto" w:sz="12" w:space="0"/>
              <w:right w:val="single" w:color="auto" w:sz="12" w:space="0"/>
            </w:tcBorders>
            <w:noWrap w:val="0"/>
            <w:vAlign w:val="center"/>
          </w:tcPr>
          <w:p w14:paraId="73238DC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val="0"/>
                <w:bCs w:val="0"/>
                <w:color w:val="auto"/>
                <w:sz w:val="18"/>
                <w:szCs w:val="18"/>
              </w:rPr>
              <w:t>注：填表说明：□/■表示长期有利/不利影响；○/●表示短期有利/不利影响；“空格”为影响很少或无影响。</w:t>
            </w:r>
          </w:p>
        </w:tc>
      </w:tr>
    </w:tbl>
    <w:p w14:paraId="6873A271">
      <w:pPr>
        <w:pStyle w:val="3"/>
        <w:bidi w:val="0"/>
        <w:rPr>
          <w:rFonts w:hint="default" w:eastAsia="宋体"/>
          <w:color w:val="auto"/>
          <w:lang w:val="en-US" w:eastAsia="zh-CN"/>
        </w:rPr>
      </w:pPr>
      <w:bookmarkStart w:id="65" w:name="_Toc17853"/>
      <w:r>
        <w:rPr>
          <w:rFonts w:hint="default"/>
          <w:color w:val="auto"/>
        </w:rPr>
        <w:t>3.2</w:t>
      </w:r>
      <w:r>
        <w:rPr>
          <w:rFonts w:hint="eastAsia"/>
          <w:color w:val="auto"/>
          <w:lang w:val="en-US" w:eastAsia="zh-CN"/>
        </w:rPr>
        <w:t>污染源强核算</w:t>
      </w:r>
      <w:bookmarkEnd w:id="65"/>
    </w:p>
    <w:p w14:paraId="5BAF8B94">
      <w:pPr>
        <w:pStyle w:val="5"/>
        <w:bidi w:val="0"/>
        <w:ind w:left="0" w:leftChars="0" w:firstLine="0" w:firstLineChars="0"/>
        <w:rPr>
          <w:rFonts w:hint="default"/>
          <w:color w:val="auto"/>
          <w:lang w:val="en-US" w:eastAsia="zh-CN"/>
        </w:rPr>
      </w:pPr>
      <w:bookmarkStart w:id="66" w:name="_Toc16012"/>
      <w:r>
        <w:rPr>
          <w:rFonts w:hint="eastAsia"/>
          <w:color w:val="auto"/>
          <w:lang w:val="en-US" w:eastAsia="zh-CN"/>
        </w:rPr>
        <w:t>3.2.1施工期</w:t>
      </w:r>
      <w:bookmarkEnd w:id="66"/>
    </w:p>
    <w:p w14:paraId="6899A52D">
      <w:pPr>
        <w:widowControl/>
        <w:numPr>
          <w:ilvl w:val="0"/>
          <w:numId w:val="0"/>
        </w:numPr>
        <w:ind w:firstLine="482" w:firstLineChars="200"/>
        <w:jc w:val="left"/>
        <w:rPr>
          <w:rFonts w:hint="eastAsia" w:cs="Times New Roman"/>
          <w:b/>
          <w:bCs/>
          <w:color w:val="auto"/>
          <w:kern w:val="0"/>
          <w:lang w:val="en-US" w:eastAsia="zh-CN" w:bidi="ar"/>
        </w:rPr>
      </w:pPr>
      <w:r>
        <w:rPr>
          <w:rFonts w:hint="eastAsia" w:ascii="Times New Roman" w:hAnsi="Times New Roman" w:eastAsia="宋体" w:cs="Times New Roman"/>
          <w:b/>
          <w:bCs/>
          <w:color w:val="auto"/>
          <w:kern w:val="0"/>
          <w:sz w:val="24"/>
          <w:lang w:val="en-US" w:eastAsia="zh-CN" w:bidi="ar"/>
        </w:rPr>
        <w:t>（一）</w:t>
      </w:r>
      <w:r>
        <w:rPr>
          <w:rFonts w:hint="eastAsia" w:cs="Times New Roman"/>
          <w:b/>
          <w:bCs/>
          <w:color w:val="auto"/>
          <w:kern w:val="0"/>
          <w:lang w:val="en-US" w:eastAsia="zh-CN" w:bidi="ar"/>
        </w:rPr>
        <w:t>生态环境</w:t>
      </w:r>
    </w:p>
    <w:p w14:paraId="5781339A">
      <w:pPr>
        <w:widowControl/>
        <w:numPr>
          <w:ilvl w:val="0"/>
          <w:numId w:val="0"/>
        </w:numPr>
        <w:ind w:firstLine="480" w:firstLineChars="200"/>
        <w:jc w:val="left"/>
        <w:rPr>
          <w:rFonts w:hint="default" w:ascii="Times New Roman" w:hAnsi="Times New Roman" w:eastAsia="宋体" w:cs="Times New Roman"/>
          <w:b w:val="0"/>
          <w:bCs w:val="0"/>
          <w:color w:val="auto"/>
          <w:kern w:val="0"/>
          <w:lang w:val="en-US" w:eastAsia="zh-CN" w:bidi="ar"/>
        </w:rPr>
      </w:pPr>
      <w:r>
        <w:rPr>
          <w:rFonts w:hint="eastAsia" w:ascii="Times New Roman" w:hAnsi="Times New Roman" w:eastAsia="宋体" w:cs="Times New Roman"/>
          <w:b w:val="0"/>
          <w:bCs w:val="0"/>
          <w:color w:val="auto"/>
          <w:kern w:val="0"/>
          <w:sz w:val="24"/>
          <w:lang w:val="en-US" w:eastAsia="zh-CN" w:bidi="ar"/>
        </w:rPr>
        <w:t>（</w:t>
      </w:r>
      <w:r>
        <w:rPr>
          <w:rFonts w:hint="eastAsia" w:cs="Times New Roman"/>
          <w:b w:val="0"/>
          <w:bCs w:val="0"/>
          <w:color w:val="auto"/>
          <w:kern w:val="0"/>
          <w:sz w:val="24"/>
          <w:lang w:val="en-US" w:eastAsia="zh-CN" w:bidi="ar"/>
        </w:rPr>
        <w:t>1</w:t>
      </w:r>
      <w:r>
        <w:rPr>
          <w:rFonts w:hint="eastAsia" w:ascii="Times New Roman" w:hAnsi="Times New Roman" w:eastAsia="宋体" w:cs="Times New Roman"/>
          <w:b w:val="0"/>
          <w:bCs w:val="0"/>
          <w:color w:val="auto"/>
          <w:kern w:val="0"/>
          <w:sz w:val="24"/>
          <w:lang w:val="en-US" w:eastAsia="zh-CN" w:bidi="ar"/>
        </w:rPr>
        <w:t>）</w:t>
      </w:r>
      <w:r>
        <w:rPr>
          <w:rFonts w:hint="default" w:ascii="Times New Roman" w:hAnsi="Times New Roman" w:eastAsia="宋体" w:cs="Times New Roman"/>
          <w:b w:val="0"/>
          <w:bCs w:val="0"/>
          <w:color w:val="auto"/>
          <w:kern w:val="0"/>
          <w:lang w:bidi="ar"/>
        </w:rPr>
        <w:t>水土流失</w:t>
      </w:r>
    </w:p>
    <w:p w14:paraId="2833F0BA">
      <w:pPr>
        <w:widowControl/>
        <w:ind w:firstLine="480"/>
        <w:jc w:val="left"/>
        <w:rPr>
          <w:rFonts w:hint="default" w:ascii="Times New Roman" w:hAnsi="Times New Roman" w:eastAsia="宋体" w:cs="Times New Roman"/>
          <w:color w:val="auto"/>
          <w:kern w:val="0"/>
          <w:lang w:val="en-US" w:eastAsia="zh-CN" w:bidi="ar"/>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val="en-US" w:eastAsia="zh-CN" w:bidi="ar"/>
        </w:rPr>
        <w:t>元江火车站站前广场配套道路5号路建设项目水土保持方案报告书</w:t>
      </w:r>
      <w:r>
        <w:rPr>
          <w:rFonts w:hint="default" w:ascii="Times New Roman" w:hAnsi="Times New Roman" w:eastAsia="宋体" w:cs="Times New Roman"/>
          <w:color w:val="auto"/>
          <w:kern w:val="0"/>
          <w:lang w:bidi="ar"/>
        </w:rPr>
        <w:t>》核算，</w:t>
      </w:r>
      <w:r>
        <w:rPr>
          <w:rFonts w:hint="default" w:ascii="Times New Roman" w:hAnsi="Times New Roman" w:eastAsia="宋体" w:cs="Times New Roman"/>
          <w:color w:val="auto"/>
          <w:kern w:val="0"/>
          <w:lang w:val="en-US" w:eastAsia="zh-CN" w:bidi="ar"/>
        </w:rPr>
        <w:t>项目水土流失总量为1199.23t，其中已发生水土流失量为52.00t，将发生水土流失量为1147.23t。新增水土流失量为982.65t，其中调查新增水土流失量为47.21t，预测可能新增的水土流失量为935.44t。</w:t>
      </w:r>
    </w:p>
    <w:p w14:paraId="2ACE8C1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color w:val="auto"/>
          <w:kern w:val="0"/>
          <w:sz w:val="21"/>
          <w:szCs w:val="21"/>
          <w:lang w:val="en-US" w:eastAsia="zh-CN" w:bidi="ar"/>
        </w:rPr>
      </w:pPr>
      <w:r>
        <w:rPr>
          <w:rFonts w:hint="eastAsia" w:cs="Times New Roman"/>
          <w:b/>
          <w:bCs/>
          <w:color w:val="auto"/>
          <w:kern w:val="0"/>
          <w:sz w:val="21"/>
          <w:szCs w:val="21"/>
          <w:lang w:val="en-US" w:eastAsia="zh-CN" w:bidi="ar"/>
        </w:rPr>
        <w:t>表3.2-1  项目水土流失统计表</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350"/>
        <w:gridCol w:w="1562"/>
        <w:gridCol w:w="1562"/>
        <w:gridCol w:w="1562"/>
        <w:gridCol w:w="1563"/>
      </w:tblGrid>
      <w:tr w14:paraId="6EA3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gridSpan w:val="2"/>
            <w:vAlign w:val="center"/>
          </w:tcPr>
          <w:p w14:paraId="6FD312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预测分区</w:t>
            </w:r>
          </w:p>
        </w:tc>
        <w:tc>
          <w:tcPr>
            <w:tcW w:w="1562" w:type="dxa"/>
            <w:vAlign w:val="center"/>
          </w:tcPr>
          <w:p w14:paraId="633F4B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原生水土流失</w:t>
            </w:r>
          </w:p>
          <w:p w14:paraId="07CB52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量（t）</w:t>
            </w:r>
          </w:p>
        </w:tc>
        <w:tc>
          <w:tcPr>
            <w:tcW w:w="1562" w:type="dxa"/>
            <w:vAlign w:val="center"/>
          </w:tcPr>
          <w:p w14:paraId="3E5F05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可能产生的水土流失量（t）</w:t>
            </w:r>
          </w:p>
        </w:tc>
        <w:tc>
          <w:tcPr>
            <w:tcW w:w="1562" w:type="dxa"/>
            <w:vAlign w:val="center"/>
          </w:tcPr>
          <w:p w14:paraId="35B15D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新增水土流失量（t）</w:t>
            </w:r>
          </w:p>
        </w:tc>
        <w:tc>
          <w:tcPr>
            <w:tcW w:w="1563" w:type="dxa"/>
            <w:vAlign w:val="center"/>
          </w:tcPr>
          <w:p w14:paraId="0091A7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比例（%）</w:t>
            </w:r>
          </w:p>
        </w:tc>
      </w:tr>
      <w:tr w14:paraId="5DA6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Merge w:val="restart"/>
            <w:vAlign w:val="center"/>
          </w:tcPr>
          <w:p w14:paraId="4C8344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道路工程区</w:t>
            </w:r>
          </w:p>
        </w:tc>
        <w:tc>
          <w:tcPr>
            <w:tcW w:w="1350" w:type="dxa"/>
            <w:vAlign w:val="center"/>
          </w:tcPr>
          <w:p w14:paraId="1C72F80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路基路面区</w:t>
            </w:r>
          </w:p>
        </w:tc>
        <w:tc>
          <w:tcPr>
            <w:tcW w:w="1562" w:type="dxa"/>
            <w:vAlign w:val="center"/>
          </w:tcPr>
          <w:p w14:paraId="719009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20.47</w:t>
            </w:r>
          </w:p>
        </w:tc>
        <w:tc>
          <w:tcPr>
            <w:tcW w:w="1562" w:type="dxa"/>
            <w:vAlign w:val="center"/>
          </w:tcPr>
          <w:p w14:paraId="2F7D8E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214.07</w:t>
            </w:r>
          </w:p>
        </w:tc>
        <w:tc>
          <w:tcPr>
            <w:tcW w:w="1562" w:type="dxa"/>
            <w:vAlign w:val="center"/>
          </w:tcPr>
          <w:p w14:paraId="70A1BF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193.61</w:t>
            </w:r>
          </w:p>
        </w:tc>
        <w:tc>
          <w:tcPr>
            <w:tcW w:w="1563" w:type="dxa"/>
            <w:vAlign w:val="center"/>
          </w:tcPr>
          <w:p w14:paraId="482EB7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19.70</w:t>
            </w:r>
          </w:p>
        </w:tc>
      </w:tr>
      <w:tr w14:paraId="1A64A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Merge w:val="continue"/>
            <w:vAlign w:val="center"/>
          </w:tcPr>
          <w:p w14:paraId="2CE9C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p>
        </w:tc>
        <w:tc>
          <w:tcPr>
            <w:tcW w:w="1350" w:type="dxa"/>
            <w:vAlign w:val="center"/>
          </w:tcPr>
          <w:p w14:paraId="5A2DEB7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边坡工程区</w:t>
            </w:r>
          </w:p>
        </w:tc>
        <w:tc>
          <w:tcPr>
            <w:tcW w:w="1562" w:type="dxa"/>
            <w:vAlign w:val="center"/>
          </w:tcPr>
          <w:p w14:paraId="029955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82.70</w:t>
            </w:r>
          </w:p>
        </w:tc>
        <w:tc>
          <w:tcPr>
            <w:tcW w:w="1562" w:type="dxa"/>
            <w:vAlign w:val="center"/>
          </w:tcPr>
          <w:p w14:paraId="73DF05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461.22</w:t>
            </w:r>
          </w:p>
        </w:tc>
        <w:tc>
          <w:tcPr>
            <w:tcW w:w="1562" w:type="dxa"/>
            <w:vAlign w:val="center"/>
          </w:tcPr>
          <w:p w14:paraId="5FC8B4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378.52</w:t>
            </w:r>
          </w:p>
        </w:tc>
        <w:tc>
          <w:tcPr>
            <w:tcW w:w="1563" w:type="dxa"/>
            <w:vAlign w:val="center"/>
          </w:tcPr>
          <w:p w14:paraId="0E7A60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38.52</w:t>
            </w:r>
          </w:p>
        </w:tc>
      </w:tr>
      <w:tr w14:paraId="06F5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Merge w:val="continue"/>
            <w:vAlign w:val="center"/>
          </w:tcPr>
          <w:p w14:paraId="722B62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p>
        </w:tc>
        <w:tc>
          <w:tcPr>
            <w:tcW w:w="1350" w:type="dxa"/>
            <w:vAlign w:val="center"/>
          </w:tcPr>
          <w:p w14:paraId="581C07A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道路绿化区</w:t>
            </w:r>
          </w:p>
        </w:tc>
        <w:tc>
          <w:tcPr>
            <w:tcW w:w="1562" w:type="dxa"/>
            <w:vAlign w:val="center"/>
          </w:tcPr>
          <w:p w14:paraId="23131B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15.16</w:t>
            </w:r>
          </w:p>
        </w:tc>
        <w:tc>
          <w:tcPr>
            <w:tcW w:w="1562" w:type="dxa"/>
            <w:vAlign w:val="center"/>
          </w:tcPr>
          <w:p w14:paraId="531DE4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57.54</w:t>
            </w:r>
          </w:p>
        </w:tc>
        <w:tc>
          <w:tcPr>
            <w:tcW w:w="1562" w:type="dxa"/>
            <w:vAlign w:val="center"/>
          </w:tcPr>
          <w:p w14:paraId="1904C8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42.38</w:t>
            </w:r>
          </w:p>
        </w:tc>
        <w:tc>
          <w:tcPr>
            <w:tcW w:w="1563" w:type="dxa"/>
            <w:vAlign w:val="center"/>
          </w:tcPr>
          <w:p w14:paraId="1332FC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4.31</w:t>
            </w:r>
          </w:p>
        </w:tc>
      </w:tr>
      <w:tr w14:paraId="27D1D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gridSpan w:val="2"/>
            <w:vAlign w:val="center"/>
          </w:tcPr>
          <w:p w14:paraId="217C92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弃渣场区</w:t>
            </w:r>
          </w:p>
        </w:tc>
        <w:tc>
          <w:tcPr>
            <w:tcW w:w="1562" w:type="dxa"/>
            <w:vAlign w:val="center"/>
          </w:tcPr>
          <w:p w14:paraId="3844F1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109.05</w:t>
            </w:r>
          </w:p>
        </w:tc>
        <w:tc>
          <w:tcPr>
            <w:tcW w:w="1562" w:type="dxa"/>
            <w:vAlign w:val="center"/>
          </w:tcPr>
          <w:p w14:paraId="48D1DD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466.40</w:t>
            </w:r>
          </w:p>
        </w:tc>
        <w:tc>
          <w:tcPr>
            <w:tcW w:w="1562" w:type="dxa"/>
            <w:vAlign w:val="center"/>
          </w:tcPr>
          <w:p w14:paraId="5E9598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368.15</w:t>
            </w:r>
          </w:p>
        </w:tc>
        <w:tc>
          <w:tcPr>
            <w:tcW w:w="1563" w:type="dxa"/>
            <w:vAlign w:val="center"/>
          </w:tcPr>
          <w:p w14:paraId="57A882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37.46</w:t>
            </w:r>
          </w:p>
        </w:tc>
      </w:tr>
      <w:tr w14:paraId="12B5F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gridSpan w:val="2"/>
            <w:vAlign w:val="center"/>
          </w:tcPr>
          <w:p w14:paraId="11765D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合计</w:t>
            </w:r>
          </w:p>
        </w:tc>
        <w:tc>
          <w:tcPr>
            <w:tcW w:w="1562" w:type="dxa"/>
            <w:vAlign w:val="center"/>
          </w:tcPr>
          <w:p w14:paraId="144A7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227.37</w:t>
            </w:r>
          </w:p>
        </w:tc>
        <w:tc>
          <w:tcPr>
            <w:tcW w:w="1562" w:type="dxa"/>
            <w:vAlign w:val="center"/>
          </w:tcPr>
          <w:p w14:paraId="15C730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1199.23</w:t>
            </w:r>
          </w:p>
        </w:tc>
        <w:tc>
          <w:tcPr>
            <w:tcW w:w="1562" w:type="dxa"/>
            <w:vAlign w:val="center"/>
          </w:tcPr>
          <w:p w14:paraId="760EFE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982.65</w:t>
            </w:r>
          </w:p>
        </w:tc>
        <w:tc>
          <w:tcPr>
            <w:tcW w:w="1563" w:type="dxa"/>
            <w:vAlign w:val="center"/>
          </w:tcPr>
          <w:p w14:paraId="6C6A77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
              </w:rPr>
            </w:pPr>
            <w:r>
              <w:rPr>
                <w:rFonts w:hint="eastAsia" w:cs="Times New Roman"/>
                <w:color w:val="auto"/>
                <w:kern w:val="0"/>
                <w:sz w:val="21"/>
                <w:szCs w:val="21"/>
                <w:vertAlign w:val="baseline"/>
                <w:lang w:val="en-US" w:eastAsia="zh-CN" w:bidi="ar"/>
              </w:rPr>
              <w:t>100</w:t>
            </w:r>
          </w:p>
        </w:tc>
      </w:tr>
    </w:tbl>
    <w:p w14:paraId="3B4239E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val="en-US" w:eastAsia="zh-CN" w:bidi="ar"/>
        </w:rPr>
        <w:t>由于工程征地范围内的地表将遭受不同程度的破坏，局部地貌将发生改变，其中尤以边坡工程区产生水土流失量较大，不仅影响项目本身的建设及运行，也将对区域生态环境和社会环境造成不利影响。水土流失重点时段为施工期，重点区域为边坡工程区。</w:t>
      </w:r>
    </w:p>
    <w:p w14:paraId="1EE00116">
      <w:pPr>
        <w:widowControl/>
        <w:numPr>
          <w:ilvl w:val="0"/>
          <w:numId w:val="0"/>
        </w:numPr>
        <w:ind w:firstLine="480" w:firstLineChars="2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sz w:val="24"/>
          <w:lang w:val="en-US" w:eastAsia="zh-CN" w:bidi="ar"/>
        </w:rPr>
        <w:t>（</w:t>
      </w:r>
      <w:r>
        <w:rPr>
          <w:rFonts w:hint="eastAsia" w:ascii="Times New Roman" w:hAnsi="Times New Roman" w:eastAsia="宋体" w:cs="Times New Roman"/>
          <w:color w:val="auto"/>
          <w:kern w:val="0"/>
          <w:sz w:val="24"/>
          <w:lang w:val="en-US" w:eastAsia="zh-CN" w:bidi="ar"/>
        </w:rPr>
        <w:t>2</w:t>
      </w:r>
      <w:r>
        <w:rPr>
          <w:rFonts w:hint="default" w:ascii="Times New Roman" w:hAnsi="Times New Roman" w:eastAsia="宋体" w:cs="Times New Roman"/>
          <w:color w:val="auto"/>
          <w:kern w:val="0"/>
          <w:sz w:val="24"/>
          <w:lang w:val="en-US" w:eastAsia="zh-CN" w:bidi="ar"/>
        </w:rPr>
        <w:t>）</w:t>
      </w:r>
      <w:r>
        <w:rPr>
          <w:rFonts w:hint="default" w:ascii="Times New Roman" w:hAnsi="Times New Roman" w:eastAsia="宋体" w:cs="Times New Roman"/>
          <w:color w:val="auto"/>
          <w:kern w:val="0"/>
          <w:lang w:bidi="ar"/>
        </w:rPr>
        <w:t>植被的影响</w:t>
      </w:r>
    </w:p>
    <w:p w14:paraId="7E99169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项目直接影响的植被类型主要是园地、灌木丛植被等。公路临时占地将对植被产生直接的破坏作用，从而降低群落的生物多样性。人工植被以果园为主，</w:t>
      </w:r>
      <w:r>
        <w:rPr>
          <w:rFonts w:hint="default" w:ascii="Times New Roman" w:hAnsi="Times New Roman" w:eastAsia="宋体" w:cs="Times New Roman"/>
          <w:color w:val="auto"/>
          <w:kern w:val="0"/>
          <w:lang w:bidi="ar"/>
        </w:rPr>
        <w:t>此区域植被物种较单一，生物多样性总体较低，工程对人工植被的占用，对评价区的生态环境及生物多样性的影响不大。同时可通过占地补偿赔付减少对当地社会经济和居民生活的影响。</w:t>
      </w:r>
    </w:p>
    <w:p w14:paraId="6F39142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rPr>
        <w:t>）动物的影响</w:t>
      </w:r>
    </w:p>
    <w:p w14:paraId="33CA5CCD">
      <w:pPr>
        <w:keepNext w:val="0"/>
        <w:keepLines w:val="0"/>
        <w:pageBreakBefore w:val="0"/>
        <w:widowControl w:val="0"/>
        <w:kinsoku/>
        <w:wordWrap/>
        <w:overflowPunct/>
        <w:topLinePunct w:val="0"/>
        <w:autoSpaceDE/>
        <w:autoSpaceDN/>
        <w:bidi w:val="0"/>
        <w:adjustRightInd/>
        <w:snapToGrid/>
        <w:ind w:firstLine="48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公路施工期间，对两栖动物和爬行动物的活动有一定的影响，但它们会迁移到非施工区，对其生存不会造成威胁。施工期间，临时征地区域的鸟类和兽类将被迫离开原来的领域，当临时征地区域的植被恢复后，它们仍可回到原来的领域。</w:t>
      </w:r>
      <w:r>
        <w:rPr>
          <w:rFonts w:hint="eastAsia" w:ascii="Times New Roman" w:hAnsi="Times New Roman" w:eastAsia="宋体" w:cs="Times New Roman"/>
          <w:color w:val="auto"/>
          <w:lang w:val="en-US" w:eastAsia="zh-CN"/>
        </w:rPr>
        <w:t xml:space="preserve">           </w:t>
      </w:r>
    </w:p>
    <w:p w14:paraId="5FBB4020">
      <w:pPr>
        <w:ind w:firstLine="48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4</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临时弃渣</w:t>
      </w:r>
    </w:p>
    <w:p w14:paraId="399BE71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工程弃渣将改变土地原有使用性质，其对环境的影响主要表现为植被破坏、水土流失、土方运输过</w:t>
      </w:r>
      <w:r>
        <w:rPr>
          <w:rFonts w:hint="default" w:ascii="Times New Roman" w:hAnsi="Times New Roman" w:eastAsia="宋体" w:cs="Times New Roman"/>
          <w:color w:val="auto"/>
          <w:lang w:eastAsia="zh-CN"/>
        </w:rPr>
        <w:t>程中</w:t>
      </w:r>
      <w:r>
        <w:rPr>
          <w:rFonts w:hint="default" w:ascii="Times New Roman" w:hAnsi="Times New Roman" w:eastAsia="宋体" w:cs="Times New Roman"/>
          <w:color w:val="auto"/>
        </w:rPr>
        <w:t>产生的道路扬尘等。本工程弃渣场工程弃渣将不可避免造成一定的植被损失。弃土施工前后通过保存地表熟土，复耕、植物防护等措施，工程弃土造成的生物损失将得到不同程度的补偿。工程弃渣处理不当将造成占用土地资源、农业损失</w:t>
      </w:r>
      <w:r>
        <w:rPr>
          <w:rFonts w:hint="eastAsia" w:cs="Times New Roman"/>
          <w:color w:val="auto"/>
          <w:lang w:eastAsia="zh-CN"/>
        </w:rPr>
        <w:t>、</w:t>
      </w:r>
      <w:r>
        <w:rPr>
          <w:rFonts w:hint="eastAsia" w:cs="Times New Roman"/>
          <w:color w:val="auto"/>
          <w:lang w:val="en-US" w:eastAsia="zh-CN"/>
        </w:rPr>
        <w:t>增大下游汇水风险、植被破坏、渗滤液影响</w:t>
      </w:r>
      <w:r>
        <w:rPr>
          <w:rFonts w:hint="default" w:ascii="Times New Roman" w:hAnsi="Times New Roman" w:eastAsia="宋体" w:cs="Times New Roman"/>
          <w:color w:val="auto"/>
        </w:rPr>
        <w:t>及不同程度的水土流失</w:t>
      </w:r>
      <w:r>
        <w:rPr>
          <w:rFonts w:hint="eastAsia" w:cs="Times New Roman"/>
          <w:color w:val="auto"/>
          <w:lang w:eastAsia="zh-CN"/>
        </w:rPr>
        <w:t>，</w:t>
      </w:r>
      <w:r>
        <w:rPr>
          <w:rFonts w:hint="eastAsia" w:cs="Times New Roman"/>
          <w:color w:val="auto"/>
          <w:lang w:val="en-US" w:eastAsia="zh-CN"/>
        </w:rPr>
        <w:t>对下游沟渠、土壤等具有潜在生态风险</w:t>
      </w:r>
      <w:r>
        <w:rPr>
          <w:rFonts w:hint="default" w:ascii="Times New Roman" w:hAnsi="Times New Roman" w:eastAsia="宋体" w:cs="Times New Roman"/>
          <w:color w:val="auto"/>
        </w:rPr>
        <w:t>。通过对弃渣场采取设置挡渣墙、截水沟、复垦或植被恢复等措施，可以使弃渣场造成的损失减到最低。</w:t>
      </w:r>
    </w:p>
    <w:p w14:paraId="187905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）工程施工便道、施工场地环境影响</w:t>
      </w:r>
    </w:p>
    <w:p w14:paraId="2F6E8A1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施工临时占地将对植被产生直接的破坏作用，从而使群落的生物多样性降低。由于公路沿线主要在山区，在临时用地中施工便道等</w:t>
      </w:r>
      <w:r>
        <w:rPr>
          <w:rFonts w:hint="default" w:ascii="Times New Roman" w:hAnsi="Times New Roman" w:eastAsia="宋体" w:cs="Times New Roman"/>
          <w:color w:val="auto"/>
          <w:lang w:eastAsia="zh-CN"/>
        </w:rPr>
        <w:t>必须</w:t>
      </w:r>
      <w:r>
        <w:rPr>
          <w:rFonts w:hint="default" w:ascii="Times New Roman" w:hAnsi="Times New Roman" w:eastAsia="宋体" w:cs="Times New Roman"/>
          <w:color w:val="auto"/>
        </w:rPr>
        <w:t>占用植被。施工期限内，临时占地范围内的植被将遭到破坏。施工期人为活动对项目周围地区植被的影响在于施工过</w:t>
      </w:r>
      <w:r>
        <w:rPr>
          <w:rFonts w:hint="default" w:ascii="Times New Roman" w:hAnsi="Times New Roman" w:eastAsia="宋体" w:cs="Times New Roman"/>
          <w:color w:val="auto"/>
          <w:lang w:eastAsia="zh-CN"/>
        </w:rPr>
        <w:t>程中</w:t>
      </w:r>
      <w:r>
        <w:rPr>
          <w:rFonts w:hint="default" w:ascii="Times New Roman" w:hAnsi="Times New Roman" w:eastAsia="宋体" w:cs="Times New Roman"/>
          <w:color w:val="auto"/>
        </w:rPr>
        <w:t>需要修建一些施工便道通往施工场地，如果施工管理不善，对乔木层、灌木层和草本层的破坏明显，特别是对灌木层及草本层的破坏。</w:t>
      </w:r>
    </w:p>
    <w:p w14:paraId="01E74A02">
      <w:pPr>
        <w:pStyle w:val="32"/>
        <w:ind w:firstLine="480"/>
        <w:rPr>
          <w:rFonts w:hint="default" w:hAnsi="Times New Roman" w:cs="Times New Roman"/>
          <w:b/>
          <w:bCs/>
          <w:snapToGrid w:val="0"/>
          <w:color w:val="auto"/>
          <w:kern w:val="0"/>
          <w:sz w:val="24"/>
          <w:szCs w:val="24"/>
          <w:lang w:val="en-US" w:eastAsia="zh-CN"/>
        </w:rPr>
      </w:pPr>
      <w:r>
        <w:rPr>
          <w:rFonts w:hint="eastAsia" w:hAnsi="Times New Roman" w:cs="Times New Roman"/>
          <w:b/>
          <w:bCs/>
          <w:snapToGrid w:val="0"/>
          <w:color w:val="auto"/>
          <w:kern w:val="0"/>
          <w:sz w:val="24"/>
          <w:szCs w:val="24"/>
          <w:lang w:eastAsia="zh-CN"/>
        </w:rPr>
        <w:t>（</w:t>
      </w:r>
      <w:r>
        <w:rPr>
          <w:rFonts w:hint="eastAsia" w:hAnsi="Times New Roman" w:cs="Times New Roman"/>
          <w:b/>
          <w:bCs/>
          <w:snapToGrid w:val="0"/>
          <w:color w:val="auto"/>
          <w:kern w:val="0"/>
          <w:sz w:val="24"/>
          <w:szCs w:val="24"/>
          <w:lang w:val="en-US" w:eastAsia="zh-CN"/>
        </w:rPr>
        <w:t>二</w:t>
      </w:r>
      <w:r>
        <w:rPr>
          <w:rFonts w:hint="eastAsia" w:hAnsi="Times New Roman" w:cs="Times New Roman"/>
          <w:b/>
          <w:bCs/>
          <w:snapToGrid w:val="0"/>
          <w:color w:val="auto"/>
          <w:kern w:val="0"/>
          <w:sz w:val="24"/>
          <w:szCs w:val="24"/>
          <w:lang w:eastAsia="zh-CN"/>
        </w:rPr>
        <w:t>）</w:t>
      </w:r>
      <w:r>
        <w:rPr>
          <w:rFonts w:hint="eastAsia" w:hAnsi="Times New Roman" w:cs="Times New Roman"/>
          <w:b/>
          <w:bCs/>
          <w:snapToGrid w:val="0"/>
          <w:color w:val="auto"/>
          <w:kern w:val="0"/>
          <w:sz w:val="24"/>
          <w:szCs w:val="24"/>
          <w:lang w:val="en-US" w:eastAsia="zh-CN"/>
        </w:rPr>
        <w:t>废水</w:t>
      </w:r>
    </w:p>
    <w:p w14:paraId="0EA6D02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本项目施工期</w:t>
      </w:r>
      <w:r>
        <w:rPr>
          <w:rFonts w:hint="eastAsia" w:ascii="Times New Roman" w:hAnsi="Times New Roman" w:eastAsia="宋体" w:cs="Times New Roman"/>
          <w:color w:val="auto"/>
          <w:kern w:val="0"/>
          <w:lang w:val="en-US" w:eastAsia="zh-CN" w:bidi="ar"/>
        </w:rPr>
        <w:t>废</w:t>
      </w:r>
      <w:r>
        <w:rPr>
          <w:rFonts w:hint="default" w:ascii="Times New Roman" w:hAnsi="Times New Roman" w:eastAsia="宋体" w:cs="Times New Roman"/>
          <w:color w:val="auto"/>
          <w:kern w:val="0"/>
          <w:lang w:bidi="ar"/>
        </w:rPr>
        <w:t>水主要包括施工人员生活污水、施工废水、地表径流。</w:t>
      </w:r>
    </w:p>
    <w:p w14:paraId="603E5A6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（1）生活污水</w:t>
      </w:r>
    </w:p>
    <w:p w14:paraId="055B89F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施工期生活污水来自施工人员盥洗产生的废水，主要污染物为COD、</w:t>
      </w: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r>
        <w:rPr>
          <w:rFonts w:hint="default" w:ascii="Times New Roman" w:hAnsi="Times New Roman" w:eastAsia="宋体" w:cs="Times New Roman"/>
          <w:color w:val="auto"/>
          <w:kern w:val="0"/>
          <w:lang w:bidi="ar"/>
        </w:rPr>
        <w:t>SS。本项目施工期施工人员租住</w:t>
      </w:r>
      <w:r>
        <w:rPr>
          <w:rFonts w:hint="default" w:ascii="Times New Roman" w:hAnsi="Times New Roman" w:eastAsia="宋体" w:cs="Times New Roman"/>
          <w:color w:val="auto"/>
          <w:kern w:val="0"/>
          <w:lang w:eastAsia="zh-CN" w:bidi="ar"/>
        </w:rPr>
        <w:t>在</w:t>
      </w:r>
      <w:r>
        <w:rPr>
          <w:rFonts w:hint="default" w:ascii="Times New Roman" w:hAnsi="Times New Roman" w:eastAsia="宋体" w:cs="Times New Roman"/>
          <w:color w:val="auto"/>
          <w:kern w:val="0"/>
          <w:lang w:val="en-US" w:eastAsia="zh-CN" w:bidi="ar"/>
        </w:rPr>
        <w:t>当地</w:t>
      </w:r>
      <w:r>
        <w:rPr>
          <w:rFonts w:hint="default" w:ascii="Times New Roman" w:hAnsi="Times New Roman" w:eastAsia="宋体" w:cs="Times New Roman"/>
          <w:color w:val="auto"/>
          <w:kern w:val="0"/>
          <w:lang w:bidi="ar"/>
        </w:rPr>
        <w:t>居民住宅</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约100人，生活用水量按20L/d·人计，生活污水按用水量80%计算，根据《</w:t>
      </w:r>
      <w:r>
        <w:rPr>
          <w:rFonts w:hint="default" w:ascii="Times New Roman" w:hAnsi="Times New Roman" w:eastAsia="宋体" w:cs="Times New Roman"/>
          <w:color w:val="auto"/>
          <w:kern w:val="0"/>
          <w:lang w:eastAsia="zh-CN" w:bidi="ar"/>
        </w:rPr>
        <w:t>公路建设项目环境影响评价规范</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eastAsia="zh-CN" w:bidi="ar"/>
        </w:rPr>
        <w:t>（JTG B03-2006）</w:t>
      </w:r>
      <w:r>
        <w:rPr>
          <w:rFonts w:hint="default" w:ascii="Times New Roman" w:hAnsi="Times New Roman" w:eastAsia="宋体" w:cs="Times New Roman"/>
          <w:color w:val="auto"/>
          <w:kern w:val="0"/>
          <w:lang w:bidi="ar"/>
        </w:rPr>
        <w:t>，施工生活污水主要污染物及其浓度分别为COD</w:t>
      </w:r>
      <w:r>
        <w:rPr>
          <w:rFonts w:hint="default" w:ascii="Times New Roman" w:hAnsi="Times New Roman" w:eastAsia="宋体" w:cs="Times New Roman"/>
          <w:color w:val="auto"/>
          <w:kern w:val="0"/>
          <w:vertAlign w:val="subscript"/>
          <w:lang w:bidi="ar"/>
        </w:rPr>
        <w:t>cr</w:t>
      </w:r>
      <w:r>
        <w:rPr>
          <w:rFonts w:hint="default" w:ascii="Times New Roman" w:hAnsi="Times New Roman" w:eastAsia="宋体" w:cs="Times New Roman"/>
          <w:color w:val="auto"/>
          <w:kern w:val="0"/>
          <w:lang w:bidi="ar"/>
        </w:rPr>
        <w:t>300mg/L、BOD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150mg/L、SS200mg/L、</w:t>
      </w:r>
      <w:r>
        <w:rPr>
          <w:rFonts w:hint="default" w:ascii="Times New Roman" w:hAnsi="Times New Roman" w:eastAsia="宋体" w:cs="Times New Roman"/>
          <w:color w:val="auto"/>
        </w:rPr>
        <w:t>NH</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-N</w:t>
      </w:r>
      <w:r>
        <w:rPr>
          <w:rFonts w:hint="default" w:ascii="Times New Roman" w:hAnsi="Times New Roman" w:eastAsia="宋体" w:cs="Times New Roman"/>
          <w:color w:val="auto"/>
          <w:kern w:val="0"/>
          <w:lang w:bidi="ar"/>
        </w:rPr>
        <w:t>30mg/L、TP5mg/L。施工人员生活废水污染源、处置措施及排放去向见表3.2-</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w:t>
      </w:r>
    </w:p>
    <w:p w14:paraId="1B5ECE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表3.2-</w:t>
      </w:r>
      <w:r>
        <w:rPr>
          <w:rFonts w:hint="eastAsia"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 xml:space="preserve"> </w:t>
      </w:r>
      <w:r>
        <w:rPr>
          <w:rFonts w:hint="eastAsia" w:cs="Times New Roman"/>
          <w:b/>
          <w:bCs/>
          <w:color w:val="auto"/>
          <w:kern w:val="0"/>
          <w:sz w:val="21"/>
          <w:szCs w:val="21"/>
          <w:lang w:val="en-US" w:eastAsia="zh-CN" w:bidi="ar"/>
        </w:rPr>
        <w:t xml:space="preserve"> </w:t>
      </w:r>
      <w:r>
        <w:rPr>
          <w:rFonts w:hint="default" w:ascii="Times New Roman" w:hAnsi="Times New Roman" w:eastAsia="宋体" w:cs="Times New Roman"/>
          <w:b/>
          <w:bCs/>
          <w:color w:val="auto"/>
          <w:kern w:val="0"/>
          <w:sz w:val="21"/>
          <w:szCs w:val="21"/>
          <w:lang w:bidi="ar"/>
        </w:rPr>
        <w:t>施工人员生活污水产生、处置及排放情况</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1005"/>
        <w:gridCol w:w="1107"/>
        <w:gridCol w:w="1107"/>
        <w:gridCol w:w="1150"/>
        <w:gridCol w:w="1194"/>
        <w:gridCol w:w="2121"/>
      </w:tblGrid>
      <w:tr w14:paraId="2D5B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832" w:type="dxa"/>
            <w:noWrap w:val="0"/>
            <w:vAlign w:val="center"/>
          </w:tcPr>
          <w:p w14:paraId="04E8B19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污染源</w:t>
            </w:r>
          </w:p>
        </w:tc>
        <w:tc>
          <w:tcPr>
            <w:tcW w:w="1005" w:type="dxa"/>
            <w:noWrap w:val="0"/>
            <w:vAlign w:val="center"/>
          </w:tcPr>
          <w:p w14:paraId="3C2A1C4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产生量（m</w:t>
            </w:r>
            <w:r>
              <w:rPr>
                <w:rFonts w:hint="default" w:ascii="Times New Roman" w:hAnsi="Times New Roman" w:eastAsia="宋体" w:cs="Times New Roman"/>
                <w:color w:val="auto"/>
                <w:kern w:val="0"/>
                <w:sz w:val="21"/>
                <w:szCs w:val="21"/>
                <w:vertAlign w:val="superscript"/>
                <w:lang w:bidi="ar"/>
              </w:rPr>
              <w:t>3</w:t>
            </w:r>
            <w:r>
              <w:rPr>
                <w:rFonts w:hint="default" w:ascii="Times New Roman" w:hAnsi="Times New Roman" w:eastAsia="宋体" w:cs="Times New Roman"/>
                <w:color w:val="auto"/>
                <w:kern w:val="0"/>
                <w:sz w:val="21"/>
                <w:szCs w:val="21"/>
                <w:lang w:bidi="ar"/>
              </w:rPr>
              <w:t>/d）</w:t>
            </w:r>
          </w:p>
        </w:tc>
        <w:tc>
          <w:tcPr>
            <w:tcW w:w="1107" w:type="dxa"/>
            <w:noWrap w:val="0"/>
            <w:vAlign w:val="center"/>
          </w:tcPr>
          <w:p w14:paraId="691677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污染因子</w:t>
            </w:r>
          </w:p>
        </w:tc>
        <w:tc>
          <w:tcPr>
            <w:tcW w:w="1107" w:type="dxa"/>
            <w:noWrap w:val="0"/>
            <w:vAlign w:val="center"/>
          </w:tcPr>
          <w:p w14:paraId="78D0DCE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产生源强</w:t>
            </w:r>
          </w:p>
          <w:p w14:paraId="1C92E39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mg/L</w:t>
            </w:r>
            <w:r>
              <w:rPr>
                <w:rFonts w:hint="default" w:ascii="Times New Roman" w:hAnsi="Times New Roman" w:eastAsia="宋体" w:cs="Times New Roman"/>
                <w:color w:val="auto"/>
                <w:kern w:val="0"/>
                <w:sz w:val="21"/>
                <w:szCs w:val="21"/>
                <w:lang w:eastAsia="zh-CN" w:bidi="ar"/>
              </w:rPr>
              <w:t>）</w:t>
            </w:r>
          </w:p>
        </w:tc>
        <w:tc>
          <w:tcPr>
            <w:tcW w:w="1150" w:type="dxa"/>
            <w:noWrap w:val="0"/>
            <w:vAlign w:val="center"/>
          </w:tcPr>
          <w:p w14:paraId="4A1A308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日产生量</w:t>
            </w:r>
          </w:p>
          <w:p w14:paraId="1CB2A4F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（kg/d）</w:t>
            </w:r>
          </w:p>
        </w:tc>
        <w:tc>
          <w:tcPr>
            <w:tcW w:w="1194" w:type="dxa"/>
            <w:noWrap w:val="0"/>
            <w:vAlign w:val="center"/>
          </w:tcPr>
          <w:p w14:paraId="679E558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总产生量（t/a）</w:t>
            </w:r>
          </w:p>
        </w:tc>
        <w:tc>
          <w:tcPr>
            <w:tcW w:w="2121" w:type="dxa"/>
            <w:noWrap w:val="0"/>
            <w:vAlign w:val="center"/>
          </w:tcPr>
          <w:p w14:paraId="239D846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治理措施</w:t>
            </w:r>
          </w:p>
        </w:tc>
      </w:tr>
      <w:tr w14:paraId="66A62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2" w:type="dxa"/>
            <w:vMerge w:val="restart"/>
            <w:noWrap w:val="0"/>
            <w:vAlign w:val="center"/>
          </w:tcPr>
          <w:p w14:paraId="498CCA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施工人员生活</w:t>
            </w:r>
          </w:p>
        </w:tc>
        <w:tc>
          <w:tcPr>
            <w:tcW w:w="1005" w:type="dxa"/>
            <w:vMerge w:val="restart"/>
            <w:noWrap w:val="0"/>
            <w:vAlign w:val="center"/>
          </w:tcPr>
          <w:p w14:paraId="0E01B53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w:t>
            </w:r>
          </w:p>
        </w:tc>
        <w:tc>
          <w:tcPr>
            <w:tcW w:w="1107" w:type="dxa"/>
            <w:noWrap w:val="0"/>
            <w:vAlign w:val="center"/>
          </w:tcPr>
          <w:p w14:paraId="3BFFE36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COD</w:t>
            </w:r>
            <w:r>
              <w:rPr>
                <w:rFonts w:hint="default" w:ascii="Times New Roman" w:hAnsi="Times New Roman" w:eastAsia="宋体" w:cs="Times New Roman"/>
                <w:color w:val="auto"/>
                <w:kern w:val="0"/>
                <w:sz w:val="21"/>
                <w:szCs w:val="21"/>
                <w:vertAlign w:val="subscript"/>
                <w:lang w:bidi="ar"/>
              </w:rPr>
              <w:t>cr</w:t>
            </w:r>
          </w:p>
        </w:tc>
        <w:tc>
          <w:tcPr>
            <w:tcW w:w="1107" w:type="dxa"/>
            <w:noWrap w:val="0"/>
            <w:vAlign w:val="center"/>
          </w:tcPr>
          <w:p w14:paraId="7969133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1150" w:type="dxa"/>
            <w:noWrap w:val="0"/>
            <w:vAlign w:val="center"/>
          </w:tcPr>
          <w:p w14:paraId="1EFF67B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0.6</w:t>
            </w:r>
          </w:p>
        </w:tc>
        <w:tc>
          <w:tcPr>
            <w:tcW w:w="1194" w:type="dxa"/>
            <w:noWrap w:val="0"/>
            <w:vAlign w:val="center"/>
          </w:tcPr>
          <w:p w14:paraId="15D1709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0.43</w:t>
            </w:r>
          </w:p>
        </w:tc>
        <w:tc>
          <w:tcPr>
            <w:tcW w:w="2121" w:type="dxa"/>
            <w:vMerge w:val="restart"/>
            <w:noWrap w:val="0"/>
            <w:vAlign w:val="center"/>
          </w:tcPr>
          <w:p w14:paraId="55BF10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依托租住居民住宅</w:t>
            </w:r>
          </w:p>
          <w:p w14:paraId="66941E2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的化粪池，经化粪池</w:t>
            </w:r>
          </w:p>
          <w:p w14:paraId="1E331F9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处理后作为农田菜</w:t>
            </w:r>
          </w:p>
          <w:p w14:paraId="6DA469F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地施肥，不外排</w:t>
            </w:r>
          </w:p>
        </w:tc>
      </w:tr>
      <w:tr w14:paraId="2311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2" w:type="dxa"/>
            <w:vMerge w:val="continue"/>
            <w:noWrap w:val="0"/>
            <w:vAlign w:val="center"/>
          </w:tcPr>
          <w:p w14:paraId="20E63A1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05" w:type="dxa"/>
            <w:vMerge w:val="continue"/>
            <w:noWrap w:val="0"/>
            <w:vAlign w:val="center"/>
          </w:tcPr>
          <w:p w14:paraId="487A05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07" w:type="dxa"/>
            <w:noWrap w:val="0"/>
            <w:vAlign w:val="center"/>
          </w:tcPr>
          <w:p w14:paraId="7FD67C5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BOD</w:t>
            </w:r>
            <w:r>
              <w:rPr>
                <w:rFonts w:hint="default" w:ascii="Times New Roman" w:hAnsi="Times New Roman" w:eastAsia="宋体" w:cs="Times New Roman"/>
                <w:color w:val="auto"/>
                <w:kern w:val="0"/>
                <w:sz w:val="21"/>
                <w:szCs w:val="21"/>
                <w:vertAlign w:val="subscript"/>
                <w:lang w:bidi="ar"/>
              </w:rPr>
              <w:t>5</w:t>
            </w:r>
          </w:p>
        </w:tc>
        <w:tc>
          <w:tcPr>
            <w:tcW w:w="1107" w:type="dxa"/>
            <w:noWrap w:val="0"/>
            <w:vAlign w:val="center"/>
          </w:tcPr>
          <w:p w14:paraId="1595070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1150" w:type="dxa"/>
            <w:noWrap w:val="0"/>
            <w:vAlign w:val="center"/>
          </w:tcPr>
          <w:p w14:paraId="66916CB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0.3</w:t>
            </w:r>
          </w:p>
        </w:tc>
        <w:tc>
          <w:tcPr>
            <w:tcW w:w="1194" w:type="dxa"/>
            <w:noWrap w:val="0"/>
            <w:vAlign w:val="center"/>
          </w:tcPr>
          <w:p w14:paraId="7BA2913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0.22</w:t>
            </w:r>
          </w:p>
        </w:tc>
        <w:tc>
          <w:tcPr>
            <w:tcW w:w="2121" w:type="dxa"/>
            <w:vMerge w:val="continue"/>
            <w:noWrap w:val="0"/>
            <w:vAlign w:val="center"/>
          </w:tcPr>
          <w:p w14:paraId="5E96B41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7A1D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2" w:type="dxa"/>
            <w:vMerge w:val="continue"/>
            <w:noWrap w:val="0"/>
            <w:vAlign w:val="center"/>
          </w:tcPr>
          <w:p w14:paraId="7BD5DB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05" w:type="dxa"/>
            <w:vMerge w:val="continue"/>
            <w:noWrap w:val="0"/>
            <w:vAlign w:val="center"/>
          </w:tcPr>
          <w:p w14:paraId="27BC9F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07" w:type="dxa"/>
            <w:noWrap w:val="0"/>
            <w:vAlign w:val="center"/>
          </w:tcPr>
          <w:p w14:paraId="5766013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SS</w:t>
            </w:r>
          </w:p>
        </w:tc>
        <w:tc>
          <w:tcPr>
            <w:tcW w:w="1107" w:type="dxa"/>
            <w:noWrap w:val="0"/>
            <w:vAlign w:val="center"/>
          </w:tcPr>
          <w:p w14:paraId="08F6AB4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w:t>
            </w:r>
          </w:p>
        </w:tc>
        <w:tc>
          <w:tcPr>
            <w:tcW w:w="1150" w:type="dxa"/>
            <w:noWrap w:val="0"/>
            <w:vAlign w:val="center"/>
          </w:tcPr>
          <w:p w14:paraId="3A2900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w:t>
            </w:r>
          </w:p>
        </w:tc>
        <w:tc>
          <w:tcPr>
            <w:tcW w:w="1194" w:type="dxa"/>
            <w:noWrap w:val="0"/>
            <w:vAlign w:val="center"/>
          </w:tcPr>
          <w:p w14:paraId="1661A4D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0.29</w:t>
            </w:r>
          </w:p>
        </w:tc>
        <w:tc>
          <w:tcPr>
            <w:tcW w:w="2121" w:type="dxa"/>
            <w:vMerge w:val="continue"/>
            <w:noWrap w:val="0"/>
            <w:vAlign w:val="center"/>
          </w:tcPr>
          <w:p w14:paraId="4868DA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25F66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2" w:type="dxa"/>
            <w:vMerge w:val="continue"/>
            <w:noWrap w:val="0"/>
            <w:vAlign w:val="center"/>
          </w:tcPr>
          <w:p w14:paraId="1214BD1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05" w:type="dxa"/>
            <w:vMerge w:val="continue"/>
            <w:noWrap w:val="0"/>
            <w:vAlign w:val="center"/>
          </w:tcPr>
          <w:p w14:paraId="633829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07" w:type="dxa"/>
            <w:noWrap w:val="0"/>
            <w:vAlign w:val="center"/>
          </w:tcPr>
          <w:p w14:paraId="7BCC942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NH</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-N</w:t>
            </w:r>
          </w:p>
        </w:tc>
        <w:tc>
          <w:tcPr>
            <w:tcW w:w="1107" w:type="dxa"/>
            <w:noWrap w:val="0"/>
            <w:vAlign w:val="center"/>
          </w:tcPr>
          <w:p w14:paraId="2852300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1150" w:type="dxa"/>
            <w:noWrap w:val="0"/>
            <w:vAlign w:val="center"/>
          </w:tcPr>
          <w:p w14:paraId="0B37693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0.05</w:t>
            </w:r>
          </w:p>
        </w:tc>
        <w:tc>
          <w:tcPr>
            <w:tcW w:w="1194" w:type="dxa"/>
            <w:noWrap w:val="0"/>
            <w:vAlign w:val="center"/>
          </w:tcPr>
          <w:p w14:paraId="3FB47F6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0.04</w:t>
            </w:r>
          </w:p>
        </w:tc>
        <w:tc>
          <w:tcPr>
            <w:tcW w:w="2121" w:type="dxa"/>
            <w:vMerge w:val="continue"/>
            <w:noWrap w:val="0"/>
            <w:vAlign w:val="center"/>
          </w:tcPr>
          <w:p w14:paraId="06249F3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6D95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32" w:type="dxa"/>
            <w:vMerge w:val="continue"/>
            <w:noWrap w:val="0"/>
            <w:vAlign w:val="center"/>
          </w:tcPr>
          <w:p w14:paraId="5055D58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005" w:type="dxa"/>
            <w:vMerge w:val="continue"/>
            <w:noWrap w:val="0"/>
            <w:vAlign w:val="center"/>
          </w:tcPr>
          <w:p w14:paraId="0E9D33A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07" w:type="dxa"/>
            <w:noWrap w:val="0"/>
            <w:vAlign w:val="center"/>
          </w:tcPr>
          <w:p w14:paraId="2845EAE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TP</w:t>
            </w:r>
          </w:p>
        </w:tc>
        <w:tc>
          <w:tcPr>
            <w:tcW w:w="1107" w:type="dxa"/>
            <w:noWrap w:val="0"/>
            <w:vAlign w:val="center"/>
          </w:tcPr>
          <w:p w14:paraId="2B13B8F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c>
          <w:tcPr>
            <w:tcW w:w="1150" w:type="dxa"/>
            <w:noWrap w:val="0"/>
            <w:vAlign w:val="center"/>
          </w:tcPr>
          <w:p w14:paraId="72B6BF8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0.01</w:t>
            </w:r>
          </w:p>
        </w:tc>
        <w:tc>
          <w:tcPr>
            <w:tcW w:w="1194" w:type="dxa"/>
            <w:noWrap w:val="0"/>
            <w:vAlign w:val="center"/>
          </w:tcPr>
          <w:p w14:paraId="0B3EABD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0.0072</w:t>
            </w:r>
          </w:p>
        </w:tc>
        <w:tc>
          <w:tcPr>
            <w:tcW w:w="2121" w:type="dxa"/>
            <w:vMerge w:val="continue"/>
            <w:noWrap w:val="0"/>
            <w:vAlign w:val="center"/>
          </w:tcPr>
          <w:p w14:paraId="3ED219A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bl>
    <w:p w14:paraId="6266CE8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项目施工期间不设施工营地，施工人员就近租住当地的民房，产生的生活污</w:t>
      </w:r>
    </w:p>
    <w:p w14:paraId="5B3D6FC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水依托租住居民住宅的化粪池，经化粪池处理后作为农田菜地施肥，不外排，</w:t>
      </w:r>
      <w:r>
        <w:rPr>
          <w:rFonts w:hint="eastAsia" w:cs="Times New Roman"/>
          <w:color w:val="auto"/>
          <w:kern w:val="0"/>
          <w:lang w:val="en-US" w:eastAsia="zh-CN" w:bidi="ar"/>
        </w:rPr>
        <w:t>根据</w:t>
      </w:r>
      <w:r>
        <w:rPr>
          <w:rFonts w:hint="default" w:ascii="Times New Roman" w:hAnsi="Times New Roman" w:cs="Times New Roman"/>
          <w:color w:val="auto"/>
          <w:lang w:eastAsia="zh-CN"/>
        </w:rPr>
        <w:t>《农村生活污水治理技术指南》</w:t>
      </w:r>
      <w:r>
        <w:rPr>
          <w:rFonts w:hint="eastAsia" w:cs="Times New Roman"/>
          <w:color w:val="auto"/>
          <w:lang w:eastAsia="zh-CN"/>
        </w:rPr>
        <w:t>（</w:t>
      </w:r>
      <w:r>
        <w:rPr>
          <w:rFonts w:hint="default" w:ascii="Times New Roman" w:hAnsi="Times New Roman" w:cs="Times New Roman"/>
          <w:color w:val="auto"/>
          <w:lang w:eastAsia="zh-CN"/>
        </w:rPr>
        <w:t>DB53/T</w:t>
      </w:r>
      <w:r>
        <w:rPr>
          <w:rFonts w:hint="eastAsia" w:cs="Times New Roman"/>
          <w:color w:val="auto"/>
          <w:lang w:val="en-US" w:eastAsia="zh-CN"/>
        </w:rPr>
        <w:t xml:space="preserve"> </w:t>
      </w:r>
      <w:r>
        <w:rPr>
          <w:rFonts w:hint="default" w:ascii="Times New Roman" w:hAnsi="Times New Roman" w:cs="Times New Roman"/>
          <w:color w:val="auto"/>
          <w:lang w:eastAsia="zh-CN"/>
        </w:rPr>
        <w:t>1163-2023</w:t>
      </w:r>
      <w:r>
        <w:rPr>
          <w:rFonts w:hint="eastAsia" w:cs="Times New Roman"/>
          <w:color w:val="auto"/>
          <w:lang w:eastAsia="zh-CN"/>
        </w:rPr>
        <w:t>），</w:t>
      </w:r>
      <w:r>
        <w:rPr>
          <w:rFonts w:hint="eastAsia" w:cs="Times New Roman"/>
          <w:color w:val="auto"/>
          <w:lang w:val="en-US" w:eastAsia="zh-CN"/>
        </w:rPr>
        <w:t>上述处理能满足要求，</w:t>
      </w:r>
      <w:r>
        <w:rPr>
          <w:rFonts w:hint="default" w:ascii="Times New Roman" w:hAnsi="Times New Roman" w:eastAsia="宋体" w:cs="Times New Roman"/>
          <w:color w:val="auto"/>
          <w:kern w:val="0"/>
          <w:lang w:bidi="ar"/>
        </w:rPr>
        <w:t>项目不设置专门的施工营地。</w:t>
      </w:r>
    </w:p>
    <w:p w14:paraId="01DC35F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（2）施工废水</w:t>
      </w:r>
    </w:p>
    <w:p w14:paraId="322A2C4E">
      <w:pPr>
        <w:widowControl/>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车辆、机械设备冲洗，施工机械跑、冒、滴、漏的污油及露天机械受雨水冲</w:t>
      </w:r>
    </w:p>
    <w:p w14:paraId="027F2CF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刷等将产生少量含油污水。本项目施工机械冲洗废水发生量为10m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/d，整个施工期12个月发生总量为7300m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。参照《</w:t>
      </w:r>
      <w:r>
        <w:rPr>
          <w:rFonts w:hint="default" w:ascii="Times New Roman" w:hAnsi="Times New Roman" w:eastAsia="宋体" w:cs="Times New Roman"/>
          <w:color w:val="auto"/>
          <w:kern w:val="0"/>
          <w:lang w:eastAsia="zh-CN" w:bidi="ar"/>
        </w:rPr>
        <w:t>公路建设项目环境影响评价规范</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eastAsia="zh-CN" w:bidi="ar"/>
        </w:rPr>
        <w:t>（JTG B03-2006）</w:t>
      </w:r>
      <w:r>
        <w:rPr>
          <w:rFonts w:hint="default" w:ascii="Times New Roman" w:hAnsi="Times New Roman" w:eastAsia="宋体" w:cs="Times New Roman"/>
          <w:color w:val="auto"/>
          <w:kern w:val="0"/>
          <w:lang w:bidi="ar"/>
        </w:rPr>
        <w:t>附录C表C4冲洗汽车污水成分参考值，施工机械冲洗废水的主要</w:t>
      </w:r>
    </w:p>
    <w:p w14:paraId="129B8AC3">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污染物浓度为COD200mg/L、SS4000mg/L、石油类30mg/L。</w:t>
      </w:r>
      <w:r>
        <w:rPr>
          <w:rFonts w:hint="eastAsia" w:cs="Times New Roman"/>
          <w:color w:val="auto"/>
          <w:kern w:val="0"/>
          <w:lang w:val="en-US" w:eastAsia="zh-CN" w:bidi="ar"/>
        </w:rPr>
        <w:t>由于施工路线较短，在施工场地中段设置</w:t>
      </w:r>
      <w:r>
        <w:rPr>
          <w:rFonts w:hint="default" w:ascii="Times New Roman" w:hAnsi="Times New Roman" w:eastAsia="宋体" w:cs="Times New Roman"/>
          <w:color w:val="auto"/>
          <w:kern w:val="0"/>
          <w:lang w:bidi="ar"/>
        </w:rPr>
        <w:t>隔油池</w:t>
      </w:r>
      <w:r>
        <w:rPr>
          <w:rFonts w:hint="eastAsia" w:cs="Times New Roman"/>
          <w:color w:val="auto"/>
          <w:kern w:val="0"/>
          <w:lang w:eastAsia="zh-CN" w:bidi="ar"/>
        </w:rPr>
        <w:t>（</w:t>
      </w:r>
      <w:r>
        <w:rPr>
          <w:rFonts w:hint="eastAsia" w:cs="Times New Roman"/>
          <w:color w:val="auto"/>
          <w:kern w:val="0"/>
          <w:lang w:val="en-US" w:eastAsia="zh-CN" w:bidi="ar"/>
        </w:rPr>
        <w:t>2m</w:t>
      </w:r>
      <w:r>
        <w:rPr>
          <w:rFonts w:hint="eastAsia" w:cs="Times New Roman"/>
          <w:color w:val="auto"/>
          <w:kern w:val="0"/>
          <w:vertAlign w:val="superscript"/>
          <w:lang w:val="en-US" w:eastAsia="zh-CN" w:bidi="ar"/>
        </w:rPr>
        <w:t>3</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、沉淀池</w:t>
      </w:r>
      <w:r>
        <w:rPr>
          <w:rFonts w:hint="eastAsia" w:cs="Times New Roman"/>
          <w:color w:val="auto"/>
          <w:kern w:val="0"/>
          <w:lang w:eastAsia="zh-CN" w:bidi="ar"/>
        </w:rPr>
        <w:t>（</w:t>
      </w:r>
      <w:r>
        <w:rPr>
          <w:rFonts w:hint="eastAsia" w:cs="Times New Roman"/>
          <w:color w:val="auto"/>
          <w:kern w:val="0"/>
          <w:lang w:val="en-US" w:eastAsia="zh-CN" w:bidi="ar"/>
        </w:rPr>
        <w:t>5m</w:t>
      </w:r>
      <w:r>
        <w:rPr>
          <w:rFonts w:hint="eastAsia" w:cs="Times New Roman"/>
          <w:color w:val="auto"/>
          <w:kern w:val="0"/>
          <w:vertAlign w:val="superscript"/>
          <w:lang w:val="en-US" w:eastAsia="zh-CN" w:bidi="ar"/>
        </w:rPr>
        <w:t>3</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处理施工机械冲洗废水，处理水储存于清水池</w:t>
      </w:r>
      <w:r>
        <w:rPr>
          <w:rFonts w:hint="eastAsia" w:cs="Times New Roman"/>
          <w:color w:val="auto"/>
          <w:kern w:val="0"/>
          <w:lang w:eastAsia="zh-CN" w:bidi="ar"/>
        </w:rPr>
        <w:t>（</w:t>
      </w:r>
      <w:r>
        <w:rPr>
          <w:rFonts w:hint="eastAsia" w:cs="Times New Roman"/>
          <w:color w:val="auto"/>
          <w:kern w:val="0"/>
          <w:lang w:val="en-US" w:eastAsia="zh-CN" w:bidi="ar"/>
        </w:rPr>
        <w:t>10m</w:t>
      </w:r>
      <w:r>
        <w:rPr>
          <w:rFonts w:hint="eastAsia" w:cs="Times New Roman"/>
          <w:color w:val="auto"/>
          <w:kern w:val="0"/>
          <w:vertAlign w:val="superscript"/>
          <w:lang w:val="en-US" w:eastAsia="zh-CN" w:bidi="ar"/>
        </w:rPr>
        <w:t>3</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中回用于再次机械冲洗，不外排。</w:t>
      </w:r>
    </w:p>
    <w:p w14:paraId="5A66766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（3）地表径流</w:t>
      </w:r>
    </w:p>
    <w:p w14:paraId="0212152E">
      <w:pPr>
        <w:widowControl/>
        <w:ind w:firstLine="480"/>
        <w:jc w:val="left"/>
        <w:rPr>
          <w:rFonts w:hint="default" w:ascii="Times New Roman" w:hAnsi="Times New Roman" w:eastAsia="宋体" w:cs="Times New Roman"/>
          <w:color w:val="auto"/>
          <w:kern w:val="0"/>
          <w:lang w:val="en-US" w:bidi="ar"/>
        </w:rPr>
      </w:pPr>
      <w:r>
        <w:rPr>
          <w:rFonts w:hint="eastAsia" w:cs="Times New Roman"/>
          <w:color w:val="auto"/>
          <w:kern w:val="0"/>
          <w:lang w:val="en-US" w:eastAsia="zh-CN" w:bidi="ar"/>
        </w:rPr>
        <w:t>1</w:t>
      </w:r>
      <w:r>
        <w:rPr>
          <w:rFonts w:hint="eastAsia" w:cs="Times New Roman"/>
          <w:color w:val="auto"/>
          <w:kern w:val="0"/>
          <w:lang w:eastAsia="zh-CN" w:bidi="ar"/>
        </w:rPr>
        <w:t>）</w:t>
      </w:r>
      <w:r>
        <w:rPr>
          <w:rFonts w:hint="eastAsia" w:cs="Times New Roman"/>
          <w:color w:val="auto"/>
          <w:kern w:val="0"/>
          <w:lang w:val="en-US" w:eastAsia="zh-CN" w:bidi="ar"/>
        </w:rPr>
        <w:t>工程区</w:t>
      </w:r>
    </w:p>
    <w:p w14:paraId="194BA5F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施工场地雨季地表径流冲刷浮土、建筑砂石等，不但会夹带大量的泥沙，还</w:t>
      </w:r>
    </w:p>
    <w:p w14:paraId="52259191">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会携带机械车辆在作业过程中产生的少量石油类污染物。因此，本项目施工临时</w:t>
      </w:r>
    </w:p>
    <w:p w14:paraId="309E0994">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场站砂石物料入棚；施工现场若堆放砂石料时，应采取苫盖措施，并于场界设置</w:t>
      </w:r>
    </w:p>
    <w:p w14:paraId="7DC7CA69">
      <w:pPr>
        <w:widowControl/>
        <w:ind w:firstLine="0" w:firstLineChars="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临时围挡并</w:t>
      </w:r>
      <w:r>
        <w:rPr>
          <w:rFonts w:hint="default" w:ascii="Times New Roman" w:hAnsi="Times New Roman" w:eastAsia="宋体" w:cs="Times New Roman"/>
          <w:color w:val="auto"/>
          <w:kern w:val="0"/>
          <w:lang w:eastAsia="zh-CN" w:bidi="ar"/>
        </w:rPr>
        <w:t>设置</w:t>
      </w:r>
      <w:r>
        <w:rPr>
          <w:rFonts w:hint="default" w:ascii="Times New Roman" w:hAnsi="Times New Roman" w:eastAsia="宋体" w:cs="Times New Roman"/>
          <w:color w:val="auto"/>
          <w:kern w:val="0"/>
          <w:lang w:bidi="ar"/>
        </w:rPr>
        <w:t>临时排水设施，雨水经简易隔砂池沉淀后再排出，同时废弃的施工物料及时清运。</w:t>
      </w:r>
    </w:p>
    <w:p w14:paraId="45B19909">
      <w:pPr>
        <w:widowControl/>
        <w:ind w:firstLine="480" w:firstLineChars="200"/>
        <w:jc w:val="left"/>
        <w:rPr>
          <w:rFonts w:hint="default" w:ascii="Times New Roman" w:hAnsi="Times New Roman" w:eastAsia="宋体" w:cs="Times New Roman"/>
          <w:color w:val="auto"/>
          <w:kern w:val="0"/>
          <w:lang w:val="en-US" w:eastAsia="zh-CN" w:bidi="ar"/>
        </w:rPr>
      </w:pPr>
      <w:r>
        <w:rPr>
          <w:rFonts w:hint="eastAsia" w:cs="Times New Roman"/>
          <w:color w:val="auto"/>
          <w:kern w:val="0"/>
          <w:lang w:val="en-US" w:eastAsia="zh-CN" w:bidi="ar"/>
        </w:rPr>
        <w:t>2）弃渣场区</w:t>
      </w:r>
    </w:p>
    <w:p w14:paraId="07EA9243">
      <w:pPr>
        <w:widowControl/>
        <w:ind w:firstLine="480" w:firstLineChars="2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val="en-US" w:eastAsia="zh-CN" w:bidi="ar"/>
        </w:rPr>
        <w:t>做好弃土场地的排水防护系统，设置场地外围的截水沟和排水，在弃土场上的排水沟渠，应注意排水沟渠的防渗和沟渠底坡度的设计，在弃方坡脚外一定的范围设置</w:t>
      </w:r>
      <w:r>
        <w:rPr>
          <w:rFonts w:hint="eastAsia" w:cs="Times New Roman"/>
          <w:color w:val="auto"/>
          <w:kern w:val="0"/>
          <w:lang w:val="en-US" w:eastAsia="zh-CN" w:bidi="ar"/>
        </w:rPr>
        <w:t>挡渣墙</w:t>
      </w:r>
      <w:r>
        <w:rPr>
          <w:rFonts w:hint="default" w:ascii="Times New Roman" w:hAnsi="Times New Roman" w:eastAsia="宋体" w:cs="Times New Roman"/>
          <w:color w:val="auto"/>
          <w:kern w:val="0"/>
          <w:lang w:val="en-US" w:eastAsia="zh-CN" w:bidi="ar"/>
        </w:rPr>
        <w:t>，并引导水流汇从涵洞或河流中，以防土堆被雨水冲刷，造成二次水土流失。</w:t>
      </w:r>
    </w:p>
    <w:p w14:paraId="31AA345D">
      <w:pPr>
        <w:pStyle w:val="32"/>
        <w:ind w:firstLine="480"/>
        <w:rPr>
          <w:rFonts w:hint="default" w:ascii="Times New Roman" w:hAnsi="Times New Roman" w:eastAsia="宋体" w:cs="Times New Roman"/>
          <w:b/>
          <w:bCs/>
          <w:snapToGrid w:val="0"/>
          <w:color w:val="auto"/>
          <w:kern w:val="0"/>
          <w:sz w:val="24"/>
          <w:szCs w:val="24"/>
          <w:lang w:val="en-US" w:eastAsia="zh-CN"/>
        </w:rPr>
      </w:pPr>
      <w:r>
        <w:rPr>
          <w:rFonts w:hint="eastAsia" w:hAnsi="Times New Roman" w:cs="Times New Roman"/>
          <w:b/>
          <w:bCs/>
          <w:snapToGrid w:val="0"/>
          <w:color w:val="auto"/>
          <w:kern w:val="0"/>
          <w:sz w:val="24"/>
          <w:szCs w:val="24"/>
          <w:lang w:eastAsia="zh-CN"/>
        </w:rPr>
        <w:t>（</w:t>
      </w:r>
      <w:r>
        <w:rPr>
          <w:rFonts w:hint="eastAsia" w:hAnsi="Times New Roman" w:cs="Times New Roman"/>
          <w:b/>
          <w:bCs/>
          <w:snapToGrid w:val="0"/>
          <w:color w:val="auto"/>
          <w:kern w:val="0"/>
          <w:sz w:val="24"/>
          <w:szCs w:val="24"/>
          <w:lang w:val="en-US" w:eastAsia="zh-CN"/>
        </w:rPr>
        <w:t>三</w:t>
      </w:r>
      <w:r>
        <w:rPr>
          <w:rFonts w:hint="eastAsia" w:hAnsi="Times New Roman" w:cs="Times New Roman"/>
          <w:b/>
          <w:bCs/>
          <w:snapToGrid w:val="0"/>
          <w:color w:val="auto"/>
          <w:kern w:val="0"/>
          <w:sz w:val="24"/>
          <w:szCs w:val="24"/>
          <w:lang w:eastAsia="zh-CN"/>
        </w:rPr>
        <w:t>）</w:t>
      </w:r>
      <w:r>
        <w:rPr>
          <w:rFonts w:hint="eastAsia" w:hAnsi="Times New Roman" w:cs="Times New Roman"/>
          <w:b/>
          <w:bCs/>
          <w:snapToGrid w:val="0"/>
          <w:color w:val="auto"/>
          <w:kern w:val="0"/>
          <w:sz w:val="24"/>
          <w:szCs w:val="24"/>
          <w:lang w:val="en-US" w:eastAsia="zh-CN"/>
        </w:rPr>
        <w:t>废气</w:t>
      </w:r>
    </w:p>
    <w:p w14:paraId="6AB9FDD1">
      <w:pPr>
        <w:pStyle w:val="32"/>
        <w:ind w:firstLine="480"/>
        <w:rPr>
          <w:rFonts w:hint="default" w:ascii="Times New Roman" w:hAnsi="Times New Roman" w:eastAsia="宋体" w:cs="Times New Roman"/>
          <w:snapToGrid w:val="0"/>
          <w:color w:val="auto"/>
          <w:kern w:val="0"/>
          <w:sz w:val="24"/>
          <w:szCs w:val="24"/>
        </w:rPr>
      </w:pPr>
      <w:r>
        <w:rPr>
          <w:rFonts w:hint="eastAsia" w:hAnsi="Times New Roman" w:cs="Times New Roman"/>
          <w:snapToGrid w:val="0"/>
          <w:color w:val="auto"/>
          <w:kern w:val="0"/>
          <w:sz w:val="24"/>
          <w:szCs w:val="24"/>
          <w:lang w:eastAsia="zh-CN"/>
        </w:rPr>
        <w:t>（</w:t>
      </w:r>
      <w:r>
        <w:rPr>
          <w:rFonts w:hint="eastAsia" w:hAnsi="Times New Roman" w:cs="Times New Roman"/>
          <w:snapToGrid w:val="0"/>
          <w:color w:val="auto"/>
          <w:kern w:val="0"/>
          <w:sz w:val="24"/>
          <w:szCs w:val="24"/>
          <w:lang w:val="en-US" w:eastAsia="zh-CN"/>
        </w:rPr>
        <w:t>1</w:t>
      </w:r>
      <w:r>
        <w:rPr>
          <w:rFonts w:hint="eastAsia" w:hAnsi="Times New Roman" w:cs="Times New Roman"/>
          <w:snapToGrid w:val="0"/>
          <w:color w:val="auto"/>
          <w:kern w:val="0"/>
          <w:sz w:val="24"/>
          <w:szCs w:val="24"/>
          <w:lang w:eastAsia="zh-CN"/>
        </w:rPr>
        <w:t>）</w:t>
      </w:r>
      <w:r>
        <w:rPr>
          <w:rFonts w:hint="default" w:ascii="Times New Roman" w:hAnsi="Times New Roman" w:eastAsia="宋体" w:cs="Times New Roman"/>
          <w:snapToGrid w:val="0"/>
          <w:color w:val="auto"/>
          <w:kern w:val="0"/>
          <w:sz w:val="24"/>
          <w:szCs w:val="24"/>
        </w:rPr>
        <w:t>沥青烟</w:t>
      </w:r>
    </w:p>
    <w:p w14:paraId="212E7C34">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工程采用沥青混凝土路面，沥青混凝土商购，在摊铺沥青路面过程中会产生少量的沥青烟气。沥青烟中含有总烃、总悬浮颗粒物、苯并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芘等污染物，将对空气环境产生一定的影响。沥青混凝土摊铺的过程中会对周边环境空气造成短时间的影响，苯并</w:t>
      </w: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芘浓度一般在下风向</w:t>
      </w:r>
      <w:r>
        <w:rPr>
          <w:rFonts w:hint="default" w:ascii="Times New Roman" w:hAnsi="Times New Roman" w:eastAsia="宋体" w:cs="Times New Roman"/>
          <w:color w:val="auto"/>
          <w:kern w:val="0"/>
          <w:sz w:val="24"/>
          <w:szCs w:val="24"/>
          <w:lang w:val="en-US" w:eastAsia="zh-CN" w:bidi="ar"/>
        </w:rPr>
        <w:t>50m</w:t>
      </w:r>
      <w:r>
        <w:rPr>
          <w:rFonts w:hint="eastAsia" w:ascii="宋体" w:hAnsi="宋体" w:eastAsia="宋体" w:cs="宋体"/>
          <w:color w:val="auto"/>
          <w:kern w:val="0"/>
          <w:sz w:val="24"/>
          <w:szCs w:val="24"/>
          <w:lang w:val="en-US" w:eastAsia="zh-CN" w:bidi="ar"/>
        </w:rPr>
        <w:t>外低于</w:t>
      </w:r>
      <w:r>
        <w:rPr>
          <w:rFonts w:hint="default" w:ascii="Times New Roman" w:hAnsi="Times New Roman" w:eastAsia="宋体" w:cs="Times New Roman"/>
          <w:color w:val="auto"/>
          <w:kern w:val="0"/>
          <w:sz w:val="24"/>
          <w:szCs w:val="24"/>
          <w:lang w:val="en-US" w:eastAsia="zh-CN" w:bidi="ar"/>
        </w:rPr>
        <w:t>0.001mg/m</w:t>
      </w:r>
      <w:r>
        <w:rPr>
          <w:rFonts w:hint="default" w:ascii="Times New Roman" w:hAnsi="Times New Roman" w:eastAsia="宋体" w:cs="Times New Roman"/>
          <w:color w:val="auto"/>
          <w:kern w:val="0"/>
          <w:sz w:val="24"/>
          <w:szCs w:val="24"/>
          <w:vertAlign w:val="superscript"/>
          <w:lang w:val="en-US" w:eastAsia="zh-CN" w:bidi="ar"/>
        </w:rPr>
        <w:t>3</w:t>
      </w:r>
      <w:r>
        <w:rPr>
          <w:rFonts w:hint="eastAsia" w:ascii="宋体" w:hAnsi="宋体" w:eastAsia="宋体" w:cs="宋体"/>
          <w:color w:val="auto"/>
          <w:kern w:val="0"/>
          <w:sz w:val="24"/>
          <w:szCs w:val="24"/>
          <w:lang w:val="en-US" w:eastAsia="zh-CN" w:bidi="ar"/>
        </w:rPr>
        <w:t>，其影响范围较小，时间也较短。沥青摊铺时经采取密闭加热摊铺装置，可减轻对环境空气和周边环境敏感点的影响。</w:t>
      </w:r>
    </w:p>
    <w:p w14:paraId="1808DB0F">
      <w:pPr>
        <w:widowControl/>
        <w:ind w:firstLine="480" w:firstLineChars="2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w:t>
      </w:r>
      <w:r>
        <w:rPr>
          <w:rFonts w:hint="eastAsia" w:ascii="Times New Roman" w:hAnsi="Times New Roman" w:eastAsia="宋体" w:cs="Times New Roman"/>
          <w:color w:val="auto"/>
          <w:kern w:val="0"/>
          <w:lang w:val="en-US" w:eastAsia="zh-CN" w:bidi="ar"/>
        </w:rPr>
        <w:t>2</w:t>
      </w:r>
      <w:r>
        <w:rPr>
          <w:rFonts w:hint="default" w:ascii="Times New Roman" w:hAnsi="Times New Roman" w:eastAsia="宋体" w:cs="Times New Roman"/>
          <w:color w:val="auto"/>
          <w:kern w:val="0"/>
          <w:lang w:bidi="ar"/>
        </w:rPr>
        <w:t>）施工扬尘</w:t>
      </w:r>
    </w:p>
    <w:p w14:paraId="7CD0587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项目在路基挖掘、物料装卸及场地平整等过</w:t>
      </w:r>
      <w:r>
        <w:rPr>
          <w:rFonts w:hint="default" w:ascii="Times New Roman" w:hAnsi="Times New Roman" w:eastAsia="宋体" w:cs="Times New Roman"/>
          <w:color w:val="auto"/>
          <w:kern w:val="0"/>
          <w:lang w:eastAsia="zh-CN" w:bidi="ar"/>
        </w:rPr>
        <w:t>程中</w:t>
      </w:r>
      <w:r>
        <w:rPr>
          <w:rFonts w:hint="default" w:ascii="Times New Roman" w:hAnsi="Times New Roman" w:eastAsia="宋体" w:cs="Times New Roman"/>
          <w:color w:val="auto"/>
          <w:kern w:val="0"/>
          <w:lang w:bidi="ar"/>
        </w:rPr>
        <w:t>产生的施工扬尘；项目施工扬尘对下风向环境空气质量产生一定的影响。</w:t>
      </w:r>
    </w:p>
    <w:p w14:paraId="66302B3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根据《扬尘源颗粒物排放清单编制技术指南（试行）》，施工扬尘源中颗粒</w:t>
      </w:r>
    </w:p>
    <w:p w14:paraId="6651318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物排放量计算公式如下：</w:t>
      </w:r>
    </w:p>
    <w:p w14:paraId="16DFF4A7">
      <w:pPr>
        <w:tabs>
          <w:tab w:val="left" w:pos="6303"/>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position w:val="-12"/>
        </w:rPr>
        <w:object>
          <v:shape id="_x0000_i1027" o:spt="75" type="#_x0000_t75" style="height:23.55pt;width:110.1pt;" o:ole="t" filled="f" o:preferrelative="t" stroked="f" coordsize="21600,21600">
            <v:path/>
            <v:fill on="f" focussize="0,0"/>
            <v:stroke on="f"/>
            <v:imagedata r:id="rId45" o:title=""/>
            <o:lock v:ext="edit" aspectratio="t"/>
            <w10:wrap type="none"/>
            <w10:anchorlock/>
          </v:shape>
          <o:OLEObject Type="Embed" ProgID="Equation.KSEE3" ShapeID="_x0000_i1027" DrawAspect="Content" ObjectID="_1468075727" r:id="rId44">
            <o:LockedField>false</o:LockedField>
          </o:OLEObject>
        </w:object>
      </w:r>
    </w:p>
    <w:p w14:paraId="6B147DE8">
      <w:pPr>
        <w:tabs>
          <w:tab w:val="left" w:pos="6303"/>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position w:val="-12"/>
        </w:rPr>
        <w:object>
          <v:shape id="_x0000_i1028" o:spt="75" type="#_x0000_t75" style="height:26.8pt;width:170.75pt;" o:ole="t" filled="f" o:preferrelative="t" stroked="f" coordsize="21600,21600">
            <v:path/>
            <v:fill on="f" focussize="0,0"/>
            <v:stroke on="f"/>
            <v:imagedata r:id="rId47" o:title=""/>
            <o:lock v:ext="edit" aspectratio="t"/>
            <w10:wrap type="none"/>
            <w10:anchorlock/>
          </v:shape>
          <o:OLEObject Type="Embed" ProgID="Equation.KSEE3" ShapeID="_x0000_i1028" DrawAspect="Content" ObjectID="_1468075728" r:id="rId46">
            <o:LockedField>false</o:LockedField>
          </o:OLEObject>
        </w:object>
      </w:r>
    </w:p>
    <w:p w14:paraId="2E786E8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式中：①W</w:t>
      </w:r>
      <w:r>
        <w:rPr>
          <w:rFonts w:hint="default" w:ascii="Times New Roman" w:hAnsi="Times New Roman" w:eastAsia="宋体" w:cs="Times New Roman"/>
          <w:color w:val="auto"/>
          <w:kern w:val="0"/>
          <w:vertAlign w:val="subscript"/>
          <w:lang w:bidi="ar"/>
        </w:rPr>
        <w:t>Ci</w:t>
      </w:r>
      <w:r>
        <w:rPr>
          <w:rFonts w:hint="default" w:ascii="Times New Roman" w:hAnsi="Times New Roman" w:eastAsia="宋体" w:cs="Times New Roman"/>
          <w:color w:val="auto"/>
          <w:kern w:val="0"/>
          <w:lang w:bidi="ar"/>
        </w:rPr>
        <w:t>为施工扬尘源中PMi总排放量，t/a;</w:t>
      </w:r>
    </w:p>
    <w:p w14:paraId="0701454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②E</w:t>
      </w:r>
      <w:r>
        <w:rPr>
          <w:rFonts w:hint="default" w:ascii="Times New Roman" w:hAnsi="Times New Roman" w:eastAsia="宋体" w:cs="Times New Roman"/>
          <w:color w:val="auto"/>
          <w:kern w:val="0"/>
          <w:vertAlign w:val="subscript"/>
          <w:lang w:bidi="ar"/>
        </w:rPr>
        <w:t>Ci</w:t>
      </w:r>
      <w:r>
        <w:rPr>
          <w:rFonts w:hint="default" w:ascii="Times New Roman" w:hAnsi="Times New Roman" w:eastAsia="宋体" w:cs="Times New Roman"/>
          <w:color w:val="auto"/>
          <w:kern w:val="0"/>
          <w:lang w:bidi="ar"/>
        </w:rPr>
        <w:t>为整个施工工地PMi的平均排放系数，t/（m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•月）</w:t>
      </w:r>
    </w:p>
    <w:p w14:paraId="0835F8A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③Ac为施工区域面积，m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，按道路长度与路基宽度的乘积计算。</w:t>
      </w:r>
    </w:p>
    <w:p w14:paraId="0758C03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④t为工地的施工月份数，本项目施工期为12个月。 </w:t>
      </w:r>
    </w:p>
    <w:p w14:paraId="3235AE5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⑤η为污染控制技术对扬尘的去除效率，采用《扬尘源颗粒物排放清单编制技术指南（试行）》表9中的推荐值96%。</w:t>
      </w:r>
    </w:p>
    <w:p w14:paraId="62580FD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由以上公式计算，施工扬尘颗粒物排放源强为0.018t/a、0.001kg/h。本项目</w:t>
      </w:r>
    </w:p>
    <w:p w14:paraId="6EC9AEB1">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为线性工程，周边环境相对比较开阔，有利于污染物扩散，经采取洒水抑尘、路面硬化、临村路段设置围挡等措施后，可有效降低扬尘排放量。</w:t>
      </w:r>
    </w:p>
    <w:p w14:paraId="48776BB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此外，建筑物拆迁工程也会引起一定的施工扬尘，采取围挡及洒水、加强通</w:t>
      </w:r>
    </w:p>
    <w:p w14:paraId="42BC17A5">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风等措施，同时拆迁建筑垃圾及时清运等措施。</w:t>
      </w:r>
    </w:p>
    <w:p w14:paraId="67FB7A7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w:t>
      </w:r>
      <w:r>
        <w:rPr>
          <w:rFonts w:hint="eastAsia" w:ascii="Times New Roman" w:hAnsi="Times New Roman" w:eastAsia="宋体" w:cs="Times New Roman"/>
          <w:color w:val="auto"/>
          <w:kern w:val="0"/>
          <w:lang w:val="en-US" w:eastAsia="zh-CN" w:bidi="ar"/>
        </w:rPr>
        <w:t>3</w:t>
      </w:r>
      <w:r>
        <w:rPr>
          <w:rFonts w:hint="default" w:ascii="Times New Roman" w:hAnsi="Times New Roman" w:eastAsia="宋体" w:cs="Times New Roman"/>
          <w:color w:val="auto"/>
          <w:kern w:val="0"/>
          <w:lang w:bidi="ar"/>
        </w:rPr>
        <w:t>）堆存扬尘</w:t>
      </w:r>
    </w:p>
    <w:p w14:paraId="27CE97D2">
      <w:pPr>
        <w:widowControl/>
        <w:ind w:firstLine="480"/>
        <w:jc w:val="left"/>
        <w:rPr>
          <w:rFonts w:hint="default" w:cs="Times New Roman"/>
          <w:color w:val="auto"/>
          <w:kern w:val="0"/>
          <w:lang w:val="en-US" w:eastAsia="zh-CN" w:bidi="ar"/>
        </w:rPr>
      </w:pPr>
      <w:r>
        <w:rPr>
          <w:rFonts w:hint="eastAsia" w:cs="Times New Roman"/>
          <w:color w:val="auto"/>
          <w:kern w:val="0"/>
          <w:lang w:val="en-US" w:eastAsia="zh-CN" w:bidi="ar"/>
        </w:rPr>
        <w:t>1</w:t>
      </w:r>
      <w:r>
        <w:rPr>
          <w:rFonts w:hint="eastAsia" w:cs="Times New Roman"/>
          <w:color w:val="auto"/>
          <w:kern w:val="0"/>
          <w:lang w:eastAsia="zh-CN" w:bidi="ar"/>
        </w:rPr>
        <w:t>）</w:t>
      </w:r>
      <w:r>
        <w:rPr>
          <w:rFonts w:hint="eastAsia" w:cs="Times New Roman"/>
          <w:color w:val="auto"/>
          <w:kern w:val="0"/>
          <w:lang w:val="en-US" w:eastAsia="zh-CN" w:bidi="ar"/>
        </w:rPr>
        <w:t>工程区堆场扬尘</w:t>
      </w:r>
    </w:p>
    <w:p w14:paraId="3A38C2E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裸露地表及砂石料和粉状物料堆存过程中在大风天气下极易起尘，使得堆存</w:t>
      </w:r>
    </w:p>
    <w:p w14:paraId="09EBE50E">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场所下风向环境空气中悬浮颗粒物浓度增加，从而对堆存场所下风向环境空气质</w:t>
      </w:r>
    </w:p>
    <w:p w14:paraId="0A32BAA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量造成一定的影响。根据相关研究资料分析，堆场主要的大气环境问题是粒径较</w:t>
      </w:r>
    </w:p>
    <w:p w14:paraId="0C4D01E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小的沙粒、灰渣在风力作用下起动输送，会对下风向大气环境造成污染。由于元江县多年平均风速为2.4m/s，风速较大，风吹作用的起尘量较多，但本项目所使</w:t>
      </w:r>
    </w:p>
    <w:p w14:paraId="3FAD4D0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用的砂石在0~35mm之间，自身较重不易被风吹起，堆场存放期间产生的粉尘较少，由于堆场全部封闭，同时对堆场定期洒水，因此，堆场产生的起尘量对周围环境影响甚微。</w:t>
      </w:r>
    </w:p>
    <w:p w14:paraId="2F4CEFFC">
      <w:pPr>
        <w:widowControl/>
        <w:ind w:firstLine="480"/>
        <w:jc w:val="left"/>
        <w:rPr>
          <w:rFonts w:hint="default" w:cs="Times New Roman"/>
          <w:color w:val="auto"/>
          <w:kern w:val="0"/>
          <w:lang w:val="en-US" w:eastAsia="zh-CN" w:bidi="ar"/>
        </w:rPr>
      </w:pPr>
      <w:r>
        <w:rPr>
          <w:rFonts w:hint="eastAsia" w:cs="Times New Roman"/>
          <w:color w:val="auto"/>
          <w:kern w:val="0"/>
          <w:lang w:val="en-US" w:eastAsia="zh-CN" w:bidi="ar"/>
        </w:rPr>
        <w:t>2</w:t>
      </w:r>
      <w:r>
        <w:rPr>
          <w:rFonts w:hint="eastAsia" w:cs="Times New Roman"/>
          <w:color w:val="auto"/>
          <w:kern w:val="0"/>
          <w:lang w:eastAsia="zh-CN" w:bidi="ar"/>
        </w:rPr>
        <w:t>）</w:t>
      </w:r>
      <w:r>
        <w:rPr>
          <w:rFonts w:hint="eastAsia" w:cs="Times New Roman"/>
          <w:color w:val="auto"/>
          <w:kern w:val="0"/>
          <w:lang w:val="en-US" w:eastAsia="zh-CN" w:bidi="ar"/>
        </w:rPr>
        <w:t>弃渣场区堆场扬尘</w:t>
      </w:r>
    </w:p>
    <w:p w14:paraId="2601AD57">
      <w:pPr>
        <w:keepNext w:val="0"/>
        <w:keepLines w:val="0"/>
        <w:widowControl/>
        <w:suppressLineNumbers w:val="0"/>
        <w:jc w:val="left"/>
        <w:rPr>
          <w:rFonts w:hint="default" w:ascii="Times New Roman" w:hAnsi="Times New Roman" w:eastAsia="宋体" w:cs="Times New Roman"/>
          <w:color w:val="auto"/>
          <w:kern w:val="0"/>
          <w:lang w:bidi="ar"/>
        </w:rPr>
      </w:pPr>
      <w:r>
        <w:rPr>
          <w:rFonts w:hint="eastAsia" w:ascii="宋体" w:hAnsi="宋体" w:eastAsia="宋体" w:cs="宋体"/>
          <w:color w:val="auto"/>
          <w:kern w:val="0"/>
          <w:sz w:val="24"/>
          <w:szCs w:val="24"/>
          <w:lang w:val="en-US" w:eastAsia="zh-CN" w:bidi="ar"/>
        </w:rPr>
        <w:t>弃土场周边多为林地且植被茂密，对扬尘起到抑制作用，弃土场运行过程中采取湿法除尘，设置水炮或洒水措施，降低扬尘量；对已完成的并可能产生扬尘污染的作业面，要采用防尘网覆盖，并尽快进行生态恢复，车辆冲洗轮胎后驶出场地；拉运车辆应密封或设置封盖顶棚。弃土场暂停使用的应当对裸露地面进行覆盖。拟建项目施工期弃土场采取以上措施后对外环境影响较小。</w:t>
      </w:r>
    </w:p>
    <w:p w14:paraId="1665656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w:t>
      </w:r>
      <w:r>
        <w:rPr>
          <w:rFonts w:hint="eastAsia" w:ascii="Times New Roman" w:hAnsi="Times New Roman" w:eastAsia="宋体" w:cs="Times New Roman"/>
          <w:color w:val="auto"/>
          <w:kern w:val="0"/>
          <w:lang w:val="en-US" w:eastAsia="zh-CN" w:bidi="ar"/>
        </w:rPr>
        <w:t>4</w:t>
      </w:r>
      <w:r>
        <w:rPr>
          <w:rFonts w:hint="default" w:ascii="Times New Roman" w:hAnsi="Times New Roman" w:eastAsia="宋体" w:cs="Times New Roman"/>
          <w:color w:val="auto"/>
          <w:kern w:val="0"/>
          <w:lang w:bidi="ar"/>
        </w:rPr>
        <w:t>）道路扬尘</w:t>
      </w:r>
    </w:p>
    <w:p w14:paraId="28CA61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施工区内车辆运输引起的道路扬尘约占场地扬尘总量的50%以上，道路扬尘的起尘量与运输车辆的车速、路面含尘量、相对湿度等因素有关。根据同类工程</w:t>
      </w:r>
    </w:p>
    <w:p w14:paraId="4E64B99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建设经验，施工期施工区内运输车辆大多行驶在现有乡村道路上，路面含尘量高，</w:t>
      </w:r>
    </w:p>
    <w:p w14:paraId="1AC1DFB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道路扬尘比较严重。根据《扬尘源颗粒物排放清单编制技术指南（试行）》，每条道路的扬尘排放量计算公式如下：</w:t>
      </w:r>
    </w:p>
    <w:p w14:paraId="52541FE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619500" cy="438150"/>
            <wp:effectExtent l="0" t="0" r="0" b="0"/>
            <wp:docPr id="1"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4"/>
                    <pic:cNvPicPr>
                      <a:picLocks noChangeAspect="1"/>
                    </pic:cNvPicPr>
                  </pic:nvPicPr>
                  <pic:blipFill>
                    <a:blip r:embed="rId48"/>
                    <a:stretch>
                      <a:fillRect/>
                    </a:stretch>
                  </pic:blipFill>
                  <pic:spPr>
                    <a:xfrm>
                      <a:off x="0" y="0"/>
                      <a:ext cx="3619500" cy="438150"/>
                    </a:xfrm>
                    <a:prstGeom prst="rect">
                      <a:avLst/>
                    </a:prstGeom>
                    <a:noFill/>
                    <a:ln>
                      <a:noFill/>
                    </a:ln>
                  </pic:spPr>
                </pic:pic>
              </a:graphicData>
            </a:graphic>
          </wp:inline>
        </w:drawing>
      </w:r>
    </w:p>
    <w:p w14:paraId="1F85E77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式中：①W</w:t>
      </w:r>
      <w:r>
        <w:rPr>
          <w:rFonts w:hint="default" w:ascii="Times New Roman" w:hAnsi="Times New Roman" w:eastAsia="宋体" w:cs="Times New Roman"/>
          <w:color w:val="auto"/>
          <w:kern w:val="0"/>
          <w:vertAlign w:val="subscript"/>
          <w:lang w:bidi="ar"/>
        </w:rPr>
        <w:t>Ri</w:t>
      </w:r>
      <w:r>
        <w:rPr>
          <w:rFonts w:hint="default" w:ascii="Times New Roman" w:hAnsi="Times New Roman" w:eastAsia="宋体" w:cs="Times New Roman"/>
          <w:color w:val="auto"/>
          <w:kern w:val="0"/>
          <w:lang w:bidi="ar"/>
        </w:rPr>
        <w:t>为道路扬尘源中颗粒物PMi的总排放量，t；</w:t>
      </w:r>
    </w:p>
    <w:p w14:paraId="760C703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②E</w:t>
      </w:r>
      <w:r>
        <w:rPr>
          <w:rFonts w:hint="default" w:ascii="Times New Roman" w:hAnsi="Times New Roman" w:eastAsia="宋体" w:cs="Times New Roman"/>
          <w:color w:val="auto"/>
          <w:kern w:val="0"/>
          <w:vertAlign w:val="subscript"/>
          <w:lang w:bidi="ar"/>
        </w:rPr>
        <w:t>Ri</w:t>
      </w:r>
      <w:r>
        <w:rPr>
          <w:rFonts w:hint="default" w:ascii="Times New Roman" w:hAnsi="Times New Roman" w:eastAsia="宋体" w:cs="Times New Roman"/>
          <w:color w:val="auto"/>
          <w:kern w:val="0"/>
          <w:lang w:bidi="ar"/>
        </w:rPr>
        <w:t>为道路扬尘源中PMi平均排放系数，g/(km•辆</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w:t>
      </w:r>
    </w:p>
    <w:p w14:paraId="5603CCC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③L</w:t>
      </w:r>
      <w:r>
        <w:rPr>
          <w:rFonts w:hint="default" w:ascii="Times New Roman" w:hAnsi="Times New Roman" w:eastAsia="宋体" w:cs="Times New Roman"/>
          <w:color w:val="auto"/>
          <w:kern w:val="0"/>
          <w:vertAlign w:val="subscript"/>
          <w:lang w:bidi="ar"/>
        </w:rPr>
        <w:t>R</w:t>
      </w:r>
      <w:r>
        <w:rPr>
          <w:rFonts w:hint="default" w:ascii="Times New Roman" w:hAnsi="Times New Roman" w:eastAsia="宋体" w:cs="Times New Roman"/>
          <w:color w:val="auto"/>
          <w:kern w:val="0"/>
          <w:lang w:bidi="ar"/>
        </w:rPr>
        <w:t>为道路长度，km，本次按最长施工便道（利用现有道路）2.0km计；</w:t>
      </w:r>
    </w:p>
    <w:p w14:paraId="06A82B7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④N</w:t>
      </w:r>
      <w:r>
        <w:rPr>
          <w:rFonts w:hint="default" w:ascii="Times New Roman" w:hAnsi="Times New Roman" w:eastAsia="宋体" w:cs="Times New Roman"/>
          <w:color w:val="auto"/>
          <w:kern w:val="0"/>
          <w:vertAlign w:val="subscript"/>
          <w:lang w:bidi="ar"/>
        </w:rPr>
        <w:t>R</w:t>
      </w:r>
      <w:r>
        <w:rPr>
          <w:rFonts w:hint="default" w:ascii="Times New Roman" w:hAnsi="Times New Roman" w:eastAsia="宋体" w:cs="Times New Roman"/>
          <w:color w:val="auto"/>
          <w:kern w:val="0"/>
          <w:lang w:bidi="ar"/>
        </w:rPr>
        <w:t>为一定时期内车辆在该段道路上的平均车流量，本次按最大10辆/h计；</w:t>
      </w:r>
    </w:p>
    <w:p w14:paraId="3864187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⑤n</w:t>
      </w:r>
      <w:r>
        <w:rPr>
          <w:rFonts w:hint="default" w:ascii="Times New Roman" w:hAnsi="Times New Roman" w:eastAsia="宋体" w:cs="Times New Roman"/>
          <w:color w:val="auto"/>
          <w:kern w:val="0"/>
          <w:vertAlign w:val="subscript"/>
          <w:lang w:bidi="ar"/>
        </w:rPr>
        <w:t>r</w:t>
      </w:r>
      <w:r>
        <w:rPr>
          <w:rFonts w:hint="default" w:ascii="Times New Roman" w:hAnsi="Times New Roman" w:eastAsia="宋体" w:cs="Times New Roman"/>
          <w:color w:val="auto"/>
          <w:kern w:val="0"/>
          <w:lang w:bidi="ar"/>
        </w:rPr>
        <w:t>为不起尘天数。（忽略不计）。</w:t>
      </w:r>
    </w:p>
    <w:p w14:paraId="712E9B1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对于未铺装道路，扬尘排放系数计算公式如下：</w:t>
      </w:r>
    </w:p>
    <w:p w14:paraId="0802A01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171825" cy="495300"/>
            <wp:effectExtent l="0" t="0" r="9525" b="0"/>
            <wp:docPr id="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5"/>
                    <pic:cNvPicPr>
                      <a:picLocks noChangeAspect="1"/>
                    </pic:cNvPicPr>
                  </pic:nvPicPr>
                  <pic:blipFill>
                    <a:blip r:embed="rId49"/>
                    <a:stretch>
                      <a:fillRect/>
                    </a:stretch>
                  </pic:blipFill>
                  <pic:spPr>
                    <a:xfrm>
                      <a:off x="0" y="0"/>
                      <a:ext cx="3171825" cy="495300"/>
                    </a:xfrm>
                    <a:prstGeom prst="rect">
                      <a:avLst/>
                    </a:prstGeom>
                    <a:noFill/>
                    <a:ln>
                      <a:noFill/>
                    </a:ln>
                  </pic:spPr>
                </pic:pic>
              </a:graphicData>
            </a:graphic>
          </wp:inline>
        </w:drawing>
      </w:r>
    </w:p>
    <w:p w14:paraId="680EA30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式中：①E</w:t>
      </w:r>
      <w:r>
        <w:rPr>
          <w:rFonts w:hint="default" w:ascii="Times New Roman" w:hAnsi="Times New Roman" w:eastAsia="宋体" w:cs="Times New Roman"/>
          <w:color w:val="auto"/>
          <w:kern w:val="0"/>
          <w:vertAlign w:val="subscript"/>
          <w:lang w:bidi="ar"/>
        </w:rPr>
        <w:t>UPi</w:t>
      </w:r>
      <w:r>
        <w:rPr>
          <w:rFonts w:hint="default" w:ascii="Times New Roman" w:hAnsi="Times New Roman" w:eastAsia="宋体" w:cs="Times New Roman"/>
          <w:color w:val="auto"/>
          <w:kern w:val="0"/>
          <w:lang w:bidi="ar"/>
        </w:rPr>
        <w:t>为未铺装道路扬尘中PMi的排放系数，g/km；</w:t>
      </w:r>
    </w:p>
    <w:p w14:paraId="0013E0B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②K</w:t>
      </w:r>
      <w:r>
        <w:rPr>
          <w:rFonts w:hint="default" w:ascii="Times New Roman" w:hAnsi="Times New Roman" w:eastAsia="宋体" w:cs="Times New Roman"/>
          <w:color w:val="auto"/>
          <w:kern w:val="0"/>
          <w:vertAlign w:val="subscript"/>
          <w:lang w:bidi="ar"/>
        </w:rPr>
        <w:t>i</w:t>
      </w:r>
      <w:r>
        <w:rPr>
          <w:rFonts w:hint="default" w:ascii="Times New Roman" w:hAnsi="Times New Roman" w:eastAsia="宋体" w:cs="Times New Roman"/>
          <w:color w:val="auto"/>
          <w:kern w:val="0"/>
          <w:lang w:bidi="ar"/>
        </w:rPr>
        <w:t>为产生的扬尘中PMi的粒度乘数，采用《扬尘源颗粒物排放清单编制技术指南（试行）》表7推荐值，TSP1691.4g/km，a为0.3，b为0.3；</w:t>
      </w:r>
    </w:p>
    <w:p w14:paraId="3A9BECF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③s为道路表面有效积尘率，本次取80%； </w:t>
      </w:r>
    </w:p>
    <w:p w14:paraId="78DFFCC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④v为平均车速，本次取60km/h； </w:t>
      </w:r>
    </w:p>
    <w:p w14:paraId="4CB96A0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⑤M为道路积尘含水率，本项目施工期定期对施工便道（利用现有道</w:t>
      </w:r>
    </w:p>
    <w:p w14:paraId="510D731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路）洒水抑尘，取20%；</w:t>
      </w:r>
    </w:p>
    <w:p w14:paraId="20E6AEB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⑥η为污染控制技术对扬尘的去除效率，采用《扬尘源颗粒物排放清单编制技术指南（试行）》表8中洒水2次/天的推荐值66%。</w:t>
      </w:r>
    </w:p>
    <w:p w14:paraId="53DAAB3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由以上公式计算，施工期道路扬尘颗粒物排放源强为0.894kg/h。据有关资料，在距路边下风向50m，TSP浓度大于10mg/m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；距路边下风向150m，TSP浓度大于5mg/m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。因此，应加强路面洒水抑尘和规范运输方式，可有效减少道路扬尘对周围环境空气的影响。</w:t>
      </w:r>
    </w:p>
    <w:p w14:paraId="76B8C29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（5）车辆和机械尾气</w:t>
      </w:r>
    </w:p>
    <w:p w14:paraId="5C35120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期运输车辆和施工机械会产生尾气，其污染物主要包括CO、NOx、HC等，项目施工期间通过采取采用尾气达标排放的运输车辆和施工机械，燃油车辆、机械使用优质燃料，加强对施工机械维护管理，运输车辆统一调度、避免出现拥挤尾气排放增加等措施，可有效降低尾气的排放，同时项目沿线较为空旷，扩散条件较好，项目建设不会对周围环境空气产生明显影响，且影响是短暂的，随着施工期的结束而结束。</w:t>
      </w:r>
    </w:p>
    <w:p w14:paraId="5A5F6236">
      <w:pPr>
        <w:adjustRightInd w:val="0"/>
        <w:textAlignment w:val="baseline"/>
        <w:rPr>
          <w:rFonts w:hint="default" w:ascii="Times New Roman" w:hAnsi="Times New Roman" w:eastAsia="宋体" w:cs="Times New Roman"/>
          <w:color w:val="auto"/>
          <w:kern w:val="0"/>
          <w:lang w:val="en-US" w:eastAsia="zh-CN"/>
        </w:rPr>
      </w:pPr>
      <w:r>
        <w:rPr>
          <w:rFonts w:hint="eastAsia" w:cs="Times New Roman"/>
          <w:color w:val="auto"/>
          <w:kern w:val="0"/>
          <w:lang w:eastAsia="zh-CN"/>
        </w:rPr>
        <w:t>（</w:t>
      </w:r>
      <w:r>
        <w:rPr>
          <w:rFonts w:hint="eastAsia" w:cs="Times New Roman"/>
          <w:color w:val="auto"/>
          <w:kern w:val="0"/>
          <w:lang w:val="en-US" w:eastAsia="zh-CN"/>
        </w:rPr>
        <w:t>6</w:t>
      </w:r>
      <w:r>
        <w:rPr>
          <w:rFonts w:hint="eastAsia" w:cs="Times New Roman"/>
          <w:color w:val="auto"/>
          <w:kern w:val="0"/>
          <w:lang w:eastAsia="zh-CN"/>
        </w:rPr>
        <w:t>）</w:t>
      </w:r>
      <w:r>
        <w:rPr>
          <w:rFonts w:hint="eastAsia" w:cs="Times New Roman"/>
          <w:color w:val="auto"/>
          <w:kern w:val="0"/>
          <w:lang w:val="en-US" w:eastAsia="zh-CN"/>
        </w:rPr>
        <w:t>临时拌合站扬尘</w:t>
      </w:r>
    </w:p>
    <w:p w14:paraId="08FDF6A0">
      <w:pPr>
        <w:pStyle w:val="50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eastAsia" w:ascii="Times New Roman" w:hAnsi="Times New Roman" w:eastAsia="宋体"/>
          <w:color w:val="auto"/>
          <w:spacing w:val="0"/>
          <w:w w:val="100"/>
          <w:sz w:val="24"/>
          <w:szCs w:val="24"/>
          <w:highlight w:val="none"/>
          <w:lang w:bidi="ar"/>
        </w:rPr>
      </w:pPr>
      <w:r>
        <w:rPr>
          <w:rFonts w:hint="eastAsia" w:ascii="Times New Roman" w:hAnsi="Times New Roman" w:eastAsia="宋体"/>
          <w:color w:val="auto"/>
          <w:spacing w:val="0"/>
          <w:w w:val="100"/>
          <w:sz w:val="24"/>
          <w:szCs w:val="24"/>
          <w:highlight w:val="none"/>
          <w:lang w:bidi="ar"/>
        </w:rPr>
        <w:t>根据经验数据，在拌合站下风向50m处大气中TSP浓度8.849mg/m</w:t>
      </w:r>
      <w:r>
        <w:rPr>
          <w:rFonts w:hint="eastAsia" w:ascii="Times New Roman" w:hAnsi="Times New Roman" w:eastAsia="宋体"/>
          <w:color w:val="auto"/>
          <w:spacing w:val="0"/>
          <w:w w:val="100"/>
          <w:sz w:val="24"/>
          <w:szCs w:val="24"/>
          <w:highlight w:val="none"/>
          <w:vertAlign w:val="superscript"/>
          <w:lang w:bidi="ar"/>
        </w:rPr>
        <w:t>3</w:t>
      </w:r>
      <w:r>
        <w:rPr>
          <w:rFonts w:hint="eastAsia" w:ascii="Times New Roman" w:hAnsi="Times New Roman" w:eastAsia="宋体"/>
          <w:color w:val="auto"/>
          <w:spacing w:val="0"/>
          <w:w w:val="100"/>
          <w:sz w:val="24"/>
          <w:szCs w:val="24"/>
          <w:highlight w:val="none"/>
          <w:lang w:bidi="ar"/>
        </w:rPr>
        <w:t>，100m处为1.703mg/m</w:t>
      </w:r>
      <w:r>
        <w:rPr>
          <w:rFonts w:hint="eastAsia" w:ascii="Times New Roman" w:hAnsi="Times New Roman" w:eastAsia="宋体"/>
          <w:color w:val="auto"/>
          <w:spacing w:val="0"/>
          <w:w w:val="100"/>
          <w:sz w:val="24"/>
          <w:szCs w:val="24"/>
          <w:highlight w:val="none"/>
          <w:vertAlign w:val="superscript"/>
          <w:lang w:bidi="ar"/>
        </w:rPr>
        <w:t>3</w:t>
      </w:r>
      <w:r>
        <w:rPr>
          <w:rFonts w:hint="eastAsia" w:ascii="Times New Roman" w:hAnsi="Times New Roman" w:eastAsia="宋体"/>
          <w:color w:val="auto"/>
          <w:spacing w:val="0"/>
          <w:w w:val="100"/>
          <w:sz w:val="24"/>
          <w:szCs w:val="24"/>
          <w:highlight w:val="none"/>
          <w:lang w:bidi="ar"/>
        </w:rPr>
        <w:t>，150m处为0.483mg/m</w:t>
      </w:r>
      <w:r>
        <w:rPr>
          <w:rFonts w:hint="eastAsia" w:ascii="Times New Roman" w:hAnsi="Times New Roman" w:eastAsia="宋体"/>
          <w:color w:val="auto"/>
          <w:spacing w:val="0"/>
          <w:w w:val="100"/>
          <w:sz w:val="24"/>
          <w:szCs w:val="24"/>
          <w:highlight w:val="none"/>
          <w:vertAlign w:val="superscript"/>
          <w:lang w:bidi="ar"/>
        </w:rPr>
        <w:t>3</w:t>
      </w:r>
      <w:r>
        <w:rPr>
          <w:rFonts w:hint="eastAsia" w:ascii="Times New Roman" w:hAnsi="Times New Roman" w:eastAsia="宋体"/>
          <w:color w:val="auto"/>
          <w:spacing w:val="0"/>
          <w:w w:val="100"/>
          <w:sz w:val="24"/>
          <w:szCs w:val="24"/>
          <w:highlight w:val="none"/>
          <w:lang w:bidi="ar"/>
        </w:rPr>
        <w:t>，在200m外基本上能达到国家环境空气质量二级标准的要求。按上述监测数据和环境空气质量标准进行衡量，应将拌合站设在村庄敏感点的下风向200m之外或避开下风向200m范围内的村庄、学校。另外，根据《云南省生态环境厅 云南省交通运输厅关于加强高等级公路建设项目施工扬尘污染防治的通知》（云环发</w:t>
      </w:r>
      <w:r>
        <w:rPr>
          <w:rFonts w:hint="default" w:ascii="Times New Roman" w:hAnsi="Times New Roman" w:eastAsia="宋体" w:cs="Times New Roman"/>
          <w:color w:val="auto"/>
          <w:spacing w:val="0"/>
          <w:w w:val="100"/>
          <w:sz w:val="24"/>
          <w:szCs w:val="24"/>
          <w:highlight w:val="none"/>
          <w:lang w:bidi="ar"/>
        </w:rPr>
        <w:t>〔</w:t>
      </w:r>
      <w:r>
        <w:rPr>
          <w:rFonts w:hint="default" w:ascii="Times New Roman" w:hAnsi="Times New Roman" w:eastAsia="宋体" w:cs="Times New Roman"/>
          <w:color w:val="auto"/>
          <w:spacing w:val="0"/>
          <w:w w:val="100"/>
          <w:sz w:val="24"/>
          <w:szCs w:val="24"/>
          <w:highlight w:val="none"/>
          <w:lang w:val="en-US" w:eastAsia="zh-CN" w:bidi="ar"/>
        </w:rPr>
        <w:t>2021</w:t>
      </w:r>
      <w:r>
        <w:rPr>
          <w:rFonts w:hint="default" w:ascii="Times New Roman" w:hAnsi="Times New Roman" w:eastAsia="宋体" w:cs="Times New Roman"/>
          <w:color w:val="auto"/>
          <w:spacing w:val="0"/>
          <w:w w:val="100"/>
          <w:sz w:val="24"/>
          <w:szCs w:val="24"/>
          <w:highlight w:val="none"/>
          <w:lang w:bidi="ar"/>
        </w:rPr>
        <w:t>〕</w:t>
      </w:r>
      <w:r>
        <w:rPr>
          <w:rFonts w:hint="eastAsia" w:ascii="Times New Roman" w:hAnsi="Times New Roman" w:eastAsia="宋体"/>
          <w:color w:val="auto"/>
          <w:spacing w:val="0"/>
          <w:w w:val="100"/>
          <w:sz w:val="24"/>
          <w:szCs w:val="24"/>
          <w:highlight w:val="none"/>
          <w:lang w:bidi="ar"/>
        </w:rPr>
        <w:t>6号）要求：“沥青搅拌场站距村庄、学校、医院及人口密集区等环境敏感目标的距离不小于300m，混合料拌和站距环境敏感目标的距离不小于200m，并应设置在当地施工季节主导风向的下风向。”</w:t>
      </w:r>
    </w:p>
    <w:p w14:paraId="03D45F77">
      <w:pPr>
        <w:pStyle w:val="507"/>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80" w:firstLineChars="200"/>
        <w:textAlignment w:val="auto"/>
        <w:outlineLvl w:val="9"/>
        <w:rPr>
          <w:rFonts w:hint="eastAsia" w:ascii="Times New Roman" w:hAnsi="Times New Roman" w:eastAsia="宋体"/>
          <w:color w:val="auto"/>
          <w:spacing w:val="0"/>
          <w:w w:val="100"/>
          <w:sz w:val="24"/>
          <w:szCs w:val="24"/>
          <w:highlight w:val="none"/>
          <w:lang w:bidi="ar"/>
        </w:rPr>
      </w:pPr>
      <w:r>
        <w:rPr>
          <w:rFonts w:hint="eastAsia"/>
          <w:color w:val="auto"/>
          <w:spacing w:val="0"/>
          <w:w w:val="100"/>
          <w:sz w:val="24"/>
          <w:szCs w:val="24"/>
          <w:highlight w:val="none"/>
          <w:lang w:val="en-US" w:eastAsia="zh-CN" w:bidi="ar"/>
        </w:rPr>
        <w:t>项目设置不设置沥青拌合站，设置1处临时</w:t>
      </w:r>
      <w:r>
        <w:rPr>
          <w:rFonts w:hint="eastAsia" w:ascii="Times New Roman" w:hAnsi="Times New Roman" w:eastAsia="宋体"/>
          <w:color w:val="auto"/>
          <w:spacing w:val="0"/>
          <w:w w:val="100"/>
          <w:sz w:val="24"/>
          <w:szCs w:val="24"/>
          <w:highlight w:val="none"/>
          <w:lang w:bidi="ar"/>
        </w:rPr>
        <w:t>混合料拌和站，</w:t>
      </w:r>
      <w:r>
        <w:rPr>
          <w:rFonts w:hint="eastAsia" w:ascii="Times New Roman" w:hAnsi="Times New Roman" w:eastAsia="宋体"/>
          <w:color w:val="auto"/>
          <w:spacing w:val="0"/>
          <w:w w:val="100"/>
          <w:sz w:val="24"/>
          <w:szCs w:val="24"/>
          <w:highlight w:val="none"/>
          <w:lang w:val="en-US" w:eastAsia="zh-CN" w:bidi="ar"/>
        </w:rPr>
        <w:t>根据现场核实，临时拌合站</w:t>
      </w:r>
      <w:r>
        <w:rPr>
          <w:rFonts w:hint="eastAsia" w:ascii="Times New Roman" w:hAnsi="Times New Roman" w:eastAsia="宋体"/>
          <w:color w:val="auto"/>
          <w:spacing w:val="0"/>
          <w:w w:val="100"/>
          <w:sz w:val="24"/>
          <w:szCs w:val="24"/>
          <w:highlight w:val="none"/>
          <w:lang w:bidi="ar"/>
        </w:rPr>
        <w:t>200m</w:t>
      </w:r>
      <w:r>
        <w:rPr>
          <w:rFonts w:hint="eastAsia" w:ascii="Times New Roman" w:hAnsi="Times New Roman" w:eastAsia="宋体"/>
          <w:color w:val="auto"/>
          <w:spacing w:val="0"/>
          <w:w w:val="100"/>
          <w:sz w:val="24"/>
          <w:szCs w:val="24"/>
          <w:highlight w:val="none"/>
          <w:lang w:val="en-US" w:eastAsia="zh-CN" w:bidi="ar"/>
        </w:rPr>
        <w:t>内无环境敏感目标</w:t>
      </w:r>
      <w:r>
        <w:rPr>
          <w:rFonts w:hint="eastAsia" w:ascii="Times New Roman" w:hAnsi="Times New Roman" w:eastAsia="宋体"/>
          <w:color w:val="auto"/>
          <w:spacing w:val="0"/>
          <w:w w:val="100"/>
          <w:sz w:val="24"/>
          <w:szCs w:val="24"/>
          <w:highlight w:val="none"/>
          <w:lang w:bidi="ar"/>
        </w:rPr>
        <w:t>。</w:t>
      </w:r>
    </w:p>
    <w:p w14:paraId="6667A346">
      <w:pPr>
        <w:bidi w:val="0"/>
        <w:rPr>
          <w:rFonts w:hint="eastAsia" w:ascii="Times New Roman" w:hAnsi="Times New Roman" w:eastAsia="宋体" w:cs="Times New Roman"/>
          <w:b/>
          <w:bCs/>
          <w:color w:val="auto"/>
          <w:lang w:eastAsia="zh-CN"/>
        </w:rPr>
      </w:pPr>
      <w:r>
        <w:rPr>
          <w:rFonts w:hint="eastAsia" w:ascii="Times New Roman" w:hAnsi="Times New Roman" w:eastAsia="宋体" w:cs="Times New Roman"/>
          <w:b/>
          <w:bCs/>
          <w:color w:val="auto"/>
          <w:lang w:eastAsia="zh-CN"/>
        </w:rPr>
        <w:t>（</w:t>
      </w:r>
      <w:r>
        <w:rPr>
          <w:rFonts w:hint="eastAsia" w:ascii="Times New Roman" w:hAnsi="Times New Roman" w:eastAsia="宋体" w:cs="Times New Roman"/>
          <w:b/>
          <w:bCs/>
          <w:color w:val="auto"/>
          <w:lang w:val="en-US" w:eastAsia="zh-CN"/>
        </w:rPr>
        <w:t>四</w:t>
      </w:r>
      <w:r>
        <w:rPr>
          <w:rFonts w:hint="eastAsia" w:ascii="Times New Roman" w:hAnsi="Times New Roman" w:eastAsia="宋体" w:cs="Times New Roman"/>
          <w:b/>
          <w:bCs/>
          <w:color w:val="auto"/>
          <w:lang w:eastAsia="zh-CN"/>
        </w:rPr>
        <w:t>）</w:t>
      </w:r>
      <w:r>
        <w:rPr>
          <w:rFonts w:hint="eastAsia" w:ascii="Times New Roman" w:hAnsi="Times New Roman" w:eastAsia="宋体" w:cs="Times New Roman"/>
          <w:b/>
          <w:bCs/>
          <w:color w:val="auto"/>
          <w:lang w:val="en-US" w:eastAsia="zh-CN"/>
        </w:rPr>
        <w:t>噪声</w:t>
      </w:r>
    </w:p>
    <w:p w14:paraId="53C5A172">
      <w:pPr>
        <w:keepNext w:val="0"/>
        <w:keepLines w:val="0"/>
        <w:widowControl/>
        <w:suppressLineNumbers w:val="0"/>
        <w:jc w:val="left"/>
        <w:rPr>
          <w:rFonts w:hint="default"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公路施工噪声主要来自施工开挖、混凝土浇筑等施工活动中的施工机械运行、车辆运输和机械加工修配等。其特点具有间歇性、高强度和不固定性。</w:t>
      </w:r>
      <w:r>
        <w:rPr>
          <w:rFonts w:hint="eastAsia" w:ascii="Times New Roman" w:hAnsi="Times New Roman" w:eastAsia="宋体" w:cs="Times New Roman"/>
          <w:color w:val="auto"/>
          <w:lang w:val="en-US" w:eastAsia="zh-CN"/>
        </w:rPr>
        <w:t>机械噪声取值参考《环境影响评价技术导则 公路建设项目》附录D中公路工程机械噪声源强</w:t>
      </w:r>
      <w:r>
        <w:rPr>
          <w:rFonts w:hint="default" w:ascii="Times New Roman" w:hAnsi="Times New Roman" w:eastAsia="宋体" w:cs="Times New Roman"/>
          <w:color w:val="auto"/>
        </w:rPr>
        <w:t>，</w:t>
      </w:r>
      <w:r>
        <w:rPr>
          <w:rFonts w:hint="eastAsia" w:ascii="宋体" w:hAnsi="宋体" w:eastAsia="宋体" w:cs="宋体"/>
          <w:color w:val="auto"/>
          <w:kern w:val="0"/>
          <w:sz w:val="24"/>
          <w:szCs w:val="24"/>
          <w:lang w:val="en-US" w:eastAsia="zh-CN" w:bidi="ar"/>
        </w:rPr>
        <w:t>主要施工机械不同距离处的噪声源强见下表</w:t>
      </w:r>
      <w:r>
        <w:rPr>
          <w:rFonts w:hint="default" w:ascii="Times New Roman" w:hAnsi="Times New Roman" w:eastAsia="宋体" w:cs="Times New Roman"/>
          <w:color w:val="auto"/>
        </w:rPr>
        <w:t>。</w:t>
      </w:r>
    </w:p>
    <w:p w14:paraId="254CCC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表3.</w:t>
      </w:r>
      <w:r>
        <w:rPr>
          <w:rFonts w:hint="eastAsia" w:ascii="Times New Roman" w:hAnsi="Times New Roman" w:eastAsia="宋体" w:cs="Times New Roman"/>
          <w:b/>
          <w:bCs/>
          <w:color w:val="auto"/>
          <w:sz w:val="21"/>
          <w:szCs w:val="21"/>
          <w:lang w:val="en-US" w:eastAsia="zh-CN"/>
        </w:rPr>
        <w:t>2</w:t>
      </w:r>
      <w:r>
        <w:rPr>
          <w:rFonts w:hint="default" w:ascii="Times New Roman" w:hAnsi="Times New Roman" w:eastAsia="宋体" w:cs="Times New Roman"/>
          <w:b/>
          <w:bCs/>
          <w:color w:val="auto"/>
          <w:sz w:val="21"/>
          <w:szCs w:val="21"/>
        </w:rPr>
        <w:t>-</w:t>
      </w:r>
      <w:r>
        <w:rPr>
          <w:rFonts w:hint="eastAsia" w:cs="Times New Roman"/>
          <w:b/>
          <w:bCs/>
          <w:color w:val="auto"/>
          <w:sz w:val="21"/>
          <w:szCs w:val="21"/>
          <w:lang w:val="en-US" w:eastAsia="zh-CN"/>
        </w:rPr>
        <w:t>3</w:t>
      </w:r>
      <w:r>
        <w:rPr>
          <w:rFonts w:hint="default" w:ascii="Times New Roman" w:hAnsi="Times New Roman" w:eastAsia="宋体" w:cs="Times New Roman"/>
          <w:b/>
          <w:bCs/>
          <w:color w:val="auto"/>
          <w:sz w:val="21"/>
          <w:szCs w:val="21"/>
        </w:rPr>
        <w:t xml:space="preserve"> </w:t>
      </w:r>
      <w:r>
        <w:rPr>
          <w:rFonts w:hint="eastAsia"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公路施工机械噪声测试值</w:t>
      </w:r>
    </w:p>
    <w:tbl>
      <w:tblPr>
        <w:tblStyle w:val="58"/>
        <w:tblW w:w="4998"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57"/>
        <w:gridCol w:w="3062"/>
        <w:gridCol w:w="2100"/>
        <w:gridCol w:w="2692"/>
      </w:tblGrid>
      <w:tr w14:paraId="54A15D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0A2409E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820" w:type="pct"/>
            <w:noWrap w:val="0"/>
            <w:vAlign w:val="center"/>
          </w:tcPr>
          <w:p w14:paraId="0FA9B3D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机械类型</w:t>
            </w:r>
          </w:p>
        </w:tc>
        <w:tc>
          <w:tcPr>
            <w:tcW w:w="1248" w:type="pct"/>
            <w:noWrap w:val="0"/>
            <w:vAlign w:val="center"/>
          </w:tcPr>
          <w:p w14:paraId="6D996AA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lang w:val="en-US" w:eastAsia="zh-CN"/>
              </w:rPr>
            </w:pPr>
            <w:r>
              <w:rPr>
                <w:rFonts w:hint="eastAsia" w:ascii="Times New Roman" w:hAnsi="Times New Roman" w:eastAsia="宋体" w:cs="Times New Roman"/>
                <w:b/>
                <w:bCs/>
                <w:color w:val="auto"/>
                <w:sz w:val="21"/>
                <w:szCs w:val="21"/>
                <w:lang w:val="en-US" w:eastAsia="zh-CN"/>
              </w:rPr>
              <w:t>距声源5m，</w:t>
            </w:r>
            <w:r>
              <w:rPr>
                <w:rFonts w:hint="default"/>
                <w:b/>
                <w:bCs/>
                <w:color w:val="auto"/>
                <w:sz w:val="21"/>
                <w:szCs w:val="21"/>
              </w:rPr>
              <w:t>dB</w:t>
            </w:r>
          </w:p>
        </w:tc>
        <w:tc>
          <w:tcPr>
            <w:tcW w:w="1600" w:type="pct"/>
            <w:noWrap w:val="0"/>
            <w:vAlign w:val="center"/>
          </w:tcPr>
          <w:p w14:paraId="08DE5C5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eastAsia" w:ascii="Times New Roman" w:hAnsi="Times New Roman" w:eastAsia="宋体" w:cs="Times New Roman"/>
                <w:b/>
                <w:bCs/>
                <w:color w:val="auto"/>
                <w:sz w:val="21"/>
                <w:szCs w:val="21"/>
                <w:lang w:val="en-US" w:eastAsia="zh-CN"/>
              </w:rPr>
              <w:t>距声源10m，</w:t>
            </w:r>
            <w:r>
              <w:rPr>
                <w:rFonts w:hint="default"/>
                <w:b/>
                <w:bCs/>
                <w:color w:val="auto"/>
                <w:sz w:val="21"/>
                <w:szCs w:val="21"/>
              </w:rPr>
              <w:t>dB</w:t>
            </w:r>
          </w:p>
        </w:tc>
      </w:tr>
      <w:tr w14:paraId="38ED2A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7825102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1820" w:type="pct"/>
            <w:noWrap w:val="0"/>
            <w:vAlign w:val="center"/>
          </w:tcPr>
          <w:p w14:paraId="5A422F0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轮式装载机</w:t>
            </w:r>
          </w:p>
        </w:tc>
        <w:tc>
          <w:tcPr>
            <w:tcW w:w="1248" w:type="pct"/>
            <w:noWrap w:val="0"/>
            <w:vAlign w:val="center"/>
          </w:tcPr>
          <w:p w14:paraId="07A5ED7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90~95</w:t>
            </w:r>
          </w:p>
        </w:tc>
        <w:tc>
          <w:tcPr>
            <w:tcW w:w="1600" w:type="pct"/>
            <w:noWrap w:val="0"/>
            <w:vAlign w:val="center"/>
          </w:tcPr>
          <w:p w14:paraId="692A945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85~91</w:t>
            </w:r>
          </w:p>
        </w:tc>
      </w:tr>
      <w:tr w14:paraId="5BD429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09DB2FCC">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2</w:t>
            </w:r>
          </w:p>
        </w:tc>
        <w:tc>
          <w:tcPr>
            <w:tcW w:w="1820" w:type="pct"/>
            <w:noWrap w:val="0"/>
            <w:vAlign w:val="center"/>
          </w:tcPr>
          <w:p w14:paraId="6FD40044">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各类</w:t>
            </w:r>
            <w:r>
              <w:rPr>
                <w:rFonts w:hint="default" w:ascii="Times New Roman" w:hAnsi="Times New Roman" w:eastAsia="宋体" w:cs="Times New Roman"/>
                <w:b w:val="0"/>
                <w:bCs w:val="0"/>
                <w:color w:val="auto"/>
                <w:sz w:val="21"/>
                <w:szCs w:val="21"/>
              </w:rPr>
              <w:t>压路机</w:t>
            </w:r>
          </w:p>
        </w:tc>
        <w:tc>
          <w:tcPr>
            <w:tcW w:w="1248" w:type="pct"/>
            <w:noWrap w:val="0"/>
            <w:vAlign w:val="center"/>
          </w:tcPr>
          <w:p w14:paraId="69003D2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80~90</w:t>
            </w:r>
          </w:p>
        </w:tc>
        <w:tc>
          <w:tcPr>
            <w:tcW w:w="1600" w:type="pct"/>
            <w:noWrap w:val="0"/>
            <w:vAlign w:val="center"/>
          </w:tcPr>
          <w:p w14:paraId="10A02DA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76~86</w:t>
            </w:r>
          </w:p>
        </w:tc>
      </w:tr>
      <w:tr w14:paraId="14B671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003598F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3</w:t>
            </w:r>
          </w:p>
        </w:tc>
        <w:tc>
          <w:tcPr>
            <w:tcW w:w="1820" w:type="pct"/>
            <w:noWrap w:val="0"/>
            <w:vAlign w:val="center"/>
          </w:tcPr>
          <w:p w14:paraId="0C94E80D">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推土机</w:t>
            </w:r>
          </w:p>
        </w:tc>
        <w:tc>
          <w:tcPr>
            <w:tcW w:w="1248" w:type="pct"/>
            <w:noWrap w:val="0"/>
            <w:vAlign w:val="center"/>
          </w:tcPr>
          <w:p w14:paraId="265FE173">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83~88</w:t>
            </w:r>
          </w:p>
        </w:tc>
        <w:tc>
          <w:tcPr>
            <w:tcW w:w="1600" w:type="pct"/>
            <w:noWrap w:val="0"/>
            <w:vAlign w:val="center"/>
          </w:tcPr>
          <w:p w14:paraId="2804F304">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80~85</w:t>
            </w:r>
          </w:p>
        </w:tc>
      </w:tr>
      <w:tr w14:paraId="7C0077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30C3DBC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4</w:t>
            </w:r>
          </w:p>
        </w:tc>
        <w:tc>
          <w:tcPr>
            <w:tcW w:w="1820" w:type="pct"/>
            <w:noWrap w:val="0"/>
            <w:vAlign w:val="center"/>
          </w:tcPr>
          <w:p w14:paraId="1F03A40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液压挖掘机</w:t>
            </w:r>
          </w:p>
        </w:tc>
        <w:tc>
          <w:tcPr>
            <w:tcW w:w="1248" w:type="pct"/>
            <w:noWrap w:val="0"/>
            <w:vAlign w:val="center"/>
          </w:tcPr>
          <w:p w14:paraId="02071F5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82~90</w:t>
            </w:r>
          </w:p>
        </w:tc>
        <w:tc>
          <w:tcPr>
            <w:tcW w:w="1600" w:type="pct"/>
            <w:noWrap w:val="0"/>
            <w:vAlign w:val="center"/>
          </w:tcPr>
          <w:p w14:paraId="4317188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78~86</w:t>
            </w:r>
          </w:p>
        </w:tc>
      </w:tr>
      <w:tr w14:paraId="554991A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7BC2388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5</w:t>
            </w:r>
          </w:p>
        </w:tc>
        <w:tc>
          <w:tcPr>
            <w:tcW w:w="1820" w:type="pct"/>
            <w:noWrap w:val="0"/>
            <w:vAlign w:val="center"/>
          </w:tcPr>
          <w:p w14:paraId="3105378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摊铺机</w:t>
            </w:r>
          </w:p>
        </w:tc>
        <w:tc>
          <w:tcPr>
            <w:tcW w:w="1248" w:type="pct"/>
            <w:noWrap w:val="0"/>
            <w:vAlign w:val="center"/>
          </w:tcPr>
          <w:p w14:paraId="5B6FD84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85~90</w:t>
            </w:r>
          </w:p>
        </w:tc>
        <w:tc>
          <w:tcPr>
            <w:tcW w:w="1600" w:type="pct"/>
            <w:noWrap w:val="0"/>
            <w:vAlign w:val="center"/>
          </w:tcPr>
          <w:p w14:paraId="778E20B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ascii="Times New Roman" w:hAnsi="Times New Roman" w:eastAsia="宋体" w:cs="Times New Roman"/>
                <w:b w:val="0"/>
                <w:bCs w:val="0"/>
                <w:color w:val="auto"/>
                <w:sz w:val="21"/>
                <w:szCs w:val="21"/>
                <w:lang w:val="en-US" w:eastAsia="zh-CN"/>
              </w:rPr>
              <w:t>79~84</w:t>
            </w:r>
          </w:p>
        </w:tc>
      </w:tr>
      <w:tr w14:paraId="6BBDFF7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53090B2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6</w:t>
            </w:r>
          </w:p>
        </w:tc>
        <w:tc>
          <w:tcPr>
            <w:tcW w:w="1820" w:type="pct"/>
            <w:noWrap w:val="0"/>
            <w:vAlign w:val="center"/>
          </w:tcPr>
          <w:p w14:paraId="1107535C">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发电机</w:t>
            </w:r>
          </w:p>
        </w:tc>
        <w:tc>
          <w:tcPr>
            <w:tcW w:w="1248" w:type="pct"/>
            <w:noWrap w:val="0"/>
            <w:vAlign w:val="center"/>
          </w:tcPr>
          <w:p w14:paraId="434FEBD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90~102</w:t>
            </w:r>
          </w:p>
        </w:tc>
        <w:tc>
          <w:tcPr>
            <w:tcW w:w="1600" w:type="pct"/>
            <w:noWrap w:val="0"/>
            <w:vAlign w:val="center"/>
          </w:tcPr>
          <w:p w14:paraId="33EFAEF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90~98</w:t>
            </w:r>
          </w:p>
        </w:tc>
      </w:tr>
      <w:tr w14:paraId="7F5B263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62FD460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7</w:t>
            </w:r>
          </w:p>
        </w:tc>
        <w:tc>
          <w:tcPr>
            <w:tcW w:w="1820" w:type="pct"/>
            <w:noWrap w:val="0"/>
            <w:vAlign w:val="center"/>
          </w:tcPr>
          <w:p w14:paraId="36E5D06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冲击式钻机</w:t>
            </w:r>
            <w:r>
              <w:rPr>
                <w:rFonts w:hint="eastAsia" w:ascii="Times New Roman" w:hAnsi="Times New Roman" w:eastAsia="宋体" w:cs="Times New Roman"/>
                <w:b w:val="0"/>
                <w:bCs w:val="0"/>
                <w:color w:val="auto"/>
                <w:sz w:val="21"/>
                <w:szCs w:val="21"/>
                <w:lang w:eastAsia="zh-CN"/>
              </w:rPr>
              <w:t>（</w:t>
            </w:r>
            <w:r>
              <w:rPr>
                <w:rFonts w:hint="eastAsia" w:ascii="Times New Roman" w:hAnsi="Times New Roman" w:eastAsia="宋体" w:cs="Times New Roman"/>
                <w:b w:val="0"/>
                <w:bCs w:val="0"/>
                <w:color w:val="auto"/>
                <w:sz w:val="21"/>
                <w:szCs w:val="21"/>
                <w:lang w:val="en-US" w:eastAsia="zh-CN"/>
              </w:rPr>
              <w:t>参考</w:t>
            </w:r>
            <w:r>
              <w:rPr>
                <w:rFonts w:hint="eastAsia" w:ascii="Times New Roman" w:hAnsi="Times New Roman" w:eastAsia="宋体" w:cs="Times New Roman"/>
                <w:b w:val="0"/>
                <w:bCs w:val="0"/>
                <w:color w:val="auto"/>
                <w:sz w:val="21"/>
                <w:szCs w:val="21"/>
                <w:lang w:eastAsia="zh-CN"/>
              </w:rPr>
              <w:t>）</w:t>
            </w:r>
          </w:p>
        </w:tc>
        <w:tc>
          <w:tcPr>
            <w:tcW w:w="1248" w:type="pct"/>
            <w:noWrap w:val="0"/>
            <w:vAlign w:val="center"/>
          </w:tcPr>
          <w:p w14:paraId="7C6AEAE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95~100</w:t>
            </w:r>
          </w:p>
        </w:tc>
        <w:tc>
          <w:tcPr>
            <w:tcW w:w="1600" w:type="pct"/>
            <w:noWrap w:val="0"/>
            <w:vAlign w:val="center"/>
          </w:tcPr>
          <w:p w14:paraId="79DB9CA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85~92</w:t>
            </w:r>
          </w:p>
        </w:tc>
      </w:tr>
      <w:tr w14:paraId="34E38F3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6FD24FF6">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ascii="Times New Roman" w:hAnsi="Times New Roman" w:eastAsia="宋体" w:cs="Times New Roman"/>
                <w:b w:val="0"/>
                <w:bCs w:val="0"/>
                <w:color w:val="auto"/>
                <w:sz w:val="21"/>
                <w:szCs w:val="21"/>
                <w:lang w:val="en-US" w:eastAsia="zh-CN"/>
              </w:rPr>
              <w:t>8</w:t>
            </w:r>
          </w:p>
        </w:tc>
        <w:tc>
          <w:tcPr>
            <w:tcW w:w="1820" w:type="pct"/>
            <w:noWrap w:val="0"/>
            <w:vAlign w:val="center"/>
          </w:tcPr>
          <w:p w14:paraId="1520878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混凝土</w:t>
            </w:r>
            <w:r>
              <w:rPr>
                <w:rFonts w:hint="eastAsia" w:ascii="Times New Roman" w:hAnsi="Times New Roman" w:eastAsia="宋体" w:cs="Times New Roman"/>
                <w:b w:val="0"/>
                <w:bCs w:val="0"/>
                <w:color w:val="auto"/>
                <w:sz w:val="21"/>
                <w:szCs w:val="21"/>
                <w:lang w:val="en-US" w:eastAsia="zh-CN"/>
              </w:rPr>
              <w:t>振捣器</w:t>
            </w:r>
          </w:p>
        </w:tc>
        <w:tc>
          <w:tcPr>
            <w:tcW w:w="1248" w:type="pct"/>
            <w:noWrap w:val="0"/>
            <w:vAlign w:val="center"/>
          </w:tcPr>
          <w:p w14:paraId="3D7A323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80~88</w:t>
            </w:r>
          </w:p>
        </w:tc>
        <w:tc>
          <w:tcPr>
            <w:tcW w:w="1600" w:type="pct"/>
            <w:noWrap w:val="0"/>
            <w:vAlign w:val="center"/>
          </w:tcPr>
          <w:p w14:paraId="40D9FB4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75~84</w:t>
            </w:r>
          </w:p>
        </w:tc>
      </w:tr>
      <w:tr w14:paraId="6A0FBCB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523B471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9</w:t>
            </w:r>
          </w:p>
        </w:tc>
        <w:tc>
          <w:tcPr>
            <w:tcW w:w="1820" w:type="pct"/>
            <w:noWrap w:val="0"/>
            <w:vAlign w:val="center"/>
          </w:tcPr>
          <w:p w14:paraId="2837F44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商栓搅拌车</w:t>
            </w:r>
          </w:p>
        </w:tc>
        <w:tc>
          <w:tcPr>
            <w:tcW w:w="1248" w:type="pct"/>
            <w:noWrap w:val="0"/>
            <w:vAlign w:val="center"/>
          </w:tcPr>
          <w:p w14:paraId="3F178DC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85~90</w:t>
            </w:r>
          </w:p>
        </w:tc>
        <w:tc>
          <w:tcPr>
            <w:tcW w:w="1600" w:type="pct"/>
            <w:noWrap w:val="0"/>
            <w:vAlign w:val="center"/>
          </w:tcPr>
          <w:p w14:paraId="64BB308C">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82~84</w:t>
            </w:r>
          </w:p>
        </w:tc>
      </w:tr>
      <w:tr w14:paraId="6DE0D6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129F066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10</w:t>
            </w:r>
          </w:p>
        </w:tc>
        <w:tc>
          <w:tcPr>
            <w:tcW w:w="1820" w:type="pct"/>
            <w:noWrap w:val="0"/>
            <w:vAlign w:val="center"/>
          </w:tcPr>
          <w:p w14:paraId="4BA1108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混凝土输送泵</w:t>
            </w:r>
          </w:p>
        </w:tc>
        <w:tc>
          <w:tcPr>
            <w:tcW w:w="1248" w:type="pct"/>
            <w:noWrap w:val="0"/>
            <w:vAlign w:val="center"/>
          </w:tcPr>
          <w:p w14:paraId="6B2EDD8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88~95</w:t>
            </w:r>
          </w:p>
        </w:tc>
        <w:tc>
          <w:tcPr>
            <w:tcW w:w="1600" w:type="pct"/>
            <w:noWrap w:val="0"/>
            <w:vAlign w:val="center"/>
          </w:tcPr>
          <w:p w14:paraId="530BD76A">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84~90</w:t>
            </w:r>
          </w:p>
        </w:tc>
      </w:tr>
      <w:tr w14:paraId="1206A2E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31" w:type="pct"/>
            <w:noWrap w:val="0"/>
            <w:vAlign w:val="center"/>
          </w:tcPr>
          <w:p w14:paraId="59161404">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11</w:t>
            </w:r>
          </w:p>
        </w:tc>
        <w:tc>
          <w:tcPr>
            <w:tcW w:w="1820" w:type="pct"/>
            <w:noWrap w:val="0"/>
            <w:vAlign w:val="center"/>
          </w:tcPr>
          <w:p w14:paraId="7F6FE40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空压机</w:t>
            </w:r>
          </w:p>
        </w:tc>
        <w:tc>
          <w:tcPr>
            <w:tcW w:w="1248" w:type="pct"/>
            <w:noWrap w:val="0"/>
            <w:vAlign w:val="center"/>
          </w:tcPr>
          <w:p w14:paraId="04F9F466">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88~92</w:t>
            </w:r>
          </w:p>
        </w:tc>
        <w:tc>
          <w:tcPr>
            <w:tcW w:w="1600" w:type="pct"/>
            <w:noWrap w:val="0"/>
            <w:vAlign w:val="center"/>
          </w:tcPr>
          <w:p w14:paraId="6325467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83~88</w:t>
            </w:r>
          </w:p>
        </w:tc>
      </w:tr>
    </w:tbl>
    <w:p w14:paraId="49C3E89A">
      <w:pPr>
        <w:ind w:firstLine="480"/>
        <w:rPr>
          <w:rFonts w:hint="default" w:ascii="Times New Roman" w:hAnsi="Times New Roman" w:eastAsia="宋体" w:cs="Times New Roman"/>
          <w:bCs/>
          <w:color w:val="auto"/>
        </w:rPr>
      </w:pPr>
      <w:r>
        <w:rPr>
          <w:rFonts w:hint="default" w:ascii="Times New Roman" w:hAnsi="Times New Roman" w:eastAsia="宋体" w:cs="Times New Roman"/>
          <w:bCs/>
          <w:color w:val="auto"/>
        </w:rPr>
        <w:t>施工期噪声影响主要表现为施工噪声对</w:t>
      </w:r>
      <w:r>
        <w:rPr>
          <w:rFonts w:hint="eastAsia" w:ascii="Times New Roman" w:hAnsi="Times New Roman" w:eastAsia="宋体" w:cs="Times New Roman"/>
          <w:bCs/>
          <w:color w:val="auto"/>
          <w:lang w:val="en-US" w:eastAsia="zh-CN"/>
        </w:rPr>
        <w:t>周边</w:t>
      </w:r>
      <w:r>
        <w:rPr>
          <w:rFonts w:hint="default" w:ascii="Times New Roman" w:hAnsi="Times New Roman" w:eastAsia="宋体" w:cs="Times New Roman"/>
          <w:bCs/>
          <w:color w:val="auto"/>
        </w:rPr>
        <w:t>居民的干扰，</w:t>
      </w:r>
      <w:r>
        <w:rPr>
          <w:rFonts w:hint="eastAsia" w:cs="Times New Roman"/>
          <w:bCs/>
          <w:color w:val="auto"/>
          <w:lang w:val="en-US" w:eastAsia="zh-CN"/>
        </w:rPr>
        <w:t>不涉及爆破，夜间不施工，</w:t>
      </w:r>
      <w:r>
        <w:rPr>
          <w:rFonts w:hint="default" w:ascii="Times New Roman" w:hAnsi="Times New Roman" w:eastAsia="宋体" w:cs="Times New Roman"/>
          <w:bCs/>
          <w:color w:val="auto"/>
        </w:rPr>
        <w:t>上述噪声影响均会随着施工过程的结束而降低或消失。</w:t>
      </w:r>
    </w:p>
    <w:p w14:paraId="6E63BC92">
      <w:pPr>
        <w:bidi w:val="0"/>
        <w:rPr>
          <w:rFonts w:hint="eastAsia" w:ascii="Times New Roman" w:hAnsi="Times New Roman" w:eastAsia="宋体" w:cs="Times New Roman"/>
          <w:b/>
          <w:bCs/>
          <w:color w:val="auto"/>
          <w:lang w:eastAsia="zh-CN"/>
        </w:rPr>
      </w:pPr>
      <w:r>
        <w:rPr>
          <w:rFonts w:hint="eastAsia" w:ascii="Times New Roman" w:hAnsi="Times New Roman" w:eastAsia="宋体" w:cs="Times New Roman"/>
          <w:b/>
          <w:bCs/>
          <w:color w:val="auto"/>
          <w:lang w:val="en-US" w:eastAsia="zh-CN"/>
        </w:rPr>
        <w:t>（五）固废</w:t>
      </w:r>
    </w:p>
    <w:p w14:paraId="2D490BE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本项目施工期固体废物主要来自工程弃土、建筑垃圾和施工人员生活垃圾。 </w:t>
      </w:r>
    </w:p>
    <w:p w14:paraId="5DCD2A0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（1）工程弃土</w:t>
      </w:r>
    </w:p>
    <w:p w14:paraId="1AE9BE7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根据水保报告，</w:t>
      </w:r>
      <w:r>
        <w:rPr>
          <w:rFonts w:hint="default" w:ascii="Times New Roman" w:hAnsi="Times New Roman" w:eastAsia="宋体" w:cs="Times New Roman"/>
          <w:color w:val="auto"/>
          <w:kern w:val="0"/>
          <w:lang w:bidi="ar"/>
        </w:rPr>
        <w:t>本工程</w:t>
      </w:r>
      <w:r>
        <w:rPr>
          <w:rFonts w:hint="eastAsia" w:cs="Times New Roman"/>
          <w:color w:val="auto"/>
          <w:kern w:val="0"/>
          <w:lang w:eastAsia="zh-CN" w:bidi="ar"/>
        </w:rPr>
        <w:t>（</w:t>
      </w:r>
      <w:r>
        <w:rPr>
          <w:rFonts w:hint="eastAsia" w:cs="Times New Roman"/>
          <w:color w:val="auto"/>
          <w:kern w:val="0"/>
          <w:lang w:val="en-US" w:eastAsia="zh-CN" w:bidi="ar"/>
        </w:rPr>
        <w:t>包括道路工程区弃渣场区</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共计产生土石方开挖71.76万m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（其中，表土剥离3.39万m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），土石方回填利用9.81万m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（其中，表土回覆3.39万m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，一般土石方回填6.42万m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w:t>
      </w:r>
      <w:r>
        <w:rPr>
          <w:rFonts w:hint="eastAsia" w:cs="Times New Roman"/>
          <w:color w:val="auto"/>
          <w:kern w:val="0"/>
          <w:lang w:val="en-US" w:eastAsia="zh-CN" w:bidi="ar"/>
        </w:rPr>
        <w:t>弃渣</w:t>
      </w:r>
      <w:r>
        <w:rPr>
          <w:rFonts w:hint="default" w:ascii="Times New Roman" w:hAnsi="Times New Roman" w:eastAsia="宋体" w:cs="Times New Roman"/>
          <w:color w:val="auto"/>
          <w:kern w:val="0"/>
          <w:lang w:bidi="ar"/>
        </w:rPr>
        <w:t>运至弃渣场堆存。</w:t>
      </w:r>
      <w:r>
        <w:rPr>
          <w:rFonts w:hint="default" w:ascii="Times New Roman" w:hAnsi="Times New Roman" w:eastAsia="宋体" w:cs="Times New Roman"/>
          <w:color w:val="auto"/>
          <w:kern w:val="0"/>
          <w:lang w:val="en-US" w:eastAsia="zh-CN" w:bidi="ar"/>
        </w:rPr>
        <w:t>该弃渣场堆渣容量92.0万m</w:t>
      </w:r>
      <w:r>
        <w:rPr>
          <w:rFonts w:hint="default" w:ascii="Times New Roman" w:hAnsi="Times New Roman" w:eastAsia="宋体" w:cs="Times New Roman"/>
          <w:color w:val="auto"/>
          <w:kern w:val="0"/>
          <w:vertAlign w:val="superscript"/>
          <w:lang w:val="en-US" w:eastAsia="zh-CN" w:bidi="ar"/>
        </w:rPr>
        <w:t>3</w:t>
      </w:r>
      <w:r>
        <w:rPr>
          <w:rFonts w:hint="default" w:ascii="Times New Roman" w:hAnsi="Times New Roman" w:eastAsia="宋体" w:cs="Times New Roman"/>
          <w:color w:val="auto"/>
          <w:kern w:val="0"/>
          <w:lang w:val="en-US" w:eastAsia="zh-CN" w:bidi="ar"/>
        </w:rPr>
        <w:t>，堆渣高度30.0m，弃渣场等级为4级。挡渣墙高度为5.0m、3.0m，大致分为4台布置，第一平台堆高4.0m，堆渣边坡1:2.5，第二平台堆高8.0m，堆渣边坡1:2.5，第三平台堆高8.0m，堆渣边坡1:2.5，第四平台堆高5.0m，堆渣边坡比1:2.5。</w:t>
      </w:r>
    </w:p>
    <w:p w14:paraId="38CFA55D">
      <w:pPr>
        <w:widowControl/>
        <w:ind w:firstLine="480"/>
        <w:jc w:val="left"/>
        <w:rPr>
          <w:rFonts w:hint="eastAsia" w:ascii="Times New Roman" w:hAnsi="Times New Roman" w:eastAsia="宋体" w:cs="Times New Roman"/>
          <w:color w:val="auto"/>
          <w:lang w:val="en-US" w:eastAsia="zh-CN"/>
        </w:rPr>
      </w:pPr>
      <w:r>
        <w:rPr>
          <w:rFonts w:hint="eastAsia" w:cs="Times New Roman"/>
          <w:color w:val="auto"/>
          <w:kern w:val="0"/>
          <w:lang w:val="en-US" w:eastAsia="zh-CN" w:bidi="ar"/>
        </w:rPr>
        <w:t>本次对弃渣场</w:t>
      </w:r>
      <w:r>
        <w:rPr>
          <w:rFonts w:hint="default" w:ascii="Times New Roman" w:hAnsi="Times New Roman" w:eastAsia="宋体" w:cs="Times New Roman"/>
          <w:color w:val="auto"/>
          <w:kern w:val="0"/>
          <w:lang w:bidi="ar"/>
        </w:rPr>
        <w:t>布置挡渣墙3道</w:t>
      </w:r>
      <w:r>
        <w:rPr>
          <w:rFonts w:hint="eastAsia" w:cs="Times New Roman"/>
          <w:color w:val="auto"/>
          <w:kern w:val="0"/>
          <w:lang w:eastAsia="zh-CN" w:bidi="ar"/>
        </w:rPr>
        <w:t>（</w:t>
      </w:r>
      <w:r>
        <w:rPr>
          <w:rFonts w:hint="eastAsia" w:cs="Times New Roman"/>
          <w:color w:val="auto"/>
          <w:kern w:val="0"/>
          <w:lang w:val="en-US" w:eastAsia="zh-CN" w:bidi="ar"/>
        </w:rPr>
        <w:t>102m</w:t>
      </w:r>
      <w:r>
        <w:rPr>
          <w:rFonts w:hint="eastAsia" w:cs="Times New Roman"/>
          <w:color w:val="auto"/>
          <w:kern w:val="0"/>
          <w:lang w:eastAsia="zh-CN" w:bidi="ar"/>
        </w:rPr>
        <w:t>）、</w:t>
      </w:r>
      <w:r>
        <w:rPr>
          <w:rFonts w:hint="eastAsia" w:cs="Times New Roman"/>
          <w:color w:val="auto"/>
          <w:kern w:val="0"/>
          <w:lang w:val="en-US" w:eastAsia="zh-CN" w:bidi="ar"/>
        </w:rPr>
        <w:t>并在渣场底部布置排水盲沟655.4m、截水沟1958m，</w:t>
      </w:r>
      <w:r>
        <w:rPr>
          <w:rFonts w:hint="default" w:ascii="Times New Roman" w:hAnsi="Times New Roman" w:eastAsia="宋体" w:cs="Times New Roman"/>
          <w:color w:val="auto"/>
        </w:rPr>
        <w:t>弃渣场使用结束后，考虑</w:t>
      </w:r>
      <w:r>
        <w:rPr>
          <w:rFonts w:hint="eastAsia" w:cs="Times New Roman"/>
          <w:color w:val="auto"/>
          <w:lang w:val="en-US" w:eastAsia="zh-CN"/>
        </w:rPr>
        <w:t>种植芒果树进行</w:t>
      </w:r>
      <w:r>
        <w:rPr>
          <w:rFonts w:hint="default" w:ascii="Times New Roman" w:hAnsi="Times New Roman" w:eastAsia="宋体" w:cs="Times New Roman"/>
          <w:color w:val="auto"/>
        </w:rPr>
        <w:t>复耕处理</w:t>
      </w:r>
      <w:r>
        <w:rPr>
          <w:rFonts w:hint="eastAsia" w:cs="Times New Roman"/>
          <w:color w:val="auto"/>
          <w:lang w:eastAsia="zh-CN"/>
        </w:rPr>
        <w:t>。</w:t>
      </w:r>
    </w:p>
    <w:p w14:paraId="656F3B3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（2）拆迁建筑垃圾</w:t>
      </w:r>
    </w:p>
    <w:p w14:paraId="3E2C826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bidi="ar"/>
        </w:rPr>
        <w:t>项目</w:t>
      </w:r>
      <w:r>
        <w:rPr>
          <w:rFonts w:hint="default" w:ascii="Times New Roman" w:hAnsi="Times New Roman" w:eastAsia="宋体" w:cs="Times New Roman"/>
          <w:color w:val="auto"/>
          <w:sz w:val="24"/>
          <w:szCs w:val="24"/>
        </w:rPr>
        <w:t>拆迁建筑物共计</w:t>
      </w:r>
      <w:r>
        <w:rPr>
          <w:rFonts w:hint="eastAsia" w:cs="Times New Roman"/>
          <w:color w:val="auto"/>
          <w:sz w:val="24"/>
          <w:szCs w:val="24"/>
          <w:lang w:val="en-US" w:eastAsia="zh-CN"/>
        </w:rPr>
        <w:t>774.75</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kern w:val="0"/>
          <w:sz w:val="24"/>
          <w:szCs w:val="24"/>
          <w:lang w:bidi="ar"/>
        </w:rPr>
        <w:t>，</w:t>
      </w:r>
      <w:r>
        <w:rPr>
          <w:rFonts w:hint="eastAsia" w:cs="Times New Roman"/>
          <w:color w:val="auto"/>
          <w:kern w:val="0"/>
          <w:sz w:val="24"/>
          <w:szCs w:val="24"/>
          <w:lang w:val="en-US" w:eastAsia="zh-CN" w:bidi="ar"/>
        </w:rPr>
        <w:t>其中房屋207.31</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kern w:val="0"/>
          <w:sz w:val="24"/>
          <w:szCs w:val="24"/>
          <w:lang w:bidi="ar"/>
        </w:rPr>
        <w:t>，围墙102.4m（砖墙），砼地板1465.04m</w:t>
      </w:r>
      <w:r>
        <w:rPr>
          <w:rFonts w:hint="default" w:ascii="Times New Roman" w:hAnsi="Times New Roman" w:eastAsia="宋体" w:cs="Times New Roman"/>
          <w:color w:val="auto"/>
          <w:kern w:val="0"/>
          <w:sz w:val="24"/>
          <w:szCs w:val="24"/>
          <w:vertAlign w:val="superscript"/>
          <w:lang w:bidi="ar"/>
        </w:rPr>
        <w:t>2</w:t>
      </w:r>
      <w:r>
        <w:rPr>
          <w:rFonts w:hint="default" w:ascii="Times New Roman" w:hAnsi="Times New Roman" w:eastAsia="宋体" w:cs="Times New Roman"/>
          <w:color w:val="auto"/>
          <w:kern w:val="0"/>
          <w:sz w:val="24"/>
          <w:szCs w:val="24"/>
          <w:lang w:bidi="ar"/>
        </w:rPr>
        <w:t>。项目共拆迁电信设施6根，电杆5根，电压线705m，电缆897m</w:t>
      </w:r>
      <w:r>
        <w:rPr>
          <w:rFonts w:hint="eastAsia" w:cs="Times New Roman"/>
          <w:color w:val="auto"/>
          <w:kern w:val="0"/>
          <w:sz w:val="24"/>
          <w:szCs w:val="24"/>
          <w:lang w:val="en-US" w:eastAsia="zh-CN" w:bidi="ar"/>
        </w:rPr>
        <w:t>等</w:t>
      </w:r>
      <w:r>
        <w:rPr>
          <w:rFonts w:hint="default" w:ascii="Times New Roman" w:hAnsi="Times New Roman" w:eastAsia="宋体" w:cs="Times New Roman"/>
          <w:color w:val="auto"/>
          <w:kern w:val="0"/>
          <w:sz w:val="24"/>
          <w:szCs w:val="24"/>
          <w:lang w:bidi="ar"/>
        </w:rPr>
        <w:t>。</w:t>
      </w:r>
      <w:r>
        <w:rPr>
          <w:rFonts w:hint="default" w:ascii="Times New Roman" w:hAnsi="Times New Roman" w:eastAsia="宋体" w:cs="Times New Roman"/>
          <w:color w:val="auto"/>
          <w:kern w:val="0"/>
          <w:lang w:bidi="ar"/>
        </w:rPr>
        <w:t>根据类似拆迁工程类比调查，在回收大部分有用的建筑材料（如砖、钢筋、木材等）后，每平方米拆迁面积产生的建筑垃圾量约为0.1m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（松方），则房屋拆迁将产生建筑垃圾约20.7m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。本项目拆迁产生的建筑垃圾尽量做到回用，如不能回用，应尽快运往政府指定的建筑垃圾堆放点。</w:t>
      </w:r>
      <w:r>
        <w:rPr>
          <w:rFonts w:hint="eastAsia"/>
          <w:color w:val="auto"/>
          <w:vertAlign w:val="baseline"/>
          <w:lang w:val="en-US" w:eastAsia="zh-CN"/>
        </w:rPr>
        <w:t>项目施工期间施工产生的废机油维修时带走，不涉及暂存、处置危险废物。</w:t>
      </w:r>
    </w:p>
    <w:p w14:paraId="4C9D328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（3）施工人员生活垃圾</w:t>
      </w:r>
    </w:p>
    <w:p w14:paraId="3899FC3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按施工人员生活垃圾0.5kg/人·d计算，施工人员以100人计，日排放量约为0.05t/d，施工期生活垃圾产生总量约为18t，经集中收集后，送甘庄街道指定的生活垃圾收运点处置。</w:t>
      </w:r>
    </w:p>
    <w:p w14:paraId="3D27AEF9">
      <w:pPr>
        <w:pStyle w:val="5"/>
        <w:bidi w:val="0"/>
        <w:ind w:left="0" w:leftChars="0" w:firstLine="0" w:firstLineChars="0"/>
        <w:rPr>
          <w:rFonts w:hint="default"/>
          <w:color w:val="auto"/>
        </w:rPr>
      </w:pPr>
      <w:bookmarkStart w:id="67" w:name="_Toc24680"/>
      <w:r>
        <w:rPr>
          <w:rFonts w:hint="eastAsia"/>
          <w:color w:val="auto"/>
          <w:lang w:val="en-US" w:eastAsia="zh-CN"/>
        </w:rPr>
        <w:t>3.2.2</w:t>
      </w:r>
      <w:r>
        <w:rPr>
          <w:rFonts w:hint="default"/>
          <w:color w:val="auto"/>
        </w:rPr>
        <w:t>营运期</w:t>
      </w:r>
      <w:bookmarkEnd w:id="67"/>
    </w:p>
    <w:p w14:paraId="645788F3">
      <w:pPr>
        <w:autoSpaceDE w:val="0"/>
        <w:autoSpaceDN w:val="0"/>
        <w:adjustRightInd w:val="0"/>
        <w:ind w:firstLine="480"/>
        <w:jc w:val="left"/>
        <w:rPr>
          <w:rFonts w:hint="default" w:ascii="Times New Roman" w:hAnsi="Times New Roman" w:eastAsia="宋体" w:cs="Times New Roman"/>
          <w:b/>
          <w:bCs/>
          <w:color w:val="auto"/>
          <w:lang w:val="en-US" w:eastAsia="zh-CN"/>
        </w:rPr>
      </w:pPr>
      <w:r>
        <w:rPr>
          <w:rFonts w:hint="eastAsia" w:cs="Times New Roman"/>
          <w:b/>
          <w:bCs/>
          <w:color w:val="auto"/>
          <w:lang w:eastAsia="zh-CN"/>
        </w:rPr>
        <w:t>（</w:t>
      </w:r>
      <w:r>
        <w:rPr>
          <w:rFonts w:hint="eastAsia" w:cs="Times New Roman"/>
          <w:b/>
          <w:bCs/>
          <w:color w:val="auto"/>
          <w:lang w:val="en-US" w:eastAsia="zh-CN"/>
        </w:rPr>
        <w:t>一</w:t>
      </w:r>
      <w:r>
        <w:rPr>
          <w:rFonts w:hint="eastAsia" w:cs="Times New Roman"/>
          <w:b/>
          <w:bCs/>
          <w:color w:val="auto"/>
          <w:lang w:eastAsia="zh-CN"/>
        </w:rPr>
        <w:t>）</w:t>
      </w:r>
      <w:r>
        <w:rPr>
          <w:rFonts w:hint="eastAsia" w:cs="Times New Roman"/>
          <w:b/>
          <w:bCs/>
          <w:color w:val="auto"/>
          <w:lang w:val="en-US" w:eastAsia="zh-CN"/>
        </w:rPr>
        <w:t>生态环境</w:t>
      </w:r>
    </w:p>
    <w:p w14:paraId="0EF7D9D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公路</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对生态环境的影响主要表现为对公路两侧野生动物的阻隔或阻断影响；临时占地植被未及时恢复对景观的影响；运营初期沿线植被未完全恢复，</w:t>
      </w:r>
    </w:p>
    <w:p w14:paraId="240C4F08">
      <w:pPr>
        <w:autoSpaceDE w:val="0"/>
        <w:autoSpaceDN w:val="0"/>
        <w:adjustRightInd w:val="0"/>
        <w:ind w:left="0" w:leftChars="0"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造成一定水土流失和道路两侧的景观影响。</w:t>
      </w:r>
    </w:p>
    <w:p w14:paraId="4D4CC5AA">
      <w:pPr>
        <w:autoSpaceDE w:val="0"/>
        <w:autoSpaceDN w:val="0"/>
        <w:adjustRightInd w:val="0"/>
        <w:ind w:firstLine="480"/>
        <w:jc w:val="left"/>
        <w:rPr>
          <w:rFonts w:hint="default" w:ascii="Times New Roman" w:hAnsi="Times New Roman" w:eastAsia="宋体" w:cs="Times New Roman"/>
          <w:b/>
          <w:bCs/>
          <w:color w:val="auto"/>
          <w:lang w:val="en-US" w:eastAsia="zh-CN"/>
        </w:rPr>
      </w:pPr>
      <w:r>
        <w:rPr>
          <w:rFonts w:hint="eastAsia" w:cs="Times New Roman"/>
          <w:b/>
          <w:bCs/>
          <w:color w:val="auto"/>
          <w:lang w:eastAsia="zh-CN"/>
        </w:rPr>
        <w:t>（</w:t>
      </w:r>
      <w:r>
        <w:rPr>
          <w:rFonts w:hint="eastAsia" w:cs="Times New Roman"/>
          <w:b/>
          <w:bCs/>
          <w:color w:val="auto"/>
          <w:lang w:val="en-US" w:eastAsia="zh-CN"/>
        </w:rPr>
        <w:t>二</w:t>
      </w:r>
      <w:r>
        <w:rPr>
          <w:rFonts w:hint="eastAsia" w:cs="Times New Roman"/>
          <w:b/>
          <w:bCs/>
          <w:color w:val="auto"/>
          <w:lang w:eastAsia="zh-CN"/>
        </w:rPr>
        <w:t>）</w:t>
      </w:r>
      <w:r>
        <w:rPr>
          <w:rFonts w:hint="eastAsia" w:cs="Times New Roman"/>
          <w:b/>
          <w:bCs/>
          <w:color w:val="auto"/>
          <w:lang w:val="en-US" w:eastAsia="zh-CN"/>
        </w:rPr>
        <w:t>废水</w:t>
      </w:r>
    </w:p>
    <w:p w14:paraId="09F7DD5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项目所在路段</w:t>
      </w:r>
      <w:r>
        <w:rPr>
          <w:rFonts w:hint="default" w:ascii="Times New Roman" w:hAnsi="Times New Roman" w:eastAsia="宋体" w:cs="Times New Roman"/>
          <w:color w:val="auto"/>
          <w:kern w:val="0"/>
          <w:lang w:bidi="ar"/>
        </w:rPr>
        <w:t>无服务区、养护站等建设内容，</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不产生生产废水和生活污水，仅有道路路面雨水径流产生。项目营运期水环境污染源主要是降雨冲刷路面产生的路面径流污水。影响路面径流污染物浓度的因素众多，包括降雨量、降雨时间、与车流量有关的路面及空气污染程度、两场降雨之间的间隔时间、路面宽度等。由于各种因素的随机性强、偶然性大，所以，典型的路面雨水污染物浓度也就较难确定。</w:t>
      </w:r>
    </w:p>
    <w:p w14:paraId="351F866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路面径流污染物排放源强计算公式如下：</w:t>
      </w:r>
    </w:p>
    <w:p w14:paraId="46E0F23E">
      <w:pPr>
        <w:widowControl/>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E=C×H×L×B×a×10</w:t>
      </w:r>
      <w:r>
        <w:rPr>
          <w:rFonts w:hint="default" w:ascii="Times New Roman" w:hAnsi="Times New Roman" w:eastAsia="宋体" w:cs="Times New Roman"/>
          <w:color w:val="auto"/>
          <w:kern w:val="0"/>
          <w:vertAlign w:val="superscript"/>
          <w:lang w:bidi="ar"/>
        </w:rPr>
        <w:t>-6</w:t>
      </w:r>
    </w:p>
    <w:p w14:paraId="7F77464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其中：E为每公里年排放强度（t/a·km）；</w:t>
      </w:r>
    </w:p>
    <w:p w14:paraId="02738BE1">
      <w:pPr>
        <w:widowControl/>
        <w:ind w:firstLine="1200" w:firstLineChars="5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C为60分钟平均值（mg/L）； </w:t>
      </w:r>
    </w:p>
    <w:p w14:paraId="381DE807">
      <w:pPr>
        <w:widowControl/>
        <w:ind w:firstLine="1200" w:firstLineChars="5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H为年平均降雨量（mm），元江县多年平均降雨量为</w:t>
      </w:r>
      <w:r>
        <w:rPr>
          <w:rFonts w:hint="default" w:ascii="Times New Roman" w:hAnsi="Times New Roman" w:eastAsia="宋体" w:cs="Times New Roman"/>
          <w:color w:val="auto"/>
        </w:rPr>
        <w:t>796.3</w:t>
      </w:r>
      <w:r>
        <w:rPr>
          <w:rFonts w:hint="default" w:ascii="Times New Roman" w:hAnsi="Times New Roman" w:eastAsia="宋体" w:cs="Times New Roman"/>
          <w:color w:val="auto"/>
          <w:kern w:val="0"/>
          <w:lang w:bidi="ar"/>
        </w:rPr>
        <w:t>mm；</w:t>
      </w:r>
    </w:p>
    <w:p w14:paraId="746CDE14">
      <w:pPr>
        <w:widowControl/>
        <w:ind w:firstLine="1200" w:firstLineChars="5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L为路面长度（km）； </w:t>
      </w:r>
    </w:p>
    <w:p w14:paraId="3FCD3DDE">
      <w:pPr>
        <w:widowControl/>
        <w:ind w:firstLine="1200" w:firstLineChars="5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B为路面宽度（m）； </w:t>
      </w:r>
    </w:p>
    <w:p w14:paraId="18CB763C">
      <w:pPr>
        <w:widowControl/>
        <w:ind w:firstLine="1200" w:firstLineChars="5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a为径流系数，无量纲。</w:t>
      </w:r>
    </w:p>
    <w:p w14:paraId="601FCA54">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表3.2-</w:t>
      </w:r>
      <w:r>
        <w:rPr>
          <w:rFonts w:hint="eastAsia"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 xml:space="preserve">  路面径流污染物排放源强表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7"/>
        <w:gridCol w:w="1072"/>
        <w:gridCol w:w="1072"/>
        <w:gridCol w:w="1072"/>
        <w:gridCol w:w="1073"/>
      </w:tblGrid>
      <w:tr w14:paraId="2B2A7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064523EA">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p>
        </w:tc>
        <w:tc>
          <w:tcPr>
            <w:tcW w:w="4289" w:type="dxa"/>
            <w:gridSpan w:val="4"/>
            <w:noWrap w:val="0"/>
            <w:vAlign w:val="center"/>
          </w:tcPr>
          <w:p w14:paraId="3836BA7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路面径流</w:t>
            </w:r>
          </w:p>
        </w:tc>
      </w:tr>
      <w:tr w14:paraId="6FAE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170855F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年平均降雨量（mm）</w:t>
            </w:r>
          </w:p>
        </w:tc>
        <w:tc>
          <w:tcPr>
            <w:tcW w:w="4289" w:type="dxa"/>
            <w:gridSpan w:val="4"/>
            <w:noWrap w:val="0"/>
            <w:vAlign w:val="center"/>
          </w:tcPr>
          <w:p w14:paraId="4D6CAC7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796.3</w:t>
            </w:r>
          </w:p>
        </w:tc>
      </w:tr>
      <w:tr w14:paraId="5E5B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579B38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径流系数</w:t>
            </w:r>
          </w:p>
        </w:tc>
        <w:tc>
          <w:tcPr>
            <w:tcW w:w="4289" w:type="dxa"/>
            <w:gridSpan w:val="4"/>
            <w:noWrap w:val="0"/>
            <w:vAlign w:val="center"/>
          </w:tcPr>
          <w:p w14:paraId="6301548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0.9</w:t>
            </w:r>
          </w:p>
        </w:tc>
      </w:tr>
      <w:tr w14:paraId="013CA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383F4C5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项目实施后路面面积（m</w:t>
            </w:r>
            <w:r>
              <w:rPr>
                <w:rFonts w:hint="default" w:ascii="Times New Roman" w:hAnsi="Times New Roman" w:eastAsia="宋体" w:cs="Times New Roman"/>
                <w:color w:val="auto"/>
                <w:kern w:val="0"/>
                <w:sz w:val="21"/>
                <w:szCs w:val="21"/>
                <w:vertAlign w:val="superscript"/>
                <w:lang w:bidi="ar"/>
              </w:rPr>
              <w:t>2</w:t>
            </w:r>
            <w:r>
              <w:rPr>
                <w:rFonts w:hint="default" w:ascii="Times New Roman" w:hAnsi="Times New Roman" w:eastAsia="宋体" w:cs="Times New Roman"/>
                <w:color w:val="auto"/>
                <w:kern w:val="0"/>
                <w:sz w:val="21"/>
                <w:szCs w:val="21"/>
                <w:lang w:bidi="ar"/>
              </w:rPr>
              <w:t>）</w:t>
            </w:r>
          </w:p>
        </w:tc>
        <w:tc>
          <w:tcPr>
            <w:tcW w:w="4289" w:type="dxa"/>
            <w:gridSpan w:val="4"/>
            <w:noWrap w:val="0"/>
            <w:vAlign w:val="center"/>
          </w:tcPr>
          <w:p w14:paraId="50D8B09B">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21717.87</w:t>
            </w:r>
          </w:p>
        </w:tc>
      </w:tr>
      <w:tr w14:paraId="6D7AE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5E49A55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污染因子</w:t>
            </w:r>
          </w:p>
        </w:tc>
        <w:tc>
          <w:tcPr>
            <w:tcW w:w="1072" w:type="dxa"/>
            <w:noWrap w:val="0"/>
            <w:vAlign w:val="center"/>
          </w:tcPr>
          <w:p w14:paraId="74D92C8E">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SS</w:t>
            </w:r>
          </w:p>
        </w:tc>
        <w:tc>
          <w:tcPr>
            <w:tcW w:w="1072" w:type="dxa"/>
            <w:noWrap w:val="0"/>
            <w:vAlign w:val="center"/>
          </w:tcPr>
          <w:p w14:paraId="3BFC56E7">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BOD5</w:t>
            </w:r>
          </w:p>
        </w:tc>
        <w:tc>
          <w:tcPr>
            <w:tcW w:w="1072" w:type="dxa"/>
            <w:noWrap w:val="0"/>
            <w:vAlign w:val="center"/>
          </w:tcPr>
          <w:p w14:paraId="070579D9">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COD</w:t>
            </w:r>
          </w:p>
        </w:tc>
        <w:tc>
          <w:tcPr>
            <w:tcW w:w="1073" w:type="dxa"/>
            <w:noWrap w:val="0"/>
            <w:vAlign w:val="center"/>
          </w:tcPr>
          <w:p w14:paraId="3734D4E2">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石油类</w:t>
            </w:r>
          </w:p>
        </w:tc>
      </w:tr>
      <w:tr w14:paraId="4E13A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7FE8580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60分钟平均值（mg/L）</w:t>
            </w:r>
          </w:p>
        </w:tc>
        <w:tc>
          <w:tcPr>
            <w:tcW w:w="1072" w:type="dxa"/>
            <w:noWrap w:val="0"/>
            <w:vAlign w:val="center"/>
          </w:tcPr>
          <w:p w14:paraId="05312C3A">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1072" w:type="dxa"/>
            <w:noWrap w:val="0"/>
            <w:vAlign w:val="center"/>
          </w:tcPr>
          <w:p w14:paraId="0861A044">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5.08</w:t>
            </w:r>
          </w:p>
        </w:tc>
        <w:tc>
          <w:tcPr>
            <w:tcW w:w="1072" w:type="dxa"/>
            <w:noWrap w:val="0"/>
            <w:vAlign w:val="center"/>
          </w:tcPr>
          <w:p w14:paraId="30CE312D">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45.5</w:t>
            </w:r>
          </w:p>
        </w:tc>
        <w:tc>
          <w:tcPr>
            <w:tcW w:w="1073" w:type="dxa"/>
            <w:noWrap w:val="0"/>
            <w:vAlign w:val="center"/>
          </w:tcPr>
          <w:p w14:paraId="3A3C7633">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11.25</w:t>
            </w:r>
          </w:p>
        </w:tc>
      </w:tr>
      <w:tr w14:paraId="728C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27" w:type="dxa"/>
            <w:noWrap w:val="0"/>
            <w:vAlign w:val="center"/>
          </w:tcPr>
          <w:p w14:paraId="4400BFD1">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项目实施后年均污染物产生总量（t/a）</w:t>
            </w:r>
          </w:p>
        </w:tc>
        <w:tc>
          <w:tcPr>
            <w:tcW w:w="1072" w:type="dxa"/>
            <w:noWrap w:val="0"/>
            <w:vAlign w:val="center"/>
          </w:tcPr>
          <w:p w14:paraId="76B53221">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1.56</w:t>
            </w:r>
          </w:p>
        </w:tc>
        <w:tc>
          <w:tcPr>
            <w:tcW w:w="1072" w:type="dxa"/>
            <w:noWrap w:val="0"/>
            <w:vAlign w:val="center"/>
          </w:tcPr>
          <w:p w14:paraId="1F185FF8">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0.079</w:t>
            </w:r>
          </w:p>
        </w:tc>
        <w:tc>
          <w:tcPr>
            <w:tcW w:w="1072" w:type="dxa"/>
            <w:noWrap w:val="0"/>
            <w:vAlign w:val="center"/>
          </w:tcPr>
          <w:p w14:paraId="4B3939B6">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0.71</w:t>
            </w:r>
          </w:p>
        </w:tc>
        <w:tc>
          <w:tcPr>
            <w:tcW w:w="1073" w:type="dxa"/>
            <w:noWrap w:val="0"/>
            <w:vAlign w:val="center"/>
          </w:tcPr>
          <w:p w14:paraId="2C34605F">
            <w:pPr>
              <w:pStyle w:val="32"/>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0.18</w:t>
            </w:r>
          </w:p>
        </w:tc>
      </w:tr>
    </w:tbl>
    <w:p w14:paraId="43B1E4E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由表3.2-</w:t>
      </w:r>
      <w:r>
        <w:rPr>
          <w:rFonts w:hint="eastAsia" w:ascii="Times New Roman" w:hAnsi="Times New Roman" w:eastAsia="宋体" w:cs="Times New Roman"/>
          <w:color w:val="auto"/>
          <w:kern w:val="0"/>
          <w:lang w:val="en-US" w:eastAsia="zh-CN" w:bidi="ar"/>
        </w:rPr>
        <w:t>3</w:t>
      </w:r>
      <w:r>
        <w:rPr>
          <w:rFonts w:hint="default" w:ascii="Times New Roman" w:hAnsi="Times New Roman" w:eastAsia="宋体" w:cs="Times New Roman"/>
          <w:color w:val="auto"/>
          <w:kern w:val="0"/>
          <w:lang w:bidi="ar"/>
        </w:rPr>
        <w:t>可知，本项目路面径流污染物排放量为：SS1.56t/a，BOD</w:t>
      </w:r>
      <w:r>
        <w:rPr>
          <w:rFonts w:hint="default" w:ascii="Times New Roman" w:hAnsi="Times New Roman" w:eastAsia="宋体" w:cs="Times New Roman"/>
          <w:color w:val="auto"/>
          <w:kern w:val="0"/>
          <w:sz w:val="15"/>
          <w:szCs w:val="15"/>
          <w:lang w:bidi="ar"/>
        </w:rPr>
        <w:t>5</w:t>
      </w:r>
      <w:r>
        <w:rPr>
          <w:rFonts w:hint="default" w:ascii="Times New Roman" w:hAnsi="Times New Roman" w:eastAsia="宋体" w:cs="Times New Roman"/>
          <w:color w:val="auto"/>
          <w:kern w:val="0"/>
          <w:lang w:bidi="ar"/>
        </w:rPr>
        <w:t>0.079t/a，COD0.71t/a，石油类0.18t/a。</w:t>
      </w:r>
    </w:p>
    <w:p w14:paraId="6B611E9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根据华南科技所对南方地区路面径流污染情况试验数值，路面雨水污染物浓</w:t>
      </w:r>
    </w:p>
    <w:p w14:paraId="2E87C2DA">
      <w:pPr>
        <w:widowControl/>
        <w:ind w:firstLine="0" w:firstLineChars="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度变化情况见表3.2-</w:t>
      </w:r>
      <w:r>
        <w:rPr>
          <w:rFonts w:hint="eastAsia" w:ascii="Times New Roman" w:hAnsi="Times New Roman" w:eastAsia="宋体" w:cs="Times New Roman"/>
          <w:color w:val="auto"/>
          <w:kern w:val="0"/>
          <w:lang w:val="en-US" w:eastAsia="zh-CN" w:bidi="ar"/>
        </w:rPr>
        <w:t>4</w:t>
      </w:r>
      <w:r>
        <w:rPr>
          <w:rFonts w:hint="default" w:ascii="Times New Roman" w:hAnsi="Times New Roman" w:eastAsia="宋体" w:cs="Times New Roman"/>
          <w:color w:val="auto"/>
          <w:kern w:val="0"/>
          <w:lang w:bidi="ar"/>
        </w:rPr>
        <w:t>。</w:t>
      </w:r>
    </w:p>
    <w:p w14:paraId="39BF87D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表3.2-</w:t>
      </w:r>
      <w:r>
        <w:rPr>
          <w:rFonts w:hint="eastAsia" w:ascii="Times New Roman" w:hAnsi="Times New Roman" w:eastAsia="宋体"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 xml:space="preserve">  路面径流污染物浓度</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1703"/>
        <w:gridCol w:w="1703"/>
        <w:gridCol w:w="1703"/>
        <w:gridCol w:w="1704"/>
      </w:tblGrid>
      <w:tr w14:paraId="25CE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noWrap w:val="0"/>
            <w:vAlign w:val="center"/>
          </w:tcPr>
          <w:p w14:paraId="722892E8">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项目</w:t>
            </w:r>
          </w:p>
        </w:tc>
        <w:tc>
          <w:tcPr>
            <w:tcW w:w="1703" w:type="dxa"/>
            <w:noWrap w:val="0"/>
            <w:vAlign w:val="center"/>
          </w:tcPr>
          <w:p w14:paraId="2377A132">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5～20分钟</w:t>
            </w:r>
          </w:p>
        </w:tc>
        <w:tc>
          <w:tcPr>
            <w:tcW w:w="1703" w:type="dxa"/>
            <w:noWrap w:val="0"/>
            <w:vAlign w:val="center"/>
          </w:tcPr>
          <w:p w14:paraId="25EFE507">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20～40分钟</w:t>
            </w:r>
          </w:p>
        </w:tc>
        <w:tc>
          <w:tcPr>
            <w:tcW w:w="1703" w:type="dxa"/>
            <w:noWrap w:val="0"/>
            <w:vAlign w:val="center"/>
          </w:tcPr>
          <w:p w14:paraId="394F18A8">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40～60分钟</w:t>
            </w:r>
          </w:p>
        </w:tc>
        <w:tc>
          <w:tcPr>
            <w:tcW w:w="1704" w:type="dxa"/>
            <w:noWrap w:val="0"/>
            <w:vAlign w:val="center"/>
          </w:tcPr>
          <w:p w14:paraId="00963ACE">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平均值</w:t>
            </w:r>
          </w:p>
        </w:tc>
      </w:tr>
      <w:tr w14:paraId="638D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noWrap w:val="0"/>
            <w:vAlign w:val="center"/>
          </w:tcPr>
          <w:p w14:paraId="12DD8FC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pH</w:t>
            </w:r>
          </w:p>
        </w:tc>
        <w:tc>
          <w:tcPr>
            <w:tcW w:w="1703" w:type="dxa"/>
            <w:noWrap w:val="0"/>
            <w:vAlign w:val="center"/>
          </w:tcPr>
          <w:p w14:paraId="62DB933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7.8</w:t>
            </w:r>
          </w:p>
        </w:tc>
        <w:tc>
          <w:tcPr>
            <w:tcW w:w="1703" w:type="dxa"/>
            <w:noWrap w:val="0"/>
            <w:vAlign w:val="center"/>
          </w:tcPr>
          <w:p w14:paraId="02BFA50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7.8</w:t>
            </w:r>
          </w:p>
        </w:tc>
        <w:tc>
          <w:tcPr>
            <w:tcW w:w="1703" w:type="dxa"/>
            <w:noWrap w:val="0"/>
            <w:vAlign w:val="center"/>
          </w:tcPr>
          <w:p w14:paraId="3EA390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7.8</w:t>
            </w:r>
          </w:p>
        </w:tc>
        <w:tc>
          <w:tcPr>
            <w:tcW w:w="1704" w:type="dxa"/>
            <w:noWrap w:val="0"/>
            <w:vAlign w:val="center"/>
          </w:tcPr>
          <w:p w14:paraId="1B77EF2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7.4</w:t>
            </w:r>
          </w:p>
        </w:tc>
      </w:tr>
      <w:tr w14:paraId="53D7C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noWrap w:val="0"/>
            <w:vAlign w:val="center"/>
          </w:tcPr>
          <w:p w14:paraId="6CB8E43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SS</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mg/L</w:t>
            </w:r>
            <w:r>
              <w:rPr>
                <w:rFonts w:hint="default" w:ascii="Times New Roman" w:hAnsi="Times New Roman" w:eastAsia="宋体" w:cs="Times New Roman"/>
                <w:color w:val="auto"/>
                <w:kern w:val="0"/>
                <w:sz w:val="21"/>
                <w:szCs w:val="21"/>
                <w:lang w:eastAsia="zh-CN" w:bidi="ar"/>
              </w:rPr>
              <w:t>)</w:t>
            </w:r>
          </w:p>
        </w:tc>
        <w:tc>
          <w:tcPr>
            <w:tcW w:w="1703" w:type="dxa"/>
            <w:noWrap w:val="0"/>
            <w:vAlign w:val="center"/>
          </w:tcPr>
          <w:p w14:paraId="287387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231.42</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158.22</w:t>
            </w:r>
          </w:p>
        </w:tc>
        <w:tc>
          <w:tcPr>
            <w:tcW w:w="1703" w:type="dxa"/>
            <w:noWrap w:val="0"/>
            <w:vAlign w:val="center"/>
          </w:tcPr>
          <w:p w14:paraId="6BA4C3A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158.22</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90.36</w:t>
            </w:r>
          </w:p>
        </w:tc>
        <w:tc>
          <w:tcPr>
            <w:tcW w:w="1703" w:type="dxa"/>
            <w:noWrap w:val="0"/>
            <w:vAlign w:val="center"/>
          </w:tcPr>
          <w:p w14:paraId="4093C3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90.36</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18.71</w:t>
            </w:r>
          </w:p>
        </w:tc>
        <w:tc>
          <w:tcPr>
            <w:tcW w:w="1704" w:type="dxa"/>
            <w:noWrap w:val="0"/>
            <w:vAlign w:val="center"/>
          </w:tcPr>
          <w:p w14:paraId="334E4A6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100</w:t>
            </w:r>
          </w:p>
        </w:tc>
      </w:tr>
      <w:tr w14:paraId="34F7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noWrap w:val="0"/>
            <w:vAlign w:val="center"/>
          </w:tcPr>
          <w:p w14:paraId="72C61DB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BOD</w:t>
            </w:r>
            <w:r>
              <w:rPr>
                <w:rFonts w:hint="default" w:ascii="Times New Roman" w:hAnsi="Times New Roman" w:eastAsia="宋体" w:cs="Times New Roman"/>
                <w:color w:val="auto"/>
                <w:kern w:val="0"/>
                <w:sz w:val="21"/>
                <w:szCs w:val="21"/>
                <w:vertAlign w:val="subscript"/>
                <w:lang w:bidi="ar"/>
              </w:rPr>
              <w:t>5</w:t>
            </w:r>
            <w:r>
              <w:rPr>
                <w:rFonts w:hint="default" w:ascii="Times New Roman" w:hAnsi="Times New Roman" w:eastAsia="宋体" w:cs="Times New Roman"/>
                <w:color w:val="auto"/>
                <w:kern w:val="0"/>
                <w:sz w:val="21"/>
                <w:szCs w:val="21"/>
                <w:vertAlign w:val="subscript"/>
                <w:lang w:eastAsia="zh-CN" w:bidi="ar"/>
              </w:rPr>
              <w:t>(</w:t>
            </w:r>
            <w:r>
              <w:rPr>
                <w:rFonts w:hint="default" w:ascii="Times New Roman" w:hAnsi="Times New Roman" w:eastAsia="宋体" w:cs="Times New Roman"/>
                <w:color w:val="auto"/>
                <w:kern w:val="0"/>
                <w:sz w:val="21"/>
                <w:szCs w:val="21"/>
                <w:lang w:bidi="ar"/>
              </w:rPr>
              <w:t>mg/L</w:t>
            </w:r>
            <w:r>
              <w:rPr>
                <w:rFonts w:hint="default" w:ascii="Times New Roman" w:hAnsi="Times New Roman" w:eastAsia="宋体" w:cs="Times New Roman"/>
                <w:color w:val="auto"/>
                <w:kern w:val="0"/>
                <w:sz w:val="21"/>
                <w:szCs w:val="21"/>
                <w:lang w:eastAsia="zh-CN" w:bidi="ar"/>
              </w:rPr>
              <w:t>)</w:t>
            </w:r>
          </w:p>
        </w:tc>
        <w:tc>
          <w:tcPr>
            <w:tcW w:w="1703" w:type="dxa"/>
            <w:noWrap w:val="0"/>
            <w:vAlign w:val="center"/>
          </w:tcPr>
          <w:p w14:paraId="6F7E8E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7.34</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7.30</w:t>
            </w:r>
          </w:p>
        </w:tc>
        <w:tc>
          <w:tcPr>
            <w:tcW w:w="1703" w:type="dxa"/>
            <w:noWrap w:val="0"/>
            <w:vAlign w:val="center"/>
          </w:tcPr>
          <w:p w14:paraId="20194C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7.30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4.15</w:t>
            </w:r>
          </w:p>
        </w:tc>
        <w:tc>
          <w:tcPr>
            <w:tcW w:w="1703" w:type="dxa"/>
            <w:noWrap w:val="0"/>
            <w:vAlign w:val="center"/>
          </w:tcPr>
          <w:p w14:paraId="7C9F7BC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4.15</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1.26</w:t>
            </w:r>
          </w:p>
        </w:tc>
        <w:tc>
          <w:tcPr>
            <w:tcW w:w="1704" w:type="dxa"/>
            <w:noWrap w:val="0"/>
            <w:vAlign w:val="center"/>
          </w:tcPr>
          <w:p w14:paraId="7B59A4D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5.08</w:t>
            </w:r>
          </w:p>
        </w:tc>
      </w:tr>
      <w:tr w14:paraId="40EA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3" w:type="dxa"/>
            <w:noWrap w:val="0"/>
            <w:vAlign w:val="center"/>
          </w:tcPr>
          <w:p w14:paraId="78C18FD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石油类（mg/L）</w:t>
            </w:r>
          </w:p>
        </w:tc>
        <w:tc>
          <w:tcPr>
            <w:tcW w:w="1703" w:type="dxa"/>
            <w:noWrap w:val="0"/>
            <w:vAlign w:val="center"/>
          </w:tcPr>
          <w:p w14:paraId="20D606A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22.20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19.74</w:t>
            </w:r>
          </w:p>
        </w:tc>
        <w:tc>
          <w:tcPr>
            <w:tcW w:w="1703" w:type="dxa"/>
            <w:noWrap w:val="0"/>
            <w:vAlign w:val="center"/>
          </w:tcPr>
          <w:p w14:paraId="013CF40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19.74</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3.12</w:t>
            </w:r>
          </w:p>
        </w:tc>
        <w:tc>
          <w:tcPr>
            <w:tcW w:w="1703" w:type="dxa"/>
            <w:noWrap w:val="0"/>
            <w:vAlign w:val="center"/>
          </w:tcPr>
          <w:p w14:paraId="35A9A02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3.12</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0.21</w:t>
            </w:r>
          </w:p>
        </w:tc>
        <w:tc>
          <w:tcPr>
            <w:tcW w:w="1704" w:type="dxa"/>
            <w:noWrap w:val="0"/>
            <w:vAlign w:val="center"/>
          </w:tcPr>
          <w:p w14:paraId="3CA56E4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11.25</w:t>
            </w:r>
          </w:p>
        </w:tc>
      </w:tr>
    </w:tbl>
    <w:p w14:paraId="5BD51BF2">
      <w:pPr>
        <w:widowControl/>
        <w:adjustRightInd w:val="0"/>
        <w:snapToGri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由上表测定结果可知，降雨对公路附近河流造成的影响主要是降雨初期1h </w:t>
      </w:r>
    </w:p>
    <w:p w14:paraId="4B369020">
      <w:pPr>
        <w:widowControl/>
        <w:adjustRightInd w:val="0"/>
        <w:snapToGrid w:val="0"/>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内形成的路面径流。降雨初期到形成路面径流的30分钟内，雨水中的悬浮物、BOD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和石油类物质的浓度比较高，30分钟以后其悬浮物和石油类浓度随降雨历时的延长下降较快，雨水中BOD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随降雨历时的延长下降速度稍慢，pH值相对较稳定，降雨历时40分钟后，路面基本被冲洗干净。路面径流经道路两侧的排水沟排入周边甘庄河，通过河流的自净作用降低影响，对水环境的影响是极其微弱的。</w:t>
      </w:r>
    </w:p>
    <w:p w14:paraId="15C16F53">
      <w:pPr>
        <w:autoSpaceDE w:val="0"/>
        <w:autoSpaceDN w:val="0"/>
        <w:adjustRightInd w:val="0"/>
        <w:ind w:firstLine="480"/>
        <w:jc w:val="left"/>
        <w:rPr>
          <w:rFonts w:hint="default" w:ascii="Times New Roman" w:hAnsi="Times New Roman" w:eastAsia="宋体" w:cs="Times New Roman"/>
          <w:color w:val="auto"/>
          <w:lang w:val="en-US" w:eastAsia="zh-CN"/>
        </w:rPr>
      </w:pPr>
      <w:r>
        <w:rPr>
          <w:rFonts w:hint="eastAsia" w:cs="Times New Roman"/>
          <w:color w:val="auto"/>
          <w:lang w:eastAsia="zh-CN"/>
        </w:rPr>
        <w:t>（</w:t>
      </w:r>
      <w:r>
        <w:rPr>
          <w:rFonts w:hint="eastAsia" w:cs="Times New Roman"/>
          <w:color w:val="auto"/>
          <w:lang w:val="en-US" w:eastAsia="zh-CN"/>
        </w:rPr>
        <w:t>三</w:t>
      </w:r>
      <w:r>
        <w:rPr>
          <w:rFonts w:hint="eastAsia" w:cs="Times New Roman"/>
          <w:color w:val="auto"/>
          <w:lang w:eastAsia="zh-CN"/>
        </w:rPr>
        <w:t>）</w:t>
      </w:r>
      <w:r>
        <w:rPr>
          <w:rFonts w:hint="eastAsia" w:cs="Times New Roman"/>
          <w:color w:val="auto"/>
          <w:lang w:val="en-US" w:eastAsia="zh-CN"/>
        </w:rPr>
        <w:t>废气</w:t>
      </w:r>
    </w:p>
    <w:p w14:paraId="3D6E199B">
      <w:pPr>
        <w:autoSpaceDE w:val="0"/>
        <w:autoSpaceDN w:val="0"/>
        <w:adjustRightInd w:val="0"/>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公路建成通车后，汽车尾气成为影响沿线环境空气质量的主要污染物。汽车尾气污染物可模拟为一条连续排放的线性污染源。污染物排放量的大小与交通量的大小密切相关，同时又取决于车辆类型和运行车况。</w:t>
      </w:r>
    </w:p>
    <w:p w14:paraId="56138D67">
      <w:pPr>
        <w:autoSpaceDE w:val="0"/>
        <w:autoSpaceDN w:val="0"/>
        <w:adjustRightInd w:val="0"/>
        <w:ind w:firstLine="480"/>
        <w:jc w:val="left"/>
        <w:rPr>
          <w:rFonts w:hint="default" w:ascii="Times New Roman" w:hAnsi="Times New Roman" w:eastAsia="宋体" w:cs="Times New Roman"/>
          <w:color w:val="auto"/>
          <w:kern w:val="0"/>
          <w:sz w:val="20"/>
          <w:szCs w:val="20"/>
        </w:rPr>
      </w:pPr>
      <w:r>
        <w:rPr>
          <w:rFonts w:hint="default" w:ascii="Times New Roman" w:hAnsi="Times New Roman" w:eastAsia="宋体" w:cs="Times New Roman"/>
          <w:color w:val="auto"/>
          <w:kern w:val="0"/>
        </w:rPr>
        <w:t>行驶车辆尾气中的污染物排放源强按连续线源计算，线源的中心线即路中心线。</w:t>
      </w:r>
      <w:r>
        <w:rPr>
          <w:rFonts w:hint="default" w:ascii="Times New Roman" w:hAnsi="Times New Roman" w:eastAsia="宋体" w:cs="Times New Roman"/>
          <w:color w:val="auto"/>
        </w:rPr>
        <w:t>采用下列模式计算大气污染物排放源强：</w:t>
      </w:r>
    </w:p>
    <w:p w14:paraId="132B25F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anchor distT="0" distB="0" distL="114300" distR="114300" simplePos="0" relativeHeight="251667456" behindDoc="0" locked="0" layoutInCell="1" allowOverlap="1">
            <wp:simplePos x="0" y="0"/>
            <wp:positionH relativeFrom="column">
              <wp:posOffset>1447165</wp:posOffset>
            </wp:positionH>
            <wp:positionV relativeFrom="paragraph">
              <wp:posOffset>54610</wp:posOffset>
            </wp:positionV>
            <wp:extent cx="1294130" cy="431165"/>
            <wp:effectExtent l="0" t="0" r="0" b="6350"/>
            <wp:wrapNone/>
            <wp:docPr id="5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9"/>
                    <pic:cNvPicPr>
                      <a:picLocks noChangeAspect="1"/>
                    </pic:cNvPicPr>
                  </pic:nvPicPr>
                  <pic:blipFill>
                    <a:blip r:embed="rId50"/>
                    <a:stretch>
                      <a:fillRect/>
                    </a:stretch>
                  </pic:blipFill>
                  <pic:spPr>
                    <a:xfrm>
                      <a:off x="0" y="0"/>
                      <a:ext cx="1294130" cy="431165"/>
                    </a:xfrm>
                    <a:prstGeom prst="rect">
                      <a:avLst/>
                    </a:prstGeom>
                    <a:noFill/>
                    <a:ln>
                      <a:noFill/>
                    </a:ln>
                  </pic:spPr>
                </pic:pic>
              </a:graphicData>
            </a:graphic>
          </wp:anchor>
        </w:drawing>
      </w:r>
    </w:p>
    <w:p w14:paraId="5871AB4D">
      <w:pPr>
        <w:ind w:firstLine="480"/>
        <w:rPr>
          <w:rFonts w:hint="default" w:ascii="Times New Roman" w:hAnsi="Times New Roman" w:eastAsia="宋体" w:cs="Times New Roman"/>
          <w:color w:val="auto"/>
        </w:rPr>
      </w:pPr>
    </w:p>
    <w:p w14:paraId="579ECB5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w:t>
      </w:r>
      <w:r>
        <w:rPr>
          <w:rFonts w:hint="default" w:ascii="Times New Roman" w:hAnsi="Times New Roman" w:eastAsia="宋体" w:cs="Times New Roman"/>
          <w:i/>
          <w:iCs/>
          <w:color w:val="auto"/>
        </w:rPr>
        <w:t>Q</w:t>
      </w:r>
      <w:r>
        <w:rPr>
          <w:rFonts w:hint="default" w:ascii="Times New Roman" w:hAnsi="Times New Roman" w:eastAsia="宋体" w:cs="Times New Roman"/>
          <w:i/>
          <w:iCs/>
          <w:color w:val="auto"/>
          <w:vertAlign w:val="subscript"/>
        </w:rPr>
        <w:t>j</w:t>
      </w:r>
      <w:r>
        <w:rPr>
          <w:rFonts w:hint="default" w:ascii="Times New Roman" w:hAnsi="Times New Roman" w:eastAsia="宋体" w:cs="Times New Roman"/>
          <w:color w:val="auto"/>
        </w:rPr>
        <w:t>——j类气态污染物排放源强度（mg/s·m）；</w:t>
      </w:r>
    </w:p>
    <w:p w14:paraId="59795967">
      <w:pPr>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i/>
          <w:iCs/>
          <w:color w:val="auto"/>
        </w:rPr>
        <w:t>A</w:t>
      </w:r>
      <w:r>
        <w:rPr>
          <w:rFonts w:hint="default" w:ascii="Times New Roman" w:hAnsi="Times New Roman" w:eastAsia="宋体" w:cs="Times New Roman"/>
          <w:i/>
          <w:iCs/>
          <w:color w:val="auto"/>
          <w:vertAlign w:val="subscript"/>
        </w:rPr>
        <w:t>i</w:t>
      </w:r>
      <w:r>
        <w:rPr>
          <w:rFonts w:hint="default" w:ascii="Times New Roman" w:hAnsi="Times New Roman" w:eastAsia="宋体" w:cs="Times New Roman"/>
          <w:color w:val="auto"/>
        </w:rPr>
        <w:t>——i型车预测年的小时交通量（辆/h）；</w:t>
      </w:r>
    </w:p>
    <w:p w14:paraId="26F0F234">
      <w:pPr>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i/>
          <w:iCs/>
          <w:color w:val="auto"/>
        </w:rPr>
        <w:t>E</w:t>
      </w:r>
      <w:r>
        <w:rPr>
          <w:rFonts w:hint="default" w:ascii="Times New Roman" w:hAnsi="Times New Roman" w:eastAsia="宋体" w:cs="Times New Roman"/>
          <w:i/>
          <w:iCs/>
          <w:color w:val="auto"/>
          <w:vertAlign w:val="subscript"/>
        </w:rPr>
        <w:t>ij</w:t>
      </w:r>
      <w:r>
        <w:rPr>
          <w:rFonts w:hint="default" w:ascii="Times New Roman" w:hAnsi="Times New Roman" w:eastAsia="宋体" w:cs="Times New Roman"/>
          <w:color w:val="auto"/>
        </w:rPr>
        <w:t>——运行工况下i型车j类排放物在预测年的单车排放因子（mg/辆·m）。</w:t>
      </w:r>
    </w:p>
    <w:p w14:paraId="4DCC2E9C">
      <w:pPr>
        <w:rPr>
          <w:rFonts w:hint="default" w:ascii="Times New Roman" w:hAnsi="Times New Roman" w:eastAsia="宋体" w:cs="Times New Roman"/>
          <w:color w:val="auto"/>
        </w:rPr>
      </w:pPr>
      <w:bookmarkStart w:id="68" w:name="_Ref237683664"/>
      <w:r>
        <w:rPr>
          <w:rFonts w:hint="default" w:ascii="Times New Roman" w:hAnsi="Times New Roman" w:eastAsia="宋体" w:cs="Times New Roman"/>
          <w:color w:val="auto"/>
        </w:rPr>
        <w:t>（1）各车型的交通量预测值</w:t>
      </w:r>
    </w:p>
    <w:p w14:paraId="16084AC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根据表2.</w:t>
      </w:r>
      <w:r>
        <w:rPr>
          <w:rFonts w:hint="eastAsia" w:cs="Times New Roman"/>
          <w:color w:val="auto"/>
          <w:lang w:val="en-US" w:eastAsia="zh-CN"/>
        </w:rPr>
        <w:t>4</w:t>
      </w:r>
      <w:r>
        <w:rPr>
          <w:rFonts w:hint="default" w:ascii="Times New Roman" w:hAnsi="Times New Roman" w:eastAsia="宋体" w:cs="Times New Roman"/>
          <w:color w:val="auto"/>
        </w:rPr>
        <w:t>-</w:t>
      </w:r>
      <w:r>
        <w:rPr>
          <w:rFonts w:hint="eastAsia" w:cs="Times New Roman"/>
          <w:color w:val="auto"/>
          <w:lang w:val="en-US" w:eastAsia="zh-CN"/>
        </w:rPr>
        <w:t>6</w:t>
      </w:r>
      <w:r>
        <w:rPr>
          <w:rFonts w:hint="default" w:ascii="Times New Roman" w:hAnsi="Times New Roman" w:eastAsia="宋体" w:cs="Times New Roman"/>
          <w:color w:val="auto"/>
        </w:rPr>
        <w:t>项目道路交通量预测结果，类比同类项目</w:t>
      </w:r>
      <w:r>
        <w:rPr>
          <w:rFonts w:hint="eastAsia" w:cs="Times New Roman"/>
          <w:color w:val="auto"/>
          <w:lang w:eastAsia="zh-CN"/>
        </w:rPr>
        <w:t>（</w:t>
      </w:r>
      <w:r>
        <w:rPr>
          <w:rFonts w:hint="eastAsia" w:cs="Times New Roman"/>
          <w:color w:val="auto"/>
          <w:lang w:val="en-US" w:eastAsia="zh-CN"/>
        </w:rPr>
        <w:t>高峰值取正常工况1.5倍</w:t>
      </w:r>
      <w:r>
        <w:rPr>
          <w:rFonts w:hint="eastAsia" w:cs="Times New Roman"/>
          <w:color w:val="auto"/>
          <w:lang w:eastAsia="zh-CN"/>
        </w:rPr>
        <w:t>）</w:t>
      </w:r>
      <w:r>
        <w:rPr>
          <w:rFonts w:hint="default" w:ascii="Times New Roman" w:hAnsi="Times New Roman" w:eastAsia="宋体" w:cs="Times New Roman"/>
          <w:color w:val="auto"/>
        </w:rPr>
        <w:t>，</w:t>
      </w:r>
      <w:r>
        <w:rPr>
          <w:rFonts w:hint="default" w:ascii="Times New Roman" w:hAnsi="Times New Roman" w:eastAsia="宋体" w:cs="Times New Roman"/>
          <w:color w:val="auto"/>
          <w:lang w:eastAsia="zh-CN"/>
        </w:rPr>
        <w:t>再</w:t>
      </w:r>
      <w:r>
        <w:rPr>
          <w:rFonts w:hint="default" w:ascii="Times New Roman" w:hAnsi="Times New Roman" w:eastAsia="宋体" w:cs="Times New Roman"/>
          <w:color w:val="auto"/>
        </w:rPr>
        <w:t>对数据进行转化后，得到交通量如下表所示：</w:t>
      </w:r>
    </w:p>
    <w:p w14:paraId="5438F4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bCs/>
          <w:color w:val="auto"/>
          <w:sz w:val="21"/>
          <w:szCs w:val="21"/>
        </w:rPr>
        <w:t>表3</w:t>
      </w:r>
      <w:r>
        <w:rPr>
          <w:rFonts w:hint="eastAsia" w:cs="Times New Roman"/>
          <w:b/>
          <w:bCs/>
          <w:color w:val="auto"/>
          <w:sz w:val="21"/>
          <w:szCs w:val="21"/>
          <w:lang w:val="en-US" w:eastAsia="zh-CN"/>
        </w:rPr>
        <w:t>.2</w:t>
      </w:r>
      <w:r>
        <w:rPr>
          <w:rFonts w:hint="default" w:ascii="Times New Roman" w:hAnsi="Times New Roman" w:eastAsia="宋体" w:cs="Times New Roman"/>
          <w:b/>
          <w:bCs/>
          <w:color w:val="auto"/>
          <w:sz w:val="21"/>
          <w:szCs w:val="21"/>
        </w:rPr>
        <w:t>-</w:t>
      </w:r>
      <w:r>
        <w:rPr>
          <w:rFonts w:hint="eastAsia" w:cs="Times New Roman"/>
          <w:b/>
          <w:bCs/>
          <w:color w:val="auto"/>
          <w:sz w:val="21"/>
          <w:szCs w:val="21"/>
          <w:lang w:val="en-US" w:eastAsia="zh-CN"/>
        </w:rPr>
        <w:t>5</w:t>
      </w:r>
      <w:r>
        <w:rPr>
          <w:rFonts w:hint="default" w:ascii="Times New Roman" w:hAnsi="Times New Roman" w:eastAsia="宋体" w:cs="Times New Roman"/>
          <w:b/>
          <w:bCs/>
          <w:color w:val="auto"/>
          <w:sz w:val="21"/>
          <w:szCs w:val="21"/>
        </w:rPr>
        <w:t xml:space="preserve">   项目道路交通量预测结果表</w:t>
      </w:r>
    </w:p>
    <w:tbl>
      <w:tblPr>
        <w:tblStyle w:val="58"/>
        <w:tblW w:w="4998"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1832"/>
        <w:gridCol w:w="2153"/>
        <w:gridCol w:w="1402"/>
        <w:gridCol w:w="1563"/>
        <w:gridCol w:w="1563"/>
      </w:tblGrid>
      <w:tr w14:paraId="6140E92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63" w:hRule="atLeast"/>
          <w:jc w:val="center"/>
        </w:trPr>
        <w:tc>
          <w:tcPr>
            <w:tcW w:w="1076" w:type="pct"/>
            <w:noWrap w:val="0"/>
            <w:vAlign w:val="center"/>
          </w:tcPr>
          <w:p w14:paraId="4BAE41A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特征年</w:t>
            </w:r>
          </w:p>
        </w:tc>
        <w:tc>
          <w:tcPr>
            <w:tcW w:w="1264" w:type="pct"/>
            <w:noWrap w:val="0"/>
            <w:vAlign w:val="center"/>
          </w:tcPr>
          <w:p w14:paraId="4FAA2AD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车型</w:t>
            </w:r>
          </w:p>
        </w:tc>
        <w:tc>
          <w:tcPr>
            <w:tcW w:w="823" w:type="pct"/>
            <w:noWrap w:val="0"/>
            <w:vAlign w:val="top"/>
          </w:tcPr>
          <w:p w14:paraId="5A0A9D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高峰期</w:t>
            </w:r>
          </w:p>
          <w:p w14:paraId="0880546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（辆/h）</w:t>
            </w:r>
          </w:p>
        </w:tc>
        <w:tc>
          <w:tcPr>
            <w:tcW w:w="918" w:type="pct"/>
            <w:noWrap w:val="0"/>
            <w:vAlign w:val="center"/>
          </w:tcPr>
          <w:p w14:paraId="301E79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w:t>
            </w:r>
          </w:p>
          <w:p w14:paraId="0ED32A9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（辆/h）</w:t>
            </w:r>
          </w:p>
        </w:tc>
        <w:tc>
          <w:tcPr>
            <w:tcW w:w="918" w:type="pct"/>
            <w:noWrap w:val="0"/>
            <w:vAlign w:val="top"/>
          </w:tcPr>
          <w:p w14:paraId="49B93E7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夜间</w:t>
            </w:r>
          </w:p>
          <w:p w14:paraId="01C7F3E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（辆/h）</w:t>
            </w:r>
          </w:p>
        </w:tc>
      </w:tr>
      <w:tr w14:paraId="4E2D10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restart"/>
            <w:noWrap w:val="0"/>
            <w:vAlign w:val="center"/>
          </w:tcPr>
          <w:p w14:paraId="5B0444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近期</w:t>
            </w:r>
          </w:p>
          <w:p w14:paraId="28962C8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（202</w:t>
            </w:r>
            <w:r>
              <w:rPr>
                <w:rFonts w:hint="eastAsia" w:hAnsi="Times New Roman" w:cs="Times New Roman"/>
                <w:b w:val="0"/>
                <w:bCs w:val="0"/>
                <w:color w:val="auto"/>
                <w:sz w:val="21"/>
                <w:szCs w:val="21"/>
                <w:lang w:val="en-US" w:eastAsia="zh-CN"/>
              </w:rPr>
              <w:t>7</w:t>
            </w:r>
            <w:r>
              <w:rPr>
                <w:rFonts w:hint="default" w:ascii="Times New Roman" w:hAnsi="Times New Roman" w:eastAsia="宋体" w:cs="Times New Roman"/>
                <w:b w:val="0"/>
                <w:bCs w:val="0"/>
                <w:color w:val="auto"/>
                <w:sz w:val="21"/>
                <w:szCs w:val="21"/>
              </w:rPr>
              <w:t>年）</w:t>
            </w:r>
          </w:p>
        </w:tc>
        <w:tc>
          <w:tcPr>
            <w:tcW w:w="1264" w:type="pct"/>
            <w:noWrap w:val="0"/>
            <w:vAlign w:val="center"/>
          </w:tcPr>
          <w:p w14:paraId="2BB15B0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小型车</w:t>
            </w:r>
          </w:p>
        </w:tc>
        <w:tc>
          <w:tcPr>
            <w:tcW w:w="1402" w:type="dxa"/>
            <w:noWrap w:val="0"/>
            <w:vAlign w:val="bottom"/>
          </w:tcPr>
          <w:p w14:paraId="6E8995C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560</w:t>
            </w:r>
          </w:p>
        </w:tc>
        <w:tc>
          <w:tcPr>
            <w:tcW w:w="1563" w:type="dxa"/>
            <w:noWrap w:val="0"/>
            <w:vAlign w:val="bottom"/>
          </w:tcPr>
          <w:p w14:paraId="2BB7D16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373</w:t>
            </w:r>
          </w:p>
        </w:tc>
        <w:tc>
          <w:tcPr>
            <w:tcW w:w="1563" w:type="dxa"/>
            <w:noWrap w:val="0"/>
            <w:vAlign w:val="bottom"/>
          </w:tcPr>
          <w:p w14:paraId="3B8C836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189</w:t>
            </w:r>
          </w:p>
        </w:tc>
      </w:tr>
      <w:tr w14:paraId="1375B98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7B6EF5C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04F6EFA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中型车</w:t>
            </w:r>
          </w:p>
        </w:tc>
        <w:tc>
          <w:tcPr>
            <w:tcW w:w="1402" w:type="dxa"/>
            <w:noWrap w:val="0"/>
            <w:vAlign w:val="bottom"/>
          </w:tcPr>
          <w:p w14:paraId="1D32C3E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23</w:t>
            </w:r>
          </w:p>
        </w:tc>
        <w:tc>
          <w:tcPr>
            <w:tcW w:w="1563" w:type="dxa"/>
            <w:noWrap w:val="0"/>
            <w:vAlign w:val="bottom"/>
          </w:tcPr>
          <w:p w14:paraId="7A4890F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15</w:t>
            </w:r>
          </w:p>
        </w:tc>
        <w:tc>
          <w:tcPr>
            <w:tcW w:w="1563" w:type="dxa"/>
            <w:noWrap w:val="0"/>
            <w:vAlign w:val="bottom"/>
          </w:tcPr>
          <w:p w14:paraId="343DE61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hAnsi="Times New Roman" w:cs="Times New Roman"/>
                <w:b w:val="0"/>
                <w:bCs w:val="0"/>
                <w:color w:val="auto"/>
                <w:sz w:val="21"/>
                <w:szCs w:val="21"/>
                <w:lang w:val="en-US" w:eastAsia="zh-CN"/>
              </w:rPr>
              <w:t>8</w:t>
            </w:r>
          </w:p>
        </w:tc>
      </w:tr>
      <w:tr w14:paraId="596713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6E6B865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6CA5F2B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大型车</w:t>
            </w:r>
          </w:p>
        </w:tc>
        <w:tc>
          <w:tcPr>
            <w:tcW w:w="1402" w:type="dxa"/>
            <w:noWrap w:val="0"/>
            <w:vAlign w:val="bottom"/>
          </w:tcPr>
          <w:p w14:paraId="326729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29</w:t>
            </w:r>
          </w:p>
        </w:tc>
        <w:tc>
          <w:tcPr>
            <w:tcW w:w="1563" w:type="dxa"/>
            <w:noWrap w:val="0"/>
            <w:vAlign w:val="bottom"/>
          </w:tcPr>
          <w:p w14:paraId="50C5154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19</w:t>
            </w:r>
          </w:p>
        </w:tc>
        <w:tc>
          <w:tcPr>
            <w:tcW w:w="1563" w:type="dxa"/>
            <w:noWrap w:val="0"/>
            <w:vAlign w:val="bottom"/>
          </w:tcPr>
          <w:p w14:paraId="37EC94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10</w:t>
            </w:r>
          </w:p>
        </w:tc>
      </w:tr>
      <w:tr w14:paraId="190CDA5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restart"/>
            <w:noWrap w:val="0"/>
            <w:vAlign w:val="center"/>
          </w:tcPr>
          <w:p w14:paraId="72FA05D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中期</w:t>
            </w:r>
          </w:p>
          <w:p w14:paraId="344067B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（203</w:t>
            </w:r>
            <w:r>
              <w:rPr>
                <w:rFonts w:hint="eastAsia" w:hAnsi="Times New Roman" w:cs="Times New Roman"/>
                <w:b w:val="0"/>
                <w:bCs w:val="0"/>
                <w:color w:val="auto"/>
                <w:sz w:val="21"/>
                <w:szCs w:val="21"/>
                <w:lang w:val="en-US" w:eastAsia="zh-CN"/>
              </w:rPr>
              <w:t>4</w:t>
            </w:r>
            <w:r>
              <w:rPr>
                <w:rFonts w:hint="default" w:ascii="Times New Roman" w:hAnsi="Times New Roman" w:eastAsia="宋体" w:cs="Times New Roman"/>
                <w:b w:val="0"/>
                <w:bCs w:val="0"/>
                <w:color w:val="auto"/>
                <w:sz w:val="21"/>
                <w:szCs w:val="21"/>
              </w:rPr>
              <w:t>年）</w:t>
            </w:r>
          </w:p>
        </w:tc>
        <w:tc>
          <w:tcPr>
            <w:tcW w:w="1264" w:type="pct"/>
            <w:noWrap w:val="0"/>
            <w:vAlign w:val="center"/>
          </w:tcPr>
          <w:p w14:paraId="42F8D8C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小型车</w:t>
            </w:r>
          </w:p>
        </w:tc>
        <w:tc>
          <w:tcPr>
            <w:tcW w:w="1402" w:type="dxa"/>
            <w:noWrap w:val="0"/>
            <w:vAlign w:val="bottom"/>
          </w:tcPr>
          <w:p w14:paraId="26EACF5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749</w:t>
            </w:r>
          </w:p>
        </w:tc>
        <w:tc>
          <w:tcPr>
            <w:tcW w:w="1563" w:type="dxa"/>
            <w:noWrap w:val="0"/>
            <w:vAlign w:val="bottom"/>
          </w:tcPr>
          <w:p w14:paraId="17D4B8A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499</w:t>
            </w:r>
          </w:p>
        </w:tc>
        <w:tc>
          <w:tcPr>
            <w:tcW w:w="1563" w:type="dxa"/>
            <w:noWrap w:val="0"/>
            <w:vAlign w:val="bottom"/>
          </w:tcPr>
          <w:p w14:paraId="6468100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250</w:t>
            </w:r>
          </w:p>
        </w:tc>
      </w:tr>
      <w:tr w14:paraId="44C124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6118C57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30B59B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中型车</w:t>
            </w:r>
          </w:p>
        </w:tc>
        <w:tc>
          <w:tcPr>
            <w:tcW w:w="1402" w:type="dxa"/>
            <w:noWrap w:val="0"/>
            <w:vAlign w:val="bottom"/>
          </w:tcPr>
          <w:p w14:paraId="54AF7B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30</w:t>
            </w:r>
          </w:p>
        </w:tc>
        <w:tc>
          <w:tcPr>
            <w:tcW w:w="1563" w:type="dxa"/>
            <w:noWrap w:val="0"/>
            <w:vAlign w:val="bottom"/>
          </w:tcPr>
          <w:p w14:paraId="59ED41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20</w:t>
            </w:r>
          </w:p>
        </w:tc>
        <w:tc>
          <w:tcPr>
            <w:tcW w:w="1563" w:type="dxa"/>
            <w:noWrap w:val="0"/>
            <w:vAlign w:val="bottom"/>
          </w:tcPr>
          <w:p w14:paraId="3F6F96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10</w:t>
            </w:r>
          </w:p>
        </w:tc>
      </w:tr>
      <w:tr w14:paraId="5553775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3C56D0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5D41E0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大型车</w:t>
            </w:r>
          </w:p>
        </w:tc>
        <w:tc>
          <w:tcPr>
            <w:tcW w:w="1402" w:type="dxa"/>
            <w:noWrap w:val="0"/>
            <w:vAlign w:val="bottom"/>
          </w:tcPr>
          <w:p w14:paraId="6D40C01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38</w:t>
            </w:r>
          </w:p>
        </w:tc>
        <w:tc>
          <w:tcPr>
            <w:tcW w:w="1563" w:type="dxa"/>
            <w:noWrap w:val="0"/>
            <w:vAlign w:val="bottom"/>
          </w:tcPr>
          <w:p w14:paraId="22503B9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25</w:t>
            </w:r>
          </w:p>
        </w:tc>
        <w:tc>
          <w:tcPr>
            <w:tcW w:w="1563" w:type="dxa"/>
            <w:noWrap w:val="0"/>
            <w:vAlign w:val="bottom"/>
          </w:tcPr>
          <w:p w14:paraId="18E5D8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13</w:t>
            </w:r>
          </w:p>
        </w:tc>
      </w:tr>
      <w:tr w14:paraId="7E80CC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restart"/>
            <w:noWrap w:val="0"/>
            <w:vAlign w:val="center"/>
          </w:tcPr>
          <w:p w14:paraId="7B6F7E3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远期</w:t>
            </w:r>
          </w:p>
          <w:p w14:paraId="1878296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w:t>
            </w:r>
            <w:r>
              <w:rPr>
                <w:rFonts w:hint="eastAsia" w:hAnsi="Times New Roman" w:cs="Times New Roman"/>
                <w:b w:val="0"/>
                <w:bCs w:val="0"/>
                <w:color w:val="auto"/>
                <w:sz w:val="21"/>
                <w:szCs w:val="21"/>
                <w:lang w:val="en-US" w:eastAsia="zh-CN"/>
              </w:rPr>
              <w:t>42</w:t>
            </w:r>
            <w:r>
              <w:rPr>
                <w:rFonts w:hint="default" w:ascii="Times New Roman" w:hAnsi="Times New Roman" w:eastAsia="宋体" w:cs="Times New Roman"/>
                <w:b w:val="0"/>
                <w:bCs w:val="0"/>
                <w:color w:val="auto"/>
                <w:sz w:val="21"/>
                <w:szCs w:val="21"/>
              </w:rPr>
              <w:t>年）</w:t>
            </w:r>
          </w:p>
        </w:tc>
        <w:tc>
          <w:tcPr>
            <w:tcW w:w="1264" w:type="pct"/>
            <w:noWrap w:val="0"/>
            <w:vAlign w:val="center"/>
          </w:tcPr>
          <w:p w14:paraId="4D9EDBB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小型车</w:t>
            </w:r>
          </w:p>
        </w:tc>
        <w:tc>
          <w:tcPr>
            <w:tcW w:w="1402" w:type="dxa"/>
            <w:noWrap w:val="0"/>
            <w:vAlign w:val="bottom"/>
          </w:tcPr>
          <w:p w14:paraId="5A8363A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978</w:t>
            </w:r>
          </w:p>
        </w:tc>
        <w:tc>
          <w:tcPr>
            <w:tcW w:w="1563" w:type="dxa"/>
            <w:noWrap w:val="0"/>
            <w:vAlign w:val="bottom"/>
          </w:tcPr>
          <w:p w14:paraId="69A666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652</w:t>
            </w:r>
          </w:p>
        </w:tc>
        <w:tc>
          <w:tcPr>
            <w:tcW w:w="1563" w:type="dxa"/>
            <w:noWrap w:val="0"/>
            <w:vAlign w:val="bottom"/>
          </w:tcPr>
          <w:p w14:paraId="4ADAEC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326</w:t>
            </w:r>
          </w:p>
        </w:tc>
      </w:tr>
      <w:tr w14:paraId="5E10B90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0EAEA82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2224CA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中型车</w:t>
            </w:r>
          </w:p>
        </w:tc>
        <w:tc>
          <w:tcPr>
            <w:tcW w:w="1402" w:type="dxa"/>
            <w:noWrap w:val="0"/>
            <w:vAlign w:val="bottom"/>
          </w:tcPr>
          <w:p w14:paraId="368D34D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36</w:t>
            </w:r>
          </w:p>
        </w:tc>
        <w:tc>
          <w:tcPr>
            <w:tcW w:w="1563" w:type="dxa"/>
            <w:noWrap w:val="0"/>
            <w:vAlign w:val="bottom"/>
          </w:tcPr>
          <w:p w14:paraId="6FDA8A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24</w:t>
            </w:r>
          </w:p>
        </w:tc>
        <w:tc>
          <w:tcPr>
            <w:tcW w:w="1563" w:type="dxa"/>
            <w:noWrap w:val="0"/>
            <w:vAlign w:val="bottom"/>
          </w:tcPr>
          <w:p w14:paraId="096858C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12</w:t>
            </w:r>
          </w:p>
        </w:tc>
      </w:tr>
      <w:tr w14:paraId="36D92F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1076" w:type="pct"/>
            <w:vMerge w:val="continue"/>
            <w:noWrap w:val="0"/>
            <w:vAlign w:val="center"/>
          </w:tcPr>
          <w:p w14:paraId="49E2C5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264" w:type="pct"/>
            <w:noWrap w:val="0"/>
            <w:vAlign w:val="center"/>
          </w:tcPr>
          <w:p w14:paraId="0F026BD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大型车</w:t>
            </w:r>
          </w:p>
        </w:tc>
        <w:tc>
          <w:tcPr>
            <w:tcW w:w="1402" w:type="dxa"/>
            <w:noWrap w:val="0"/>
            <w:vAlign w:val="bottom"/>
          </w:tcPr>
          <w:p w14:paraId="79434EF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51</w:t>
            </w:r>
          </w:p>
        </w:tc>
        <w:tc>
          <w:tcPr>
            <w:tcW w:w="1563" w:type="dxa"/>
            <w:noWrap w:val="0"/>
            <w:vAlign w:val="bottom"/>
          </w:tcPr>
          <w:p w14:paraId="0F787EF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34</w:t>
            </w:r>
          </w:p>
        </w:tc>
        <w:tc>
          <w:tcPr>
            <w:tcW w:w="1563" w:type="dxa"/>
            <w:noWrap w:val="0"/>
            <w:vAlign w:val="bottom"/>
          </w:tcPr>
          <w:p w14:paraId="5F791A2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17</w:t>
            </w:r>
          </w:p>
        </w:tc>
      </w:tr>
    </w:tbl>
    <w:p w14:paraId="261101BD">
      <w:pPr>
        <w:ind w:firstLine="360" w:firstLineChars="150"/>
        <w:rPr>
          <w:rFonts w:hint="default" w:ascii="Times New Roman" w:hAnsi="Times New Roman" w:eastAsia="宋体" w:cs="Times New Roman"/>
          <w:color w:val="auto"/>
        </w:rPr>
      </w:pPr>
      <w:r>
        <w:rPr>
          <w:rFonts w:hint="default" w:ascii="Times New Roman" w:hAnsi="Times New Roman" w:eastAsia="宋体" w:cs="Times New Roman"/>
          <w:color w:val="auto"/>
        </w:rPr>
        <w:t>（2）单车排放因子的选取</w:t>
      </w:r>
    </w:p>
    <w:p w14:paraId="56AC728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根据《公路建设项目环境影响评价规范》JTG B03-2006附录E表E.2.7中，车辆单车排放因子推荐值表3.</w:t>
      </w:r>
      <w:r>
        <w:rPr>
          <w:rFonts w:hint="eastAsia" w:cs="Times New Roman"/>
          <w:color w:val="auto"/>
          <w:lang w:val="en-US" w:eastAsia="zh-CN"/>
        </w:rPr>
        <w:t>2</w:t>
      </w:r>
      <w:r>
        <w:rPr>
          <w:rFonts w:hint="default" w:ascii="Times New Roman" w:hAnsi="Times New Roman" w:eastAsia="宋体" w:cs="Times New Roman"/>
          <w:color w:val="auto"/>
        </w:rPr>
        <w:t>-</w:t>
      </w:r>
      <w:r>
        <w:rPr>
          <w:rFonts w:hint="eastAsia" w:cs="Times New Roman"/>
          <w:color w:val="auto"/>
          <w:lang w:val="en-US" w:eastAsia="zh-CN"/>
        </w:rPr>
        <w:t>6</w:t>
      </w:r>
      <w:r>
        <w:rPr>
          <w:rFonts w:hint="default" w:ascii="Times New Roman" w:hAnsi="Times New Roman" w:eastAsia="宋体" w:cs="Times New Roman"/>
          <w:color w:val="auto"/>
        </w:rPr>
        <w:t>。</w:t>
      </w:r>
    </w:p>
    <w:p w14:paraId="3C38FD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auto"/>
          <w:sz w:val="21"/>
          <w:szCs w:val="21"/>
        </w:rPr>
      </w:pPr>
      <w:r>
        <w:rPr>
          <w:rFonts w:hint="default"/>
          <w:b/>
          <w:bCs/>
          <w:color w:val="auto"/>
          <w:sz w:val="21"/>
          <w:szCs w:val="21"/>
        </w:rPr>
        <w:t>表3.</w:t>
      </w:r>
      <w:r>
        <w:rPr>
          <w:rFonts w:hint="eastAsia"/>
          <w:b/>
          <w:bCs/>
          <w:color w:val="auto"/>
          <w:sz w:val="21"/>
          <w:szCs w:val="21"/>
          <w:lang w:val="en-US" w:eastAsia="zh-CN"/>
        </w:rPr>
        <w:t>2</w:t>
      </w:r>
      <w:r>
        <w:rPr>
          <w:rFonts w:hint="default"/>
          <w:b/>
          <w:bCs/>
          <w:color w:val="auto"/>
          <w:sz w:val="21"/>
          <w:szCs w:val="21"/>
        </w:rPr>
        <w:t>-</w:t>
      </w:r>
      <w:r>
        <w:rPr>
          <w:rFonts w:hint="eastAsia"/>
          <w:b/>
          <w:bCs/>
          <w:color w:val="auto"/>
          <w:sz w:val="21"/>
          <w:szCs w:val="21"/>
          <w:lang w:val="en-US" w:eastAsia="zh-CN"/>
        </w:rPr>
        <w:t>6</w:t>
      </w:r>
      <w:r>
        <w:rPr>
          <w:rFonts w:hint="default"/>
          <w:b/>
          <w:bCs/>
          <w:color w:val="auto"/>
          <w:sz w:val="21"/>
          <w:szCs w:val="21"/>
        </w:rPr>
        <w:t xml:space="preserve">   单车各污染物排放系数  单位：g/km.辆</w:t>
      </w:r>
    </w:p>
    <w:tbl>
      <w:tblPr>
        <w:tblStyle w:val="58"/>
        <w:tblpPr w:leftFromText="180" w:rightFromText="180" w:vertAnchor="text" w:tblpXSpec="center" w:tblpY="1"/>
        <w:tblOverlap w:val="never"/>
        <w:tblW w:w="5000" w:type="pct"/>
        <w:tblInd w:w="0" w:type="dxa"/>
        <w:tblLayout w:type="autofit"/>
        <w:tblCellMar>
          <w:top w:w="0" w:type="dxa"/>
          <w:left w:w="108" w:type="dxa"/>
          <w:bottom w:w="0" w:type="dxa"/>
          <w:right w:w="108" w:type="dxa"/>
        </w:tblCellMar>
      </w:tblPr>
      <w:tblGrid>
        <w:gridCol w:w="1040"/>
        <w:gridCol w:w="1040"/>
        <w:gridCol w:w="1040"/>
        <w:gridCol w:w="1126"/>
        <w:gridCol w:w="1041"/>
        <w:gridCol w:w="1041"/>
        <w:gridCol w:w="1062"/>
        <w:gridCol w:w="1126"/>
      </w:tblGrid>
      <w:tr w14:paraId="0B7A1B70">
        <w:tblPrEx>
          <w:tblCellMar>
            <w:top w:w="0" w:type="dxa"/>
            <w:left w:w="108" w:type="dxa"/>
            <w:bottom w:w="0" w:type="dxa"/>
            <w:right w:w="108" w:type="dxa"/>
          </w:tblCellMar>
        </w:tblPrEx>
        <w:trPr>
          <w:trHeight w:val="20" w:hRule="atLeast"/>
        </w:trPr>
        <w:tc>
          <w:tcPr>
            <w:tcW w:w="2080" w:type="dxa"/>
            <w:gridSpan w:val="2"/>
            <w:tcBorders>
              <w:top w:val="single" w:color="auto" w:sz="4" w:space="0"/>
              <w:left w:val="single" w:color="auto" w:sz="4" w:space="0"/>
              <w:bottom w:val="single" w:color="auto" w:sz="4" w:space="0"/>
              <w:right w:val="single" w:color="auto" w:sz="4" w:space="0"/>
            </w:tcBorders>
            <w:noWrap w:val="0"/>
            <w:vAlign w:val="center"/>
          </w:tcPr>
          <w:p w14:paraId="5DFF9D6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平均车速（km/h）</w:t>
            </w:r>
          </w:p>
        </w:tc>
        <w:tc>
          <w:tcPr>
            <w:tcW w:w="1040" w:type="dxa"/>
            <w:tcBorders>
              <w:top w:val="single" w:color="auto" w:sz="4" w:space="0"/>
              <w:left w:val="nil"/>
              <w:bottom w:val="single" w:color="auto" w:sz="4" w:space="0"/>
              <w:right w:val="single" w:color="auto" w:sz="4" w:space="0"/>
            </w:tcBorders>
            <w:noWrap w:val="0"/>
            <w:vAlign w:val="center"/>
          </w:tcPr>
          <w:p w14:paraId="343F6E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50</w:t>
            </w:r>
          </w:p>
        </w:tc>
        <w:tc>
          <w:tcPr>
            <w:tcW w:w="1126" w:type="dxa"/>
            <w:tcBorders>
              <w:top w:val="single" w:color="auto" w:sz="4" w:space="0"/>
              <w:left w:val="nil"/>
              <w:bottom w:val="single" w:color="auto" w:sz="4" w:space="0"/>
              <w:right w:val="single" w:color="auto" w:sz="4" w:space="0"/>
            </w:tcBorders>
            <w:noWrap w:val="0"/>
            <w:vAlign w:val="center"/>
          </w:tcPr>
          <w:p w14:paraId="44D1933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60</w:t>
            </w:r>
          </w:p>
        </w:tc>
        <w:tc>
          <w:tcPr>
            <w:tcW w:w="1041" w:type="dxa"/>
            <w:tcBorders>
              <w:top w:val="single" w:color="auto" w:sz="4" w:space="0"/>
              <w:left w:val="nil"/>
              <w:bottom w:val="single" w:color="auto" w:sz="4" w:space="0"/>
              <w:right w:val="single" w:color="auto" w:sz="4" w:space="0"/>
            </w:tcBorders>
            <w:noWrap w:val="0"/>
            <w:vAlign w:val="center"/>
          </w:tcPr>
          <w:p w14:paraId="5F355C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70</w:t>
            </w:r>
          </w:p>
        </w:tc>
        <w:tc>
          <w:tcPr>
            <w:tcW w:w="1041" w:type="dxa"/>
            <w:tcBorders>
              <w:top w:val="single" w:color="auto" w:sz="4" w:space="0"/>
              <w:left w:val="nil"/>
              <w:bottom w:val="single" w:color="auto" w:sz="4" w:space="0"/>
              <w:right w:val="single" w:color="auto" w:sz="4" w:space="0"/>
            </w:tcBorders>
            <w:noWrap w:val="0"/>
            <w:vAlign w:val="center"/>
          </w:tcPr>
          <w:p w14:paraId="401E737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80</w:t>
            </w:r>
          </w:p>
        </w:tc>
        <w:tc>
          <w:tcPr>
            <w:tcW w:w="1062" w:type="dxa"/>
            <w:tcBorders>
              <w:top w:val="single" w:color="auto" w:sz="4" w:space="0"/>
              <w:left w:val="nil"/>
              <w:bottom w:val="single" w:color="auto" w:sz="4" w:space="0"/>
              <w:right w:val="single" w:color="auto" w:sz="4" w:space="0"/>
            </w:tcBorders>
            <w:noWrap w:val="0"/>
            <w:vAlign w:val="center"/>
          </w:tcPr>
          <w:p w14:paraId="46A284C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90</w:t>
            </w:r>
          </w:p>
        </w:tc>
        <w:tc>
          <w:tcPr>
            <w:tcW w:w="1126" w:type="dxa"/>
            <w:tcBorders>
              <w:top w:val="single" w:color="auto" w:sz="4" w:space="0"/>
              <w:left w:val="nil"/>
              <w:bottom w:val="single" w:color="auto" w:sz="4" w:space="0"/>
              <w:right w:val="single" w:color="auto" w:sz="4" w:space="0"/>
            </w:tcBorders>
            <w:noWrap w:val="0"/>
            <w:vAlign w:val="center"/>
          </w:tcPr>
          <w:p w14:paraId="190EDE9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100</w:t>
            </w:r>
          </w:p>
        </w:tc>
      </w:tr>
      <w:tr w14:paraId="6B949396">
        <w:tblPrEx>
          <w:tblCellMar>
            <w:top w:w="0" w:type="dxa"/>
            <w:left w:w="108" w:type="dxa"/>
            <w:bottom w:w="0" w:type="dxa"/>
            <w:right w:w="108" w:type="dxa"/>
          </w:tblCellMar>
        </w:tblPrEx>
        <w:trPr>
          <w:trHeight w:val="20" w:hRule="atLeast"/>
        </w:trPr>
        <w:tc>
          <w:tcPr>
            <w:tcW w:w="1040" w:type="dxa"/>
            <w:vMerge w:val="restart"/>
            <w:tcBorders>
              <w:top w:val="nil"/>
              <w:left w:val="single" w:color="auto" w:sz="4" w:space="0"/>
              <w:bottom w:val="single" w:color="auto" w:sz="4" w:space="0"/>
              <w:right w:val="single" w:color="auto" w:sz="4" w:space="0"/>
            </w:tcBorders>
            <w:noWrap w:val="0"/>
            <w:vAlign w:val="center"/>
          </w:tcPr>
          <w:p w14:paraId="3E9E848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小型车</w:t>
            </w:r>
          </w:p>
        </w:tc>
        <w:tc>
          <w:tcPr>
            <w:tcW w:w="1040" w:type="dxa"/>
            <w:tcBorders>
              <w:top w:val="nil"/>
              <w:left w:val="nil"/>
              <w:bottom w:val="single" w:color="auto" w:sz="4" w:space="0"/>
              <w:right w:val="single" w:color="auto" w:sz="4" w:space="0"/>
            </w:tcBorders>
            <w:noWrap w:val="0"/>
            <w:vAlign w:val="center"/>
          </w:tcPr>
          <w:p w14:paraId="0DF4018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040" w:type="dxa"/>
            <w:tcBorders>
              <w:top w:val="nil"/>
              <w:left w:val="nil"/>
              <w:bottom w:val="single" w:color="auto" w:sz="4" w:space="0"/>
              <w:right w:val="single" w:color="auto" w:sz="4" w:space="0"/>
            </w:tcBorders>
            <w:noWrap w:val="0"/>
            <w:vAlign w:val="center"/>
          </w:tcPr>
          <w:p w14:paraId="5E8FD71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31.34</w:t>
            </w:r>
          </w:p>
        </w:tc>
        <w:tc>
          <w:tcPr>
            <w:tcW w:w="1126" w:type="dxa"/>
            <w:tcBorders>
              <w:top w:val="nil"/>
              <w:left w:val="nil"/>
              <w:bottom w:val="single" w:color="auto" w:sz="4" w:space="0"/>
              <w:right w:val="single" w:color="auto" w:sz="4" w:space="0"/>
            </w:tcBorders>
            <w:noWrap w:val="0"/>
            <w:vAlign w:val="center"/>
          </w:tcPr>
          <w:p w14:paraId="7737C4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23.68</w:t>
            </w:r>
          </w:p>
        </w:tc>
        <w:tc>
          <w:tcPr>
            <w:tcW w:w="1041" w:type="dxa"/>
            <w:tcBorders>
              <w:top w:val="nil"/>
              <w:left w:val="nil"/>
              <w:bottom w:val="single" w:color="auto" w:sz="4" w:space="0"/>
              <w:right w:val="single" w:color="auto" w:sz="4" w:space="0"/>
            </w:tcBorders>
            <w:noWrap w:val="0"/>
            <w:vAlign w:val="center"/>
          </w:tcPr>
          <w:p w14:paraId="3909DEC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17.9</w:t>
            </w:r>
          </w:p>
        </w:tc>
        <w:tc>
          <w:tcPr>
            <w:tcW w:w="1041" w:type="dxa"/>
            <w:tcBorders>
              <w:top w:val="nil"/>
              <w:left w:val="nil"/>
              <w:bottom w:val="single" w:color="auto" w:sz="4" w:space="0"/>
              <w:right w:val="single" w:color="auto" w:sz="4" w:space="0"/>
            </w:tcBorders>
            <w:noWrap w:val="0"/>
            <w:vAlign w:val="center"/>
          </w:tcPr>
          <w:p w14:paraId="77B4815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14.76</w:t>
            </w:r>
          </w:p>
        </w:tc>
        <w:tc>
          <w:tcPr>
            <w:tcW w:w="1062" w:type="dxa"/>
            <w:tcBorders>
              <w:top w:val="nil"/>
              <w:left w:val="nil"/>
              <w:bottom w:val="single" w:color="auto" w:sz="4" w:space="0"/>
              <w:right w:val="single" w:color="auto" w:sz="4" w:space="0"/>
            </w:tcBorders>
            <w:noWrap w:val="0"/>
            <w:vAlign w:val="center"/>
          </w:tcPr>
          <w:p w14:paraId="46EB254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10.24</w:t>
            </w:r>
          </w:p>
        </w:tc>
        <w:tc>
          <w:tcPr>
            <w:tcW w:w="1126" w:type="dxa"/>
            <w:tcBorders>
              <w:top w:val="nil"/>
              <w:left w:val="nil"/>
              <w:bottom w:val="single" w:color="auto" w:sz="4" w:space="0"/>
              <w:right w:val="single" w:color="auto" w:sz="4" w:space="0"/>
            </w:tcBorders>
            <w:noWrap w:val="0"/>
            <w:vAlign w:val="center"/>
          </w:tcPr>
          <w:p w14:paraId="20F9D66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7.72</w:t>
            </w:r>
          </w:p>
        </w:tc>
      </w:tr>
      <w:tr w14:paraId="53E9DB34">
        <w:tblPrEx>
          <w:tblCellMar>
            <w:top w:w="0" w:type="dxa"/>
            <w:left w:w="108" w:type="dxa"/>
            <w:bottom w:w="0" w:type="dxa"/>
            <w:right w:w="108" w:type="dxa"/>
          </w:tblCellMar>
        </w:tblPrEx>
        <w:trPr>
          <w:trHeight w:val="20" w:hRule="atLeast"/>
        </w:trPr>
        <w:tc>
          <w:tcPr>
            <w:tcW w:w="1040" w:type="dxa"/>
            <w:vMerge w:val="continue"/>
            <w:tcBorders>
              <w:top w:val="nil"/>
              <w:left w:val="single" w:color="auto" w:sz="4" w:space="0"/>
              <w:bottom w:val="single" w:color="auto" w:sz="4" w:space="0"/>
              <w:right w:val="single" w:color="auto" w:sz="4" w:space="0"/>
            </w:tcBorders>
            <w:noWrap w:val="0"/>
            <w:vAlign w:val="center"/>
          </w:tcPr>
          <w:p w14:paraId="4EE0522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040" w:type="dxa"/>
            <w:tcBorders>
              <w:top w:val="nil"/>
              <w:left w:val="nil"/>
              <w:bottom w:val="single" w:color="auto" w:sz="4" w:space="0"/>
              <w:right w:val="single" w:color="auto" w:sz="4" w:space="0"/>
            </w:tcBorders>
            <w:noWrap w:val="0"/>
            <w:vAlign w:val="center"/>
          </w:tcPr>
          <w:p w14:paraId="4A906C9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NOx</w:t>
            </w:r>
          </w:p>
        </w:tc>
        <w:tc>
          <w:tcPr>
            <w:tcW w:w="1040" w:type="dxa"/>
            <w:tcBorders>
              <w:top w:val="nil"/>
              <w:left w:val="nil"/>
              <w:bottom w:val="single" w:color="auto" w:sz="4" w:space="0"/>
              <w:right w:val="single" w:color="auto" w:sz="4" w:space="0"/>
            </w:tcBorders>
            <w:noWrap w:val="0"/>
            <w:vAlign w:val="center"/>
          </w:tcPr>
          <w:p w14:paraId="49D029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1.77</w:t>
            </w:r>
          </w:p>
        </w:tc>
        <w:tc>
          <w:tcPr>
            <w:tcW w:w="1126" w:type="dxa"/>
            <w:tcBorders>
              <w:top w:val="nil"/>
              <w:left w:val="nil"/>
              <w:bottom w:val="single" w:color="auto" w:sz="4" w:space="0"/>
              <w:right w:val="single" w:color="auto" w:sz="4" w:space="0"/>
            </w:tcBorders>
            <w:noWrap w:val="0"/>
            <w:vAlign w:val="center"/>
          </w:tcPr>
          <w:p w14:paraId="292EA1A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2.37</w:t>
            </w:r>
          </w:p>
        </w:tc>
        <w:tc>
          <w:tcPr>
            <w:tcW w:w="1041" w:type="dxa"/>
            <w:tcBorders>
              <w:top w:val="nil"/>
              <w:left w:val="nil"/>
              <w:bottom w:val="single" w:color="auto" w:sz="4" w:space="0"/>
              <w:right w:val="single" w:color="auto" w:sz="4" w:space="0"/>
            </w:tcBorders>
            <w:noWrap w:val="0"/>
            <w:vAlign w:val="center"/>
          </w:tcPr>
          <w:p w14:paraId="7A13C0C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2.96</w:t>
            </w:r>
          </w:p>
        </w:tc>
        <w:tc>
          <w:tcPr>
            <w:tcW w:w="1041" w:type="dxa"/>
            <w:tcBorders>
              <w:top w:val="nil"/>
              <w:left w:val="nil"/>
              <w:bottom w:val="single" w:color="auto" w:sz="4" w:space="0"/>
              <w:right w:val="single" w:color="auto" w:sz="4" w:space="0"/>
            </w:tcBorders>
            <w:noWrap w:val="0"/>
            <w:vAlign w:val="center"/>
          </w:tcPr>
          <w:p w14:paraId="31E232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3.71</w:t>
            </w:r>
          </w:p>
        </w:tc>
        <w:tc>
          <w:tcPr>
            <w:tcW w:w="1062" w:type="dxa"/>
            <w:tcBorders>
              <w:top w:val="nil"/>
              <w:left w:val="nil"/>
              <w:bottom w:val="single" w:color="auto" w:sz="4" w:space="0"/>
              <w:right w:val="single" w:color="auto" w:sz="4" w:space="0"/>
            </w:tcBorders>
            <w:noWrap w:val="0"/>
            <w:vAlign w:val="center"/>
          </w:tcPr>
          <w:p w14:paraId="03F6153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3.85</w:t>
            </w:r>
          </w:p>
        </w:tc>
        <w:tc>
          <w:tcPr>
            <w:tcW w:w="1126" w:type="dxa"/>
            <w:tcBorders>
              <w:top w:val="nil"/>
              <w:left w:val="nil"/>
              <w:bottom w:val="single" w:color="auto" w:sz="4" w:space="0"/>
              <w:right w:val="single" w:color="auto" w:sz="4" w:space="0"/>
            </w:tcBorders>
            <w:noWrap w:val="0"/>
            <w:vAlign w:val="center"/>
          </w:tcPr>
          <w:p w14:paraId="200143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3.99</w:t>
            </w:r>
          </w:p>
        </w:tc>
      </w:tr>
      <w:tr w14:paraId="6DBCE88E">
        <w:tblPrEx>
          <w:tblCellMar>
            <w:top w:w="0" w:type="dxa"/>
            <w:left w:w="108" w:type="dxa"/>
            <w:bottom w:w="0" w:type="dxa"/>
            <w:right w:w="108" w:type="dxa"/>
          </w:tblCellMar>
        </w:tblPrEx>
        <w:trPr>
          <w:trHeight w:val="20" w:hRule="atLeast"/>
        </w:trPr>
        <w:tc>
          <w:tcPr>
            <w:tcW w:w="1040" w:type="dxa"/>
            <w:vMerge w:val="restart"/>
            <w:tcBorders>
              <w:top w:val="nil"/>
              <w:left w:val="single" w:color="auto" w:sz="4" w:space="0"/>
              <w:bottom w:val="single" w:color="auto" w:sz="4" w:space="0"/>
              <w:right w:val="single" w:color="auto" w:sz="4" w:space="0"/>
            </w:tcBorders>
            <w:noWrap w:val="0"/>
            <w:vAlign w:val="center"/>
          </w:tcPr>
          <w:p w14:paraId="5020AEF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中型车</w:t>
            </w:r>
          </w:p>
        </w:tc>
        <w:tc>
          <w:tcPr>
            <w:tcW w:w="1040" w:type="dxa"/>
            <w:tcBorders>
              <w:top w:val="nil"/>
              <w:left w:val="nil"/>
              <w:bottom w:val="single" w:color="auto" w:sz="4" w:space="0"/>
              <w:right w:val="single" w:color="auto" w:sz="4" w:space="0"/>
            </w:tcBorders>
            <w:noWrap w:val="0"/>
            <w:vAlign w:val="center"/>
          </w:tcPr>
          <w:p w14:paraId="2180D2F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040" w:type="dxa"/>
            <w:tcBorders>
              <w:top w:val="nil"/>
              <w:left w:val="nil"/>
              <w:bottom w:val="single" w:color="auto" w:sz="4" w:space="0"/>
              <w:right w:val="single" w:color="auto" w:sz="4" w:space="0"/>
            </w:tcBorders>
            <w:noWrap w:val="0"/>
            <w:vAlign w:val="center"/>
          </w:tcPr>
          <w:p w14:paraId="7A32E51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30.18</w:t>
            </w:r>
          </w:p>
        </w:tc>
        <w:tc>
          <w:tcPr>
            <w:tcW w:w="1126" w:type="dxa"/>
            <w:tcBorders>
              <w:top w:val="nil"/>
              <w:left w:val="nil"/>
              <w:bottom w:val="single" w:color="auto" w:sz="4" w:space="0"/>
              <w:right w:val="single" w:color="auto" w:sz="4" w:space="0"/>
            </w:tcBorders>
            <w:noWrap w:val="0"/>
            <w:vAlign w:val="center"/>
          </w:tcPr>
          <w:p w14:paraId="41104E3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26.19</w:t>
            </w:r>
          </w:p>
        </w:tc>
        <w:tc>
          <w:tcPr>
            <w:tcW w:w="1041" w:type="dxa"/>
            <w:tcBorders>
              <w:top w:val="nil"/>
              <w:left w:val="nil"/>
              <w:bottom w:val="single" w:color="auto" w:sz="4" w:space="0"/>
              <w:right w:val="single" w:color="auto" w:sz="4" w:space="0"/>
            </w:tcBorders>
            <w:noWrap w:val="0"/>
            <w:vAlign w:val="center"/>
          </w:tcPr>
          <w:p w14:paraId="5CD75A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24.76</w:t>
            </w:r>
          </w:p>
        </w:tc>
        <w:tc>
          <w:tcPr>
            <w:tcW w:w="1041" w:type="dxa"/>
            <w:tcBorders>
              <w:top w:val="nil"/>
              <w:left w:val="nil"/>
              <w:bottom w:val="single" w:color="auto" w:sz="4" w:space="0"/>
              <w:right w:val="single" w:color="auto" w:sz="4" w:space="0"/>
            </w:tcBorders>
            <w:noWrap w:val="0"/>
            <w:vAlign w:val="center"/>
          </w:tcPr>
          <w:p w14:paraId="3083209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25.47</w:t>
            </w:r>
          </w:p>
        </w:tc>
        <w:tc>
          <w:tcPr>
            <w:tcW w:w="1062" w:type="dxa"/>
            <w:tcBorders>
              <w:top w:val="nil"/>
              <w:left w:val="nil"/>
              <w:bottom w:val="single" w:color="auto" w:sz="4" w:space="0"/>
              <w:right w:val="single" w:color="auto" w:sz="4" w:space="0"/>
            </w:tcBorders>
            <w:noWrap w:val="0"/>
            <w:vAlign w:val="center"/>
          </w:tcPr>
          <w:p w14:paraId="72638D3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28.55</w:t>
            </w:r>
          </w:p>
        </w:tc>
        <w:tc>
          <w:tcPr>
            <w:tcW w:w="1126" w:type="dxa"/>
            <w:tcBorders>
              <w:top w:val="nil"/>
              <w:left w:val="nil"/>
              <w:bottom w:val="single" w:color="auto" w:sz="4" w:space="0"/>
              <w:right w:val="single" w:color="auto" w:sz="4" w:space="0"/>
            </w:tcBorders>
            <w:noWrap w:val="0"/>
            <w:vAlign w:val="center"/>
          </w:tcPr>
          <w:p w14:paraId="0DA2BDD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34.78</w:t>
            </w:r>
          </w:p>
        </w:tc>
      </w:tr>
      <w:tr w14:paraId="55414FCB">
        <w:tblPrEx>
          <w:tblCellMar>
            <w:top w:w="0" w:type="dxa"/>
            <w:left w:w="108" w:type="dxa"/>
            <w:bottom w:w="0" w:type="dxa"/>
            <w:right w:w="108" w:type="dxa"/>
          </w:tblCellMar>
        </w:tblPrEx>
        <w:trPr>
          <w:trHeight w:val="20" w:hRule="atLeast"/>
        </w:trPr>
        <w:tc>
          <w:tcPr>
            <w:tcW w:w="1040" w:type="dxa"/>
            <w:vMerge w:val="continue"/>
            <w:tcBorders>
              <w:top w:val="nil"/>
              <w:left w:val="single" w:color="auto" w:sz="4" w:space="0"/>
              <w:bottom w:val="single" w:color="auto" w:sz="4" w:space="0"/>
              <w:right w:val="single" w:color="auto" w:sz="4" w:space="0"/>
            </w:tcBorders>
            <w:noWrap w:val="0"/>
            <w:vAlign w:val="center"/>
          </w:tcPr>
          <w:p w14:paraId="2FC02C4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040" w:type="dxa"/>
            <w:tcBorders>
              <w:top w:val="nil"/>
              <w:left w:val="nil"/>
              <w:bottom w:val="single" w:color="auto" w:sz="4" w:space="0"/>
              <w:right w:val="single" w:color="auto" w:sz="4" w:space="0"/>
            </w:tcBorders>
            <w:noWrap w:val="0"/>
            <w:vAlign w:val="center"/>
          </w:tcPr>
          <w:p w14:paraId="12C0CA5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NOx</w:t>
            </w:r>
          </w:p>
        </w:tc>
        <w:tc>
          <w:tcPr>
            <w:tcW w:w="1040" w:type="dxa"/>
            <w:tcBorders>
              <w:top w:val="nil"/>
              <w:left w:val="nil"/>
              <w:bottom w:val="single" w:color="auto" w:sz="4" w:space="0"/>
              <w:right w:val="single" w:color="auto" w:sz="4" w:space="0"/>
            </w:tcBorders>
            <w:noWrap w:val="0"/>
            <w:vAlign w:val="center"/>
          </w:tcPr>
          <w:p w14:paraId="4AB1281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5.4</w:t>
            </w:r>
          </w:p>
        </w:tc>
        <w:tc>
          <w:tcPr>
            <w:tcW w:w="1126" w:type="dxa"/>
            <w:tcBorders>
              <w:top w:val="nil"/>
              <w:left w:val="nil"/>
              <w:bottom w:val="single" w:color="auto" w:sz="4" w:space="0"/>
              <w:right w:val="single" w:color="auto" w:sz="4" w:space="0"/>
            </w:tcBorders>
            <w:noWrap w:val="0"/>
            <w:vAlign w:val="center"/>
          </w:tcPr>
          <w:p w14:paraId="0F0754A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w:t>
            </w:r>
          </w:p>
        </w:tc>
        <w:tc>
          <w:tcPr>
            <w:tcW w:w="1041" w:type="dxa"/>
            <w:tcBorders>
              <w:top w:val="nil"/>
              <w:left w:val="nil"/>
              <w:bottom w:val="single" w:color="auto" w:sz="4" w:space="0"/>
              <w:right w:val="single" w:color="auto" w:sz="4" w:space="0"/>
            </w:tcBorders>
            <w:noWrap w:val="0"/>
            <w:vAlign w:val="center"/>
          </w:tcPr>
          <w:p w14:paraId="5C676F2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7.2</w:t>
            </w:r>
          </w:p>
        </w:tc>
        <w:tc>
          <w:tcPr>
            <w:tcW w:w="1041" w:type="dxa"/>
            <w:tcBorders>
              <w:top w:val="nil"/>
              <w:left w:val="nil"/>
              <w:bottom w:val="single" w:color="auto" w:sz="4" w:space="0"/>
              <w:right w:val="single" w:color="auto" w:sz="4" w:space="0"/>
            </w:tcBorders>
            <w:noWrap w:val="0"/>
            <w:vAlign w:val="center"/>
          </w:tcPr>
          <w:p w14:paraId="2EEDA99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8.3</w:t>
            </w:r>
          </w:p>
        </w:tc>
        <w:tc>
          <w:tcPr>
            <w:tcW w:w="1062" w:type="dxa"/>
            <w:tcBorders>
              <w:top w:val="nil"/>
              <w:left w:val="nil"/>
              <w:bottom w:val="single" w:color="auto" w:sz="4" w:space="0"/>
              <w:right w:val="single" w:color="auto" w:sz="4" w:space="0"/>
            </w:tcBorders>
            <w:noWrap w:val="0"/>
            <w:vAlign w:val="center"/>
          </w:tcPr>
          <w:p w14:paraId="5A0A21A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8.8</w:t>
            </w:r>
          </w:p>
        </w:tc>
        <w:tc>
          <w:tcPr>
            <w:tcW w:w="1126" w:type="dxa"/>
            <w:tcBorders>
              <w:top w:val="nil"/>
              <w:left w:val="nil"/>
              <w:bottom w:val="single" w:color="auto" w:sz="4" w:space="0"/>
              <w:right w:val="single" w:color="auto" w:sz="4" w:space="0"/>
            </w:tcBorders>
            <w:noWrap w:val="0"/>
            <w:vAlign w:val="center"/>
          </w:tcPr>
          <w:p w14:paraId="1F4CA8C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9.3</w:t>
            </w:r>
          </w:p>
        </w:tc>
      </w:tr>
      <w:tr w14:paraId="56A0397C">
        <w:tblPrEx>
          <w:tblCellMar>
            <w:top w:w="0" w:type="dxa"/>
            <w:left w:w="108" w:type="dxa"/>
            <w:bottom w:w="0" w:type="dxa"/>
            <w:right w:w="108" w:type="dxa"/>
          </w:tblCellMar>
        </w:tblPrEx>
        <w:trPr>
          <w:trHeight w:val="20" w:hRule="atLeast"/>
        </w:trPr>
        <w:tc>
          <w:tcPr>
            <w:tcW w:w="1040" w:type="dxa"/>
            <w:vMerge w:val="restart"/>
            <w:tcBorders>
              <w:top w:val="nil"/>
              <w:left w:val="single" w:color="auto" w:sz="4" w:space="0"/>
              <w:bottom w:val="single" w:color="000000" w:sz="4" w:space="0"/>
              <w:right w:val="single" w:color="auto" w:sz="4" w:space="0"/>
            </w:tcBorders>
            <w:noWrap w:val="0"/>
            <w:vAlign w:val="center"/>
          </w:tcPr>
          <w:p w14:paraId="6DA164C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大型车</w:t>
            </w:r>
          </w:p>
        </w:tc>
        <w:tc>
          <w:tcPr>
            <w:tcW w:w="1040" w:type="dxa"/>
            <w:tcBorders>
              <w:top w:val="nil"/>
              <w:left w:val="nil"/>
              <w:bottom w:val="single" w:color="auto" w:sz="4" w:space="0"/>
              <w:right w:val="single" w:color="auto" w:sz="4" w:space="0"/>
            </w:tcBorders>
            <w:noWrap w:val="0"/>
            <w:vAlign w:val="center"/>
          </w:tcPr>
          <w:p w14:paraId="4EA163C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040" w:type="dxa"/>
            <w:tcBorders>
              <w:top w:val="nil"/>
              <w:left w:val="nil"/>
              <w:bottom w:val="single" w:color="auto" w:sz="4" w:space="0"/>
              <w:right w:val="single" w:color="auto" w:sz="4" w:space="0"/>
            </w:tcBorders>
            <w:noWrap w:val="0"/>
            <w:vAlign w:val="center"/>
          </w:tcPr>
          <w:p w14:paraId="3489A43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5.25</w:t>
            </w:r>
          </w:p>
        </w:tc>
        <w:tc>
          <w:tcPr>
            <w:tcW w:w="1126" w:type="dxa"/>
            <w:tcBorders>
              <w:top w:val="nil"/>
              <w:left w:val="nil"/>
              <w:bottom w:val="single" w:color="auto" w:sz="4" w:space="0"/>
              <w:right w:val="single" w:color="auto" w:sz="4" w:space="0"/>
            </w:tcBorders>
            <w:noWrap w:val="0"/>
            <w:vAlign w:val="center"/>
          </w:tcPr>
          <w:p w14:paraId="1A9C41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4.48</w:t>
            </w:r>
          </w:p>
        </w:tc>
        <w:tc>
          <w:tcPr>
            <w:tcW w:w="1041" w:type="dxa"/>
            <w:tcBorders>
              <w:top w:val="nil"/>
              <w:left w:val="nil"/>
              <w:bottom w:val="single" w:color="auto" w:sz="4" w:space="0"/>
              <w:right w:val="single" w:color="auto" w:sz="4" w:space="0"/>
            </w:tcBorders>
            <w:noWrap w:val="0"/>
            <w:vAlign w:val="center"/>
          </w:tcPr>
          <w:p w14:paraId="2022AE6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w:t>
            </w:r>
          </w:p>
        </w:tc>
        <w:tc>
          <w:tcPr>
            <w:tcW w:w="1041" w:type="dxa"/>
            <w:tcBorders>
              <w:top w:val="nil"/>
              <w:left w:val="nil"/>
              <w:bottom w:val="single" w:color="auto" w:sz="4" w:space="0"/>
              <w:right w:val="single" w:color="auto" w:sz="4" w:space="0"/>
            </w:tcBorders>
            <w:noWrap w:val="0"/>
            <w:vAlign w:val="center"/>
          </w:tcPr>
          <w:p w14:paraId="20DFFE5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4.01</w:t>
            </w:r>
          </w:p>
        </w:tc>
        <w:tc>
          <w:tcPr>
            <w:tcW w:w="1062" w:type="dxa"/>
            <w:tcBorders>
              <w:top w:val="nil"/>
              <w:left w:val="nil"/>
              <w:bottom w:val="single" w:color="auto" w:sz="4" w:space="0"/>
              <w:right w:val="single" w:color="auto" w:sz="4" w:space="0"/>
            </w:tcBorders>
            <w:noWrap w:val="0"/>
            <w:vAlign w:val="center"/>
          </w:tcPr>
          <w:p w14:paraId="1689D04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4.23</w:t>
            </w:r>
          </w:p>
        </w:tc>
        <w:tc>
          <w:tcPr>
            <w:tcW w:w="1126" w:type="dxa"/>
            <w:tcBorders>
              <w:top w:val="nil"/>
              <w:left w:val="nil"/>
              <w:bottom w:val="single" w:color="auto" w:sz="4" w:space="0"/>
              <w:right w:val="single" w:color="auto" w:sz="4" w:space="0"/>
            </w:tcBorders>
            <w:noWrap w:val="0"/>
            <w:vAlign w:val="center"/>
          </w:tcPr>
          <w:p w14:paraId="00C774E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4.77</w:t>
            </w:r>
          </w:p>
        </w:tc>
      </w:tr>
      <w:tr w14:paraId="31148F47">
        <w:tblPrEx>
          <w:tblCellMar>
            <w:top w:w="0" w:type="dxa"/>
            <w:left w:w="108" w:type="dxa"/>
            <w:bottom w:w="0" w:type="dxa"/>
            <w:right w:w="108" w:type="dxa"/>
          </w:tblCellMar>
        </w:tblPrEx>
        <w:trPr>
          <w:trHeight w:val="20" w:hRule="atLeast"/>
        </w:trPr>
        <w:tc>
          <w:tcPr>
            <w:tcW w:w="1040" w:type="dxa"/>
            <w:vMerge w:val="continue"/>
            <w:tcBorders>
              <w:top w:val="nil"/>
              <w:left w:val="single" w:color="auto" w:sz="4" w:space="0"/>
              <w:bottom w:val="single" w:color="000000" w:sz="4" w:space="0"/>
              <w:right w:val="single" w:color="auto" w:sz="4" w:space="0"/>
            </w:tcBorders>
            <w:noWrap w:val="0"/>
            <w:vAlign w:val="center"/>
          </w:tcPr>
          <w:p w14:paraId="2575234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040" w:type="dxa"/>
            <w:tcBorders>
              <w:top w:val="nil"/>
              <w:left w:val="nil"/>
              <w:bottom w:val="single" w:color="auto" w:sz="4" w:space="0"/>
              <w:right w:val="single" w:color="auto" w:sz="4" w:space="0"/>
            </w:tcBorders>
            <w:noWrap w:val="0"/>
            <w:vAlign w:val="center"/>
          </w:tcPr>
          <w:p w14:paraId="75D8CD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NOx</w:t>
            </w:r>
          </w:p>
        </w:tc>
        <w:tc>
          <w:tcPr>
            <w:tcW w:w="1040" w:type="dxa"/>
            <w:tcBorders>
              <w:top w:val="nil"/>
              <w:left w:val="nil"/>
              <w:bottom w:val="single" w:color="auto" w:sz="4" w:space="0"/>
              <w:right w:val="single" w:color="auto" w:sz="4" w:space="0"/>
            </w:tcBorders>
            <w:noWrap w:val="0"/>
            <w:vAlign w:val="center"/>
          </w:tcPr>
          <w:p w14:paraId="54CE23C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10.44</w:t>
            </w:r>
          </w:p>
        </w:tc>
        <w:tc>
          <w:tcPr>
            <w:tcW w:w="1126" w:type="dxa"/>
            <w:tcBorders>
              <w:top w:val="nil"/>
              <w:left w:val="nil"/>
              <w:bottom w:val="single" w:color="auto" w:sz="4" w:space="0"/>
              <w:right w:val="single" w:color="auto" w:sz="4" w:space="0"/>
            </w:tcBorders>
            <w:noWrap w:val="0"/>
            <w:vAlign w:val="center"/>
          </w:tcPr>
          <w:p w14:paraId="1929D3F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10.48</w:t>
            </w:r>
          </w:p>
        </w:tc>
        <w:tc>
          <w:tcPr>
            <w:tcW w:w="1041" w:type="dxa"/>
            <w:tcBorders>
              <w:top w:val="nil"/>
              <w:left w:val="nil"/>
              <w:bottom w:val="single" w:color="auto" w:sz="4" w:space="0"/>
              <w:right w:val="single" w:color="auto" w:sz="4" w:space="0"/>
            </w:tcBorders>
            <w:noWrap w:val="0"/>
            <w:vAlign w:val="center"/>
          </w:tcPr>
          <w:p w14:paraId="59C26C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11.1</w:t>
            </w:r>
          </w:p>
        </w:tc>
        <w:tc>
          <w:tcPr>
            <w:tcW w:w="1041" w:type="dxa"/>
            <w:tcBorders>
              <w:top w:val="nil"/>
              <w:left w:val="nil"/>
              <w:bottom w:val="single" w:color="auto" w:sz="4" w:space="0"/>
              <w:right w:val="single" w:color="auto" w:sz="4" w:space="0"/>
            </w:tcBorders>
            <w:noWrap w:val="0"/>
            <w:vAlign w:val="center"/>
          </w:tcPr>
          <w:p w14:paraId="28D03BA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14.7</w:t>
            </w:r>
          </w:p>
        </w:tc>
        <w:tc>
          <w:tcPr>
            <w:tcW w:w="1062" w:type="dxa"/>
            <w:tcBorders>
              <w:top w:val="nil"/>
              <w:left w:val="nil"/>
              <w:bottom w:val="single" w:color="auto" w:sz="4" w:space="0"/>
              <w:right w:val="single" w:color="auto" w:sz="4" w:space="0"/>
            </w:tcBorders>
            <w:noWrap w:val="0"/>
            <w:vAlign w:val="center"/>
          </w:tcPr>
          <w:p w14:paraId="6D9EFFA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15.64</w:t>
            </w:r>
          </w:p>
        </w:tc>
        <w:tc>
          <w:tcPr>
            <w:tcW w:w="1126" w:type="dxa"/>
            <w:tcBorders>
              <w:top w:val="nil"/>
              <w:left w:val="nil"/>
              <w:bottom w:val="single" w:color="auto" w:sz="4" w:space="0"/>
              <w:right w:val="single" w:color="auto" w:sz="4" w:space="0"/>
            </w:tcBorders>
            <w:noWrap w:val="0"/>
            <w:vAlign w:val="center"/>
          </w:tcPr>
          <w:p w14:paraId="5113CC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18.38</w:t>
            </w:r>
          </w:p>
        </w:tc>
      </w:tr>
    </w:tbl>
    <w:p w14:paraId="162C99C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（3）计算结果</w:t>
      </w:r>
    </w:p>
    <w:p w14:paraId="2072C7E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本项目道路设计车速为60km/h，结合交通量数据，将各参量</w:t>
      </w:r>
      <w:r>
        <w:rPr>
          <w:rFonts w:hint="default" w:ascii="Times New Roman" w:hAnsi="Times New Roman" w:eastAsia="宋体" w:cs="Times New Roman"/>
          <w:color w:val="auto"/>
          <w:lang w:eastAsia="zh-CN"/>
        </w:rPr>
        <w:t>代入</w:t>
      </w:r>
      <w:r>
        <w:rPr>
          <w:rFonts w:hint="default" w:ascii="Times New Roman" w:hAnsi="Times New Roman" w:eastAsia="宋体" w:cs="Times New Roman"/>
          <w:color w:val="auto"/>
        </w:rPr>
        <w:t>公式后即可算出各种条件下的排放源强（在计算中NO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按0.8的经验系数用NO</w:t>
      </w:r>
      <w:r>
        <w:rPr>
          <w:rFonts w:hint="default" w:ascii="Times New Roman" w:hAnsi="Times New Roman" w:eastAsia="宋体" w:cs="Times New Roman"/>
          <w:color w:val="auto"/>
          <w:vertAlign w:val="subscript"/>
        </w:rPr>
        <w:t>x</w:t>
      </w:r>
      <w:r>
        <w:rPr>
          <w:rFonts w:hint="default" w:ascii="Times New Roman" w:hAnsi="Times New Roman" w:eastAsia="宋体" w:cs="Times New Roman"/>
          <w:color w:val="auto"/>
        </w:rPr>
        <w:t>折算），计算结果见表3.</w:t>
      </w:r>
      <w:r>
        <w:rPr>
          <w:rFonts w:hint="eastAsia" w:cs="Times New Roman"/>
          <w:color w:val="auto"/>
          <w:lang w:val="en-US" w:eastAsia="zh-CN"/>
        </w:rPr>
        <w:t>2</w:t>
      </w:r>
      <w:r>
        <w:rPr>
          <w:rFonts w:hint="default" w:ascii="Times New Roman" w:hAnsi="Times New Roman" w:eastAsia="宋体" w:cs="Times New Roman"/>
          <w:color w:val="auto"/>
        </w:rPr>
        <w:t>-</w:t>
      </w:r>
      <w:r>
        <w:rPr>
          <w:rFonts w:hint="eastAsia" w:cs="Times New Roman"/>
          <w:color w:val="auto"/>
          <w:lang w:val="en-US" w:eastAsia="zh-CN"/>
        </w:rPr>
        <w:t>7</w:t>
      </w:r>
      <w:r>
        <w:rPr>
          <w:rFonts w:hint="default" w:ascii="Times New Roman" w:hAnsi="Times New Roman" w:eastAsia="宋体" w:cs="Times New Roman"/>
          <w:color w:val="auto"/>
        </w:rPr>
        <w:t>。</w:t>
      </w:r>
    </w:p>
    <w:p w14:paraId="69C0B33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表3.</w:t>
      </w:r>
      <w:r>
        <w:rPr>
          <w:rFonts w:hint="eastAsia" w:hAnsi="Times New Roman" w:cs="Times New Roman"/>
          <w:b/>
          <w:bCs/>
          <w:color w:val="auto"/>
          <w:sz w:val="21"/>
          <w:szCs w:val="21"/>
          <w:lang w:val="en-US" w:eastAsia="zh-CN"/>
        </w:rPr>
        <w:t>2</w:t>
      </w:r>
      <w:r>
        <w:rPr>
          <w:rFonts w:hint="default" w:ascii="Times New Roman" w:hAnsi="Times New Roman" w:eastAsia="宋体" w:cs="Times New Roman"/>
          <w:b/>
          <w:bCs/>
          <w:color w:val="auto"/>
          <w:sz w:val="21"/>
          <w:szCs w:val="21"/>
        </w:rPr>
        <w:t>-</w:t>
      </w:r>
      <w:r>
        <w:rPr>
          <w:rFonts w:hint="eastAsia" w:hAnsi="Times New Roman" w:cs="Times New Roman"/>
          <w:b/>
          <w:bCs/>
          <w:color w:val="auto"/>
          <w:sz w:val="21"/>
          <w:szCs w:val="21"/>
          <w:lang w:val="en-US" w:eastAsia="zh-CN"/>
        </w:rPr>
        <w:t>7</w:t>
      </w:r>
      <w:r>
        <w:rPr>
          <w:rFonts w:hint="default" w:ascii="Times New Roman" w:hAnsi="Times New Roman" w:eastAsia="宋体" w:cs="Times New Roman"/>
          <w:b/>
          <w:bCs/>
          <w:color w:val="auto"/>
          <w:sz w:val="21"/>
          <w:szCs w:val="21"/>
        </w:rPr>
        <w:t xml:space="preserve">   项目道路机动车尾气排放源强   单位：mg/m.s</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177"/>
        <w:gridCol w:w="2638"/>
        <w:gridCol w:w="1761"/>
        <w:gridCol w:w="1762"/>
      </w:tblGrid>
      <w:tr w14:paraId="4CD55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noWrap w:val="0"/>
            <w:vAlign w:val="center"/>
          </w:tcPr>
          <w:p w14:paraId="6315DCC6">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预测年</w:t>
            </w:r>
          </w:p>
        </w:tc>
        <w:tc>
          <w:tcPr>
            <w:tcW w:w="691" w:type="pct"/>
            <w:noWrap w:val="0"/>
            <w:vAlign w:val="center"/>
          </w:tcPr>
          <w:p w14:paraId="00B8786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1549" w:type="pct"/>
            <w:noWrap w:val="0"/>
            <w:vAlign w:val="center"/>
          </w:tcPr>
          <w:p w14:paraId="5C56BE34">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高峰期小时排放量</w:t>
            </w:r>
          </w:p>
        </w:tc>
        <w:tc>
          <w:tcPr>
            <w:tcW w:w="1034" w:type="pct"/>
            <w:noWrap w:val="0"/>
            <w:vAlign w:val="top"/>
          </w:tcPr>
          <w:p w14:paraId="52E2026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昼间排放量</w:t>
            </w:r>
          </w:p>
        </w:tc>
        <w:tc>
          <w:tcPr>
            <w:tcW w:w="1034" w:type="pct"/>
            <w:noWrap w:val="0"/>
            <w:vAlign w:val="center"/>
          </w:tcPr>
          <w:p w14:paraId="7FEBF22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夜间排放量</w:t>
            </w:r>
          </w:p>
        </w:tc>
      </w:tr>
      <w:tr w14:paraId="50AE8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restart"/>
            <w:noWrap w:val="0"/>
            <w:vAlign w:val="center"/>
          </w:tcPr>
          <w:p w14:paraId="6220A0B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202</w:t>
            </w:r>
            <w:r>
              <w:rPr>
                <w:rFonts w:hint="eastAsia" w:hAnsi="Times New Roman" w:cs="Times New Roman"/>
                <w:b w:val="0"/>
                <w:bCs w:val="0"/>
                <w:color w:val="auto"/>
                <w:sz w:val="21"/>
                <w:szCs w:val="21"/>
                <w:lang w:val="en-US" w:eastAsia="zh-CN"/>
              </w:rPr>
              <w:t>7</w:t>
            </w:r>
          </w:p>
        </w:tc>
        <w:tc>
          <w:tcPr>
            <w:tcW w:w="691" w:type="pct"/>
            <w:noWrap w:val="0"/>
            <w:vAlign w:val="center"/>
          </w:tcPr>
          <w:p w14:paraId="4354246D">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549" w:type="pct"/>
            <w:noWrap w:val="0"/>
            <w:vAlign w:val="center"/>
          </w:tcPr>
          <w:p w14:paraId="2A6F8DA7">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3.586</w:t>
            </w:r>
          </w:p>
        </w:tc>
        <w:tc>
          <w:tcPr>
            <w:tcW w:w="1034" w:type="pct"/>
            <w:noWrap w:val="0"/>
            <w:vAlign w:val="top"/>
          </w:tcPr>
          <w:p w14:paraId="20B4927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2.586</w:t>
            </w:r>
          </w:p>
        </w:tc>
        <w:tc>
          <w:tcPr>
            <w:tcW w:w="1034" w:type="pct"/>
            <w:noWrap w:val="0"/>
            <w:vAlign w:val="center"/>
          </w:tcPr>
          <w:p w14:paraId="5D21277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1.314</w:t>
            </w:r>
          </w:p>
        </w:tc>
      </w:tr>
      <w:tr w14:paraId="44FA4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noWrap w:val="0"/>
            <w:vAlign w:val="center"/>
          </w:tcPr>
          <w:p w14:paraId="40A60B39">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1" w:type="pct"/>
            <w:noWrap w:val="0"/>
            <w:vAlign w:val="center"/>
          </w:tcPr>
          <w:p w14:paraId="7A1800F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w:t>
            </w:r>
            <w:r>
              <w:rPr>
                <w:rFonts w:hint="default" w:ascii="Times New Roman" w:hAnsi="Times New Roman" w:eastAsia="宋体" w:cs="Times New Roman"/>
                <w:b w:val="0"/>
                <w:bCs w:val="0"/>
                <w:color w:val="auto"/>
                <w:sz w:val="21"/>
                <w:szCs w:val="21"/>
                <w:vertAlign w:val="subscript"/>
              </w:rPr>
              <w:t>2</w:t>
            </w:r>
          </w:p>
        </w:tc>
        <w:tc>
          <w:tcPr>
            <w:tcW w:w="1549" w:type="pct"/>
            <w:noWrap w:val="0"/>
            <w:vAlign w:val="center"/>
          </w:tcPr>
          <w:p w14:paraId="5D139FEE">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0.393</w:t>
            </w:r>
          </w:p>
        </w:tc>
        <w:tc>
          <w:tcPr>
            <w:tcW w:w="1034" w:type="pct"/>
            <w:noWrap w:val="0"/>
            <w:vAlign w:val="top"/>
          </w:tcPr>
          <w:p w14:paraId="050E398A">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0.</w:t>
            </w:r>
            <w:r>
              <w:rPr>
                <w:rFonts w:hint="eastAsia" w:hAnsi="Times New Roman" w:cs="Times New Roman"/>
                <w:b w:val="0"/>
                <w:bCs w:val="0"/>
                <w:color w:val="auto"/>
                <w:sz w:val="21"/>
                <w:szCs w:val="21"/>
                <w:lang w:val="en-US" w:eastAsia="zh-CN"/>
              </w:rPr>
              <w:t>262</w:t>
            </w:r>
          </w:p>
        </w:tc>
        <w:tc>
          <w:tcPr>
            <w:tcW w:w="1034" w:type="pct"/>
            <w:noWrap w:val="0"/>
            <w:vAlign w:val="center"/>
          </w:tcPr>
          <w:p w14:paraId="38D07DBB">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0.</w:t>
            </w:r>
            <w:r>
              <w:rPr>
                <w:rFonts w:hint="eastAsia" w:hAnsi="Times New Roman" w:cs="Times New Roman"/>
                <w:b w:val="0"/>
                <w:bCs w:val="0"/>
                <w:color w:val="auto"/>
                <w:sz w:val="21"/>
                <w:szCs w:val="21"/>
                <w:lang w:val="en-US" w:eastAsia="zh-CN"/>
              </w:rPr>
              <w:t>134</w:t>
            </w:r>
          </w:p>
        </w:tc>
      </w:tr>
      <w:tr w14:paraId="65F4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restart"/>
            <w:noWrap w:val="0"/>
            <w:vAlign w:val="center"/>
          </w:tcPr>
          <w:p w14:paraId="0EA4016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203</w:t>
            </w:r>
            <w:r>
              <w:rPr>
                <w:rFonts w:hint="eastAsia" w:hAnsi="Times New Roman" w:cs="Times New Roman"/>
                <w:b w:val="0"/>
                <w:bCs w:val="0"/>
                <w:color w:val="auto"/>
                <w:sz w:val="21"/>
                <w:szCs w:val="21"/>
                <w:lang w:val="en-US" w:eastAsia="zh-CN"/>
              </w:rPr>
              <w:t>4</w:t>
            </w:r>
          </w:p>
        </w:tc>
        <w:tc>
          <w:tcPr>
            <w:tcW w:w="691" w:type="pct"/>
            <w:noWrap w:val="0"/>
            <w:vAlign w:val="center"/>
          </w:tcPr>
          <w:p w14:paraId="4EAC2B8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549" w:type="pct"/>
            <w:noWrap w:val="0"/>
            <w:vAlign w:val="center"/>
          </w:tcPr>
          <w:p w14:paraId="31EC549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5.189</w:t>
            </w:r>
          </w:p>
        </w:tc>
        <w:tc>
          <w:tcPr>
            <w:tcW w:w="1034" w:type="pct"/>
            <w:noWrap w:val="0"/>
            <w:vAlign w:val="top"/>
          </w:tcPr>
          <w:p w14:paraId="74A236E6">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3.459</w:t>
            </w:r>
          </w:p>
        </w:tc>
        <w:tc>
          <w:tcPr>
            <w:tcW w:w="1034" w:type="pct"/>
            <w:noWrap w:val="0"/>
            <w:vAlign w:val="center"/>
          </w:tcPr>
          <w:p w14:paraId="0C2105C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0.349</w:t>
            </w:r>
          </w:p>
        </w:tc>
      </w:tr>
      <w:tr w14:paraId="3CFE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noWrap w:val="0"/>
            <w:vAlign w:val="center"/>
          </w:tcPr>
          <w:p w14:paraId="4E2D9A4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1" w:type="pct"/>
            <w:noWrap w:val="0"/>
            <w:vAlign w:val="center"/>
          </w:tcPr>
          <w:p w14:paraId="5A76575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w:t>
            </w:r>
            <w:r>
              <w:rPr>
                <w:rFonts w:hint="default" w:ascii="Times New Roman" w:hAnsi="Times New Roman" w:eastAsia="宋体" w:cs="Times New Roman"/>
                <w:b w:val="0"/>
                <w:bCs w:val="0"/>
                <w:color w:val="auto"/>
                <w:sz w:val="21"/>
                <w:szCs w:val="21"/>
                <w:vertAlign w:val="subscript"/>
              </w:rPr>
              <w:t>2</w:t>
            </w:r>
          </w:p>
        </w:tc>
        <w:tc>
          <w:tcPr>
            <w:tcW w:w="1549" w:type="pct"/>
            <w:noWrap w:val="0"/>
            <w:vAlign w:val="center"/>
          </w:tcPr>
          <w:p w14:paraId="10039231">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2.599</w:t>
            </w:r>
          </w:p>
        </w:tc>
        <w:tc>
          <w:tcPr>
            <w:tcW w:w="1034" w:type="pct"/>
            <w:noWrap w:val="0"/>
            <w:vAlign w:val="top"/>
          </w:tcPr>
          <w:p w14:paraId="0854934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1.733</w:t>
            </w:r>
          </w:p>
        </w:tc>
        <w:tc>
          <w:tcPr>
            <w:tcW w:w="1034" w:type="pct"/>
            <w:noWrap w:val="0"/>
            <w:vAlign w:val="center"/>
          </w:tcPr>
          <w:p w14:paraId="34740B15">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0.176</w:t>
            </w:r>
          </w:p>
        </w:tc>
      </w:tr>
      <w:tr w14:paraId="7634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restart"/>
            <w:noWrap w:val="0"/>
            <w:vAlign w:val="center"/>
          </w:tcPr>
          <w:p w14:paraId="0172B5CD">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204</w:t>
            </w:r>
            <w:r>
              <w:rPr>
                <w:rFonts w:hint="eastAsia" w:hAnsi="Times New Roman" w:cs="Times New Roman"/>
                <w:b w:val="0"/>
                <w:bCs w:val="0"/>
                <w:color w:val="auto"/>
                <w:sz w:val="21"/>
                <w:szCs w:val="21"/>
                <w:lang w:val="en-US" w:eastAsia="zh-CN"/>
              </w:rPr>
              <w:t>2</w:t>
            </w:r>
          </w:p>
        </w:tc>
        <w:tc>
          <w:tcPr>
            <w:tcW w:w="691" w:type="pct"/>
            <w:noWrap w:val="0"/>
            <w:vAlign w:val="center"/>
          </w:tcPr>
          <w:p w14:paraId="48835FF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w:t>
            </w:r>
          </w:p>
        </w:tc>
        <w:tc>
          <w:tcPr>
            <w:tcW w:w="1549" w:type="pct"/>
            <w:noWrap w:val="0"/>
            <w:vAlign w:val="center"/>
          </w:tcPr>
          <w:p w14:paraId="67C8F8F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6.759</w:t>
            </w:r>
          </w:p>
        </w:tc>
        <w:tc>
          <w:tcPr>
            <w:tcW w:w="1034" w:type="pct"/>
            <w:noWrap w:val="0"/>
            <w:vAlign w:val="top"/>
          </w:tcPr>
          <w:p w14:paraId="260B596D">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4.506</w:t>
            </w:r>
          </w:p>
        </w:tc>
        <w:tc>
          <w:tcPr>
            <w:tcW w:w="1034" w:type="pct"/>
            <w:noWrap w:val="0"/>
            <w:vAlign w:val="center"/>
          </w:tcPr>
          <w:p w14:paraId="36231A3C">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0.456</w:t>
            </w:r>
          </w:p>
        </w:tc>
      </w:tr>
      <w:tr w14:paraId="2BFC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pct"/>
            <w:vMerge w:val="continue"/>
            <w:noWrap w:val="0"/>
            <w:vAlign w:val="center"/>
          </w:tcPr>
          <w:p w14:paraId="5ABB624F">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691" w:type="pct"/>
            <w:noWrap w:val="0"/>
            <w:vAlign w:val="center"/>
          </w:tcPr>
          <w:p w14:paraId="456F5D60">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NO</w:t>
            </w:r>
            <w:r>
              <w:rPr>
                <w:rFonts w:hint="default" w:ascii="Times New Roman" w:hAnsi="Times New Roman" w:eastAsia="宋体" w:cs="Times New Roman"/>
                <w:b w:val="0"/>
                <w:bCs w:val="0"/>
                <w:color w:val="auto"/>
                <w:sz w:val="21"/>
                <w:szCs w:val="21"/>
                <w:vertAlign w:val="subscript"/>
              </w:rPr>
              <w:t>2</w:t>
            </w:r>
          </w:p>
        </w:tc>
        <w:tc>
          <w:tcPr>
            <w:tcW w:w="1549" w:type="pct"/>
            <w:noWrap w:val="0"/>
            <w:vAlign w:val="center"/>
          </w:tcPr>
          <w:p w14:paraId="5CB615FA">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3.379</w:t>
            </w:r>
          </w:p>
        </w:tc>
        <w:tc>
          <w:tcPr>
            <w:tcW w:w="1034" w:type="pct"/>
            <w:noWrap w:val="0"/>
            <w:vAlign w:val="top"/>
          </w:tcPr>
          <w:p w14:paraId="07D91518">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2.253</w:t>
            </w:r>
          </w:p>
        </w:tc>
        <w:tc>
          <w:tcPr>
            <w:tcW w:w="1034" w:type="pct"/>
            <w:noWrap w:val="0"/>
            <w:vAlign w:val="center"/>
          </w:tcPr>
          <w:p w14:paraId="1FCA02F2">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lang w:val="en-US" w:eastAsia="zh-CN"/>
              </w:rPr>
            </w:pPr>
            <w:r>
              <w:rPr>
                <w:rFonts w:hint="eastAsia" w:hAnsi="Times New Roman" w:cs="Times New Roman"/>
                <w:b w:val="0"/>
                <w:bCs w:val="0"/>
                <w:color w:val="auto"/>
                <w:sz w:val="21"/>
                <w:szCs w:val="21"/>
                <w:lang w:val="en-US" w:eastAsia="zh-CN"/>
              </w:rPr>
              <w:t>0.228</w:t>
            </w:r>
          </w:p>
        </w:tc>
      </w:tr>
      <w:bookmarkEnd w:id="61"/>
      <w:bookmarkEnd w:id="62"/>
      <w:bookmarkEnd w:id="68"/>
    </w:tbl>
    <w:p w14:paraId="00FC950B">
      <w:pPr>
        <w:widowControl/>
        <w:ind w:firstLine="482" w:firstLineChars="200"/>
        <w:jc w:val="left"/>
        <w:rPr>
          <w:rFonts w:hint="default" w:ascii="Times New Roman" w:hAnsi="Times New Roman" w:eastAsia="宋体" w:cs="Times New Roman"/>
          <w:color w:val="auto"/>
        </w:rPr>
      </w:pPr>
      <w:r>
        <w:rPr>
          <w:rFonts w:hint="eastAsia" w:cs="Times New Roman"/>
          <w:b/>
          <w:bCs/>
          <w:color w:val="auto"/>
          <w:kern w:val="0"/>
          <w:lang w:eastAsia="zh-CN" w:bidi="ar"/>
        </w:rPr>
        <w:t>（</w:t>
      </w:r>
      <w:r>
        <w:rPr>
          <w:rFonts w:hint="eastAsia" w:cs="Times New Roman"/>
          <w:b/>
          <w:bCs/>
          <w:color w:val="auto"/>
          <w:kern w:val="0"/>
          <w:lang w:val="en-US" w:eastAsia="zh-CN" w:bidi="ar"/>
        </w:rPr>
        <w:t>四</w:t>
      </w:r>
      <w:r>
        <w:rPr>
          <w:rFonts w:hint="eastAsia" w:cs="Times New Roman"/>
          <w:b/>
          <w:bCs/>
          <w:color w:val="auto"/>
          <w:kern w:val="0"/>
          <w:lang w:eastAsia="zh-CN" w:bidi="ar"/>
        </w:rPr>
        <w:t>）</w:t>
      </w:r>
      <w:r>
        <w:rPr>
          <w:rFonts w:hint="default" w:ascii="Times New Roman" w:hAnsi="Times New Roman" w:eastAsia="宋体" w:cs="Times New Roman"/>
          <w:b/>
          <w:bCs/>
          <w:color w:val="auto"/>
          <w:kern w:val="0"/>
          <w:lang w:bidi="ar"/>
        </w:rPr>
        <w:t>噪声</w:t>
      </w:r>
    </w:p>
    <w:p w14:paraId="19DA7F0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（1）平均车速</w:t>
      </w:r>
    </w:p>
    <w:p w14:paraId="73C87EC6">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1358-2024）附录C，小型车比例小于45%或大于75%时，平均车速可采用类比调查方式确定。项目小型车比例为</w:t>
      </w:r>
      <w:r>
        <w:rPr>
          <w:rFonts w:hint="eastAsia" w:cs="Times New Roman"/>
          <w:color w:val="auto"/>
          <w:kern w:val="0"/>
          <w:lang w:val="en-US" w:eastAsia="zh-CN" w:bidi="ar"/>
        </w:rPr>
        <w:t>91.7</w:t>
      </w:r>
      <w:r>
        <w:rPr>
          <w:rFonts w:hint="default" w:ascii="Times New Roman" w:hAnsi="Times New Roman" w:eastAsia="宋体" w:cs="Times New Roman"/>
          <w:color w:val="auto"/>
          <w:kern w:val="0"/>
          <w:lang w:eastAsia="zh-CN" w:bidi="ar"/>
        </w:rPr>
        <w:t>%～</w:t>
      </w:r>
      <w:r>
        <w:rPr>
          <w:rFonts w:hint="eastAsia" w:cs="Times New Roman"/>
          <w:color w:val="auto"/>
          <w:kern w:val="0"/>
          <w:lang w:val="en-US" w:eastAsia="zh-CN" w:bidi="ar"/>
        </w:rPr>
        <w:t>91.94</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，小型车比例大于75%；或者按照附录C2.4.1进行取值计算。根据设计文件，项目拟按双向两车道一级公路标准建设，设计速度60km/h，路基宽度为24.0m。项目平均车速类比调查结果见表3.2-</w:t>
      </w:r>
      <w:r>
        <w:rPr>
          <w:rFonts w:hint="eastAsia" w:cs="Times New Roman"/>
          <w:color w:val="auto"/>
          <w:kern w:val="0"/>
          <w:lang w:val="en-US" w:eastAsia="zh-CN" w:bidi="ar"/>
        </w:rPr>
        <w:t>8</w:t>
      </w:r>
      <w:r>
        <w:rPr>
          <w:rFonts w:hint="default" w:ascii="Times New Roman" w:hAnsi="Times New Roman" w:eastAsia="宋体" w:cs="Times New Roman"/>
          <w:color w:val="auto"/>
          <w:kern w:val="0"/>
          <w:lang w:bidi="ar"/>
        </w:rPr>
        <w:t>。</w:t>
      </w:r>
    </w:p>
    <w:p w14:paraId="35CCDBA2">
      <w:pPr>
        <w:widowControl/>
        <w:spacing w:line="240" w:lineRule="auto"/>
        <w:ind w:firstLine="0" w:firstLineChars="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bidi="ar"/>
        </w:rPr>
        <w:t>表3.2-</w:t>
      </w:r>
      <w:r>
        <w:rPr>
          <w:rFonts w:hint="eastAsia" w:cs="Times New Roman"/>
          <w:b/>
          <w:bCs/>
          <w:color w:val="auto"/>
          <w:kern w:val="0"/>
          <w:sz w:val="21"/>
          <w:szCs w:val="21"/>
          <w:lang w:val="en-US" w:eastAsia="zh-CN" w:bidi="ar"/>
        </w:rPr>
        <w:t>8</w:t>
      </w:r>
      <w:r>
        <w:rPr>
          <w:rFonts w:hint="default" w:ascii="Times New Roman" w:hAnsi="Times New Roman" w:eastAsia="宋体" w:cs="Times New Roman"/>
          <w:b/>
          <w:bCs/>
          <w:color w:val="auto"/>
          <w:kern w:val="0"/>
          <w:sz w:val="21"/>
          <w:szCs w:val="21"/>
          <w:lang w:bidi="ar"/>
        </w:rPr>
        <w:t xml:space="preserve">  项目平均车速类比调查结果</w:t>
      </w:r>
      <w:r>
        <w:rPr>
          <w:rFonts w:hint="eastAsia" w:cs="Times New Roman"/>
          <w:b/>
          <w:bCs/>
          <w:color w:val="auto"/>
          <w:kern w:val="0"/>
          <w:sz w:val="21"/>
          <w:szCs w:val="21"/>
          <w:lang w:val="en-US" w:eastAsia="zh-CN" w:bidi="ar"/>
        </w:rPr>
        <w:t xml:space="preserve">  单位</w:t>
      </w:r>
      <w:r>
        <w:rPr>
          <w:rFonts w:hint="default" w:ascii="Times New Roman" w:hAnsi="Times New Roman" w:eastAsia="宋体" w:cs="Times New Roman"/>
          <w:b/>
          <w:bCs/>
          <w:color w:val="auto"/>
          <w:kern w:val="0"/>
          <w:lang w:bidi="ar"/>
        </w:rPr>
        <w:t>km/h</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921"/>
        <w:gridCol w:w="901"/>
        <w:gridCol w:w="900"/>
        <w:gridCol w:w="901"/>
        <w:gridCol w:w="900"/>
        <w:gridCol w:w="902"/>
        <w:gridCol w:w="901"/>
      </w:tblGrid>
      <w:tr w14:paraId="6F1CA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00" w:type="dxa"/>
            <w:vMerge w:val="restart"/>
            <w:tcBorders>
              <w:tl2br w:val="single" w:color="auto" w:sz="4" w:space="0"/>
            </w:tcBorders>
            <w:noWrap w:val="0"/>
            <w:vAlign w:val="center"/>
          </w:tcPr>
          <w:p w14:paraId="4C1A017F">
            <w:pPr>
              <w:widowControl/>
              <w:adjustRightInd w:val="0"/>
              <w:snapToGrid w:val="0"/>
              <w:spacing w:line="240" w:lineRule="auto"/>
              <w:jc w:val="center"/>
              <w:rPr>
                <w:rFonts w:hint="default" w:ascii="Times New Roman" w:hAnsi="Times New Roman" w:eastAsia="宋体" w:cs="Times New Roman"/>
                <w:color w:val="auto"/>
                <w:sz w:val="21"/>
                <w:szCs w:val="21"/>
              </w:rPr>
            </w:pPr>
          </w:p>
          <w:p w14:paraId="2FD9BBEC">
            <w:pPr>
              <w:widowControl/>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特征年</w:t>
            </w:r>
          </w:p>
          <w:p w14:paraId="6A8DC369">
            <w:pPr>
              <w:widowControl/>
              <w:adjustRightInd w:val="0"/>
              <w:snapToGrid w:val="0"/>
              <w:spacing w:line="240" w:lineRule="auto"/>
              <w:jc w:val="center"/>
              <w:rPr>
                <w:rFonts w:hint="default" w:ascii="Times New Roman" w:hAnsi="Times New Roman" w:eastAsia="宋体" w:cs="Times New Roman"/>
                <w:color w:val="auto"/>
                <w:sz w:val="21"/>
                <w:szCs w:val="21"/>
              </w:rPr>
            </w:pPr>
          </w:p>
          <w:p w14:paraId="3884112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路段</w:t>
            </w:r>
          </w:p>
        </w:tc>
        <w:tc>
          <w:tcPr>
            <w:tcW w:w="999" w:type="dxa"/>
            <w:vMerge w:val="restart"/>
            <w:noWrap w:val="0"/>
            <w:vAlign w:val="center"/>
          </w:tcPr>
          <w:p w14:paraId="273E6FF2">
            <w:pPr>
              <w:widowControl/>
              <w:adjustRightInd w:val="0"/>
              <w:snapToGrid w:val="0"/>
              <w:spacing w:line="240" w:lineRule="auto"/>
              <w:ind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车型</w:t>
            </w:r>
          </w:p>
        </w:tc>
        <w:tc>
          <w:tcPr>
            <w:tcW w:w="1872" w:type="dxa"/>
            <w:gridSpan w:val="2"/>
            <w:noWrap w:val="0"/>
            <w:vAlign w:val="center"/>
          </w:tcPr>
          <w:p w14:paraId="31266BC2">
            <w:pPr>
              <w:widowControl/>
              <w:adjustRightInd w:val="0"/>
              <w:snapToGrid w:val="0"/>
              <w:spacing w:line="240" w:lineRule="auto"/>
              <w:ind w:firstLine="632" w:firstLineChars="30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202</w:t>
            </w:r>
            <w:r>
              <w:rPr>
                <w:rFonts w:hint="eastAsia"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bidi="ar"/>
              </w:rPr>
              <w:t>年</w:t>
            </w:r>
          </w:p>
        </w:tc>
        <w:tc>
          <w:tcPr>
            <w:tcW w:w="1872" w:type="dxa"/>
            <w:gridSpan w:val="2"/>
            <w:noWrap w:val="0"/>
            <w:vAlign w:val="center"/>
          </w:tcPr>
          <w:p w14:paraId="2FEDA099">
            <w:pPr>
              <w:widowControl/>
              <w:adjustRightInd w:val="0"/>
              <w:snapToGrid w:val="0"/>
              <w:spacing w:line="240" w:lineRule="auto"/>
              <w:ind w:firstLine="632" w:firstLineChars="300"/>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203</w:t>
            </w:r>
            <w:r>
              <w:rPr>
                <w:rFonts w:hint="eastAsia"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年</w:t>
            </w:r>
          </w:p>
        </w:tc>
        <w:tc>
          <w:tcPr>
            <w:tcW w:w="1873" w:type="dxa"/>
            <w:gridSpan w:val="2"/>
            <w:noWrap w:val="0"/>
            <w:vAlign w:val="center"/>
          </w:tcPr>
          <w:p w14:paraId="22B4D683">
            <w:pPr>
              <w:widowControl/>
              <w:adjustRightInd w:val="0"/>
              <w:snapToGrid w:val="0"/>
              <w:spacing w:line="240" w:lineRule="auto"/>
              <w:ind w:firstLine="422"/>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204</w:t>
            </w:r>
            <w:r>
              <w:rPr>
                <w:rFonts w:hint="eastAsia"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年</w:t>
            </w:r>
          </w:p>
        </w:tc>
      </w:tr>
      <w:tr w14:paraId="18A8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900" w:type="dxa"/>
            <w:vMerge w:val="continue"/>
            <w:tcBorders>
              <w:tl2br w:val="single" w:color="auto" w:sz="4" w:space="0"/>
            </w:tcBorders>
            <w:noWrap w:val="0"/>
            <w:vAlign w:val="center"/>
          </w:tcPr>
          <w:p w14:paraId="252C1C36">
            <w:pPr>
              <w:widowControl/>
              <w:adjustRightInd w:val="0"/>
              <w:snapToGrid w:val="0"/>
              <w:spacing w:line="240" w:lineRule="auto"/>
              <w:jc w:val="center"/>
              <w:rPr>
                <w:rFonts w:hint="default" w:ascii="Times New Roman" w:hAnsi="Times New Roman" w:eastAsia="宋体" w:cs="Times New Roman"/>
                <w:color w:val="auto"/>
                <w:sz w:val="21"/>
                <w:szCs w:val="21"/>
              </w:rPr>
            </w:pPr>
          </w:p>
        </w:tc>
        <w:tc>
          <w:tcPr>
            <w:tcW w:w="999" w:type="dxa"/>
            <w:vMerge w:val="continue"/>
            <w:noWrap w:val="0"/>
            <w:vAlign w:val="center"/>
          </w:tcPr>
          <w:p w14:paraId="2009FFD8">
            <w:pPr>
              <w:widowControl/>
              <w:adjustRightInd w:val="0"/>
              <w:snapToGrid w:val="0"/>
              <w:spacing w:line="240" w:lineRule="auto"/>
              <w:jc w:val="center"/>
              <w:rPr>
                <w:rFonts w:hint="default" w:ascii="Times New Roman" w:hAnsi="Times New Roman" w:eastAsia="宋体" w:cs="Times New Roman"/>
                <w:color w:val="auto"/>
                <w:sz w:val="21"/>
                <w:szCs w:val="21"/>
              </w:rPr>
            </w:pPr>
          </w:p>
        </w:tc>
        <w:tc>
          <w:tcPr>
            <w:tcW w:w="936" w:type="dxa"/>
            <w:noWrap w:val="0"/>
            <w:vAlign w:val="center"/>
          </w:tcPr>
          <w:p w14:paraId="60984D7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936" w:type="dxa"/>
            <w:noWrap w:val="0"/>
            <w:vAlign w:val="center"/>
          </w:tcPr>
          <w:p w14:paraId="475D2C9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c>
          <w:tcPr>
            <w:tcW w:w="936" w:type="dxa"/>
            <w:noWrap w:val="0"/>
            <w:vAlign w:val="center"/>
          </w:tcPr>
          <w:p w14:paraId="63B1A37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936" w:type="dxa"/>
            <w:noWrap w:val="0"/>
            <w:vAlign w:val="center"/>
          </w:tcPr>
          <w:p w14:paraId="53F64D0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c>
          <w:tcPr>
            <w:tcW w:w="939" w:type="dxa"/>
            <w:noWrap w:val="0"/>
            <w:vAlign w:val="center"/>
          </w:tcPr>
          <w:p w14:paraId="3E75E84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934" w:type="dxa"/>
            <w:noWrap w:val="0"/>
            <w:vAlign w:val="center"/>
          </w:tcPr>
          <w:p w14:paraId="2E3B301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r>
      <w:tr w14:paraId="726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Merge w:val="restart"/>
            <w:noWrap w:val="0"/>
            <w:vAlign w:val="center"/>
          </w:tcPr>
          <w:p w14:paraId="1967EED1">
            <w:pPr>
              <w:widowControl/>
              <w:adjustRightInd w:val="0"/>
              <w:snapToGrid w:val="0"/>
              <w:spacing w:line="240" w:lineRule="auto"/>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K0+000~K1+447</w:t>
            </w:r>
          </w:p>
        </w:tc>
        <w:tc>
          <w:tcPr>
            <w:tcW w:w="999" w:type="dxa"/>
            <w:noWrap w:val="0"/>
            <w:vAlign w:val="center"/>
          </w:tcPr>
          <w:p w14:paraId="57CCD2C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小型车</w:t>
            </w:r>
          </w:p>
        </w:tc>
        <w:tc>
          <w:tcPr>
            <w:tcW w:w="936" w:type="dxa"/>
            <w:noWrap w:val="0"/>
            <w:vAlign w:val="center"/>
          </w:tcPr>
          <w:p w14:paraId="4BDBBC82">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48</w:t>
            </w:r>
          </w:p>
        </w:tc>
        <w:tc>
          <w:tcPr>
            <w:tcW w:w="936" w:type="dxa"/>
            <w:noWrap w:val="0"/>
            <w:vAlign w:val="center"/>
          </w:tcPr>
          <w:p w14:paraId="6A2EDFC3">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3</w:t>
            </w:r>
          </w:p>
        </w:tc>
        <w:tc>
          <w:tcPr>
            <w:tcW w:w="936" w:type="dxa"/>
            <w:noWrap w:val="0"/>
            <w:vAlign w:val="center"/>
          </w:tcPr>
          <w:p w14:paraId="48DA6E29">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48</w:t>
            </w:r>
          </w:p>
        </w:tc>
        <w:tc>
          <w:tcPr>
            <w:tcW w:w="936" w:type="dxa"/>
            <w:noWrap w:val="0"/>
            <w:vAlign w:val="center"/>
          </w:tcPr>
          <w:p w14:paraId="75465459">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3</w:t>
            </w:r>
          </w:p>
        </w:tc>
        <w:tc>
          <w:tcPr>
            <w:tcW w:w="936" w:type="dxa"/>
            <w:noWrap w:val="0"/>
            <w:vAlign w:val="center"/>
          </w:tcPr>
          <w:p w14:paraId="2091FDFF">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48</w:t>
            </w:r>
          </w:p>
        </w:tc>
        <w:tc>
          <w:tcPr>
            <w:tcW w:w="937" w:type="dxa"/>
            <w:noWrap w:val="0"/>
            <w:vAlign w:val="center"/>
          </w:tcPr>
          <w:p w14:paraId="59ADC6A7">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3</w:t>
            </w:r>
          </w:p>
        </w:tc>
      </w:tr>
      <w:tr w14:paraId="789A1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Merge w:val="continue"/>
            <w:noWrap w:val="0"/>
            <w:vAlign w:val="center"/>
          </w:tcPr>
          <w:p w14:paraId="503E2377">
            <w:pPr>
              <w:widowControl/>
              <w:adjustRightInd w:val="0"/>
              <w:snapToGrid w:val="0"/>
              <w:spacing w:line="240" w:lineRule="auto"/>
              <w:jc w:val="center"/>
              <w:rPr>
                <w:rFonts w:hint="default" w:ascii="Times New Roman" w:hAnsi="Times New Roman" w:eastAsia="宋体" w:cs="Times New Roman"/>
                <w:color w:val="auto"/>
                <w:sz w:val="21"/>
                <w:szCs w:val="21"/>
              </w:rPr>
            </w:pPr>
          </w:p>
        </w:tc>
        <w:tc>
          <w:tcPr>
            <w:tcW w:w="999" w:type="dxa"/>
            <w:noWrap w:val="0"/>
            <w:vAlign w:val="center"/>
          </w:tcPr>
          <w:p w14:paraId="31A64B9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中型车</w:t>
            </w:r>
          </w:p>
        </w:tc>
        <w:tc>
          <w:tcPr>
            <w:tcW w:w="936" w:type="dxa"/>
            <w:noWrap w:val="0"/>
            <w:vAlign w:val="center"/>
          </w:tcPr>
          <w:p w14:paraId="0D4BAACF">
            <w:pPr>
              <w:widowControl/>
              <w:adjustRightInd w:val="0"/>
              <w:snapToGrid w:val="0"/>
              <w:spacing w:line="240" w:lineRule="auto"/>
              <w:ind w:firstLine="210" w:firstLineChars="10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45</w:t>
            </w:r>
          </w:p>
        </w:tc>
        <w:tc>
          <w:tcPr>
            <w:tcW w:w="936" w:type="dxa"/>
            <w:noWrap w:val="0"/>
            <w:vAlign w:val="center"/>
          </w:tcPr>
          <w:p w14:paraId="0EC54C3A">
            <w:pPr>
              <w:widowControl/>
              <w:adjustRightInd w:val="0"/>
              <w:snapToGrid w:val="0"/>
              <w:spacing w:line="240" w:lineRule="auto"/>
              <w:ind w:firstLine="210" w:firstLineChars="10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41</w:t>
            </w:r>
          </w:p>
        </w:tc>
        <w:tc>
          <w:tcPr>
            <w:tcW w:w="936" w:type="dxa"/>
            <w:noWrap w:val="0"/>
            <w:vAlign w:val="center"/>
          </w:tcPr>
          <w:p w14:paraId="59BFB372">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45</w:t>
            </w:r>
          </w:p>
        </w:tc>
        <w:tc>
          <w:tcPr>
            <w:tcW w:w="936" w:type="dxa"/>
            <w:noWrap w:val="0"/>
            <w:vAlign w:val="center"/>
          </w:tcPr>
          <w:p w14:paraId="04FEDB6B">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41</w:t>
            </w:r>
          </w:p>
        </w:tc>
        <w:tc>
          <w:tcPr>
            <w:tcW w:w="936" w:type="dxa"/>
            <w:noWrap w:val="0"/>
            <w:vAlign w:val="center"/>
          </w:tcPr>
          <w:p w14:paraId="14F900B5">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45</w:t>
            </w:r>
          </w:p>
        </w:tc>
        <w:tc>
          <w:tcPr>
            <w:tcW w:w="937" w:type="dxa"/>
            <w:noWrap w:val="0"/>
            <w:vAlign w:val="center"/>
          </w:tcPr>
          <w:p w14:paraId="6D793E81">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41</w:t>
            </w:r>
          </w:p>
        </w:tc>
      </w:tr>
      <w:tr w14:paraId="770B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0" w:type="dxa"/>
            <w:vMerge w:val="continue"/>
            <w:noWrap w:val="0"/>
            <w:vAlign w:val="center"/>
          </w:tcPr>
          <w:p w14:paraId="1B568ABF">
            <w:pPr>
              <w:widowControl/>
              <w:adjustRightInd w:val="0"/>
              <w:snapToGrid w:val="0"/>
              <w:spacing w:line="240" w:lineRule="auto"/>
              <w:jc w:val="center"/>
              <w:rPr>
                <w:rFonts w:hint="default" w:ascii="Times New Roman" w:hAnsi="Times New Roman" w:eastAsia="宋体" w:cs="Times New Roman"/>
                <w:color w:val="auto"/>
                <w:sz w:val="21"/>
                <w:szCs w:val="21"/>
              </w:rPr>
            </w:pPr>
          </w:p>
        </w:tc>
        <w:tc>
          <w:tcPr>
            <w:tcW w:w="999" w:type="dxa"/>
            <w:noWrap w:val="0"/>
            <w:vAlign w:val="center"/>
          </w:tcPr>
          <w:p w14:paraId="0F32ED2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大型车</w:t>
            </w:r>
          </w:p>
        </w:tc>
        <w:tc>
          <w:tcPr>
            <w:tcW w:w="936" w:type="dxa"/>
            <w:noWrap w:val="0"/>
            <w:vAlign w:val="center"/>
          </w:tcPr>
          <w:p w14:paraId="5E76AB9E">
            <w:pPr>
              <w:widowControl/>
              <w:adjustRightInd w:val="0"/>
              <w:snapToGrid w:val="0"/>
              <w:spacing w:line="240" w:lineRule="auto"/>
              <w:ind w:firstLine="210" w:firstLineChars="10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54</w:t>
            </w:r>
          </w:p>
        </w:tc>
        <w:tc>
          <w:tcPr>
            <w:tcW w:w="936" w:type="dxa"/>
            <w:noWrap w:val="0"/>
            <w:vAlign w:val="center"/>
          </w:tcPr>
          <w:p w14:paraId="5034E892">
            <w:pPr>
              <w:widowControl/>
              <w:adjustRightInd w:val="0"/>
              <w:snapToGrid w:val="0"/>
              <w:spacing w:line="240" w:lineRule="auto"/>
              <w:ind w:firstLine="210" w:firstLineChars="100"/>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49</w:t>
            </w:r>
          </w:p>
        </w:tc>
        <w:tc>
          <w:tcPr>
            <w:tcW w:w="936" w:type="dxa"/>
            <w:noWrap w:val="0"/>
            <w:vAlign w:val="center"/>
          </w:tcPr>
          <w:p w14:paraId="1E1F174F">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936" w:type="dxa"/>
            <w:noWrap w:val="0"/>
            <w:vAlign w:val="center"/>
          </w:tcPr>
          <w:p w14:paraId="4B7ECC85">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w:t>
            </w:r>
          </w:p>
        </w:tc>
        <w:tc>
          <w:tcPr>
            <w:tcW w:w="936" w:type="dxa"/>
            <w:noWrap w:val="0"/>
            <w:vAlign w:val="center"/>
          </w:tcPr>
          <w:p w14:paraId="51B2E800">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w:t>
            </w:r>
          </w:p>
        </w:tc>
        <w:tc>
          <w:tcPr>
            <w:tcW w:w="937" w:type="dxa"/>
            <w:noWrap w:val="0"/>
            <w:vAlign w:val="center"/>
          </w:tcPr>
          <w:p w14:paraId="27B92F72">
            <w:pPr>
              <w:widowControl/>
              <w:adjustRightInd w:val="0"/>
              <w:snapToGrid w:val="0"/>
              <w:spacing w:line="240" w:lineRule="auto"/>
              <w:ind w:firstLine="210" w:firstLineChars="1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w:t>
            </w:r>
          </w:p>
        </w:tc>
      </w:tr>
    </w:tbl>
    <w:p w14:paraId="4E4B850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（2）单车行驶辐射噪声级</w:t>
      </w:r>
    </w:p>
    <w:p w14:paraId="668A67B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项目平均车速超出《</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p>
    <w:p w14:paraId="28757487">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附录B中大、中、小型车平均辐射噪声级计算公式适用车速范围，大、中、小型车平均辐射噪声级采用《环境影响评价技术原则与方法》（国家环境保护局开发监督司编著，北京大学出版社）教材中的源强计算公式进行计算（适用车速范围为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80km/h）。</w:t>
      </w:r>
    </w:p>
    <w:p w14:paraId="030FCB8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第i种车型在参照点（7.5m处）的平均辐射噪声级LOEi按下式计算：</w:t>
      </w:r>
    </w:p>
    <w:p w14:paraId="7CE8FBC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小型车：Loes=25+27lgVs</w:t>
      </w:r>
    </w:p>
    <w:p w14:paraId="016A478E">
      <w:pPr>
        <w:widowControl/>
        <w:ind w:firstLine="480"/>
        <w:jc w:val="left"/>
        <w:rPr>
          <w:rFonts w:hint="default" w:ascii="Times New Roman" w:hAnsi="Times New Roman" w:eastAsia="宋体" w:cs="Times New Roman"/>
          <w:color w:val="auto"/>
          <w:kern w:val="0"/>
          <w:vertAlign w:val="subscript"/>
          <w:lang w:bidi="ar"/>
        </w:rPr>
      </w:pPr>
      <w:r>
        <w:rPr>
          <w:rFonts w:hint="default" w:ascii="Times New Roman" w:hAnsi="Times New Roman" w:eastAsia="宋体" w:cs="Times New Roman"/>
          <w:color w:val="auto"/>
          <w:kern w:val="0"/>
          <w:lang w:bidi="ar"/>
        </w:rPr>
        <w:t>中型车：Loem=38+25lgV</w:t>
      </w:r>
      <w:r>
        <w:rPr>
          <w:rFonts w:hint="default" w:ascii="Times New Roman" w:hAnsi="Times New Roman" w:eastAsia="宋体" w:cs="Times New Roman"/>
          <w:color w:val="auto"/>
          <w:kern w:val="0"/>
          <w:vertAlign w:val="subscript"/>
          <w:lang w:bidi="ar"/>
        </w:rPr>
        <w:t>M</w:t>
      </w:r>
    </w:p>
    <w:p w14:paraId="07C3985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大型车：Loel=45+24lgV</w:t>
      </w:r>
      <w:r>
        <w:rPr>
          <w:rFonts w:hint="default" w:ascii="Times New Roman" w:hAnsi="Times New Roman" w:eastAsia="宋体" w:cs="Times New Roman"/>
          <w:color w:val="auto"/>
          <w:kern w:val="0"/>
          <w:sz w:val="15"/>
          <w:szCs w:val="15"/>
          <w:lang w:bidi="ar"/>
        </w:rPr>
        <w:t>L</w:t>
      </w:r>
    </w:p>
    <w:p w14:paraId="7EA1EF6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式中：</w:t>
      </w:r>
      <w:r>
        <w:rPr>
          <w:rFonts w:hint="default" w:ascii="Times New Roman" w:hAnsi="Times New Roman" w:eastAsia="宋体" w:cs="Times New Roman"/>
          <w:color w:val="auto"/>
          <w:kern w:val="0"/>
          <w:lang w:bidi="ar"/>
        </w:rPr>
        <w:t>Vs、V</w:t>
      </w:r>
      <w:r>
        <w:rPr>
          <w:rFonts w:hint="default" w:ascii="Times New Roman" w:hAnsi="Times New Roman" w:eastAsia="宋体" w:cs="Times New Roman"/>
          <w:color w:val="auto"/>
          <w:kern w:val="0"/>
          <w:vertAlign w:val="subscript"/>
          <w:lang w:bidi="ar"/>
        </w:rPr>
        <w:t>M</w:t>
      </w:r>
      <w:r>
        <w:rPr>
          <w:rFonts w:hint="default" w:ascii="Times New Roman" w:hAnsi="Times New Roman" w:eastAsia="宋体" w:cs="Times New Roman"/>
          <w:color w:val="auto"/>
          <w:kern w:val="0"/>
          <w:lang w:bidi="ar"/>
        </w:rPr>
        <w:t>、V</w:t>
      </w:r>
      <w:r>
        <w:rPr>
          <w:rFonts w:hint="default" w:ascii="Times New Roman" w:hAnsi="Times New Roman" w:eastAsia="宋体" w:cs="Times New Roman"/>
          <w:color w:val="auto"/>
          <w:kern w:val="0"/>
          <w:sz w:val="15"/>
          <w:szCs w:val="15"/>
          <w:lang w:bidi="ar"/>
        </w:rPr>
        <w:t>L——</w:t>
      </w:r>
      <w:r>
        <w:rPr>
          <w:rFonts w:hint="default" w:ascii="Times New Roman" w:hAnsi="Times New Roman" w:eastAsia="宋体" w:cs="Times New Roman"/>
          <w:color w:val="auto"/>
          <w:kern w:val="0"/>
          <w:lang w:bidi="ar"/>
        </w:rPr>
        <w:t>分别表示小、中、大型车的车速；上述源强计算公式适用车速范围为20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80km/h。</w:t>
      </w:r>
    </w:p>
    <w:p w14:paraId="1FD298C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根据上述公式，项目各期7.5m处小、中、大型车单车平均辐射声级见表3.2-</w:t>
      </w:r>
      <w:r>
        <w:rPr>
          <w:rFonts w:hint="eastAsia" w:cs="Times New Roman"/>
          <w:color w:val="auto"/>
          <w:kern w:val="0"/>
          <w:lang w:val="en-US" w:eastAsia="zh-CN" w:bidi="ar"/>
        </w:rPr>
        <w:t>9</w:t>
      </w:r>
      <w:r>
        <w:rPr>
          <w:rFonts w:hint="default" w:ascii="Times New Roman" w:hAnsi="Times New Roman" w:eastAsia="宋体" w:cs="Times New Roman"/>
          <w:color w:val="auto"/>
          <w:kern w:val="0"/>
          <w:lang w:bidi="ar"/>
        </w:rPr>
        <w:t>。</w:t>
      </w:r>
    </w:p>
    <w:p w14:paraId="137FF356">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表3.2-</w:t>
      </w:r>
      <w:r>
        <w:rPr>
          <w:rFonts w:hint="eastAsia" w:cs="Times New Roman"/>
          <w:b/>
          <w:bCs/>
          <w:color w:val="auto"/>
          <w:kern w:val="0"/>
          <w:sz w:val="21"/>
          <w:szCs w:val="21"/>
          <w:lang w:val="en-US" w:eastAsia="zh-CN" w:bidi="ar"/>
        </w:rPr>
        <w:t>9</w:t>
      </w:r>
      <w:r>
        <w:rPr>
          <w:rFonts w:hint="default" w:ascii="Times New Roman" w:hAnsi="Times New Roman" w:eastAsia="宋体" w:cs="Times New Roman"/>
          <w:b/>
          <w:bCs/>
          <w:color w:val="auto"/>
          <w:kern w:val="0"/>
          <w:sz w:val="21"/>
          <w:szCs w:val="21"/>
          <w:lang w:bidi="ar"/>
        </w:rPr>
        <w:t xml:space="preserve">  各特征年各车型单车噪声源强  单位：dB（A）</w:t>
      </w:r>
    </w:p>
    <w:tbl>
      <w:tblPr>
        <w:tblStyle w:val="5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7"/>
        <w:gridCol w:w="879"/>
        <w:gridCol w:w="932"/>
        <w:gridCol w:w="934"/>
        <w:gridCol w:w="932"/>
        <w:gridCol w:w="934"/>
        <w:gridCol w:w="934"/>
        <w:gridCol w:w="934"/>
      </w:tblGrid>
      <w:tr w14:paraId="3DA5D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95" w:type="pct"/>
            <w:vMerge w:val="restart"/>
            <w:tcBorders>
              <w:tl2br w:val="single" w:color="auto" w:sz="4" w:space="0"/>
            </w:tcBorders>
            <w:noWrap w:val="0"/>
            <w:vAlign w:val="center"/>
          </w:tcPr>
          <w:p w14:paraId="7A5AE7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eastAsia"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特征年</w:t>
            </w:r>
          </w:p>
          <w:p w14:paraId="6CC11D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p w14:paraId="1B3CB6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sz w:val="21"/>
                <w:szCs w:val="21"/>
              </w:rPr>
              <w:t>路段</w:t>
            </w:r>
          </w:p>
        </w:tc>
        <w:tc>
          <w:tcPr>
            <w:tcW w:w="516" w:type="pct"/>
            <w:vMerge w:val="restart"/>
            <w:noWrap w:val="0"/>
            <w:vAlign w:val="center"/>
          </w:tcPr>
          <w:p w14:paraId="4A02E6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车型</w:t>
            </w:r>
          </w:p>
        </w:tc>
        <w:tc>
          <w:tcPr>
            <w:tcW w:w="1095" w:type="pct"/>
            <w:gridSpan w:val="2"/>
            <w:noWrap w:val="0"/>
            <w:vAlign w:val="center"/>
          </w:tcPr>
          <w:p w14:paraId="61D97B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202</w:t>
            </w:r>
            <w:r>
              <w:rPr>
                <w:rFonts w:hint="eastAsia"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bidi="ar"/>
              </w:rPr>
              <w:t>年</w:t>
            </w:r>
          </w:p>
        </w:tc>
        <w:tc>
          <w:tcPr>
            <w:tcW w:w="1095" w:type="pct"/>
            <w:gridSpan w:val="2"/>
            <w:noWrap w:val="0"/>
            <w:vAlign w:val="center"/>
          </w:tcPr>
          <w:p w14:paraId="448B8F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203</w:t>
            </w:r>
            <w:r>
              <w:rPr>
                <w:rFonts w:hint="eastAsia" w:cs="Times New Roman"/>
                <w:b/>
                <w:bCs/>
                <w:color w:val="auto"/>
                <w:kern w:val="0"/>
                <w:sz w:val="21"/>
                <w:szCs w:val="21"/>
                <w:lang w:val="en-US" w:eastAsia="zh-CN" w:bidi="ar"/>
              </w:rPr>
              <w:t>4</w:t>
            </w:r>
            <w:r>
              <w:rPr>
                <w:rFonts w:hint="default" w:ascii="Times New Roman" w:hAnsi="Times New Roman" w:eastAsia="宋体" w:cs="Times New Roman"/>
                <w:b/>
                <w:bCs/>
                <w:color w:val="auto"/>
                <w:kern w:val="0"/>
                <w:sz w:val="21"/>
                <w:szCs w:val="21"/>
                <w:lang w:bidi="ar"/>
              </w:rPr>
              <w:t>年</w:t>
            </w:r>
          </w:p>
        </w:tc>
        <w:tc>
          <w:tcPr>
            <w:tcW w:w="1096" w:type="pct"/>
            <w:gridSpan w:val="2"/>
            <w:noWrap w:val="0"/>
            <w:vAlign w:val="center"/>
          </w:tcPr>
          <w:p w14:paraId="1EC5F4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204</w:t>
            </w:r>
            <w:r>
              <w:rPr>
                <w:rFonts w:hint="eastAsia"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年</w:t>
            </w:r>
          </w:p>
        </w:tc>
      </w:tr>
      <w:tr w14:paraId="33494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195" w:type="pct"/>
            <w:vMerge w:val="continue"/>
            <w:tcBorders>
              <w:tl2br w:val="single" w:color="auto" w:sz="4" w:space="0"/>
            </w:tcBorders>
            <w:noWrap w:val="0"/>
            <w:vAlign w:val="center"/>
          </w:tcPr>
          <w:p w14:paraId="24395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16" w:type="pct"/>
            <w:vMerge w:val="continue"/>
            <w:noWrap w:val="0"/>
            <w:vAlign w:val="center"/>
          </w:tcPr>
          <w:p w14:paraId="3BDB5F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47" w:type="pct"/>
            <w:noWrap w:val="0"/>
            <w:vAlign w:val="center"/>
          </w:tcPr>
          <w:p w14:paraId="3EE5A2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548" w:type="pct"/>
            <w:noWrap w:val="0"/>
            <w:vAlign w:val="center"/>
          </w:tcPr>
          <w:p w14:paraId="4A00AB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c>
          <w:tcPr>
            <w:tcW w:w="547" w:type="pct"/>
            <w:noWrap w:val="0"/>
            <w:vAlign w:val="center"/>
          </w:tcPr>
          <w:p w14:paraId="26223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548" w:type="pct"/>
            <w:noWrap w:val="0"/>
            <w:vAlign w:val="center"/>
          </w:tcPr>
          <w:p w14:paraId="0E998D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c>
          <w:tcPr>
            <w:tcW w:w="548" w:type="pct"/>
            <w:noWrap w:val="0"/>
            <w:vAlign w:val="center"/>
          </w:tcPr>
          <w:p w14:paraId="01C475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昼间</w:t>
            </w:r>
          </w:p>
        </w:tc>
        <w:tc>
          <w:tcPr>
            <w:tcW w:w="548" w:type="pct"/>
            <w:noWrap w:val="0"/>
            <w:vAlign w:val="center"/>
          </w:tcPr>
          <w:p w14:paraId="7AC0E0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夜间</w:t>
            </w:r>
          </w:p>
        </w:tc>
      </w:tr>
      <w:tr w14:paraId="73DD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pct"/>
            <w:vMerge w:val="restart"/>
            <w:noWrap w:val="0"/>
            <w:vAlign w:val="center"/>
          </w:tcPr>
          <w:p w14:paraId="1D4E35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K0+000~K1+447</w:t>
            </w:r>
          </w:p>
        </w:tc>
        <w:tc>
          <w:tcPr>
            <w:tcW w:w="516" w:type="pct"/>
            <w:noWrap w:val="0"/>
            <w:vAlign w:val="center"/>
          </w:tcPr>
          <w:p w14:paraId="56B226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小型车</w:t>
            </w:r>
          </w:p>
        </w:tc>
        <w:tc>
          <w:tcPr>
            <w:tcW w:w="547" w:type="pct"/>
            <w:noWrap w:val="0"/>
            <w:vAlign w:val="center"/>
          </w:tcPr>
          <w:p w14:paraId="4603C7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70.39</w:t>
            </w:r>
          </w:p>
        </w:tc>
        <w:tc>
          <w:tcPr>
            <w:tcW w:w="548" w:type="pct"/>
            <w:noWrap w:val="0"/>
            <w:vAlign w:val="center"/>
          </w:tcPr>
          <w:p w14:paraId="6365D5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69.10</w:t>
            </w:r>
          </w:p>
        </w:tc>
        <w:tc>
          <w:tcPr>
            <w:tcW w:w="547" w:type="pct"/>
            <w:noWrap w:val="0"/>
            <w:vAlign w:val="center"/>
          </w:tcPr>
          <w:p w14:paraId="329D0B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70.39</w:t>
            </w:r>
          </w:p>
        </w:tc>
        <w:tc>
          <w:tcPr>
            <w:tcW w:w="548" w:type="pct"/>
            <w:noWrap w:val="0"/>
            <w:vAlign w:val="center"/>
          </w:tcPr>
          <w:p w14:paraId="487EB2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69.10</w:t>
            </w:r>
          </w:p>
        </w:tc>
        <w:tc>
          <w:tcPr>
            <w:tcW w:w="548" w:type="pct"/>
            <w:noWrap w:val="0"/>
            <w:vAlign w:val="center"/>
          </w:tcPr>
          <w:p w14:paraId="45200E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70.39</w:t>
            </w:r>
          </w:p>
        </w:tc>
        <w:tc>
          <w:tcPr>
            <w:tcW w:w="548" w:type="pct"/>
            <w:noWrap w:val="0"/>
            <w:vAlign w:val="center"/>
          </w:tcPr>
          <w:p w14:paraId="0AC717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69.10</w:t>
            </w:r>
          </w:p>
        </w:tc>
      </w:tr>
      <w:tr w14:paraId="4655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pct"/>
            <w:vMerge w:val="continue"/>
            <w:noWrap w:val="0"/>
            <w:vAlign w:val="center"/>
          </w:tcPr>
          <w:p w14:paraId="342195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16" w:type="pct"/>
            <w:noWrap w:val="0"/>
            <w:vAlign w:val="center"/>
          </w:tcPr>
          <w:p w14:paraId="6F0BEE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中型车</w:t>
            </w:r>
          </w:p>
        </w:tc>
        <w:tc>
          <w:tcPr>
            <w:tcW w:w="547" w:type="pct"/>
            <w:noWrap w:val="0"/>
            <w:vAlign w:val="center"/>
          </w:tcPr>
          <w:p w14:paraId="536066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79.33</w:t>
            </w:r>
          </w:p>
        </w:tc>
        <w:tc>
          <w:tcPr>
            <w:tcW w:w="548" w:type="pct"/>
            <w:noWrap w:val="0"/>
            <w:vAlign w:val="center"/>
          </w:tcPr>
          <w:p w14:paraId="36567E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78.32</w:t>
            </w:r>
          </w:p>
        </w:tc>
        <w:tc>
          <w:tcPr>
            <w:tcW w:w="547" w:type="pct"/>
            <w:noWrap w:val="0"/>
            <w:vAlign w:val="center"/>
          </w:tcPr>
          <w:p w14:paraId="6EC780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79.33</w:t>
            </w:r>
          </w:p>
        </w:tc>
        <w:tc>
          <w:tcPr>
            <w:tcW w:w="548" w:type="pct"/>
            <w:noWrap w:val="0"/>
            <w:vAlign w:val="center"/>
          </w:tcPr>
          <w:p w14:paraId="23BEBC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78.32</w:t>
            </w:r>
          </w:p>
        </w:tc>
        <w:tc>
          <w:tcPr>
            <w:tcW w:w="548" w:type="pct"/>
            <w:noWrap w:val="0"/>
            <w:vAlign w:val="center"/>
          </w:tcPr>
          <w:p w14:paraId="2116E2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79.33</w:t>
            </w:r>
          </w:p>
        </w:tc>
        <w:tc>
          <w:tcPr>
            <w:tcW w:w="548" w:type="pct"/>
            <w:noWrap w:val="0"/>
            <w:vAlign w:val="center"/>
          </w:tcPr>
          <w:p w14:paraId="2E279B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78.32</w:t>
            </w:r>
          </w:p>
        </w:tc>
      </w:tr>
      <w:tr w14:paraId="01D0C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5" w:type="pct"/>
            <w:vMerge w:val="continue"/>
            <w:noWrap w:val="0"/>
            <w:vAlign w:val="center"/>
          </w:tcPr>
          <w:p w14:paraId="0ED28F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516" w:type="pct"/>
            <w:noWrap w:val="0"/>
            <w:vAlign w:val="center"/>
          </w:tcPr>
          <w:p w14:paraId="4F217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大型车</w:t>
            </w:r>
          </w:p>
        </w:tc>
        <w:tc>
          <w:tcPr>
            <w:tcW w:w="547" w:type="pct"/>
            <w:noWrap w:val="0"/>
            <w:vAlign w:val="center"/>
          </w:tcPr>
          <w:p w14:paraId="5B0A94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86.58</w:t>
            </w:r>
          </w:p>
        </w:tc>
        <w:tc>
          <w:tcPr>
            <w:tcW w:w="548" w:type="pct"/>
            <w:noWrap w:val="0"/>
            <w:vAlign w:val="center"/>
          </w:tcPr>
          <w:p w14:paraId="57A33E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85.56</w:t>
            </w:r>
          </w:p>
        </w:tc>
        <w:tc>
          <w:tcPr>
            <w:tcW w:w="547" w:type="pct"/>
            <w:noWrap w:val="0"/>
            <w:vAlign w:val="center"/>
          </w:tcPr>
          <w:p w14:paraId="7C5D4B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86.58</w:t>
            </w:r>
          </w:p>
        </w:tc>
        <w:tc>
          <w:tcPr>
            <w:tcW w:w="548" w:type="pct"/>
            <w:noWrap w:val="0"/>
            <w:vAlign w:val="center"/>
          </w:tcPr>
          <w:p w14:paraId="1900F4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85.56</w:t>
            </w:r>
          </w:p>
        </w:tc>
        <w:tc>
          <w:tcPr>
            <w:tcW w:w="548" w:type="pct"/>
            <w:noWrap w:val="0"/>
            <w:vAlign w:val="center"/>
          </w:tcPr>
          <w:p w14:paraId="58DBA6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86.58</w:t>
            </w:r>
          </w:p>
        </w:tc>
        <w:tc>
          <w:tcPr>
            <w:tcW w:w="548" w:type="pct"/>
            <w:noWrap w:val="0"/>
            <w:vAlign w:val="center"/>
          </w:tcPr>
          <w:p w14:paraId="31DDF2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85.56</w:t>
            </w:r>
          </w:p>
        </w:tc>
      </w:tr>
    </w:tbl>
    <w:p w14:paraId="78980B8A">
      <w:pPr>
        <w:widowControl/>
        <w:ind w:firstLine="480"/>
        <w:jc w:val="left"/>
        <w:rPr>
          <w:rFonts w:hint="default" w:ascii="Times New Roman" w:hAnsi="Times New Roman" w:eastAsia="宋体" w:cs="Times New Roman"/>
          <w:b/>
          <w:bCs/>
          <w:color w:val="auto"/>
          <w:kern w:val="0"/>
          <w:lang w:val="en-US" w:eastAsia="zh-CN" w:bidi="ar"/>
        </w:rPr>
      </w:pPr>
      <w:r>
        <w:rPr>
          <w:rFonts w:hint="eastAsia" w:cs="Times New Roman"/>
          <w:b/>
          <w:bCs/>
          <w:color w:val="auto"/>
          <w:kern w:val="0"/>
          <w:lang w:eastAsia="zh-CN" w:bidi="ar"/>
        </w:rPr>
        <w:t>（</w:t>
      </w:r>
      <w:r>
        <w:rPr>
          <w:rFonts w:hint="eastAsia" w:cs="Times New Roman"/>
          <w:b/>
          <w:bCs/>
          <w:color w:val="auto"/>
          <w:kern w:val="0"/>
          <w:lang w:val="en-US" w:eastAsia="zh-CN" w:bidi="ar"/>
        </w:rPr>
        <w:t>五</w:t>
      </w:r>
      <w:r>
        <w:rPr>
          <w:rFonts w:hint="eastAsia" w:cs="Times New Roman"/>
          <w:b/>
          <w:bCs/>
          <w:color w:val="auto"/>
          <w:kern w:val="0"/>
          <w:lang w:eastAsia="zh-CN" w:bidi="ar"/>
        </w:rPr>
        <w:t>）</w:t>
      </w:r>
      <w:r>
        <w:rPr>
          <w:rFonts w:hint="eastAsia" w:cs="Times New Roman"/>
          <w:b/>
          <w:bCs/>
          <w:color w:val="auto"/>
          <w:kern w:val="0"/>
          <w:lang w:val="en-US" w:eastAsia="zh-CN" w:bidi="ar"/>
        </w:rPr>
        <w:t>固废</w:t>
      </w:r>
    </w:p>
    <w:p w14:paraId="3A286D4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本工程营运期不涉及收费站和养护区等服务设施，道路建成后，自身不产生</w:t>
      </w:r>
    </w:p>
    <w:p w14:paraId="3F13241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固体废物，固废主要</w:t>
      </w:r>
      <w:r>
        <w:rPr>
          <w:rFonts w:hint="default" w:ascii="Times New Roman" w:hAnsi="Times New Roman" w:eastAsia="宋体" w:cs="Times New Roman"/>
          <w:color w:val="auto"/>
          <w:kern w:val="0"/>
          <w:lang w:eastAsia="zh-CN" w:bidi="ar"/>
        </w:rPr>
        <w:t>来自</w:t>
      </w:r>
      <w:r>
        <w:rPr>
          <w:rFonts w:hint="default" w:ascii="Times New Roman" w:hAnsi="Times New Roman" w:eastAsia="宋体" w:cs="Times New Roman"/>
          <w:color w:val="auto"/>
          <w:kern w:val="0"/>
          <w:lang w:bidi="ar"/>
        </w:rPr>
        <w:t>道路清扫垃圾及养护废料，包括碎石、塑料袋、树叶、</w:t>
      </w:r>
    </w:p>
    <w:p w14:paraId="561655E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养护废料等，上述固体废物由公路养护人员及时清运，不直接排放，对周围环境</w:t>
      </w:r>
    </w:p>
    <w:p w14:paraId="18D46E4F">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基本没有影响。</w:t>
      </w:r>
    </w:p>
    <w:p w14:paraId="26DD723C">
      <w:pPr>
        <w:widowControl/>
        <w:ind w:firstLine="482" w:firstLineChars="200"/>
        <w:jc w:val="left"/>
        <w:rPr>
          <w:rFonts w:hint="default" w:ascii="Times New Roman" w:hAnsi="Times New Roman" w:eastAsia="宋体" w:cs="Times New Roman"/>
          <w:color w:val="auto"/>
        </w:rPr>
      </w:pPr>
      <w:r>
        <w:rPr>
          <w:rFonts w:hint="eastAsia" w:cs="Times New Roman"/>
          <w:b/>
          <w:bCs/>
          <w:color w:val="auto"/>
          <w:kern w:val="0"/>
          <w:lang w:eastAsia="zh-CN" w:bidi="ar"/>
        </w:rPr>
        <w:t>（</w:t>
      </w:r>
      <w:r>
        <w:rPr>
          <w:rFonts w:hint="eastAsia" w:cs="Times New Roman"/>
          <w:b/>
          <w:bCs/>
          <w:color w:val="auto"/>
          <w:kern w:val="0"/>
          <w:lang w:val="en-US" w:eastAsia="zh-CN" w:bidi="ar"/>
        </w:rPr>
        <w:t>六</w:t>
      </w:r>
      <w:r>
        <w:rPr>
          <w:rFonts w:hint="eastAsia" w:cs="Times New Roman"/>
          <w:b/>
          <w:bCs/>
          <w:color w:val="auto"/>
          <w:kern w:val="0"/>
          <w:lang w:eastAsia="zh-CN" w:bidi="ar"/>
        </w:rPr>
        <w:t>）</w:t>
      </w:r>
      <w:r>
        <w:rPr>
          <w:rFonts w:hint="default" w:ascii="Times New Roman" w:hAnsi="Times New Roman" w:eastAsia="宋体" w:cs="Times New Roman"/>
          <w:b/>
          <w:bCs/>
          <w:color w:val="auto"/>
          <w:kern w:val="0"/>
          <w:lang w:bidi="ar"/>
        </w:rPr>
        <w:t>环境风险影响分析</w:t>
      </w:r>
    </w:p>
    <w:p w14:paraId="412167F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可能产生一定的运输事故风险，若装载有毒有害危险化学品或油</w:t>
      </w:r>
    </w:p>
    <w:p w14:paraId="6BDA57A0">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品的车辆发生泄漏或交通事故，</w:t>
      </w:r>
      <w:r>
        <w:rPr>
          <w:rFonts w:hint="default" w:ascii="Times New Roman" w:hAnsi="Times New Roman" w:eastAsia="宋体" w:cs="Times New Roman"/>
          <w:color w:val="auto"/>
          <w:kern w:val="0"/>
          <w:lang w:eastAsia="zh-CN" w:bidi="ar"/>
        </w:rPr>
        <w:t>泄漏</w:t>
      </w:r>
      <w:r>
        <w:rPr>
          <w:rFonts w:hint="default" w:ascii="Times New Roman" w:hAnsi="Times New Roman" w:eastAsia="宋体" w:cs="Times New Roman"/>
          <w:color w:val="auto"/>
          <w:kern w:val="0"/>
          <w:lang w:bidi="ar"/>
        </w:rPr>
        <w:t>的有害物质</w:t>
      </w:r>
      <w:r>
        <w:rPr>
          <w:rFonts w:hint="default" w:ascii="Times New Roman" w:hAnsi="Times New Roman" w:eastAsia="宋体" w:cs="Times New Roman"/>
          <w:color w:val="auto"/>
          <w:kern w:val="0"/>
          <w:lang w:eastAsia="zh-CN" w:bidi="ar"/>
        </w:rPr>
        <w:t>将对</w:t>
      </w:r>
      <w:r>
        <w:rPr>
          <w:rFonts w:hint="default" w:ascii="Times New Roman" w:hAnsi="Times New Roman" w:eastAsia="宋体" w:cs="Times New Roman"/>
          <w:color w:val="auto"/>
          <w:kern w:val="0"/>
          <w:lang w:bidi="ar"/>
        </w:rPr>
        <w:t>工程沿线的生态环境、水环境、环境空气产生不利影响，虽然这种风险的概率相对比较低，但仍必须建立严格的事故监测与防范措施。</w:t>
      </w:r>
    </w:p>
    <w:p w14:paraId="625A4F9C">
      <w:pPr>
        <w:ind w:firstLine="480"/>
        <w:rPr>
          <w:rFonts w:hint="default" w:ascii="Times New Roman" w:hAnsi="Times New Roman" w:eastAsia="宋体" w:cs="Times New Roman"/>
          <w:color w:val="auto"/>
        </w:rPr>
        <w:sectPr>
          <w:headerReference r:id="rId11" w:type="default"/>
          <w:footerReference r:id="rId12" w:type="default"/>
          <w:pgSz w:w="11906" w:h="16838"/>
          <w:pgMar w:top="1440" w:right="1803" w:bottom="1440" w:left="1803" w:header="1191" w:footer="992" w:gutter="0"/>
          <w:pgNumType w:fmt="decimal"/>
          <w:cols w:space="720" w:num="1"/>
          <w:docGrid w:type="lines" w:linePitch="332" w:charSpace="0"/>
        </w:sectPr>
      </w:pPr>
    </w:p>
    <w:p w14:paraId="4C8B4FF4">
      <w:pPr>
        <w:pStyle w:val="2"/>
        <w:rPr>
          <w:rFonts w:hint="default" w:ascii="Times New Roman" w:hAnsi="Times New Roman" w:eastAsia="宋体" w:cs="Times New Roman"/>
          <w:color w:val="auto"/>
        </w:rPr>
      </w:pPr>
      <w:bookmarkStart w:id="69" w:name="_Toc20200"/>
      <w:r>
        <w:rPr>
          <w:rFonts w:hint="default" w:ascii="Times New Roman" w:hAnsi="Times New Roman" w:eastAsia="宋体" w:cs="Times New Roman"/>
          <w:color w:val="auto"/>
          <w:lang w:val="en-US" w:eastAsia="zh-CN"/>
        </w:rPr>
        <w:t>4</w:t>
      </w:r>
      <w:r>
        <w:rPr>
          <w:rFonts w:hint="default" w:ascii="Times New Roman" w:hAnsi="Times New Roman" w:eastAsia="宋体" w:cs="Times New Roman"/>
          <w:color w:val="auto"/>
        </w:rPr>
        <w:t xml:space="preserve"> 环境现状调查与评价</w:t>
      </w:r>
      <w:bookmarkEnd w:id="69"/>
    </w:p>
    <w:p w14:paraId="7623BC90">
      <w:pPr>
        <w:pStyle w:val="3"/>
        <w:numPr>
          <w:ilvl w:val="0"/>
          <w:numId w:val="0"/>
        </w:numPr>
        <w:rPr>
          <w:rFonts w:hint="default" w:ascii="Times New Roman" w:hAnsi="Times New Roman" w:eastAsia="宋体" w:cs="Times New Roman"/>
          <w:color w:val="auto"/>
        </w:rPr>
      </w:pPr>
      <w:bookmarkStart w:id="70" w:name="_Toc23646"/>
      <w:r>
        <w:rPr>
          <w:rFonts w:hint="default" w:ascii="Times New Roman" w:hAnsi="Times New Roman" w:eastAsia="宋体" w:cs="Times New Roman"/>
          <w:color w:val="auto"/>
        </w:rPr>
        <w:t>4.1自然概况</w:t>
      </w:r>
      <w:bookmarkEnd w:id="70"/>
    </w:p>
    <w:p w14:paraId="2E40648E">
      <w:pPr>
        <w:pStyle w:val="5"/>
        <w:ind w:left="0" w:leftChars="0" w:firstLine="0" w:firstLineChars="0"/>
        <w:rPr>
          <w:rFonts w:hint="default" w:ascii="Times New Roman" w:hAnsi="Times New Roman" w:eastAsia="宋体" w:cs="Times New Roman"/>
          <w:color w:val="auto"/>
        </w:rPr>
      </w:pPr>
      <w:bookmarkStart w:id="71" w:name="_Toc27019"/>
      <w:r>
        <w:rPr>
          <w:rFonts w:hint="default" w:ascii="Times New Roman" w:hAnsi="Times New Roman" w:eastAsia="宋体" w:cs="Times New Roman"/>
          <w:color w:val="auto"/>
        </w:rPr>
        <w:t>4.1.1地理位置</w:t>
      </w:r>
      <w:bookmarkEnd w:id="71"/>
    </w:p>
    <w:p w14:paraId="1AC4CDC6">
      <w:pPr>
        <w:adjustRightInd w:val="0"/>
        <w:snapToGrid w:val="0"/>
        <w:ind w:firstLine="496"/>
        <w:rPr>
          <w:rFonts w:hint="default" w:ascii="Times New Roman" w:hAnsi="Times New Roman" w:eastAsia="宋体" w:cs="Times New Roman"/>
          <w:color w:val="auto"/>
          <w:spacing w:val="4"/>
          <w:kern w:val="0"/>
        </w:rPr>
      </w:pPr>
      <w:r>
        <w:rPr>
          <w:rFonts w:hint="default" w:ascii="Times New Roman" w:hAnsi="Times New Roman" w:eastAsia="宋体" w:cs="Times New Roman"/>
          <w:color w:val="auto"/>
          <w:spacing w:val="4"/>
          <w:kern w:val="0"/>
        </w:rPr>
        <w:t>元江哈尼族彝族傣族自治县位于云南省中南部，地理坐标为东经101°39′～102°22′、北纬23°18′～23°55′。东与石屏县毗邻，南与红河县相连，西与墨江县接壤，北与新平县紧邻。县境南北长64.5千米，东西宽71.5千米，总面积2858平方千米。其中，山区面积2766.54平方千米，坝区面积91.46平方千米。县人民政府驻澧江镇，海拔380米，距省会昆明市216千米，距玉溪市红塔区128千米。甘庄街道地处元江哈尼族彝族傣族自治县东北部，东南与龙潭乡、澧江街道接壤，南与红河街道为邻，西南隔江与曼来镇分界，西北与新平彝族傣族自治县扬武镇山水相连，东北以小河底为界与红河哈尼族彝族自治州石屏县相望，甘庄街道办事处距县城19千米，行政区域面积591平方千米。</w:t>
      </w:r>
    </w:p>
    <w:p w14:paraId="3D62A306">
      <w:pPr>
        <w:adjustRightInd w:val="0"/>
        <w:snapToGrid w:val="0"/>
        <w:ind w:firstLine="496"/>
        <w:rPr>
          <w:rFonts w:hint="default" w:ascii="Times New Roman" w:hAnsi="Times New Roman" w:eastAsia="宋体" w:cs="Times New Roman"/>
          <w:color w:val="auto"/>
          <w:spacing w:val="4"/>
          <w:kern w:val="0"/>
        </w:rPr>
      </w:pPr>
      <w:r>
        <w:rPr>
          <w:rFonts w:hint="default" w:ascii="Times New Roman" w:hAnsi="Times New Roman" w:eastAsia="宋体" w:cs="Times New Roman"/>
          <w:color w:val="auto"/>
          <w:spacing w:val="4"/>
          <w:kern w:val="0"/>
        </w:rPr>
        <w:t>本项目位于元江县甘庄街道，项目设计范围起点K0+000起于甘庄街道老G213国道，道路由南向北延伸至规划3号路与老G213国道交叉口处，沿线与规划18m道路、2号路、规划24m道路相交，道路全长1448m。项目地理位置详见附图1。</w:t>
      </w:r>
    </w:p>
    <w:p w14:paraId="3FC0995B">
      <w:pPr>
        <w:pStyle w:val="5"/>
        <w:ind w:left="0" w:leftChars="0" w:firstLine="0" w:firstLineChars="0"/>
        <w:rPr>
          <w:rFonts w:hint="default" w:ascii="Times New Roman" w:hAnsi="Times New Roman" w:eastAsia="宋体" w:cs="Times New Roman"/>
          <w:color w:val="auto"/>
        </w:rPr>
      </w:pPr>
      <w:bookmarkStart w:id="72" w:name="_Toc8197"/>
      <w:r>
        <w:rPr>
          <w:rFonts w:hint="default" w:ascii="Times New Roman" w:hAnsi="Times New Roman" w:eastAsia="宋体" w:cs="Times New Roman"/>
          <w:color w:val="auto"/>
        </w:rPr>
        <w:t>4.1.2地形地貌</w:t>
      </w:r>
      <w:bookmarkEnd w:id="72"/>
    </w:p>
    <w:p w14:paraId="7DFD2498">
      <w:pPr>
        <w:adjustRightInd w:val="0"/>
        <w:snapToGrid w:val="0"/>
        <w:ind w:firstLine="496"/>
        <w:rPr>
          <w:rStyle w:val="67"/>
          <w:rFonts w:hint="default" w:ascii="Times New Roman" w:hAnsi="Times New Roman" w:eastAsia="宋体" w:cs="Times New Roman"/>
          <w:color w:val="auto"/>
        </w:rPr>
      </w:pPr>
      <w:r>
        <w:rPr>
          <w:rFonts w:hint="default" w:ascii="Times New Roman" w:hAnsi="Times New Roman" w:eastAsia="宋体" w:cs="Times New Roman"/>
          <w:color w:val="auto"/>
          <w:spacing w:val="4"/>
          <w:kern w:val="0"/>
        </w:rPr>
        <w:t>元江全县地势西北高，东南低。山脉南北走向，以红河为界，分为两个支脉，西南支属哀牢山，东北支属横断山，两支山脉自西北入境，逶迤向南延伸，使元江河谷形成了一个盆地。红河干流自西北入境向东南斜穿全境流入红河县，把县境等地分割成东北片和西南片两部分，分别为河谷、盆地、丘陵、中山等，属深切割中山类型地貌。山区面积2766.54平方千米，坝区（元江坝、甘庄坝、因远坝）面积91.46平方千米。最高点海拔（阿波列山）为2580米，最低点海拔（小河垤）为327米，相对高差达2253米。</w:t>
      </w:r>
    </w:p>
    <w:p w14:paraId="348B3DAF">
      <w:pPr>
        <w:adjustRightInd w:val="0"/>
        <w:snapToGrid w:val="0"/>
        <w:ind w:firstLine="496"/>
        <w:rPr>
          <w:rStyle w:val="67"/>
          <w:rFonts w:hint="default" w:ascii="Times New Roman" w:hAnsi="Times New Roman" w:eastAsia="宋体" w:cs="Times New Roman"/>
          <w:color w:val="auto"/>
        </w:rPr>
      </w:pPr>
      <w:r>
        <w:rPr>
          <w:rStyle w:val="67"/>
          <w:rFonts w:hint="default" w:ascii="Times New Roman" w:hAnsi="Times New Roman" w:eastAsia="宋体" w:cs="Times New Roman"/>
          <w:color w:val="auto"/>
          <w:sz w:val="24"/>
          <w:szCs w:val="24"/>
          <w:lang w:val="en-US" w:eastAsia="zh-CN"/>
        </w:rPr>
        <w:t>甘庄境内地貌类别复杂，地形起伏变化大，总体属深切割中山地貌类型。建设项目高程在776.68m～862.69m之间。地形坡度一般为9°～38°，属低中山地貌，局部较陡。路线所经区域处于山区，区域内分布有园地、荒山荒坡、零星的小路等。</w:t>
      </w:r>
    </w:p>
    <w:p w14:paraId="760AEE02">
      <w:pPr>
        <w:pStyle w:val="5"/>
        <w:ind w:left="0" w:leftChars="0" w:firstLine="0" w:firstLineChars="0"/>
        <w:rPr>
          <w:rFonts w:hint="default" w:ascii="Times New Roman" w:hAnsi="Times New Roman" w:eastAsia="宋体" w:cs="Times New Roman"/>
          <w:color w:val="auto"/>
        </w:rPr>
      </w:pPr>
      <w:bookmarkStart w:id="73" w:name="_Toc9862"/>
      <w:r>
        <w:rPr>
          <w:rFonts w:hint="default" w:ascii="Times New Roman" w:hAnsi="Times New Roman" w:eastAsia="宋体" w:cs="Times New Roman"/>
          <w:color w:val="auto"/>
        </w:rPr>
        <w:t>4.1.3气象气候</w:t>
      </w:r>
      <w:bookmarkEnd w:id="73"/>
    </w:p>
    <w:p w14:paraId="08F59942">
      <w:pPr>
        <w:adjustRightInd w:val="0"/>
        <w:snapToGrid w:val="0"/>
        <w:ind w:firstLine="496"/>
        <w:rPr>
          <w:rFonts w:hint="default" w:ascii="Times New Roman" w:hAnsi="Times New Roman" w:eastAsia="宋体" w:cs="Times New Roman"/>
          <w:color w:val="auto"/>
          <w:spacing w:val="4"/>
          <w:kern w:val="0"/>
        </w:rPr>
      </w:pPr>
      <w:r>
        <w:rPr>
          <w:rFonts w:hint="default" w:ascii="Times New Roman" w:hAnsi="Times New Roman" w:eastAsia="宋体" w:cs="Times New Roman"/>
          <w:color w:val="auto"/>
          <w:spacing w:val="4"/>
          <w:kern w:val="0"/>
        </w:rPr>
        <w:t>元江甘庄地处低纬高原，属季风气候，冬夏半年各受两种不同的大气环流影响，冬半年（即干季11－4月）受北非及印度北部大陆干暖气流和北方南下的干冷气流影响，空气干燥温暖，降水量少，蒸发快，晴天多，日照充足。夏半年（即雨季5－10月）受印度洋西南暖湿气流和太平洋东南暖湿气流的影响，空气湿度大，降水量多，多阴寡照，形成了冬暖夏热，冬春干旱风大，夏秋多雨湿润，干湿季明显，雨热同季的气候。年平均气温12℃－24℃，最冷月平均气温7℃－17℃，最热月平均气温16℃－29℃，极端最低气温-0.1℃－-7℃，极端最高气温28℃－42.5℃，大于等于10度年积温4000－8700度。无霜期200－364天，</w:t>
      </w:r>
      <w:r>
        <w:rPr>
          <w:rFonts w:hint="default" w:ascii="Times New Roman" w:hAnsi="Times New Roman" w:eastAsia="宋体" w:cs="Times New Roman"/>
          <w:color w:val="auto"/>
          <w:spacing w:val="4"/>
          <w:kern w:val="0"/>
          <w:lang w:eastAsia="zh-CN"/>
        </w:rPr>
        <w:t>平均年降水量</w:t>
      </w:r>
      <w:r>
        <w:rPr>
          <w:rFonts w:hint="default" w:ascii="Times New Roman" w:hAnsi="Times New Roman" w:eastAsia="宋体" w:cs="Times New Roman"/>
          <w:color w:val="auto"/>
          <w:spacing w:val="4"/>
          <w:kern w:val="0"/>
        </w:rPr>
        <w:t>770－2400mm。</w:t>
      </w:r>
    </w:p>
    <w:p w14:paraId="367D5846">
      <w:pPr>
        <w:pStyle w:val="5"/>
        <w:ind w:left="0" w:leftChars="0" w:firstLine="0" w:firstLineChars="0"/>
        <w:rPr>
          <w:rFonts w:hint="default" w:ascii="Times New Roman" w:hAnsi="Times New Roman" w:eastAsia="宋体" w:cs="Times New Roman"/>
          <w:color w:val="auto"/>
        </w:rPr>
      </w:pPr>
      <w:bookmarkStart w:id="74" w:name="_Toc2406"/>
      <w:r>
        <w:rPr>
          <w:rFonts w:hint="default" w:ascii="Times New Roman" w:hAnsi="Times New Roman" w:eastAsia="宋体" w:cs="Times New Roman"/>
          <w:color w:val="auto"/>
        </w:rPr>
        <w:t>4.1.4河流、水文</w:t>
      </w:r>
      <w:bookmarkEnd w:id="74"/>
    </w:p>
    <w:p w14:paraId="46423ADF">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元江县境内有大小河流27条，分属李仙江水系和元江水系。李仙江水系有河流2条，分别为车垤河和坝卡河，集水面积仅123.2平方千米；元江水系有大小支流25条，元江干流在县境内长79.25km，在元江县境内流域面积373平方千米，其中集水面积大于100平方千米以上的有8条，分别为南溪河、清水河、小河底河、南昏河、甘庄河（又名假莫代河）、西拉河、南巴冲河、岔河。境内主要河流是元江，较大支流有清水河、南溪河、小河底河、磨房河等20余条河，从左右岸汇入，形成叶脉状的水系网，其中左岸的小河底河，右岸的清水河、南溪河为较大的支流。</w:t>
      </w:r>
    </w:p>
    <w:p w14:paraId="7437AADA">
      <w:pPr>
        <w:widowControl/>
        <w:ind w:firstLine="48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甘庄街道境内主要河流有甘庄河、西拉河、红河、它克河、小河底河、干坝大沟、叉河、假莫代水库和西拉河水库等水资源，水资源丰富。</w:t>
      </w:r>
      <w:r>
        <w:rPr>
          <w:rFonts w:hint="default" w:ascii="Times New Roman" w:hAnsi="Times New Roman" w:eastAsia="宋体" w:cs="Times New Roman"/>
          <w:color w:val="auto"/>
          <w:kern w:val="0"/>
        </w:rPr>
        <w:t>根据现场调查，项目区最近的地表水为项目区南侧345m处的</w:t>
      </w:r>
      <w:r>
        <w:rPr>
          <w:rFonts w:hint="default" w:ascii="Times New Roman" w:hAnsi="Times New Roman" w:eastAsia="宋体" w:cs="Times New Roman"/>
          <w:color w:val="auto"/>
        </w:rPr>
        <w:t>甘庄河</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且中间有国道G213、昆明高速、农田等阻隔，故本工程建设对甘庄河影响较小。</w:t>
      </w:r>
    </w:p>
    <w:p w14:paraId="7057D1C8">
      <w:pPr>
        <w:pStyle w:val="5"/>
        <w:ind w:left="0" w:leftChars="0" w:firstLine="0" w:firstLineChars="0"/>
        <w:rPr>
          <w:rFonts w:hint="default" w:ascii="Times New Roman" w:hAnsi="Times New Roman" w:eastAsia="宋体" w:cs="Times New Roman"/>
          <w:color w:val="auto"/>
        </w:rPr>
      </w:pPr>
      <w:bookmarkStart w:id="75" w:name="_Toc24847"/>
      <w:r>
        <w:rPr>
          <w:rFonts w:hint="default" w:ascii="Times New Roman" w:hAnsi="Times New Roman" w:eastAsia="宋体" w:cs="Times New Roman"/>
          <w:color w:val="auto"/>
        </w:rPr>
        <w:t>4.1.5边坡工程地质</w:t>
      </w:r>
      <w:bookmarkEnd w:id="75"/>
    </w:p>
    <w:p w14:paraId="30854633">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rPr>
        <w:t>4.1.5.1边坡场地地形、地貌</w:t>
      </w:r>
    </w:p>
    <w:p w14:paraId="63DC31B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拟建场地位于元江县甘庄街道，地貌上处于构造剥蚀中低山地貌，地势总体上由北西向南东缓倾，边坡由拟建一级路开挖现场，现状均为山地。拟治理边坡现地面高程介于829.97～891.38m之间，相对高差约61.41m，地形起伏较大。</w:t>
      </w:r>
    </w:p>
    <w:p w14:paraId="465AF77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该项目为一级公路，本次勘察范围为道路K0+360～K0+620段、K0+900～K1+120段两侧边坡。其中K0+360～K0+620段左侧为8级边坡，右侧为5级边坡，路线中心最大挖方深度为48.78m，施工开挖后将在路线左侧及右侧形成高约16.30～59.70m的岩土组合边坡，长约260.00m，设计边坡坡率为1:1.00，边坡坡脚还未设置支挡措施，为修筑道路开挖形成的边坡，现正处于开挖阶段。其中K0+900～K1+120段左侧为6级边坡，右侧为3级边坡，路线中心最大挖方深度为17.74m，施工开挖后将在路线左侧及右侧形成高约11.93～54.29m的岩土组合边坡，长约220.00m，设计边坡坡率为1:1.00，边坡坡脚还未设置支挡措施，为修筑道路开挖形成的边坡，现正处于开挖阶段，边坡坡度介于30～50°。</w:t>
      </w:r>
    </w:p>
    <w:p w14:paraId="423C33E6">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4.1.5.2边坡地层岩性组成</w:t>
      </w:r>
    </w:p>
    <w:p w14:paraId="4839791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根据钻探及地质调查揭露深度范围内的地层结构及成因类型表明，</w:t>
      </w:r>
      <w:r>
        <w:rPr>
          <w:rFonts w:hint="default" w:ascii="Times New Roman" w:hAnsi="Times New Roman" w:eastAsia="宋体" w:cs="Times New Roman"/>
          <w:color w:val="auto"/>
        </w:rPr>
        <w:t>边坡</w:t>
      </w:r>
      <w:r>
        <w:rPr>
          <w:rFonts w:hint="default" w:ascii="Times New Roman" w:hAnsi="Times New Roman" w:eastAsia="宋体" w:cs="Times New Roman"/>
          <w:color w:val="auto"/>
          <w:kern w:val="0"/>
          <w:lang w:bidi="ar"/>
        </w:rPr>
        <w:t>岩性组成主要为</w:t>
      </w:r>
      <w:r>
        <w:rPr>
          <w:rFonts w:hint="default" w:ascii="Times New Roman" w:hAnsi="Times New Roman" w:eastAsia="宋体" w:cs="Times New Roman"/>
          <w:color w:val="auto"/>
        </w:rPr>
        <w:t>素填土、全～强风化板岩、强风化板岩、中风化板岩。</w:t>
      </w:r>
      <w:r>
        <w:rPr>
          <w:rFonts w:hint="default" w:ascii="Times New Roman" w:hAnsi="Times New Roman" w:eastAsia="宋体" w:cs="Times New Roman"/>
          <w:color w:val="auto"/>
          <w:kern w:val="0"/>
          <w:lang w:bidi="ar"/>
        </w:rPr>
        <w:t>按地层结构及代号顺序从上至下分别描述如下：</w:t>
      </w:r>
    </w:p>
    <w:p w14:paraId="7FFC5E6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（1）近期人类活动形成的地层：</w:t>
      </w:r>
    </w:p>
    <w:p w14:paraId="69A84C4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①素填土（Q</w:t>
      </w:r>
      <w:r>
        <w:rPr>
          <w:rFonts w:hint="default" w:ascii="Times New Roman" w:hAnsi="Times New Roman" w:eastAsia="宋体" w:cs="Times New Roman"/>
          <w:color w:val="auto"/>
          <w:vertAlign w:val="superscript"/>
        </w:rPr>
        <w:t>ml</w:t>
      </w:r>
      <w:r>
        <w:rPr>
          <w:rFonts w:hint="default" w:ascii="Times New Roman" w:hAnsi="Times New Roman" w:eastAsia="宋体" w:cs="Times New Roman"/>
          <w:color w:val="auto"/>
        </w:rPr>
        <w:t>）：褐灰、紫红、褐黄色，主要成分为分化岩及黏性土，为开挖扰动现场填土，回填时间约1～2年，经一定分层碾压，结构松散，固结程度差，力学性质较差。层厚0.60～4.40m，平均厚度1.17m。该层主要分布于边坡顶部。</w:t>
      </w:r>
    </w:p>
    <w:p w14:paraId="0EC6D57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（2）元古界昆阳群鹅头厂组（Pt</w:t>
      </w:r>
      <w:r>
        <w:rPr>
          <w:rFonts w:hint="default" w:ascii="Times New Roman" w:hAnsi="Times New Roman" w:eastAsia="宋体" w:cs="Times New Roman"/>
          <w:color w:val="auto"/>
          <w:vertAlign w:val="subscript"/>
        </w:rPr>
        <w:t>1</w:t>
      </w:r>
      <w:r>
        <w:rPr>
          <w:rFonts w:hint="default" w:ascii="Times New Roman" w:hAnsi="Times New Roman" w:eastAsia="宋体" w:cs="Times New Roman"/>
          <w:color w:val="auto"/>
        </w:rPr>
        <w:t>e）地层</w:t>
      </w:r>
    </w:p>
    <w:p w14:paraId="0215337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②全～强风化板岩：褐灰、灰黄、灰白色，岩芯已风化成碎块状、土状，母岩残余结构清晰，组织结构大部分破坏，矿物</w:t>
      </w:r>
      <w:r>
        <w:rPr>
          <w:rFonts w:hint="default" w:ascii="Times New Roman" w:hAnsi="Times New Roman" w:eastAsia="宋体" w:cs="Times New Roman"/>
          <w:color w:val="auto"/>
          <w:lang w:eastAsia="zh-CN"/>
        </w:rPr>
        <w:t>成分</w:t>
      </w:r>
      <w:r>
        <w:rPr>
          <w:rFonts w:hint="default" w:ascii="Times New Roman" w:hAnsi="Times New Roman" w:eastAsia="宋体" w:cs="Times New Roman"/>
          <w:color w:val="auto"/>
        </w:rPr>
        <w:t>有显著变化，泥质结构，局部含中风化板岩碎块，大部分风化呈砂状。层顶埋深0.60～4.40m，层厚5.60～24.00m，层底6.80～24.60m，该层主要分布于边坡坡面、坡脚。</w:t>
      </w:r>
    </w:p>
    <w:p w14:paraId="342DD16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③强风化板岩：灰黄、灰色，薄</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中厚层状。岩体完整性较差，结构大部分破坏。风化破碎强烈，风化差异明显，岩体破碎，岩芯呈碎块状及角砾状，岩层产状202°∠26°。层顶埋深6.80～24.60m，层厚2.40～30.30m，层底9.20～50.60m，该层主要分布于边坡坡面、坡脚。</w:t>
      </w:r>
    </w:p>
    <w:p w14:paraId="3893C5F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④中风化板岩：深灰色，变余泥质结构，板状构造，结构部分破坏，风化裂隙发育，岩体较破碎，被切割成岩块；岩芯钻方可钻进，钻探岩芯多呈块状、短柱状，少量呈长柱状，锤击声较清脆，有轻微回弹，稍震手，较难击碎，有浸水后有轻微吸水反应，岩层产状202°∠26°，岩芯采取率=70～88%，RQD=8.9～15.6%。层顶埋深9.20～32.10m，层厚14.20～60.00m，层底30.20～75.30m，该层主要分布于边坡坡面、坡脚。</w:t>
      </w:r>
    </w:p>
    <w:p w14:paraId="08AA6F8D">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 xml:space="preserve">4.1.5.3边坡水文地质条件 </w:t>
      </w:r>
    </w:p>
    <w:p w14:paraId="7EDE9CA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（1）地表水</w:t>
      </w:r>
    </w:p>
    <w:p w14:paraId="0A4591D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拟建场地内及周边均未见地表水，可不考虑地表水对拟建场地的影响。</w:t>
      </w:r>
    </w:p>
    <w:p w14:paraId="7FEFC71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（2）地下水</w:t>
      </w:r>
    </w:p>
    <w:p w14:paraId="32337B0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拟建场地勘察期间所有钻孔在勘察深度范围内均未见到稳定地下水，且钻孔中残留的钻探冷却水也会在终孔后2～3天内消失，边坡治理施工时，应采取有效疏排地表水的措施，以免地表水渗入基槽软化地基土。</w:t>
      </w:r>
    </w:p>
    <w:p w14:paraId="67372C4A">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4.1.5.4不良地质作用及地质灾害评述</w:t>
      </w:r>
    </w:p>
    <w:p w14:paraId="34E52C3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边坡</w:t>
      </w:r>
      <w:r>
        <w:rPr>
          <w:rFonts w:hint="default" w:ascii="Times New Roman" w:hAnsi="Times New Roman" w:eastAsia="宋体" w:cs="Times New Roman"/>
          <w:color w:val="auto"/>
          <w:kern w:val="0"/>
          <w:lang w:eastAsia="zh-CN" w:bidi="ar"/>
        </w:rPr>
        <w:t>现状</w:t>
      </w:r>
      <w:r>
        <w:rPr>
          <w:rFonts w:hint="default" w:ascii="Times New Roman" w:hAnsi="Times New Roman" w:eastAsia="宋体" w:cs="Times New Roman"/>
          <w:color w:val="auto"/>
          <w:kern w:val="0"/>
          <w:lang w:bidi="ar"/>
        </w:rPr>
        <w:t>较为稳定，现正处于开挖阶段，边坡坡面主要地层为全～强风化板岩，板岩属软岩，遇水易软化，雨季施工，大量地表水沿着松散层孔隙渗入土体内后，将在风化板岩顶部一带富集并软化该带的土体，使之抗剪强度降低。加之斜坡体上裂缝不断</w:t>
      </w:r>
      <w:r>
        <w:rPr>
          <w:rFonts w:hint="default" w:ascii="Times New Roman" w:hAnsi="Times New Roman" w:eastAsia="宋体" w:cs="Times New Roman"/>
          <w:color w:val="auto"/>
          <w:kern w:val="0"/>
          <w:lang w:eastAsia="zh-CN" w:bidi="ar"/>
        </w:rPr>
        <w:t>遭受</w:t>
      </w:r>
      <w:r>
        <w:rPr>
          <w:rFonts w:hint="default" w:ascii="Times New Roman" w:hAnsi="Times New Roman" w:eastAsia="宋体" w:cs="Times New Roman"/>
          <w:color w:val="auto"/>
          <w:kern w:val="0"/>
          <w:lang w:bidi="ar"/>
        </w:rPr>
        <w:t xml:space="preserve">外界条件的综合作用，雨水沿着裂缝下渗浸泡饱和，使结构面（带）土体抗剪强度持续降低。若无有效的工程治理措施，随着时间的推移，在暴雨、地震等特殊工况条件下，有可能沿板岩结构面形成滑移破坏。 </w:t>
      </w:r>
    </w:p>
    <w:p w14:paraId="313ABD76">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4.1.5.5特殊性岩土</w:t>
      </w:r>
    </w:p>
    <w:p w14:paraId="6025980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本场地分布的特殊性岩土为素填土及风化岩。</w:t>
      </w:r>
    </w:p>
    <w:p w14:paraId="60D7BA5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（1）素填土</w:t>
      </w:r>
    </w:p>
    <w:p w14:paraId="4A8C8C4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素填土主要成分为分化岩及黏性土，为开挖扰动现场填土，回填时间约1～2年，经一定分层碾压，结构松散，固结程度差，力学性质较差。层厚0.60～4.40m，平均厚度1.17m，经过工程地质调查，该层主要分布于边坡顶部。</w:t>
      </w:r>
    </w:p>
    <w:p w14:paraId="2E38521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（2）风化岩</w:t>
      </w:r>
    </w:p>
    <w:p w14:paraId="294E8DD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拟建场地的②全～强风化板岩及③强风化板岩若长期暴露在空气中、浸水或被水泡时易散、易软化，其物理力学性质指标相对降低，对各拟建建（构）筑物基础有一定影响。因此，建筑物在基础持力层选择及基础施工时应考虑这一不利因素对桩基础设计的影响。</w:t>
      </w:r>
    </w:p>
    <w:p w14:paraId="2C9074E8">
      <w:pPr>
        <w:pStyle w:val="5"/>
        <w:ind w:left="0" w:leftChars="0" w:firstLine="0" w:firstLineChars="0"/>
        <w:rPr>
          <w:rFonts w:hint="default" w:ascii="Times New Roman" w:hAnsi="Times New Roman" w:eastAsia="宋体" w:cs="Times New Roman"/>
          <w:color w:val="auto"/>
        </w:rPr>
      </w:pPr>
      <w:bookmarkStart w:id="76" w:name="_Toc28392"/>
      <w:r>
        <w:rPr>
          <w:rFonts w:hint="default" w:ascii="Times New Roman" w:hAnsi="Times New Roman" w:eastAsia="宋体" w:cs="Times New Roman"/>
          <w:color w:val="auto"/>
        </w:rPr>
        <w:t>4.1.6地质构造与地震</w:t>
      </w:r>
      <w:bookmarkEnd w:id="76"/>
    </w:p>
    <w:p w14:paraId="2003B6E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工程区的大地构造位置属杨子准地台上，构造以北西向为主，属南岭构造带的西延部。在漫长的地史时期内，工程区地壳经历了不同期次的构造运动，造就了比较复杂的构造形迹，其构造系统以北西向褶皱、断裂带为主，区内发育有褶皱、挤压带和断裂。根据云南省地震局编制的《云南活动断裂分布图》，详见图4.1，主要分布哀牢山山前断裂（F23Q3）和水塘—元江断裂（F27Q4）。</w:t>
      </w:r>
    </w:p>
    <w:p w14:paraId="00737C5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（1）F23Q1-2哀牢山山前断裂</w:t>
      </w:r>
    </w:p>
    <w:p w14:paraId="730FF81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哀牢山断裂带沿哀牢山脉的西侧延展，呈北西一南东走向。南起于我国境内，北至南涧彝族自治县密滴附近为红河断裂带错移而消失。平面上与北西侧金沙江断 裂带有相接的趋势，断裂连续性好，总体走向N50°</w:t>
      </w:r>
      <w:r>
        <w:rPr>
          <w:rFonts w:hint="default" w:ascii="Times New Roman" w:hAnsi="Times New Roman" w:eastAsia="宋体" w:cs="Times New Roman"/>
          <w:color w:val="auto"/>
          <w:lang w:val="en-US" w:eastAsia="zh-CN"/>
        </w:rPr>
        <w:t>-</w:t>
      </w:r>
      <w:r>
        <w:rPr>
          <w:rFonts w:hint="default" w:ascii="Times New Roman" w:hAnsi="Times New Roman" w:eastAsia="宋体" w:cs="Times New Roman"/>
          <w:color w:val="auto"/>
        </w:rPr>
        <w:t>80°W，走向长&gt;7.4km</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破碎带宽30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80m，倾向南西，倾角60-70°，属压扭性区域断裂。无论是从断裂第四纪以来的活动程度看，还是以地震活动强度而论，均较强烈，该断层为晚更新世活动断裂</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距离拟建场地约4.5km。</w:t>
      </w:r>
    </w:p>
    <w:p w14:paraId="40ACD00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（2）F27Q4水塘—元江断裂</w:t>
      </w:r>
    </w:p>
    <w:p w14:paraId="08BB7FF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该断为红河深大断裂的北支，为一右旋走滑性质的全新世活动断裂。自中更新世以来共经历了5～6公里的右旋滑移</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平均滑动速率约为10～11毫米/年。该断裂为全新世活动断裂，区内主要沿南溪河河谷展布，表现为右旋扭动。据现场调查，在南溪河右岸谷坡前缘新近系地层中发现一系列断裂错动迹象。该断层为全新世活动断裂</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距离拟建场地约3.8km，建筑结构若进行抗震性能化设计和隔震设计时应考虑近场影响。</w:t>
      </w:r>
    </w:p>
    <w:p w14:paraId="46501BD2">
      <w:pPr>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519170" cy="3538220"/>
            <wp:effectExtent l="0" t="0" r="5080" b="5080"/>
            <wp:docPr id="5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67"/>
                    <pic:cNvPicPr>
                      <a:picLocks noChangeAspect="1"/>
                    </pic:cNvPicPr>
                  </pic:nvPicPr>
                  <pic:blipFill>
                    <a:blip r:embed="rId51"/>
                    <a:stretch>
                      <a:fillRect/>
                    </a:stretch>
                  </pic:blipFill>
                  <pic:spPr>
                    <a:xfrm>
                      <a:off x="0" y="0"/>
                      <a:ext cx="3519170" cy="3538220"/>
                    </a:xfrm>
                    <a:prstGeom prst="rect">
                      <a:avLst/>
                    </a:prstGeom>
                    <a:noFill/>
                    <a:ln>
                      <a:noFill/>
                    </a:ln>
                  </pic:spPr>
                </pic:pic>
              </a:graphicData>
            </a:graphic>
          </wp:inline>
        </w:drawing>
      </w:r>
    </w:p>
    <w:p w14:paraId="74D8E8E5">
      <w:pPr>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sz w:val="21"/>
          <w:szCs w:val="21"/>
        </w:rPr>
        <w:t>4.1</w:t>
      </w:r>
      <w:r>
        <w:rPr>
          <w:rFonts w:hint="eastAsia" w:cs="Times New Roman"/>
          <w:b/>
          <w:bCs/>
          <w:color w:val="auto"/>
          <w:sz w:val="21"/>
          <w:szCs w:val="21"/>
          <w:lang w:val="en-US" w:eastAsia="zh-CN"/>
        </w:rPr>
        <w:t>-1</w:t>
      </w:r>
      <w:r>
        <w:rPr>
          <w:rFonts w:hint="default" w:ascii="Times New Roman" w:hAnsi="Times New Roman" w:eastAsia="宋体" w:cs="Times New Roman"/>
          <w:b/>
          <w:bCs/>
          <w:color w:val="auto"/>
          <w:sz w:val="21"/>
          <w:szCs w:val="21"/>
        </w:rPr>
        <w:t xml:space="preserve">  云南活动断裂分布图</w:t>
      </w:r>
    </w:p>
    <w:p w14:paraId="2187E70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根据《中国地震动参数区划图》（GB</w:t>
      </w:r>
      <w:r>
        <w:rPr>
          <w:rFonts w:hint="eastAsia" w:cs="Times New Roman"/>
          <w:color w:val="auto"/>
          <w:lang w:val="en-US" w:eastAsia="zh-CN"/>
        </w:rPr>
        <w:t xml:space="preserve"> </w:t>
      </w:r>
      <w:r>
        <w:rPr>
          <w:rFonts w:hint="default" w:ascii="Times New Roman" w:hAnsi="Times New Roman" w:eastAsia="宋体" w:cs="Times New Roman"/>
          <w:color w:val="auto"/>
        </w:rPr>
        <w:t>18306—2001），项目区所在地震动峰值加速度区划的0.15g区中，地震动峰值加速度区划的0.15g区中，相当于地震基本烈度VII度区。桥梁等构造物按相关规范标准采取抗震设防措施。</w:t>
      </w:r>
    </w:p>
    <w:p w14:paraId="4047546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拟建场地位于通海－石屏地震带之西，长期活动的红河断裂带上。据历史</w:t>
      </w:r>
      <w:r>
        <w:rPr>
          <w:rFonts w:hint="default" w:ascii="Times New Roman" w:hAnsi="Times New Roman" w:eastAsia="宋体" w:cs="Times New Roman"/>
          <w:color w:val="auto"/>
          <w:lang w:eastAsia="zh-CN"/>
        </w:rPr>
        <w:t>记</w:t>
      </w:r>
      <w:r>
        <w:rPr>
          <w:rFonts w:hint="default" w:ascii="Times New Roman" w:hAnsi="Times New Roman" w:eastAsia="宋体" w:cs="Times New Roman"/>
          <w:color w:val="auto"/>
        </w:rPr>
        <w:t>载，带内先后发生过大于4.7级地震有36次，其中最大是1970年1月5日的通海—峨山7.7级大地震，该次地震造成了峨山、通海一带房屋大片倒塌，人畜伤亡比较严重，新平河口—带也受影响。场地位于长期反复活动的红河主干断裂带上，是地震频繁的地区，详见图4.2。</w:t>
      </w:r>
    </w:p>
    <w:p w14:paraId="76FE7970">
      <w:pPr>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285490" cy="3077845"/>
            <wp:effectExtent l="0" t="0" r="10160" b="8255"/>
            <wp:docPr id="84"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8"/>
                    <pic:cNvPicPr>
                      <a:picLocks noChangeAspect="1"/>
                    </pic:cNvPicPr>
                  </pic:nvPicPr>
                  <pic:blipFill>
                    <a:blip r:embed="rId52"/>
                    <a:stretch>
                      <a:fillRect/>
                    </a:stretch>
                  </pic:blipFill>
                  <pic:spPr>
                    <a:xfrm>
                      <a:off x="0" y="0"/>
                      <a:ext cx="3285490" cy="3077845"/>
                    </a:xfrm>
                    <a:prstGeom prst="rect">
                      <a:avLst/>
                    </a:prstGeom>
                    <a:noFill/>
                    <a:ln>
                      <a:noFill/>
                    </a:ln>
                  </pic:spPr>
                </pic:pic>
              </a:graphicData>
            </a:graphic>
          </wp:inline>
        </w:drawing>
      </w:r>
    </w:p>
    <w:p w14:paraId="16D69537">
      <w:pPr>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4.</w:t>
      </w:r>
      <w:r>
        <w:rPr>
          <w:rFonts w:hint="eastAsia" w:cs="Times New Roman"/>
          <w:b/>
          <w:bCs/>
          <w:color w:val="auto"/>
          <w:sz w:val="21"/>
          <w:szCs w:val="21"/>
          <w:lang w:val="en-US" w:eastAsia="zh-CN"/>
        </w:rPr>
        <w:t>1-</w:t>
      </w:r>
      <w:r>
        <w:rPr>
          <w:rFonts w:hint="default" w:ascii="Times New Roman" w:hAnsi="Times New Roman" w:eastAsia="宋体" w:cs="Times New Roman"/>
          <w:b/>
          <w:bCs/>
          <w:color w:val="auto"/>
          <w:sz w:val="21"/>
          <w:szCs w:val="21"/>
        </w:rPr>
        <w:t>2  区域地震带分布图</w:t>
      </w:r>
    </w:p>
    <w:p w14:paraId="7874CE1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场区区域地质构造复杂，长期处于差异性断块抬升状态，构造地震活动较频繁。按《云南省区域地壳稳定性评价图》，场地所在区域地壳稳定性划分为次稳定区（Ⅲ3区），</w:t>
      </w:r>
      <w:r>
        <w:rPr>
          <w:rFonts w:hint="default" w:ascii="Times New Roman" w:hAnsi="Times New Roman" w:eastAsia="宋体" w:cs="Times New Roman"/>
          <w:color w:val="auto"/>
          <w:kern w:val="0"/>
          <w:lang w:bidi="ar"/>
        </w:rPr>
        <w:t>详见图4.3。</w:t>
      </w:r>
    </w:p>
    <w:p w14:paraId="6AD96B85">
      <w:pPr>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4526280" cy="3305175"/>
            <wp:effectExtent l="0" t="0" r="7620" b="9525"/>
            <wp:docPr id="82"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69"/>
                    <pic:cNvPicPr>
                      <a:picLocks noChangeAspect="1"/>
                    </pic:cNvPicPr>
                  </pic:nvPicPr>
                  <pic:blipFill>
                    <a:blip r:embed="rId53"/>
                    <a:stretch>
                      <a:fillRect/>
                    </a:stretch>
                  </pic:blipFill>
                  <pic:spPr>
                    <a:xfrm>
                      <a:off x="0" y="0"/>
                      <a:ext cx="4526280" cy="3305175"/>
                    </a:xfrm>
                    <a:prstGeom prst="rect">
                      <a:avLst/>
                    </a:prstGeom>
                    <a:noFill/>
                    <a:ln>
                      <a:noFill/>
                    </a:ln>
                  </pic:spPr>
                </pic:pic>
              </a:graphicData>
            </a:graphic>
          </wp:inline>
        </w:drawing>
      </w:r>
    </w:p>
    <w:p w14:paraId="0090D4B8">
      <w:pPr>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4.</w:t>
      </w:r>
      <w:r>
        <w:rPr>
          <w:rFonts w:hint="eastAsia" w:cs="Times New Roman"/>
          <w:b/>
          <w:bCs/>
          <w:color w:val="auto"/>
          <w:sz w:val="21"/>
          <w:szCs w:val="21"/>
          <w:lang w:val="en-US" w:eastAsia="zh-CN"/>
        </w:rPr>
        <w:t>1-</w:t>
      </w:r>
      <w:r>
        <w:rPr>
          <w:rFonts w:hint="default" w:ascii="Times New Roman" w:hAnsi="Times New Roman" w:eastAsia="宋体" w:cs="Times New Roman"/>
          <w:b/>
          <w:bCs/>
          <w:color w:val="auto"/>
          <w:sz w:val="21"/>
          <w:szCs w:val="21"/>
        </w:rPr>
        <w:t>3  云南省区域地壳稳定性评价图</w:t>
      </w:r>
    </w:p>
    <w:p w14:paraId="618737DD">
      <w:pPr>
        <w:pStyle w:val="5"/>
        <w:bidi w:val="0"/>
        <w:ind w:left="0" w:leftChars="0" w:firstLine="0" w:firstLineChars="0"/>
        <w:rPr>
          <w:rFonts w:hint="default" w:ascii="Times New Roman" w:hAnsi="Times New Roman" w:eastAsia="宋体" w:cs="Times New Roman"/>
          <w:color w:val="auto"/>
        </w:rPr>
      </w:pPr>
      <w:bookmarkStart w:id="77" w:name="_Toc1492"/>
      <w:r>
        <w:rPr>
          <w:rFonts w:hint="default" w:ascii="Times New Roman" w:hAnsi="Times New Roman" w:eastAsia="宋体" w:cs="Times New Roman"/>
          <w:color w:val="auto"/>
        </w:rPr>
        <w:t>4.1.7其他</w:t>
      </w:r>
      <w:bookmarkEnd w:id="77"/>
    </w:p>
    <w:p w14:paraId="2A60045D">
      <w:pPr>
        <w:widowControl/>
        <w:ind w:firstLine="480"/>
        <w:jc w:val="left"/>
        <w:rPr>
          <w:rFonts w:hint="default" w:ascii="Times New Roman" w:hAnsi="Times New Roman" w:eastAsia="宋体" w:cs="Times New Roman"/>
          <w:color w:val="auto"/>
          <w:kern w:val="0"/>
          <w:lang w:val="en-US" w:eastAsia="zh-CN" w:bidi="ar"/>
        </w:rPr>
      </w:pPr>
      <w:r>
        <w:rPr>
          <w:rFonts w:hint="default" w:ascii="Times New Roman" w:hAnsi="Times New Roman" w:eastAsia="宋体" w:cs="Times New Roman"/>
          <w:color w:val="auto"/>
          <w:kern w:val="0"/>
          <w:lang w:val="en-US" w:eastAsia="zh-CN" w:bidi="ar"/>
        </w:rPr>
        <w:t>根据</w:t>
      </w:r>
      <w:r>
        <w:rPr>
          <w:rFonts w:hint="eastAsia" w:cs="Times New Roman"/>
          <w:color w:val="auto"/>
          <w:kern w:val="0"/>
          <w:lang w:val="en-US" w:eastAsia="zh-CN" w:bidi="ar"/>
        </w:rPr>
        <w:t>《元江火车站站前广场配套道路5号路建设项目水土保持方案报告书》</w:t>
      </w:r>
      <w:r>
        <w:rPr>
          <w:rFonts w:hint="default" w:ascii="Times New Roman" w:hAnsi="Times New Roman" w:eastAsia="宋体" w:cs="Times New Roman"/>
          <w:color w:val="auto"/>
          <w:kern w:val="0"/>
          <w:lang w:val="en-US" w:eastAsia="zh-CN" w:bidi="ar"/>
        </w:rPr>
        <w:t>，场地占地类型主要为园地、耕地、交通运输用地、水域及水利设施用地、其他土地，项目区内加权土壤侵蚀模数为900.83/km</w:t>
      </w:r>
      <w:r>
        <w:rPr>
          <w:rFonts w:hint="default" w:ascii="Times New Roman" w:hAnsi="Times New Roman" w:eastAsia="宋体" w:cs="Times New Roman"/>
          <w:color w:val="auto"/>
          <w:kern w:val="0"/>
          <w:vertAlign w:val="superscript"/>
          <w:lang w:val="en-US" w:eastAsia="zh-CN" w:bidi="ar"/>
        </w:rPr>
        <w:t>2</w:t>
      </w:r>
      <w:r>
        <w:rPr>
          <w:rFonts w:hint="default" w:ascii="Times New Roman" w:hAnsi="Times New Roman" w:eastAsia="宋体" w:cs="Times New Roman"/>
          <w:color w:val="auto"/>
          <w:kern w:val="0"/>
          <w:lang w:val="en-US" w:eastAsia="zh-CN" w:bidi="ar"/>
        </w:rPr>
        <w:t>·a，根据土壤侵蚀分类分级标准，区域水土流失判定为轻度流失。</w:t>
      </w:r>
    </w:p>
    <w:p w14:paraId="2B3818D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所在地属于水土流失重点治理区，水土流失防治执行标准为西南岩溶区一级标准。项目未涉及饮用水水源保护区、水功能一级区的保护区和保留区、自然保护区、世界文化和自然遗产地、风景名胜区、地质公园、重要湿地等区域。经现场调查，工程占地范围内无水土流失专项治理设施。根据项目“三区三线”查询及《用地选址意见》可知，项目永久用地不涉及生态保护红线，不占用永久基本农田。</w:t>
      </w:r>
    </w:p>
    <w:p w14:paraId="0328B7E1">
      <w:pPr>
        <w:pStyle w:val="3"/>
        <w:numPr>
          <w:ilvl w:val="0"/>
          <w:numId w:val="0"/>
        </w:numPr>
        <w:rPr>
          <w:rFonts w:hint="default" w:ascii="Times New Roman" w:hAnsi="Times New Roman" w:eastAsia="宋体" w:cs="Times New Roman"/>
          <w:color w:val="auto"/>
        </w:rPr>
      </w:pPr>
      <w:bookmarkStart w:id="78" w:name="_Toc17113"/>
      <w:r>
        <w:rPr>
          <w:rFonts w:hint="default" w:ascii="Times New Roman" w:hAnsi="Times New Roman" w:eastAsia="宋体" w:cs="Times New Roman"/>
          <w:color w:val="auto"/>
        </w:rPr>
        <w:t>4.2环境质量现状及评价</w:t>
      </w:r>
      <w:bookmarkEnd w:id="78"/>
    </w:p>
    <w:p w14:paraId="6BE0B855">
      <w:pPr>
        <w:pStyle w:val="5"/>
        <w:bidi w:val="0"/>
        <w:ind w:left="0" w:leftChars="0" w:firstLine="0" w:firstLineChars="0"/>
        <w:rPr>
          <w:rFonts w:hint="default" w:ascii="Times New Roman" w:hAnsi="Times New Roman" w:eastAsia="宋体" w:cs="Times New Roman"/>
          <w:color w:val="auto"/>
        </w:rPr>
      </w:pPr>
      <w:bookmarkStart w:id="79" w:name="_Toc31963"/>
      <w:r>
        <w:rPr>
          <w:rFonts w:hint="default" w:ascii="Times New Roman" w:hAnsi="Times New Roman" w:eastAsia="宋体" w:cs="Times New Roman"/>
          <w:color w:val="auto"/>
        </w:rPr>
        <w:t>4.2.1生态环境现状调查与评价</w:t>
      </w:r>
      <w:bookmarkEnd w:id="79"/>
    </w:p>
    <w:p w14:paraId="20ABCD4C">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4.2.1.1植物及植被现状评价</w:t>
      </w:r>
    </w:p>
    <w:p w14:paraId="55BE7C6F">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4.2.1.1.1调查方法和范围</w:t>
      </w:r>
    </w:p>
    <w:p w14:paraId="19115FD5">
      <w:pPr>
        <w:widowControl/>
        <w:ind w:firstLine="482"/>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1</w:t>
      </w:r>
      <w:r>
        <w:rPr>
          <w:rFonts w:hint="default" w:ascii="Times New Roman" w:hAnsi="Times New Roman" w:eastAsia="宋体" w:cs="Times New Roman"/>
          <w:b/>
          <w:bCs/>
          <w:color w:val="auto"/>
          <w:kern w:val="0"/>
          <w:lang w:bidi="ar"/>
        </w:rPr>
        <w:t>）调查范围</w:t>
      </w:r>
    </w:p>
    <w:p w14:paraId="389BE611">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val="en-US" w:eastAsia="zh-CN" w:bidi="ar"/>
        </w:rPr>
        <w:t>根据《</w:t>
      </w:r>
      <w:r>
        <w:rPr>
          <w:rFonts w:hint="default" w:ascii="Times New Roman" w:hAnsi="Times New Roman" w:eastAsia="宋体" w:cs="Times New Roman"/>
          <w:color w:val="auto"/>
          <w:kern w:val="0"/>
          <w:lang w:val="en-US" w:eastAsia="zh-CN"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val="en-US" w:eastAsia="zh-CN" w:bidi="ar"/>
        </w:rPr>
        <w:t>公路建设项目</w:t>
      </w:r>
      <w:r>
        <w:rPr>
          <w:rFonts w:hint="default" w:ascii="Times New Roman" w:hAnsi="Times New Roman" w:eastAsia="宋体" w:cs="Times New Roman"/>
          <w:color w:val="auto"/>
          <w:kern w:val="0"/>
          <w:lang w:val="en-US" w:eastAsia="zh-CN"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val="en-US" w:eastAsia="zh-CN" w:bidi="ar"/>
        </w:rPr>
        <w:t>1358-2024）等法律法规要求，结合项目区的影响方式与影响区域的基本生态特征，本次陆生生态环境调查范围为评价范围内的植被及植物组成。</w:t>
      </w:r>
    </w:p>
    <w:p w14:paraId="77373C5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生态环境评价范围为：</w:t>
      </w:r>
      <w:r>
        <w:rPr>
          <w:rFonts w:hint="default" w:ascii="Times New Roman" w:hAnsi="Times New Roman" w:eastAsia="宋体" w:cs="Times New Roman"/>
          <w:color w:val="auto"/>
        </w:rPr>
        <w:t>拟建公路中心线外300m以内的区域，弃渣场等临时工程周围</w:t>
      </w:r>
      <w:r>
        <w:rPr>
          <w:rFonts w:hint="eastAsia" w:cs="Times New Roman"/>
          <w:color w:val="auto"/>
          <w:lang w:val="en-US" w:eastAsia="zh-CN"/>
        </w:rPr>
        <w:t>2</w:t>
      </w:r>
      <w:r>
        <w:rPr>
          <w:rFonts w:hint="default" w:ascii="Times New Roman" w:hAnsi="Times New Roman" w:eastAsia="宋体" w:cs="Times New Roman"/>
          <w:color w:val="auto"/>
        </w:rPr>
        <w:t>00m以内区域</w:t>
      </w:r>
      <w:r>
        <w:rPr>
          <w:rFonts w:hint="default" w:ascii="Times New Roman" w:hAnsi="Times New Roman" w:eastAsia="宋体" w:cs="Times New Roman"/>
          <w:color w:val="auto"/>
          <w:kern w:val="0"/>
          <w:lang w:bidi="ar"/>
        </w:rPr>
        <w:t>。</w:t>
      </w:r>
    </w:p>
    <w:p w14:paraId="7A35C926">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w:t>
      </w:r>
      <w:r>
        <w:rPr>
          <w:rFonts w:hint="eastAsia" w:cs="Times New Roman"/>
          <w:b/>
          <w:bCs/>
          <w:color w:val="auto"/>
          <w:lang w:val="en-US" w:eastAsia="zh-CN"/>
        </w:rPr>
        <w:t>2</w:t>
      </w:r>
      <w:r>
        <w:rPr>
          <w:rFonts w:hint="default" w:ascii="Times New Roman" w:hAnsi="Times New Roman" w:eastAsia="宋体" w:cs="Times New Roman"/>
          <w:b/>
          <w:bCs/>
          <w:color w:val="auto"/>
        </w:rPr>
        <w:t>）调查方法</w:t>
      </w:r>
    </w:p>
    <w:p w14:paraId="1FE0503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根据《环境影响评价技术导则生态影响》（HJ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19-2022），我单位组织专业人员于2025年2月、2025年4月实地考察了工程评价区周围的植被和植物。</w:t>
      </w:r>
    </w:p>
    <w:p w14:paraId="6FC64DE1">
      <w:pPr>
        <w:ind w:firstLine="482"/>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rPr>
        <w:t>照片页</w:t>
      </w:r>
    </w:p>
    <w:tbl>
      <w:tblPr>
        <w:tblStyle w:val="5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584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08A4AD5A">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color w:val="auto"/>
                <w:sz w:val="21"/>
                <w:szCs w:val="21"/>
              </w:rPr>
              <w:drawing>
                <wp:inline distT="0" distB="0" distL="114300" distR="114300">
                  <wp:extent cx="5017135" cy="3738880"/>
                  <wp:effectExtent l="0" t="0" r="12065" b="13970"/>
                  <wp:docPr id="7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0"/>
                          <pic:cNvPicPr>
                            <a:picLocks noChangeAspect="1"/>
                          </pic:cNvPicPr>
                        </pic:nvPicPr>
                        <pic:blipFill>
                          <a:blip r:embed="rId54"/>
                          <a:stretch>
                            <a:fillRect/>
                          </a:stretch>
                        </pic:blipFill>
                        <pic:spPr>
                          <a:xfrm>
                            <a:off x="0" y="0"/>
                            <a:ext cx="5017135" cy="3738880"/>
                          </a:xfrm>
                          <a:prstGeom prst="rect">
                            <a:avLst/>
                          </a:prstGeom>
                          <a:noFill/>
                          <a:ln>
                            <a:noFill/>
                          </a:ln>
                        </pic:spPr>
                      </pic:pic>
                    </a:graphicData>
                  </a:graphic>
                </wp:inline>
              </w:drawing>
            </w:r>
          </w:p>
        </w:tc>
      </w:tr>
      <w:tr w14:paraId="2B977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02D27273">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Cs/>
                <w:color w:val="auto"/>
                <w:sz w:val="21"/>
                <w:szCs w:val="21"/>
              </w:rPr>
              <w:t>干热河谷硬叶常绿阔叶林（椎连栎林）</w:t>
            </w:r>
          </w:p>
        </w:tc>
      </w:tr>
      <w:tr w14:paraId="31D1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0AC04932">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rPr>
              <w:drawing>
                <wp:inline distT="0" distB="0" distL="114300" distR="114300">
                  <wp:extent cx="4998085" cy="3738245"/>
                  <wp:effectExtent l="0" t="0" r="12065" b="14605"/>
                  <wp:docPr id="7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1"/>
                          <pic:cNvPicPr>
                            <a:picLocks noChangeAspect="1"/>
                          </pic:cNvPicPr>
                        </pic:nvPicPr>
                        <pic:blipFill>
                          <a:blip r:embed="rId55"/>
                          <a:stretch>
                            <a:fillRect/>
                          </a:stretch>
                        </pic:blipFill>
                        <pic:spPr>
                          <a:xfrm>
                            <a:off x="0" y="0"/>
                            <a:ext cx="4998085" cy="3738245"/>
                          </a:xfrm>
                          <a:prstGeom prst="rect">
                            <a:avLst/>
                          </a:prstGeom>
                          <a:noFill/>
                          <a:ln>
                            <a:noFill/>
                          </a:ln>
                        </pic:spPr>
                      </pic:pic>
                    </a:graphicData>
                  </a:graphic>
                </wp:inline>
              </w:drawing>
            </w:r>
          </w:p>
        </w:tc>
      </w:tr>
      <w:tr w14:paraId="02E6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56A9899B">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干热河谷灌丛（疏序黄荆灌丛）</w:t>
            </w:r>
          </w:p>
        </w:tc>
      </w:tr>
      <w:tr w14:paraId="398D5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6BE23667">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rPr>
              <w:drawing>
                <wp:inline distT="0" distB="0" distL="114300" distR="114300">
                  <wp:extent cx="4887595" cy="3733165"/>
                  <wp:effectExtent l="0" t="0" r="8255" b="635"/>
                  <wp:docPr id="67"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72"/>
                          <pic:cNvPicPr>
                            <a:picLocks noChangeAspect="1"/>
                          </pic:cNvPicPr>
                        </pic:nvPicPr>
                        <pic:blipFill>
                          <a:blip r:embed="rId56"/>
                          <a:stretch>
                            <a:fillRect/>
                          </a:stretch>
                        </pic:blipFill>
                        <pic:spPr>
                          <a:xfrm>
                            <a:off x="0" y="0"/>
                            <a:ext cx="4887595" cy="3733165"/>
                          </a:xfrm>
                          <a:prstGeom prst="rect">
                            <a:avLst/>
                          </a:prstGeom>
                          <a:noFill/>
                          <a:ln>
                            <a:noFill/>
                          </a:ln>
                        </pic:spPr>
                      </pic:pic>
                    </a:graphicData>
                  </a:graphic>
                </wp:inline>
              </w:drawing>
            </w:r>
          </w:p>
        </w:tc>
      </w:tr>
      <w:tr w14:paraId="06F9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0223FCF9">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干热性稀树灌木草丛（厚皮树、五节芒草丛）</w:t>
            </w:r>
          </w:p>
        </w:tc>
      </w:tr>
      <w:tr w14:paraId="2A1E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6C22007D">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rPr>
              <w:drawing>
                <wp:inline distT="0" distB="0" distL="114300" distR="114300">
                  <wp:extent cx="4905375" cy="3672205"/>
                  <wp:effectExtent l="0" t="0" r="9525" b="4445"/>
                  <wp:docPr id="7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3"/>
                          <pic:cNvPicPr>
                            <a:picLocks noChangeAspect="1"/>
                          </pic:cNvPicPr>
                        </pic:nvPicPr>
                        <pic:blipFill>
                          <a:blip r:embed="rId57"/>
                          <a:stretch>
                            <a:fillRect/>
                          </a:stretch>
                        </pic:blipFill>
                        <pic:spPr>
                          <a:xfrm>
                            <a:off x="0" y="0"/>
                            <a:ext cx="4905375" cy="3672205"/>
                          </a:xfrm>
                          <a:prstGeom prst="rect">
                            <a:avLst/>
                          </a:prstGeom>
                          <a:noFill/>
                          <a:ln>
                            <a:noFill/>
                          </a:ln>
                        </pic:spPr>
                      </pic:pic>
                    </a:graphicData>
                  </a:graphic>
                </wp:inline>
              </w:drawing>
            </w:r>
          </w:p>
        </w:tc>
      </w:tr>
      <w:tr w14:paraId="4EFB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6D8E5B11">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园地</w:t>
            </w:r>
          </w:p>
        </w:tc>
      </w:tr>
      <w:tr w14:paraId="16715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7F26680E">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color w:val="auto"/>
              </w:rPr>
              <w:drawing>
                <wp:inline distT="0" distB="0" distL="114300" distR="114300">
                  <wp:extent cx="5010150" cy="3571875"/>
                  <wp:effectExtent l="0" t="0" r="0" b="9525"/>
                  <wp:docPr id="6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4"/>
                          <pic:cNvPicPr>
                            <a:picLocks noChangeAspect="1"/>
                          </pic:cNvPicPr>
                        </pic:nvPicPr>
                        <pic:blipFill>
                          <a:blip r:embed="rId58"/>
                          <a:stretch>
                            <a:fillRect/>
                          </a:stretch>
                        </pic:blipFill>
                        <pic:spPr>
                          <a:xfrm>
                            <a:off x="0" y="0"/>
                            <a:ext cx="5010150" cy="3571875"/>
                          </a:xfrm>
                          <a:prstGeom prst="rect">
                            <a:avLst/>
                          </a:prstGeom>
                          <a:noFill/>
                          <a:ln>
                            <a:noFill/>
                          </a:ln>
                        </pic:spPr>
                      </pic:pic>
                    </a:graphicData>
                  </a:graphic>
                </wp:inline>
              </w:drawing>
            </w:r>
          </w:p>
        </w:tc>
      </w:tr>
      <w:tr w14:paraId="7603E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noWrap w:val="0"/>
            <w:vAlign w:val="top"/>
          </w:tcPr>
          <w:p w14:paraId="33803B5C">
            <w:pPr>
              <w:spacing w:line="240" w:lineRule="auto"/>
              <w:ind w:firstLine="0" w:firstLineChars="0"/>
              <w:jc w:val="center"/>
              <w:rPr>
                <w:rFonts w:hint="default" w:ascii="Times New Roman" w:hAnsi="Times New Roman" w:eastAsia="宋体" w:cs="Times New Roman"/>
                <w:bCs/>
                <w:color w:val="auto"/>
                <w:sz w:val="21"/>
                <w:szCs w:val="21"/>
              </w:rPr>
            </w:pPr>
            <w:r>
              <w:rPr>
                <w:rFonts w:hint="default" w:ascii="Times New Roman" w:hAnsi="Times New Roman" w:eastAsia="宋体" w:cs="Times New Roman"/>
                <w:bCs/>
                <w:color w:val="auto"/>
                <w:sz w:val="21"/>
                <w:szCs w:val="21"/>
              </w:rPr>
              <w:t>耕地</w:t>
            </w:r>
          </w:p>
        </w:tc>
      </w:tr>
    </w:tbl>
    <w:p w14:paraId="7878C948">
      <w:pPr>
        <w:tabs>
          <w:tab w:val="left" w:pos="1985"/>
        </w:tabs>
        <w:ind w:left="0" w:leftChars="0" w:firstLine="0" w:firstLineChars="0"/>
        <w:rPr>
          <w:rFonts w:hint="default" w:ascii="Times New Roman" w:hAnsi="Times New Roman" w:eastAsia="宋体" w:cs="Times New Roman"/>
          <w:color w:val="auto"/>
        </w:rPr>
      </w:pPr>
    </w:p>
    <w:p w14:paraId="10A08900">
      <w:pPr>
        <w:tabs>
          <w:tab w:val="left" w:pos="1985"/>
        </w:tabs>
        <w:ind w:firstLine="720" w:firstLineChars="300"/>
        <w:rPr>
          <w:rFonts w:hint="default" w:ascii="Times New Roman" w:hAnsi="Times New Roman" w:eastAsia="宋体" w:cs="Times New Roman"/>
          <w:color w:val="auto"/>
        </w:rPr>
      </w:pPr>
      <w:r>
        <w:rPr>
          <w:rFonts w:hint="default" w:ascii="Times New Roman" w:hAnsi="Times New Roman" w:eastAsia="宋体" w:cs="Times New Roman"/>
          <w:color w:val="auto"/>
        </w:rPr>
        <w:t>1）植物物种调查</w:t>
      </w:r>
    </w:p>
    <w:p w14:paraId="68E55C41">
      <w:pPr>
        <w:tabs>
          <w:tab w:val="left" w:pos="1985"/>
        </w:tabs>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植物物种调查以现场调查为主，收集相关历史文献资料为辅。</w:t>
      </w:r>
    </w:p>
    <w:p w14:paraId="5F69CAFA">
      <w:pPr>
        <w:tabs>
          <w:tab w:val="left" w:pos="1985"/>
        </w:tabs>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现场调查：采取路线调查的方法进行全线现场踏勘，在代表性重点工程施工区域（如高填深挖路段等）以及植被发育良好的区域实行调查。对法定珍稀濒危保护植物、古树名木以及资源植物采取野外调查、专家咨询和民间访问相结合的方法进行。对于有疑问的植物需采集标本并拍摄照片，在后期室内进行标本鉴定。</w:t>
      </w:r>
    </w:p>
    <w:p w14:paraId="21190320">
      <w:pPr>
        <w:tabs>
          <w:tab w:val="left" w:pos="1985"/>
        </w:tabs>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文献收集：到当地相关部门收集该地区地方志、土地利用总体规划和林业资源二类调查报告等地方资料；同时参考《云南植物志》、《中国植物志》、《云南植被》以及</w:t>
      </w:r>
      <w:r>
        <w:rPr>
          <w:rFonts w:hint="default" w:ascii="Times New Roman" w:hAnsi="Times New Roman" w:eastAsia="宋体" w:cs="Times New Roman"/>
          <w:color w:val="auto"/>
          <w:lang w:eastAsia="zh-CN"/>
        </w:rPr>
        <w:t>其他植物</w:t>
      </w:r>
      <w:r>
        <w:rPr>
          <w:rFonts w:hint="default" w:ascii="Times New Roman" w:hAnsi="Times New Roman" w:eastAsia="宋体" w:cs="Times New Roman"/>
          <w:color w:val="auto"/>
        </w:rPr>
        <w:t>及其种群的区域性研究资料。</w:t>
      </w:r>
    </w:p>
    <w:p w14:paraId="6EEC253C">
      <w:pPr>
        <w:tabs>
          <w:tab w:val="left" w:pos="1985"/>
        </w:tabs>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2）植被调查</w:t>
      </w:r>
    </w:p>
    <w:p w14:paraId="4B2A2121">
      <w:pPr>
        <w:tabs>
          <w:tab w:val="left" w:pos="1985"/>
        </w:tabs>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植被调查采取现场踏勘与卫星遥感相结合方法进行。现场踏勘采取路线调查和典型样地调查相结合的技术方法。路线调查主要是对评价区进行踏勘，通过全线观察，记录项目公路沿线大致的植被类型、结构和主要的物种组成情况。</w:t>
      </w:r>
    </w:p>
    <w:p w14:paraId="7F913D13">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群落调查</w:t>
      </w:r>
    </w:p>
    <w:p w14:paraId="4B6BAD0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在实地踏查和遥感卫星影像数据分析的基础上，结合研究区的地形地貌特点和交通状况及工程分布状况，在线路调查的基础上，确定重点调查地段和重要植被类型。根据《云南省环境影响评价维管植物及植被现状调查技术要求（试行）》，</w:t>
      </w:r>
      <w:r>
        <w:rPr>
          <w:rFonts w:hint="eastAsia" w:ascii="宋体" w:hAnsi="宋体" w:eastAsia="宋体" w:cs="宋体"/>
          <w:color w:val="auto"/>
          <w:kern w:val="0"/>
          <w:sz w:val="24"/>
          <w:szCs w:val="24"/>
          <w:lang w:val="en-US" w:eastAsia="zh-CN" w:bidi="ar"/>
        </w:rPr>
        <w:t>本次调查采用法瑞学派样地调查法进行群落调查</w:t>
      </w:r>
      <w:r>
        <w:rPr>
          <w:rFonts w:hint="eastAsia" w:ascii="宋体" w:hAnsi="宋体" w:eastAsia="宋体" w:cs="宋体"/>
          <w:color w:val="auto"/>
          <w:kern w:val="0"/>
          <w:sz w:val="24"/>
          <w:szCs w:val="24"/>
          <w:lang w:val="en-US" w:eastAsia="zh-CN" w:bidi="ar"/>
        </w:rPr>
        <w:t>。其中稀树灌木草丛、灌丛样地面积</w:t>
      </w:r>
      <w:r>
        <w:rPr>
          <w:rFonts w:hint="default" w:ascii="Times New Roman" w:hAnsi="Times New Roman" w:eastAsia="宋体" w:cs="Times New Roman"/>
          <w:color w:val="auto"/>
          <w:kern w:val="0"/>
          <w:sz w:val="24"/>
          <w:szCs w:val="24"/>
          <w:lang w:val="en-US" w:eastAsia="zh-CN" w:bidi="ar"/>
        </w:rPr>
        <w:t>10×10m</w:t>
      </w:r>
      <w:r>
        <w:rPr>
          <w:rFonts w:hint="default" w:ascii="Times New Roman" w:hAnsi="Times New Roman" w:eastAsia="宋体" w:cs="Times New Roman"/>
          <w:color w:val="auto"/>
          <w:kern w:val="0"/>
          <w:sz w:val="24"/>
          <w:szCs w:val="24"/>
          <w:vertAlign w:val="superscript"/>
          <w:lang w:val="en-US" w:eastAsia="zh-CN" w:bidi="ar"/>
        </w:rPr>
        <w:t>2</w:t>
      </w:r>
      <w:r>
        <w:rPr>
          <w:rFonts w:hint="eastAsia" w:ascii="宋体" w:hAnsi="宋体" w:eastAsia="宋体" w:cs="宋体"/>
          <w:color w:val="auto"/>
          <w:kern w:val="0"/>
          <w:sz w:val="24"/>
          <w:szCs w:val="24"/>
          <w:lang w:val="en-US" w:eastAsia="zh-CN" w:bidi="ar"/>
        </w:rPr>
        <w:t>。记录样地的所有植物种类，并按</w:t>
      </w:r>
      <w:r>
        <w:rPr>
          <w:rFonts w:hint="default" w:ascii="Times New Roman" w:hAnsi="Times New Roman" w:eastAsia="宋体" w:cs="Times New Roman"/>
          <w:color w:val="auto"/>
          <w:kern w:val="0"/>
          <w:sz w:val="24"/>
          <w:szCs w:val="24"/>
          <w:lang w:val="en-US" w:eastAsia="zh-CN" w:bidi="ar"/>
        </w:rPr>
        <w:t>Braun-Blanquet</w:t>
      </w:r>
      <w:r>
        <w:rPr>
          <w:rFonts w:hint="default" w:ascii="Times New Roman" w:hAnsi="Times New Roman" w:eastAsia="宋体" w:cs="Times New Roman"/>
          <w:color w:val="auto"/>
          <w:kern w:val="0"/>
          <w:sz w:val="8"/>
          <w:szCs w:val="8"/>
          <w:lang w:val="en-US" w:eastAsia="zh-CN" w:bidi="ar"/>
        </w:rPr>
        <w:t xml:space="preserve"> </w:t>
      </w:r>
      <w:r>
        <w:rPr>
          <w:rFonts w:hint="eastAsia" w:ascii="宋体" w:hAnsi="宋体" w:eastAsia="宋体" w:cs="宋体"/>
          <w:color w:val="auto"/>
          <w:kern w:val="0"/>
          <w:sz w:val="24"/>
          <w:szCs w:val="24"/>
          <w:lang w:val="en-US" w:eastAsia="zh-CN" w:bidi="ar"/>
        </w:rPr>
        <w:t>多优度</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群聚度记分，利用</w:t>
      </w:r>
      <w:r>
        <w:rPr>
          <w:rFonts w:hint="default" w:ascii="Times New Roman" w:hAnsi="Times New Roman" w:eastAsia="宋体" w:cs="Times New Roman"/>
          <w:color w:val="auto"/>
          <w:kern w:val="0"/>
          <w:sz w:val="24"/>
          <w:szCs w:val="24"/>
          <w:lang w:val="en-US" w:eastAsia="zh-CN" w:bidi="ar"/>
        </w:rPr>
        <w:t>GPS</w:t>
      </w:r>
      <w:r>
        <w:rPr>
          <w:rFonts w:hint="eastAsia" w:ascii="宋体" w:hAnsi="宋体" w:eastAsia="宋体" w:cs="宋体"/>
          <w:color w:val="auto"/>
          <w:kern w:val="0"/>
          <w:sz w:val="24"/>
          <w:szCs w:val="24"/>
          <w:lang w:val="en-US" w:eastAsia="zh-CN" w:bidi="ar"/>
        </w:rPr>
        <w:t>确定样地位置。</w:t>
      </w:r>
    </w:p>
    <w:p w14:paraId="1646D2C1">
      <w:pPr>
        <w:keepNext w:val="0"/>
        <w:keepLines w:val="0"/>
        <w:widowControl/>
        <w:suppressLineNumbers w:val="0"/>
        <w:jc w:val="left"/>
        <w:rPr>
          <w:rFonts w:hint="default" w:ascii="Times New Roman" w:hAnsi="Times New Roman" w:eastAsia="宋体" w:cs="Times New Roman"/>
          <w:color w:val="auto"/>
          <w:kern w:val="0"/>
          <w:sz w:val="24"/>
          <w:szCs w:val="24"/>
          <w:lang w:val="en-US" w:eastAsia="zh-CN" w:bidi="ar"/>
        </w:rPr>
      </w:pPr>
      <w:r>
        <w:rPr>
          <w:rFonts w:hint="default" w:ascii="Times New Roman" w:hAnsi="Times New Roman" w:cs="Times New Roman"/>
          <w:color w:val="auto"/>
          <w:kern w:val="0"/>
          <w:sz w:val="24"/>
          <w:szCs w:val="24"/>
          <w:lang w:val="en-US" w:eastAsia="zh-CN" w:bidi="ar"/>
        </w:rPr>
        <w:t>4）野外实地考察方法</w:t>
      </w:r>
    </w:p>
    <w:p w14:paraId="7A983747">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野外调查</w:t>
      </w:r>
      <w:r>
        <w:rPr>
          <w:rFonts w:hint="default" w:ascii="Times New Roman" w:hAnsi="Times New Roman" w:eastAsia="宋体" w:cs="Times New Roman"/>
          <w:color w:val="auto"/>
          <w:kern w:val="0"/>
          <w:sz w:val="24"/>
          <w:szCs w:val="24"/>
          <w:lang w:val="en-US" w:eastAsia="zh-CN" w:bidi="ar"/>
        </w:rPr>
        <w:t>GPS</w:t>
      </w:r>
      <w:r>
        <w:rPr>
          <w:rFonts w:hint="eastAsia" w:ascii="宋体" w:hAnsi="宋体" w:eastAsia="宋体" w:cs="宋体"/>
          <w:color w:val="auto"/>
          <w:kern w:val="0"/>
          <w:sz w:val="24"/>
          <w:szCs w:val="24"/>
          <w:lang w:val="en-US" w:eastAsia="zh-CN" w:bidi="ar"/>
        </w:rPr>
        <w:t>记录是卫星遥感影像判读植被类型和土地利用类型的基础，根据室内初步判读的植被与土地利用类型图，现场核实判读的精度，并对每个</w:t>
      </w:r>
      <w:r>
        <w:rPr>
          <w:rFonts w:hint="default" w:ascii="Times New Roman" w:hAnsi="Times New Roman" w:eastAsia="宋体" w:cs="Times New Roman"/>
          <w:color w:val="auto"/>
          <w:kern w:val="0"/>
          <w:sz w:val="24"/>
          <w:szCs w:val="24"/>
          <w:lang w:val="en-US" w:eastAsia="zh-CN" w:bidi="ar"/>
        </w:rPr>
        <w:t>GPS</w:t>
      </w:r>
      <w:r>
        <w:rPr>
          <w:rFonts w:hint="default" w:ascii="Times New Roman" w:hAnsi="Times New Roman" w:eastAsia="宋体" w:cs="Times New Roman"/>
          <w:color w:val="auto"/>
          <w:kern w:val="0"/>
          <w:sz w:val="8"/>
          <w:szCs w:val="8"/>
          <w:lang w:val="en-US" w:eastAsia="zh-CN" w:bidi="ar"/>
        </w:rPr>
        <w:t xml:space="preserve"> </w:t>
      </w:r>
      <w:r>
        <w:rPr>
          <w:rFonts w:hint="eastAsia" w:ascii="宋体" w:hAnsi="宋体" w:eastAsia="宋体" w:cs="宋体"/>
          <w:color w:val="auto"/>
          <w:kern w:val="0"/>
          <w:sz w:val="24"/>
          <w:szCs w:val="24"/>
          <w:lang w:val="en-US" w:eastAsia="zh-CN" w:bidi="ar"/>
        </w:rPr>
        <w:t>采样点作如下记录：海拔（注意相应植被类型的垂直变化）；记录样点植被类型（群系、群系组或植被亚型），特别是类型发生变化的地方要做准确详细的记录；记录样点优势植物和重要物种如珍稀濒危植物；拍摄典型植被特征（外貌与结构）；在视野广阔清晰之处，拍摄周围植被或景观的照片，并进行记录。</w:t>
      </w:r>
    </w:p>
    <w:p w14:paraId="6903132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 xml:space="preserve">）样地设置情况 </w:t>
      </w:r>
    </w:p>
    <w:p w14:paraId="4CA0572A">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根据评价区现场踏勘，本次评价陆生植被共设置</w:t>
      </w:r>
      <w:r>
        <w:rPr>
          <w:rFonts w:hint="eastAsia" w:ascii="Times New Roman" w:hAnsi="Times New Roman" w:eastAsia="宋体"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个调查样地。具体调查样地情况详见附表，项目评价区植物群落样方调查表。样地分布见下表：</w:t>
      </w:r>
    </w:p>
    <w:p w14:paraId="274196F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cs="Times New Roman"/>
          <w:b/>
          <w:bCs/>
          <w:color w:val="auto"/>
          <w:kern w:val="0"/>
          <w:sz w:val="21"/>
          <w:szCs w:val="21"/>
          <w:lang w:val="en-US" w:eastAsia="zh-CN" w:bidi="ar"/>
        </w:rPr>
        <w:t xml:space="preserve">表4.2-1  </w:t>
      </w:r>
      <w:r>
        <w:rPr>
          <w:rFonts w:hint="default" w:ascii="Times New Roman" w:hAnsi="Times New Roman" w:eastAsia="宋体" w:cs="Times New Roman"/>
          <w:b/>
          <w:bCs/>
          <w:color w:val="auto"/>
          <w:kern w:val="0"/>
          <w:sz w:val="21"/>
          <w:szCs w:val="21"/>
          <w:lang w:val="en-US" w:eastAsia="zh-CN" w:bidi="ar"/>
        </w:rPr>
        <w:t>项目评价区植物群落样方调查表</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223"/>
        <w:gridCol w:w="1529"/>
        <w:gridCol w:w="1442"/>
        <w:gridCol w:w="1791"/>
        <w:gridCol w:w="2673"/>
      </w:tblGrid>
      <w:tr w14:paraId="500D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96D6498">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序号</w:t>
            </w:r>
          </w:p>
        </w:tc>
        <w:tc>
          <w:tcPr>
            <w:tcW w:w="1223" w:type="dxa"/>
            <w:vAlign w:val="center"/>
          </w:tcPr>
          <w:p w14:paraId="26CC7F31">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样地号</w:t>
            </w:r>
          </w:p>
        </w:tc>
        <w:tc>
          <w:tcPr>
            <w:tcW w:w="1529" w:type="dxa"/>
            <w:vAlign w:val="center"/>
          </w:tcPr>
          <w:p w14:paraId="3605E830">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经度</w:t>
            </w:r>
          </w:p>
        </w:tc>
        <w:tc>
          <w:tcPr>
            <w:tcW w:w="1442" w:type="dxa"/>
            <w:vAlign w:val="center"/>
          </w:tcPr>
          <w:p w14:paraId="0BB8D1F1">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纬度</w:t>
            </w:r>
          </w:p>
        </w:tc>
        <w:tc>
          <w:tcPr>
            <w:tcW w:w="1791" w:type="dxa"/>
            <w:vAlign w:val="center"/>
          </w:tcPr>
          <w:p w14:paraId="226541B4">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调查时间</w:t>
            </w:r>
          </w:p>
        </w:tc>
        <w:tc>
          <w:tcPr>
            <w:tcW w:w="2673" w:type="dxa"/>
            <w:vAlign w:val="center"/>
          </w:tcPr>
          <w:p w14:paraId="70A79D54">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照片</w:t>
            </w:r>
          </w:p>
        </w:tc>
      </w:tr>
      <w:tr w14:paraId="44F8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CEC1E72">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1</w:t>
            </w:r>
          </w:p>
        </w:tc>
        <w:tc>
          <w:tcPr>
            <w:tcW w:w="1223" w:type="dxa"/>
            <w:vAlign w:val="center"/>
          </w:tcPr>
          <w:p w14:paraId="227FEF39">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YD1</w:t>
            </w:r>
          </w:p>
        </w:tc>
        <w:tc>
          <w:tcPr>
            <w:tcW w:w="1529" w:type="dxa"/>
            <w:vAlign w:val="center"/>
          </w:tcPr>
          <w:p w14:paraId="5328569D">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101.9952</w:t>
            </w:r>
          </w:p>
        </w:tc>
        <w:tc>
          <w:tcPr>
            <w:tcW w:w="1442" w:type="dxa"/>
            <w:vAlign w:val="center"/>
          </w:tcPr>
          <w:p w14:paraId="35A64456">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23.6934</w:t>
            </w:r>
          </w:p>
        </w:tc>
        <w:tc>
          <w:tcPr>
            <w:tcW w:w="1791" w:type="dxa"/>
            <w:vAlign w:val="center"/>
          </w:tcPr>
          <w:p w14:paraId="7D476DBF">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2025.2</w:t>
            </w:r>
          </w:p>
        </w:tc>
        <w:tc>
          <w:tcPr>
            <w:tcW w:w="2673" w:type="dxa"/>
            <w:vAlign w:val="center"/>
          </w:tcPr>
          <w:p w14:paraId="4EBB153E">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605915" cy="1204595"/>
                  <wp:effectExtent l="0" t="0" r="13335" b="14605"/>
                  <wp:docPr id="3" name="图片 3" descr="0d5cbf2018768d24b5028cf2c8fa0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d5cbf2018768d24b5028cf2c8fa0062"/>
                          <pic:cNvPicPr>
                            <a:picLocks noChangeAspect="1"/>
                          </pic:cNvPicPr>
                        </pic:nvPicPr>
                        <pic:blipFill>
                          <a:blip r:embed="rId59"/>
                          <a:stretch>
                            <a:fillRect/>
                          </a:stretch>
                        </pic:blipFill>
                        <pic:spPr>
                          <a:xfrm>
                            <a:off x="0" y="0"/>
                            <a:ext cx="1605915" cy="1204595"/>
                          </a:xfrm>
                          <a:prstGeom prst="rect">
                            <a:avLst/>
                          </a:prstGeom>
                        </pic:spPr>
                      </pic:pic>
                    </a:graphicData>
                  </a:graphic>
                </wp:inline>
              </w:drawing>
            </w:r>
          </w:p>
        </w:tc>
      </w:tr>
      <w:tr w14:paraId="47B9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BFF1C3">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w:t>
            </w:r>
          </w:p>
        </w:tc>
        <w:tc>
          <w:tcPr>
            <w:tcW w:w="1223" w:type="dxa"/>
            <w:vAlign w:val="center"/>
          </w:tcPr>
          <w:p w14:paraId="4E74053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YD2</w:t>
            </w:r>
          </w:p>
        </w:tc>
        <w:tc>
          <w:tcPr>
            <w:tcW w:w="1529" w:type="dxa"/>
            <w:vAlign w:val="center"/>
          </w:tcPr>
          <w:p w14:paraId="550E8940">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101.9946</w:t>
            </w:r>
          </w:p>
        </w:tc>
        <w:tc>
          <w:tcPr>
            <w:tcW w:w="1442" w:type="dxa"/>
            <w:vAlign w:val="center"/>
          </w:tcPr>
          <w:p w14:paraId="36BF31DB">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23.6994</w:t>
            </w:r>
          </w:p>
        </w:tc>
        <w:tc>
          <w:tcPr>
            <w:tcW w:w="1791" w:type="dxa"/>
            <w:vAlign w:val="center"/>
          </w:tcPr>
          <w:p w14:paraId="779EB1CC">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2025.4</w:t>
            </w:r>
          </w:p>
        </w:tc>
        <w:tc>
          <w:tcPr>
            <w:tcW w:w="2673" w:type="dxa"/>
            <w:vAlign w:val="center"/>
          </w:tcPr>
          <w:p w14:paraId="51965497">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default" w:ascii="Times New Roman" w:hAnsi="Times New Roman" w:eastAsia="宋体" w:cs="Times New Roman"/>
                <w:color w:val="auto"/>
                <w:sz w:val="21"/>
                <w:szCs w:val="21"/>
              </w:rPr>
              <w:drawing>
                <wp:inline distT="0" distB="0" distL="114300" distR="114300">
                  <wp:extent cx="1577975" cy="1177290"/>
                  <wp:effectExtent l="0" t="0" r="3175" b="3810"/>
                  <wp:docPr id="11"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0"/>
                          <pic:cNvPicPr>
                            <a:picLocks noChangeAspect="1"/>
                          </pic:cNvPicPr>
                        </pic:nvPicPr>
                        <pic:blipFill>
                          <a:blip r:embed="rId54"/>
                          <a:stretch>
                            <a:fillRect/>
                          </a:stretch>
                        </pic:blipFill>
                        <pic:spPr>
                          <a:xfrm>
                            <a:off x="0" y="0"/>
                            <a:ext cx="1577975" cy="1177290"/>
                          </a:xfrm>
                          <a:prstGeom prst="rect">
                            <a:avLst/>
                          </a:prstGeom>
                          <a:noFill/>
                          <a:ln>
                            <a:noFill/>
                          </a:ln>
                        </pic:spPr>
                      </pic:pic>
                    </a:graphicData>
                  </a:graphic>
                </wp:inline>
              </w:drawing>
            </w:r>
          </w:p>
        </w:tc>
      </w:tr>
      <w:tr w14:paraId="6147F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BF31A8C">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3</w:t>
            </w:r>
          </w:p>
        </w:tc>
        <w:tc>
          <w:tcPr>
            <w:tcW w:w="1223" w:type="dxa"/>
            <w:vAlign w:val="center"/>
          </w:tcPr>
          <w:p w14:paraId="41735D6D">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YD3</w:t>
            </w:r>
          </w:p>
        </w:tc>
        <w:tc>
          <w:tcPr>
            <w:tcW w:w="1529" w:type="dxa"/>
            <w:vAlign w:val="center"/>
          </w:tcPr>
          <w:p w14:paraId="356EA376">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101.9951</w:t>
            </w:r>
          </w:p>
        </w:tc>
        <w:tc>
          <w:tcPr>
            <w:tcW w:w="1442" w:type="dxa"/>
            <w:vAlign w:val="center"/>
          </w:tcPr>
          <w:p w14:paraId="59C88305">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23.6962</w:t>
            </w:r>
          </w:p>
        </w:tc>
        <w:tc>
          <w:tcPr>
            <w:tcW w:w="1791" w:type="dxa"/>
            <w:vAlign w:val="center"/>
          </w:tcPr>
          <w:p w14:paraId="0477BB61">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2025.2</w:t>
            </w:r>
          </w:p>
        </w:tc>
        <w:tc>
          <w:tcPr>
            <w:tcW w:w="2673" w:type="dxa"/>
            <w:vAlign w:val="center"/>
          </w:tcPr>
          <w:p w14:paraId="7084134A">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536065" cy="1151890"/>
                  <wp:effectExtent l="0" t="0" r="6985" b="10160"/>
                  <wp:docPr id="6" name="图片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
                          <pic:cNvPicPr>
                            <a:picLocks noChangeAspect="1"/>
                          </pic:cNvPicPr>
                        </pic:nvPicPr>
                        <pic:blipFill>
                          <a:blip r:embed="rId60"/>
                          <a:stretch>
                            <a:fillRect/>
                          </a:stretch>
                        </pic:blipFill>
                        <pic:spPr>
                          <a:xfrm>
                            <a:off x="0" y="0"/>
                            <a:ext cx="1536065" cy="1151890"/>
                          </a:xfrm>
                          <a:prstGeom prst="rect">
                            <a:avLst/>
                          </a:prstGeom>
                        </pic:spPr>
                      </pic:pic>
                    </a:graphicData>
                  </a:graphic>
                </wp:inline>
              </w:drawing>
            </w:r>
          </w:p>
        </w:tc>
      </w:tr>
      <w:tr w14:paraId="46D33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D74643">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4</w:t>
            </w:r>
          </w:p>
        </w:tc>
        <w:tc>
          <w:tcPr>
            <w:tcW w:w="1223" w:type="dxa"/>
            <w:vAlign w:val="center"/>
          </w:tcPr>
          <w:p w14:paraId="3FCEA8AC">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YD4</w:t>
            </w:r>
          </w:p>
        </w:tc>
        <w:tc>
          <w:tcPr>
            <w:tcW w:w="1529" w:type="dxa"/>
            <w:vAlign w:val="center"/>
          </w:tcPr>
          <w:p w14:paraId="35594840">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101.9973</w:t>
            </w:r>
          </w:p>
        </w:tc>
        <w:tc>
          <w:tcPr>
            <w:tcW w:w="1442" w:type="dxa"/>
            <w:vAlign w:val="center"/>
          </w:tcPr>
          <w:p w14:paraId="664FE466">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23.6971</w:t>
            </w:r>
          </w:p>
        </w:tc>
        <w:tc>
          <w:tcPr>
            <w:tcW w:w="1791" w:type="dxa"/>
            <w:vAlign w:val="center"/>
          </w:tcPr>
          <w:p w14:paraId="172F9F97">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2025.2</w:t>
            </w:r>
          </w:p>
        </w:tc>
        <w:tc>
          <w:tcPr>
            <w:tcW w:w="2673" w:type="dxa"/>
            <w:vAlign w:val="center"/>
          </w:tcPr>
          <w:p w14:paraId="3E9E7E9E">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560195" cy="1169670"/>
                  <wp:effectExtent l="0" t="0" r="1905" b="11430"/>
                  <wp:docPr id="7" name="图片 7" descr="3e177c80535c1e5686f74f336f77eb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e177c80535c1e5686f74f336f77eb20"/>
                          <pic:cNvPicPr>
                            <a:picLocks noChangeAspect="1"/>
                          </pic:cNvPicPr>
                        </pic:nvPicPr>
                        <pic:blipFill>
                          <a:blip r:embed="rId61"/>
                          <a:stretch>
                            <a:fillRect/>
                          </a:stretch>
                        </pic:blipFill>
                        <pic:spPr>
                          <a:xfrm>
                            <a:off x="0" y="0"/>
                            <a:ext cx="1560195" cy="1169670"/>
                          </a:xfrm>
                          <a:prstGeom prst="rect">
                            <a:avLst/>
                          </a:prstGeom>
                        </pic:spPr>
                      </pic:pic>
                    </a:graphicData>
                  </a:graphic>
                </wp:inline>
              </w:drawing>
            </w:r>
          </w:p>
        </w:tc>
      </w:tr>
      <w:tr w14:paraId="7E25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C8B484">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5</w:t>
            </w:r>
          </w:p>
        </w:tc>
        <w:tc>
          <w:tcPr>
            <w:tcW w:w="1223" w:type="dxa"/>
            <w:vAlign w:val="center"/>
          </w:tcPr>
          <w:p w14:paraId="1AC07DD2">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YD5</w:t>
            </w:r>
          </w:p>
        </w:tc>
        <w:tc>
          <w:tcPr>
            <w:tcW w:w="1529" w:type="dxa"/>
            <w:vAlign w:val="center"/>
          </w:tcPr>
          <w:p w14:paraId="1DC14F7D">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101.9971</w:t>
            </w:r>
          </w:p>
        </w:tc>
        <w:tc>
          <w:tcPr>
            <w:tcW w:w="1442" w:type="dxa"/>
            <w:vAlign w:val="center"/>
          </w:tcPr>
          <w:p w14:paraId="5094F94F">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23.7014</w:t>
            </w:r>
          </w:p>
        </w:tc>
        <w:tc>
          <w:tcPr>
            <w:tcW w:w="1791" w:type="dxa"/>
            <w:vAlign w:val="center"/>
          </w:tcPr>
          <w:p w14:paraId="741B9CC3">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2025.2</w:t>
            </w:r>
          </w:p>
        </w:tc>
        <w:tc>
          <w:tcPr>
            <w:tcW w:w="2673" w:type="dxa"/>
            <w:vAlign w:val="center"/>
          </w:tcPr>
          <w:p w14:paraId="0A0350DB">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536065" cy="1151890"/>
                  <wp:effectExtent l="0" t="0" r="6985" b="10160"/>
                  <wp:docPr id="8" name="图片 8"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0"/>
                          <pic:cNvPicPr>
                            <a:picLocks noChangeAspect="1"/>
                          </pic:cNvPicPr>
                        </pic:nvPicPr>
                        <pic:blipFill>
                          <a:blip r:embed="rId62"/>
                          <a:stretch>
                            <a:fillRect/>
                          </a:stretch>
                        </pic:blipFill>
                        <pic:spPr>
                          <a:xfrm>
                            <a:off x="0" y="0"/>
                            <a:ext cx="1536065" cy="1151890"/>
                          </a:xfrm>
                          <a:prstGeom prst="rect">
                            <a:avLst/>
                          </a:prstGeom>
                        </pic:spPr>
                      </pic:pic>
                    </a:graphicData>
                  </a:graphic>
                </wp:inline>
              </w:drawing>
            </w:r>
          </w:p>
        </w:tc>
      </w:tr>
      <w:tr w14:paraId="03E3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9471E6">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6</w:t>
            </w:r>
          </w:p>
        </w:tc>
        <w:tc>
          <w:tcPr>
            <w:tcW w:w="1223" w:type="dxa"/>
            <w:vAlign w:val="center"/>
          </w:tcPr>
          <w:p w14:paraId="019B1EEE">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YD6</w:t>
            </w:r>
          </w:p>
        </w:tc>
        <w:tc>
          <w:tcPr>
            <w:tcW w:w="1529" w:type="dxa"/>
            <w:vAlign w:val="center"/>
          </w:tcPr>
          <w:p w14:paraId="6CC325FA">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101.9939</w:t>
            </w:r>
          </w:p>
        </w:tc>
        <w:tc>
          <w:tcPr>
            <w:tcW w:w="1442" w:type="dxa"/>
            <w:vAlign w:val="center"/>
          </w:tcPr>
          <w:p w14:paraId="48E23A30">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23.6936</w:t>
            </w:r>
          </w:p>
        </w:tc>
        <w:tc>
          <w:tcPr>
            <w:tcW w:w="1791" w:type="dxa"/>
            <w:vAlign w:val="center"/>
          </w:tcPr>
          <w:p w14:paraId="24FA73B2">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2025.4</w:t>
            </w:r>
          </w:p>
        </w:tc>
        <w:tc>
          <w:tcPr>
            <w:tcW w:w="2673" w:type="dxa"/>
            <w:vAlign w:val="center"/>
          </w:tcPr>
          <w:p w14:paraId="5BFA7CCB">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560195" cy="1169670"/>
                  <wp:effectExtent l="0" t="0" r="1905" b="11430"/>
                  <wp:docPr id="9" name="图片 9" descr="9888d94a38df3163c89721caff98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9888d94a38df3163c89721caff986581"/>
                          <pic:cNvPicPr>
                            <a:picLocks noChangeAspect="1"/>
                          </pic:cNvPicPr>
                        </pic:nvPicPr>
                        <pic:blipFill>
                          <a:blip r:embed="rId63"/>
                          <a:stretch>
                            <a:fillRect/>
                          </a:stretch>
                        </pic:blipFill>
                        <pic:spPr>
                          <a:xfrm>
                            <a:off x="0" y="0"/>
                            <a:ext cx="1560195" cy="1169670"/>
                          </a:xfrm>
                          <a:prstGeom prst="rect">
                            <a:avLst/>
                          </a:prstGeom>
                        </pic:spPr>
                      </pic:pic>
                    </a:graphicData>
                  </a:graphic>
                </wp:inline>
              </w:drawing>
            </w:r>
          </w:p>
        </w:tc>
      </w:tr>
      <w:tr w14:paraId="00A6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81C55A">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7</w:t>
            </w:r>
          </w:p>
        </w:tc>
        <w:tc>
          <w:tcPr>
            <w:tcW w:w="1223" w:type="dxa"/>
            <w:vAlign w:val="center"/>
          </w:tcPr>
          <w:p w14:paraId="4602771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240" w:firstLineChars="100"/>
              <w:jc w:val="both"/>
              <w:textAlignment w:val="auto"/>
              <w:rPr>
                <w:rFonts w:hint="default" w:ascii="Times New Roman" w:hAnsi="Times New Roman" w:eastAsia="宋体" w:cs="Times New Roman"/>
                <w:color w:val="auto"/>
                <w:vertAlign w:val="baseline"/>
              </w:rPr>
            </w:pPr>
            <w:r>
              <w:rPr>
                <w:rFonts w:hint="eastAsia" w:cs="Times New Roman"/>
                <w:color w:val="auto"/>
                <w:vertAlign w:val="baseline"/>
                <w:lang w:val="en-US" w:eastAsia="zh-CN"/>
              </w:rPr>
              <w:t>YD7</w:t>
            </w:r>
          </w:p>
        </w:tc>
        <w:tc>
          <w:tcPr>
            <w:tcW w:w="1529" w:type="dxa"/>
            <w:vAlign w:val="center"/>
          </w:tcPr>
          <w:p w14:paraId="4F32F630">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101.9975</w:t>
            </w:r>
          </w:p>
        </w:tc>
        <w:tc>
          <w:tcPr>
            <w:tcW w:w="1442" w:type="dxa"/>
            <w:vAlign w:val="center"/>
          </w:tcPr>
          <w:p w14:paraId="1F5D680C">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rPr>
            </w:pPr>
            <w:r>
              <w:rPr>
                <w:rFonts w:hint="default" w:ascii="Times New Roman" w:hAnsi="Times New Roman" w:eastAsia="宋体" w:cs="Times New Roman"/>
                <w:color w:val="auto"/>
                <w:vertAlign w:val="baseline"/>
              </w:rPr>
              <w:t>23.7032</w:t>
            </w:r>
          </w:p>
        </w:tc>
        <w:tc>
          <w:tcPr>
            <w:tcW w:w="1791" w:type="dxa"/>
            <w:vAlign w:val="center"/>
          </w:tcPr>
          <w:p w14:paraId="7F5ADCBA">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vertAlign w:val="baseline"/>
                <w:lang w:val="en-US" w:eastAsia="zh-CN"/>
              </w:rPr>
            </w:pPr>
            <w:r>
              <w:rPr>
                <w:rFonts w:hint="eastAsia" w:cs="Times New Roman"/>
                <w:color w:val="auto"/>
                <w:vertAlign w:val="baseline"/>
                <w:lang w:val="en-US" w:eastAsia="zh-CN"/>
              </w:rPr>
              <w:t>2025.4</w:t>
            </w:r>
          </w:p>
        </w:tc>
        <w:tc>
          <w:tcPr>
            <w:tcW w:w="2673" w:type="dxa"/>
            <w:vAlign w:val="center"/>
          </w:tcPr>
          <w:p w14:paraId="7F387C58">
            <w:pPr>
              <w:keepNext w:val="0"/>
              <w:keepLines w:val="0"/>
              <w:pageBreakBefore w:val="0"/>
              <w:widowControl w:val="0"/>
              <w:tabs>
                <w:tab w:val="left" w:pos="1985"/>
              </w:tabs>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vertAlign w:val="baseline"/>
                <w:lang w:eastAsia="zh-CN"/>
              </w:rPr>
            </w:pPr>
            <w:r>
              <w:rPr>
                <w:rFonts w:hint="eastAsia" w:ascii="Times New Roman" w:hAnsi="Times New Roman" w:eastAsia="宋体" w:cs="Times New Roman"/>
                <w:color w:val="auto"/>
                <w:vertAlign w:val="baseline"/>
                <w:lang w:eastAsia="zh-CN"/>
              </w:rPr>
              <w:drawing>
                <wp:inline distT="0" distB="0" distL="114300" distR="114300">
                  <wp:extent cx="1560195" cy="1169670"/>
                  <wp:effectExtent l="0" t="0" r="1905" b="11430"/>
                  <wp:docPr id="10" name="图片 10" descr="a64eec37b4d3b58d8fd6f9f05d072b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64eec37b4d3b58d8fd6f9f05d072bac"/>
                          <pic:cNvPicPr>
                            <a:picLocks noChangeAspect="1"/>
                          </pic:cNvPicPr>
                        </pic:nvPicPr>
                        <pic:blipFill>
                          <a:blip r:embed="rId64"/>
                          <a:stretch>
                            <a:fillRect/>
                          </a:stretch>
                        </pic:blipFill>
                        <pic:spPr>
                          <a:xfrm>
                            <a:off x="0" y="0"/>
                            <a:ext cx="1560195" cy="1169670"/>
                          </a:xfrm>
                          <a:prstGeom prst="rect">
                            <a:avLst/>
                          </a:prstGeom>
                        </pic:spPr>
                      </pic:pic>
                    </a:graphicData>
                  </a:graphic>
                </wp:inline>
              </w:drawing>
            </w:r>
          </w:p>
        </w:tc>
      </w:tr>
    </w:tbl>
    <w:p w14:paraId="1CA16CF3">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4.2.1.1.2评价区植被类型及特征</w:t>
      </w:r>
    </w:p>
    <w:p w14:paraId="62086965">
      <w:pPr>
        <w:keepNext w:val="0"/>
        <w:keepLines w:val="0"/>
        <w:pageBreakBefore w:val="0"/>
        <w:widowControl w:val="0"/>
        <w:tabs>
          <w:tab w:val="left" w:pos="1985"/>
        </w:tabs>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（1）植被分类原则和依据</w:t>
      </w:r>
    </w:p>
    <w:p w14:paraId="6F3B5E55">
      <w:pPr>
        <w:keepNext w:val="0"/>
        <w:keepLines w:val="0"/>
        <w:pageBreakBefore w:val="0"/>
        <w:widowControl/>
        <w:suppressLineNumbers w:val="0"/>
        <w:kinsoku/>
        <w:wordWrap/>
        <w:overflowPunct/>
        <w:topLinePunct w:val="0"/>
        <w:autoSpaceDE/>
        <w:autoSpaceDN/>
        <w:bidi w:val="0"/>
        <w:adjustRightInd w:val="0"/>
        <w:snapToGrid w:val="0"/>
        <w:jc w:val="left"/>
        <w:textAlignment w:val="auto"/>
        <w:rPr>
          <w:rFonts w:hint="default" w:ascii="Times New Roman" w:hAnsi="Times New Roman" w:eastAsia="宋体" w:cs="Times New Roman"/>
          <w:color w:val="auto"/>
          <w:lang w:eastAsia="zh-CN"/>
        </w:rPr>
      </w:pPr>
      <w:r>
        <w:rPr>
          <w:rFonts w:hint="eastAsia" w:ascii="宋体" w:hAnsi="宋体" w:eastAsia="宋体" w:cs="宋体"/>
          <w:color w:val="auto"/>
          <w:kern w:val="0"/>
          <w:sz w:val="24"/>
          <w:szCs w:val="24"/>
          <w:lang w:val="en-US" w:eastAsia="zh-CN" w:bidi="ar"/>
        </w:rPr>
        <w:t>依据《云南植被》区划，该区域</w:t>
      </w:r>
      <w:r>
        <w:rPr>
          <w:rFonts w:hint="default" w:ascii="Times New Roman" w:hAnsi="Times New Roman" w:eastAsia="宋体" w:cs="Times New Roman"/>
          <w:color w:val="auto"/>
          <w:sz w:val="24"/>
          <w:szCs w:val="24"/>
          <w:highlight w:val="none"/>
        </w:rPr>
        <w:t>属于II亚热带常绿阔叶林区域、IIA西部</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半湿润</w:t>
      </w:r>
      <w:r>
        <w:rPr>
          <w:rFonts w:hint="eastAsia"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常绿阔叶林亚区域、IIAi高原亚热带南部季风常绿阔叶林地带、IIAi-2滇东南岩溶山原峡谷季风常绿阔叶林区，II Ai-2a蒙自、元江岩溶高原峡谷云南松、红木荷林、木棉虾子花草丛亚区</w:t>
      </w:r>
      <w:r>
        <w:rPr>
          <w:rFonts w:hint="default" w:ascii="Times New Roman" w:hAnsi="Times New Roman" w:eastAsia="宋体" w:cs="Times New Roman"/>
          <w:color w:val="auto"/>
          <w:lang w:val="en-US" w:eastAsia="zh-CN"/>
        </w:rPr>
        <w:t>。</w:t>
      </w:r>
    </w:p>
    <w:p w14:paraId="7FECFA7B">
      <w:pPr>
        <w:bidi w:val="0"/>
        <w:ind w:left="0" w:leftChars="0" w:firstLine="0" w:firstLineChars="0"/>
        <w:rPr>
          <w:rFonts w:hint="eastAsia"/>
          <w:b/>
          <w:bCs/>
          <w:color w:val="auto"/>
          <w:lang w:val="en-US" w:eastAsia="zh-CN"/>
        </w:rPr>
      </w:pPr>
      <w:bookmarkStart w:id="80" w:name="_Toc12288"/>
      <w:bookmarkStart w:id="81" w:name="_Toc24715"/>
      <w:r>
        <w:rPr>
          <w:rFonts w:hint="eastAsia"/>
          <w:b/>
          <w:bCs/>
          <w:color w:val="auto"/>
          <w:lang w:val="en-US" w:eastAsia="zh-CN"/>
        </w:rPr>
        <w:t>（2）植被分类系统</w:t>
      </w:r>
      <w:bookmarkEnd w:id="80"/>
      <w:bookmarkEnd w:id="81"/>
    </w:p>
    <w:p w14:paraId="6BC08FD8">
      <w:pPr>
        <w:bidi w:val="0"/>
        <w:rPr>
          <w:rFonts w:hint="eastAsia"/>
          <w:color w:val="auto"/>
          <w:highlight w:val="none"/>
          <w:lang w:eastAsia="zh-CN"/>
        </w:rPr>
      </w:pPr>
      <w:r>
        <w:rPr>
          <w:rFonts w:hint="eastAsia"/>
          <w:color w:val="auto"/>
          <w:highlight w:val="none"/>
        </w:rPr>
        <w:t>本次评价区海拔介于</w:t>
      </w:r>
      <w:r>
        <w:rPr>
          <w:rFonts w:hint="eastAsia"/>
          <w:color w:val="auto"/>
          <w:highlight w:val="none"/>
          <w:lang w:val="en-US" w:eastAsia="zh-CN"/>
        </w:rPr>
        <w:t>70</w:t>
      </w:r>
      <w:r>
        <w:rPr>
          <w:rFonts w:hint="eastAsia"/>
          <w:color w:val="auto"/>
          <w:highlight w:val="none"/>
        </w:rPr>
        <w:t>0~</w:t>
      </w:r>
      <w:r>
        <w:rPr>
          <w:rFonts w:hint="eastAsia"/>
          <w:color w:val="auto"/>
          <w:highlight w:val="none"/>
          <w:lang w:val="en-US" w:eastAsia="zh-CN"/>
        </w:rPr>
        <w:t>1250</w:t>
      </w:r>
      <w:r>
        <w:rPr>
          <w:rFonts w:hint="eastAsia"/>
          <w:color w:val="auto"/>
          <w:highlight w:val="none"/>
        </w:rPr>
        <w:t>m的区域根据调查现有的植被现状，依据《云南植被》中采用的分类系统，并参考《中国植被》、《云南森林》等植被专著，遵循群落学-生态学的分类原则，影响评价区出现的植被可划分为3个植被型、3个植被亚型、</w:t>
      </w:r>
      <w:r>
        <w:rPr>
          <w:rFonts w:hint="eastAsia"/>
          <w:color w:val="auto"/>
          <w:highlight w:val="none"/>
          <w:lang w:val="en-US" w:eastAsia="zh-CN"/>
        </w:rPr>
        <w:t>3</w:t>
      </w:r>
      <w:r>
        <w:rPr>
          <w:rFonts w:hint="eastAsia"/>
          <w:color w:val="auto"/>
          <w:highlight w:val="none"/>
        </w:rPr>
        <w:t>个群系和</w:t>
      </w:r>
      <w:r>
        <w:rPr>
          <w:rFonts w:hint="eastAsia"/>
          <w:color w:val="auto"/>
          <w:highlight w:val="none"/>
          <w:lang w:val="en-US" w:eastAsia="zh-CN"/>
        </w:rPr>
        <w:t>3</w:t>
      </w:r>
      <w:r>
        <w:rPr>
          <w:rFonts w:hint="eastAsia"/>
          <w:color w:val="auto"/>
          <w:highlight w:val="none"/>
        </w:rPr>
        <w:t>个群丛</w:t>
      </w:r>
      <w:r>
        <w:rPr>
          <w:rFonts w:hint="eastAsia"/>
          <w:color w:val="auto"/>
          <w:highlight w:val="none"/>
          <w:lang w:eastAsia="zh-CN"/>
        </w:rPr>
        <w:t>，</w:t>
      </w:r>
      <w:r>
        <w:rPr>
          <w:rFonts w:hint="eastAsia"/>
          <w:color w:val="auto"/>
          <w:highlight w:val="none"/>
          <w:lang w:eastAsia="zh-CN"/>
        </w:rPr>
        <w:t>详见下表。</w:t>
      </w:r>
    </w:p>
    <w:p w14:paraId="359C7CA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表4.</w:t>
      </w:r>
      <w:r>
        <w:rPr>
          <w:rFonts w:hint="eastAsia" w:cs="Times New Roman"/>
          <w:b/>
          <w:bCs w:val="0"/>
          <w:color w:val="auto"/>
          <w:sz w:val="21"/>
          <w:szCs w:val="21"/>
          <w:highlight w:val="none"/>
          <w:lang w:val="en-US" w:eastAsia="zh-CN"/>
        </w:rPr>
        <w:t>2</w:t>
      </w:r>
      <w:r>
        <w:rPr>
          <w:rFonts w:hint="eastAsia" w:ascii="Times New Roman" w:hAnsi="Times New Roman" w:eastAsia="宋体" w:cs="Times New Roman"/>
          <w:b/>
          <w:bCs w:val="0"/>
          <w:color w:val="auto"/>
          <w:sz w:val="21"/>
          <w:szCs w:val="21"/>
          <w:highlight w:val="none"/>
          <w:lang w:val="en-US" w:eastAsia="zh-CN"/>
        </w:rPr>
        <w:t>-2   评价区植被分类系统表</w:t>
      </w:r>
    </w:p>
    <w:tbl>
      <w:tblPr>
        <w:tblStyle w:val="58"/>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5064C70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76D17B8A">
            <w:pPr>
              <w:keepNext w:val="0"/>
              <w:keepLines w:val="0"/>
              <w:pageBreakBefore w:val="0"/>
              <w:widowControl w:val="0"/>
              <w:kinsoku/>
              <w:wordWrap/>
              <w:overflowPunct/>
              <w:topLinePunct w:val="0"/>
              <w:bidi w:val="0"/>
              <w:snapToGrid/>
              <w:spacing w:line="240" w:lineRule="auto"/>
              <w:ind w:left="0" w:leftChars="0" w:firstLine="0" w:firstLineChars="0"/>
              <w:jc w:val="both"/>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A. 自然植被</w:t>
            </w:r>
          </w:p>
        </w:tc>
      </w:tr>
      <w:tr w14:paraId="716E28B0">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E037F23">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 xml:space="preserve">Ⅰ </w:t>
            </w:r>
            <w:r>
              <w:rPr>
                <w:rFonts w:hint="eastAsia" w:cs="Times New Roman"/>
                <w:color w:val="auto"/>
                <w:sz w:val="21"/>
                <w:szCs w:val="21"/>
                <w:highlight w:val="none"/>
                <w:lang w:val="en-US" w:eastAsia="zh-CN"/>
              </w:rPr>
              <w:t>硬叶</w:t>
            </w:r>
            <w:r>
              <w:rPr>
                <w:rFonts w:hint="default" w:ascii="Times New Roman" w:hAnsi="Times New Roman" w:eastAsia="宋体" w:cs="Times New Roman"/>
                <w:color w:val="auto"/>
                <w:sz w:val="21"/>
                <w:szCs w:val="21"/>
                <w:highlight w:val="none"/>
                <w:lang w:val="en-US" w:eastAsia="zh-CN"/>
              </w:rPr>
              <w:t>常绿阔叶林</w:t>
            </w:r>
          </w:p>
        </w:tc>
      </w:tr>
      <w:tr w14:paraId="05996E3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43DBAAF5">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630" w:firstLineChars="3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（Ⅰ）干热河谷硬叶常绿阔叶林</w:t>
            </w:r>
          </w:p>
        </w:tc>
      </w:tr>
      <w:tr w14:paraId="3D466BC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418A903D">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050" w:firstLineChars="5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一</w:t>
            </w:r>
            <w:r>
              <w:rPr>
                <w:rFonts w:hint="default" w:ascii="Times New Roman" w:hAnsi="Times New Roman" w:eastAsia="宋体" w:cs="Times New Roman"/>
                <w:i w:val="0"/>
                <w:iCs w:val="0"/>
                <w:color w:val="auto"/>
                <w:sz w:val="21"/>
                <w:szCs w:val="21"/>
                <w:highlight w:val="none"/>
              </w:rPr>
              <w:t>、锥连栎林</w:t>
            </w:r>
          </w:p>
        </w:tc>
      </w:tr>
      <w:tr w14:paraId="024B183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7FA1213">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470" w:firstLineChars="7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i w:val="0"/>
                <w:iCs w:val="0"/>
                <w:color w:val="auto"/>
                <w:sz w:val="21"/>
                <w:szCs w:val="21"/>
                <w:highlight w:val="none"/>
              </w:rPr>
              <w:t>、</w:t>
            </w:r>
            <w:r>
              <w:rPr>
                <w:rFonts w:hint="eastAsia" w:ascii="Times New Roman" w:hAnsi="Times New Roman" w:eastAsia="宋体" w:cs="Times New Roman"/>
                <w:i w:val="0"/>
                <w:iCs w:val="0"/>
                <w:color w:val="auto"/>
                <w:sz w:val="21"/>
                <w:szCs w:val="21"/>
                <w:highlight w:val="none"/>
                <w:lang w:val="en-US" w:eastAsia="zh-CN"/>
              </w:rPr>
              <w:t>锥连栎-余甘子</w:t>
            </w:r>
            <w:r>
              <w:rPr>
                <w:rFonts w:hint="default" w:ascii="Times New Roman" w:hAnsi="Times New Roman" w:eastAsia="宋体" w:cs="Times New Roman"/>
                <w:color w:val="auto"/>
                <w:sz w:val="21"/>
                <w:szCs w:val="21"/>
                <w:highlight w:val="none"/>
              </w:rPr>
              <w:t>群丛</w:t>
            </w:r>
          </w:p>
        </w:tc>
      </w:tr>
      <w:tr w14:paraId="6D620EC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408077C">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Ⅱ</w:t>
            </w:r>
            <w:r>
              <w:rPr>
                <w:rFonts w:hint="eastAsia" w:ascii="Times New Roman" w:hAnsi="Times New Roman" w:eastAsia="宋体" w:cs="Times New Roman"/>
                <w:color w:val="auto"/>
                <w:sz w:val="21"/>
                <w:szCs w:val="21"/>
                <w:highlight w:val="none"/>
                <w:lang w:val="en-US" w:eastAsia="zh-CN"/>
              </w:rPr>
              <w:t>灌丛</w:t>
            </w:r>
          </w:p>
        </w:tc>
      </w:tr>
      <w:tr w14:paraId="015F230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EDDBC6E">
            <w:pPr>
              <w:keepNext w:val="0"/>
              <w:keepLines w:val="0"/>
              <w:pageBreakBefore w:val="0"/>
              <w:widowControl w:val="0"/>
              <w:kinsoku/>
              <w:wordWrap/>
              <w:overflowPunct/>
              <w:topLinePunct w:val="0"/>
              <w:autoSpaceDE w:val="0"/>
              <w:autoSpaceDN w:val="0"/>
              <w:bidi w:val="0"/>
              <w:adjustRightInd w:val="0"/>
              <w:snapToGrid/>
              <w:spacing w:line="240" w:lineRule="auto"/>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（Ⅱ）</w:t>
            </w:r>
            <w:r>
              <w:rPr>
                <w:rFonts w:hint="eastAsia" w:ascii="Times New Roman" w:hAnsi="Times New Roman" w:eastAsia="宋体" w:cs="Times New Roman"/>
                <w:color w:val="auto"/>
                <w:sz w:val="21"/>
                <w:szCs w:val="21"/>
                <w:highlight w:val="none"/>
                <w:lang w:val="en-US" w:eastAsia="zh-CN"/>
              </w:rPr>
              <w:t>干热河谷灌丛</w:t>
            </w:r>
          </w:p>
        </w:tc>
      </w:tr>
      <w:tr w14:paraId="230CD79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1C92B93D">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050" w:firstLineChars="5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二</w:t>
            </w:r>
            <w:r>
              <w:rPr>
                <w:rFonts w:hint="default" w:ascii="Times New Roman" w:hAnsi="Times New Roman" w:eastAsia="宋体" w:cs="Times New Roman"/>
                <w:i w:val="0"/>
                <w:iCs w:val="0"/>
                <w:color w:val="auto"/>
                <w:sz w:val="21"/>
                <w:szCs w:val="21"/>
                <w:highlight w:val="none"/>
                <w:lang w:val="en-US" w:eastAsia="zh-CN"/>
              </w:rPr>
              <w:t>、霸王鞭</w:t>
            </w:r>
            <w:r>
              <w:rPr>
                <w:rFonts w:hint="eastAsia" w:cs="Times New Roman"/>
                <w:i w:val="0"/>
                <w:iCs w:val="0"/>
                <w:color w:val="auto"/>
                <w:sz w:val="21"/>
                <w:szCs w:val="21"/>
                <w:highlight w:val="none"/>
                <w:lang w:val="en-US" w:eastAsia="zh-CN"/>
              </w:rPr>
              <w:t>、</w:t>
            </w:r>
            <w:r>
              <w:rPr>
                <w:rFonts w:hint="default" w:ascii="Times New Roman" w:hAnsi="Times New Roman" w:eastAsia="宋体" w:cs="Times New Roman"/>
                <w:i w:val="0"/>
                <w:iCs w:val="0"/>
                <w:color w:val="auto"/>
                <w:sz w:val="21"/>
                <w:szCs w:val="21"/>
                <w:highlight w:val="none"/>
                <w:lang w:val="en-US" w:eastAsia="zh-CN"/>
              </w:rPr>
              <w:t>疏序黄荆</w:t>
            </w:r>
            <w:r>
              <w:rPr>
                <w:rFonts w:hint="eastAsia" w:ascii="Times New Roman" w:hAnsi="Times New Roman" w:eastAsia="宋体" w:cs="Times New Roman"/>
                <w:color w:val="auto"/>
                <w:sz w:val="21"/>
                <w:szCs w:val="21"/>
                <w:highlight w:val="none"/>
                <w:lang w:val="en-US" w:eastAsia="zh-CN"/>
              </w:rPr>
              <w:t>灌丛</w:t>
            </w:r>
          </w:p>
        </w:tc>
      </w:tr>
      <w:tr w14:paraId="3A4C62C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1B311529">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470" w:firstLineChars="7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i w:val="0"/>
                <w:iCs w:val="0"/>
                <w:color w:val="auto"/>
                <w:sz w:val="21"/>
                <w:szCs w:val="21"/>
                <w:highlight w:val="none"/>
                <w:lang w:val="en-US" w:eastAsia="zh-CN"/>
              </w:rPr>
              <w:t>、霸王鞭</w:t>
            </w:r>
            <w:r>
              <w:rPr>
                <w:rFonts w:hint="eastAsia" w:cs="Times New Roman"/>
                <w:i w:val="0"/>
                <w:iCs w:val="0"/>
                <w:color w:val="auto"/>
                <w:sz w:val="21"/>
                <w:szCs w:val="21"/>
                <w:highlight w:val="none"/>
                <w:lang w:val="en-US" w:eastAsia="zh-CN"/>
              </w:rPr>
              <w:t>+</w:t>
            </w:r>
            <w:r>
              <w:rPr>
                <w:rFonts w:hint="default" w:ascii="Times New Roman" w:hAnsi="Times New Roman" w:eastAsia="宋体" w:cs="Times New Roman"/>
                <w:i w:val="0"/>
                <w:iCs w:val="0"/>
                <w:color w:val="auto"/>
                <w:sz w:val="21"/>
                <w:szCs w:val="21"/>
                <w:highlight w:val="none"/>
                <w:lang w:val="en-US" w:eastAsia="zh-CN"/>
              </w:rPr>
              <w:t>疏序黄荆+扭黄茅群落</w:t>
            </w:r>
          </w:p>
        </w:tc>
      </w:tr>
      <w:tr w14:paraId="63066885">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71A89557">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 xml:space="preserve">Ⅲ </w:t>
            </w:r>
            <w:r>
              <w:rPr>
                <w:rFonts w:hint="default" w:ascii="Times New Roman" w:hAnsi="Times New Roman" w:eastAsia="宋体" w:cs="Times New Roman"/>
                <w:color w:val="auto"/>
                <w:sz w:val="21"/>
                <w:szCs w:val="21"/>
                <w:highlight w:val="none"/>
                <w:lang w:val="en-US" w:eastAsia="zh-CN"/>
              </w:rPr>
              <w:t>稀树灌木草丛</w:t>
            </w:r>
          </w:p>
        </w:tc>
      </w:tr>
      <w:tr w14:paraId="4AD68ED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7629533A">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630" w:firstLineChars="3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（Ⅲ）干热性稀树灌木草丛</w:t>
            </w:r>
          </w:p>
        </w:tc>
      </w:tr>
      <w:tr w14:paraId="3DF868A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3F9587E">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050" w:firstLineChars="500"/>
              <w:jc w:val="both"/>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三</w:t>
            </w:r>
            <w:r>
              <w:rPr>
                <w:rFonts w:hint="default" w:ascii="Times New Roman" w:hAnsi="Times New Roman" w:eastAsia="宋体" w:cs="Times New Roman"/>
                <w:i w:val="0"/>
                <w:iCs w:val="0"/>
                <w:color w:val="auto"/>
                <w:sz w:val="21"/>
                <w:szCs w:val="21"/>
                <w:highlight w:val="none"/>
              </w:rPr>
              <w:t>、</w:t>
            </w:r>
            <w:r>
              <w:rPr>
                <w:rFonts w:hint="eastAsia" w:cs="Times New Roman"/>
                <w:color w:val="auto"/>
                <w:sz w:val="21"/>
                <w:szCs w:val="21"/>
                <w:highlight w:val="none"/>
                <w:lang w:val="en-US" w:eastAsia="zh-CN"/>
              </w:rPr>
              <w:t>扭黄茅</w:t>
            </w:r>
            <w:r>
              <w:rPr>
                <w:rFonts w:hint="default" w:ascii="Times New Roman" w:hAnsi="Times New Roman" w:eastAsia="宋体" w:cs="Times New Roman"/>
                <w:color w:val="auto"/>
                <w:sz w:val="21"/>
                <w:szCs w:val="21"/>
                <w:highlight w:val="none"/>
              </w:rPr>
              <w:t>群系</w:t>
            </w:r>
          </w:p>
        </w:tc>
      </w:tr>
      <w:tr w14:paraId="6ADBB27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1B235A27">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1470" w:firstLineChars="700"/>
              <w:jc w:val="both"/>
              <w:textAlignment w:val="auto"/>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3</w:t>
            </w:r>
            <w:r>
              <w:rPr>
                <w:rFonts w:hint="default" w:ascii="Times New Roman" w:hAnsi="Times New Roman" w:eastAsia="宋体" w:cs="Times New Roman"/>
                <w:i w:val="0"/>
                <w:iCs w:val="0"/>
                <w:color w:val="auto"/>
                <w:sz w:val="21"/>
                <w:szCs w:val="21"/>
                <w:highlight w:val="none"/>
              </w:rPr>
              <w:t>、</w:t>
            </w:r>
            <w:r>
              <w:rPr>
                <w:rFonts w:hint="default" w:ascii="Times New Roman" w:hAnsi="Times New Roman" w:eastAsia="宋体" w:cs="Times New Roman"/>
                <w:i w:val="0"/>
                <w:iCs w:val="0"/>
                <w:color w:val="auto"/>
                <w:sz w:val="21"/>
                <w:szCs w:val="21"/>
                <w:highlight w:val="none"/>
                <w:lang w:val="en-US" w:eastAsia="zh-CN"/>
              </w:rPr>
              <w:t>疏序黄荆+扭黄茅群落</w:t>
            </w:r>
          </w:p>
        </w:tc>
      </w:tr>
      <w:tr w14:paraId="2B7D2E92">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90D8426">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B</w:t>
            </w:r>
            <w:r>
              <w:rPr>
                <w:rFonts w:hint="default" w:ascii="Times New Roman" w:hAnsi="Times New Roman" w:eastAsia="宋体" w:cs="Times New Roman"/>
                <w:b/>
                <w:color w:val="auto"/>
                <w:sz w:val="21"/>
                <w:szCs w:val="21"/>
                <w:highlight w:val="none"/>
                <w:lang w:val="pt-BR"/>
              </w:rPr>
              <w:t>.</w:t>
            </w:r>
            <w:r>
              <w:rPr>
                <w:rFonts w:hint="default" w:ascii="Times New Roman" w:hAnsi="Times New Roman" w:eastAsia="宋体" w:cs="Times New Roman"/>
                <w:b/>
                <w:color w:val="auto"/>
                <w:sz w:val="21"/>
                <w:szCs w:val="21"/>
                <w:highlight w:val="none"/>
              </w:rPr>
              <w:t xml:space="preserve"> 人工植被</w:t>
            </w:r>
          </w:p>
        </w:tc>
      </w:tr>
      <w:tr w14:paraId="16D6282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E6067AD">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420" w:firstLineChars="200"/>
              <w:jc w:val="both"/>
              <w:textAlignment w:val="auto"/>
              <w:rPr>
                <w:rFonts w:hint="default" w:ascii="Times New Roman" w:hAnsi="Times New Roman" w:eastAsia="宋体" w:cs="Times New Roman"/>
                <w:b/>
                <w:color w:val="auto"/>
                <w:sz w:val="21"/>
                <w:szCs w:val="21"/>
                <w:highlight w:val="none"/>
                <w:lang w:val="en-US"/>
              </w:rPr>
            </w:pPr>
            <w:r>
              <w:rPr>
                <w:rFonts w:hint="default" w:ascii="Times New Roman" w:hAnsi="Times New Roman" w:eastAsia="宋体" w:cs="Times New Roman"/>
                <w:color w:val="auto"/>
                <w:sz w:val="21"/>
                <w:szCs w:val="21"/>
                <w:highlight w:val="none"/>
              </w:rPr>
              <w:t>Ⅰ</w:t>
            </w:r>
            <w:r>
              <w:rPr>
                <w:rFonts w:hint="default" w:ascii="Times New Roman" w:hAnsi="Times New Roman" w:eastAsia="宋体" w:cs="Times New Roman"/>
                <w:color w:val="auto"/>
                <w:sz w:val="21"/>
                <w:szCs w:val="21"/>
                <w:highlight w:val="none"/>
                <w:lang w:val="en-US" w:eastAsia="zh-CN"/>
              </w:rPr>
              <w:t xml:space="preserve"> 人工</w:t>
            </w:r>
            <w:r>
              <w:rPr>
                <w:rFonts w:hint="eastAsia" w:cs="Times New Roman"/>
                <w:color w:val="auto"/>
                <w:sz w:val="21"/>
                <w:szCs w:val="21"/>
                <w:highlight w:val="none"/>
                <w:lang w:val="en-US" w:eastAsia="zh-CN"/>
              </w:rPr>
              <w:t>用材</w:t>
            </w:r>
            <w:r>
              <w:rPr>
                <w:rFonts w:hint="default" w:ascii="Times New Roman" w:hAnsi="Times New Roman" w:eastAsia="宋体" w:cs="Times New Roman"/>
                <w:color w:val="auto"/>
                <w:sz w:val="21"/>
                <w:szCs w:val="21"/>
                <w:highlight w:val="none"/>
                <w:lang w:val="en-US" w:eastAsia="zh-CN"/>
              </w:rPr>
              <w:t>林</w:t>
            </w:r>
          </w:p>
        </w:tc>
      </w:tr>
      <w:tr w14:paraId="5AA9F7D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53425B62">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Ⅱ</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耕地植被</w:t>
            </w:r>
          </w:p>
        </w:tc>
      </w:tr>
      <w:tr w14:paraId="260550C6">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770F94EB">
            <w:pPr>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Ⅲ</w:t>
            </w:r>
            <w:r>
              <w:rPr>
                <w:rFonts w:hint="eastAsia" w:ascii="Times New Roman" w:hAnsi="Times New Roman" w:cs="Times New Roman"/>
                <w:color w:val="auto"/>
                <w:sz w:val="21"/>
                <w:szCs w:val="21"/>
                <w:highlight w:val="none"/>
                <w:lang w:val="en-US" w:eastAsia="zh-CN"/>
              </w:rPr>
              <w:t xml:space="preserve"> 园地植被</w:t>
            </w:r>
          </w:p>
        </w:tc>
      </w:tr>
    </w:tbl>
    <w:p w14:paraId="52EED6BB">
      <w:pPr>
        <w:bidi w:val="0"/>
        <w:rPr>
          <w:rFonts w:hint="default" w:ascii="Times New Roman" w:hAnsi="Times New Roman" w:cs="Times New Roman"/>
          <w:b w:val="0"/>
          <w:bCs w:val="0"/>
          <w:i w:val="0"/>
          <w:iCs w:val="0"/>
          <w:color w:val="auto"/>
          <w:sz w:val="21"/>
          <w:szCs w:val="21"/>
          <w:highlight w:val="none"/>
          <w:lang w:val="en-US" w:eastAsia="zh-CN"/>
        </w:rPr>
      </w:pPr>
      <w:r>
        <w:rPr>
          <w:rFonts w:hint="default" w:ascii="Times New Roman" w:hAnsi="Times New Roman" w:cs="Times New Roman"/>
          <w:b w:val="0"/>
          <w:bCs w:val="0"/>
          <w:i w:val="0"/>
          <w:iCs w:val="0"/>
          <w:color w:val="auto"/>
          <w:sz w:val="21"/>
          <w:szCs w:val="21"/>
          <w:highlight w:val="none"/>
          <w:lang w:val="en-US" w:eastAsia="zh-CN"/>
        </w:rPr>
        <w:t>注：植被型：Ⅰ，Ⅱ，Ⅲ；植被亚型：(Ⅰ)，(Ⅱ)，(Ⅲ)；群系：一，二，三；群落：1，2，3。</w:t>
      </w:r>
    </w:p>
    <w:p w14:paraId="46DB7B29">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①</w:t>
      </w:r>
      <w:r>
        <w:rPr>
          <w:rFonts w:hint="default" w:ascii="Times New Roman" w:hAnsi="Times New Roman" w:eastAsia="宋体" w:cs="Times New Roman"/>
          <w:color w:val="auto"/>
        </w:rPr>
        <w:t>自然植被</w:t>
      </w:r>
    </w:p>
    <w:p w14:paraId="33DD4C3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评价区的自然植被包括硬叶常绿阔叶林、灌丛、稀树灌木草丛3类。</w:t>
      </w:r>
    </w:p>
    <w:p w14:paraId="00906AB8">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w:t>
      </w:r>
      <w:r>
        <w:rPr>
          <w:rFonts w:hint="default" w:ascii="Times New Roman" w:hAnsi="Times New Roman" w:eastAsia="宋体" w:cs="Times New Roman"/>
          <w:color w:val="auto"/>
        </w:rPr>
        <w:t>硬叶常绿阔叶林</w:t>
      </w:r>
    </w:p>
    <w:p w14:paraId="5CB4DDCE">
      <w:pPr>
        <w:ind w:firstLine="48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硬叶常绿阔叶林（简称硬叶栎林）是世界植被的重要类型，在我国西南地区、地中海沿岸、澳大利亚西南部、北美西南部、北非南部等地都有分布。主要树种具有硬叶、常绿、多茸毛等旱化的典型特征，常以栎属</w:t>
      </w:r>
      <w:r>
        <w:rPr>
          <w:rFonts w:hint="default" w:ascii="Times New Roman" w:hAnsi="Times New Roman" w:eastAsia="宋体" w:cs="Times New Roman"/>
          <w:i/>
          <w:iCs/>
          <w:color w:val="auto"/>
          <w:kern w:val="0"/>
          <w:szCs w:val="21"/>
        </w:rPr>
        <w:t>Quercus</w:t>
      </w:r>
      <w:r>
        <w:rPr>
          <w:rFonts w:hint="default" w:ascii="Times New Roman" w:hAnsi="Times New Roman" w:eastAsia="宋体" w:cs="Times New Roman"/>
          <w:color w:val="auto"/>
          <w:kern w:val="0"/>
          <w:szCs w:val="21"/>
        </w:rPr>
        <w:t>、木犀榄属</w:t>
      </w:r>
      <w:r>
        <w:rPr>
          <w:rFonts w:hint="default" w:ascii="Times New Roman" w:hAnsi="Times New Roman" w:eastAsia="宋体" w:cs="Times New Roman"/>
          <w:i/>
          <w:iCs/>
          <w:color w:val="auto"/>
          <w:kern w:val="0"/>
          <w:szCs w:val="21"/>
        </w:rPr>
        <w:t>Olea、</w:t>
      </w:r>
      <w:r>
        <w:rPr>
          <w:rFonts w:hint="default" w:ascii="Times New Roman" w:hAnsi="Times New Roman" w:eastAsia="宋体" w:cs="Times New Roman"/>
          <w:color w:val="auto"/>
          <w:kern w:val="0"/>
          <w:szCs w:val="21"/>
        </w:rPr>
        <w:t>桉属</w:t>
      </w:r>
      <w:r>
        <w:rPr>
          <w:rFonts w:hint="default" w:ascii="Times New Roman" w:hAnsi="Times New Roman" w:eastAsia="宋体" w:cs="Times New Roman"/>
          <w:i/>
          <w:iCs/>
          <w:color w:val="auto"/>
          <w:kern w:val="0"/>
          <w:szCs w:val="21"/>
        </w:rPr>
        <w:t xml:space="preserve">Eucalyptus </w:t>
      </w:r>
      <w:r>
        <w:rPr>
          <w:rFonts w:hint="default" w:ascii="Times New Roman" w:hAnsi="Times New Roman" w:eastAsia="宋体" w:cs="Times New Roman"/>
          <w:color w:val="auto"/>
          <w:kern w:val="0"/>
          <w:szCs w:val="21"/>
        </w:rPr>
        <w:t>植物为主，反映了分布地气候在一定季节具有温暖干燥的特点，根据硬叶常绿阔叶林的生态外貌和种类组成以及生境的差异，划分出寒温山地硬叶常绿阔叶林和干热河谷硬叶常绿阔叶林2个植被亚型。</w:t>
      </w:r>
    </w:p>
    <w:p w14:paraId="0B57E3F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干热河谷硬叶常绿阔叶林</w:t>
      </w:r>
    </w:p>
    <w:p w14:paraId="425EA65A">
      <w:pPr>
        <w:autoSpaceDE w:val="0"/>
        <w:autoSpaceDN w:val="0"/>
        <w:adjustRightIn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rPr>
        <w:t>评价区的硬叶常绿阔叶林属于干热河谷硬叶常绿阔叶林（植被亚型）。生境气候干热，评价区该类植被分布海拔范围700</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1000m，多</w:t>
      </w:r>
      <w:r>
        <w:rPr>
          <w:rFonts w:hint="default" w:ascii="Times New Roman" w:hAnsi="Times New Roman" w:eastAsia="宋体" w:cs="Times New Roman"/>
          <w:color w:val="auto"/>
          <w:kern w:val="0"/>
          <w:szCs w:val="21"/>
          <w:lang w:eastAsia="zh-CN"/>
        </w:rPr>
        <w:t>呈</w:t>
      </w:r>
      <w:r>
        <w:rPr>
          <w:rFonts w:hint="default" w:ascii="Times New Roman" w:hAnsi="Times New Roman" w:eastAsia="宋体" w:cs="Times New Roman"/>
          <w:color w:val="auto"/>
          <w:kern w:val="0"/>
          <w:szCs w:val="21"/>
        </w:rPr>
        <w:t>小片状至散生状分布。群落结构简单，植株低矮，树干弯曲。</w:t>
      </w:r>
      <w:r>
        <w:rPr>
          <w:rFonts w:hint="default" w:ascii="Times New Roman" w:hAnsi="Times New Roman" w:eastAsia="宋体" w:cs="Times New Roman"/>
          <w:color w:val="auto"/>
        </w:rPr>
        <w:t>根据实地调查评价区的干热河谷硬叶常绿阔叶林的群系类型主要有椎连栎林，本次仅记录一个群落类型，即</w:t>
      </w:r>
      <w:r>
        <w:rPr>
          <w:rFonts w:hint="default" w:ascii="Times New Roman" w:hAnsi="Times New Roman" w:eastAsia="宋体" w:cs="Times New Roman"/>
          <w:bCs/>
          <w:color w:val="auto"/>
          <w:kern w:val="0"/>
          <w:szCs w:val="21"/>
        </w:rPr>
        <w:t>锥连栎、余甘子</w:t>
      </w:r>
      <w:r>
        <w:rPr>
          <w:rFonts w:hint="default" w:ascii="Times New Roman" w:hAnsi="Times New Roman" w:eastAsia="宋体" w:cs="Times New Roman"/>
          <w:color w:val="auto"/>
        </w:rPr>
        <w:t>群落。</w:t>
      </w:r>
    </w:p>
    <w:p w14:paraId="0DD5C480">
      <w:pPr>
        <w:ind w:firstLine="482"/>
        <w:rPr>
          <w:rFonts w:hint="default" w:ascii="Times New Roman" w:hAnsi="Times New Roman" w:eastAsia="宋体" w:cs="Times New Roman"/>
          <w:color w:val="auto"/>
        </w:rPr>
      </w:pPr>
      <w:bookmarkStart w:id="82" w:name="_Toc25945"/>
      <w:r>
        <w:rPr>
          <w:rFonts w:hint="default" w:ascii="Times New Roman" w:hAnsi="Times New Roman" w:eastAsia="宋体" w:cs="Times New Roman"/>
          <w:b/>
          <w:color w:val="auto"/>
        </w:rPr>
        <w:t>→</w:t>
      </w:r>
      <w:bookmarkEnd w:id="82"/>
      <w:r>
        <w:rPr>
          <w:rFonts w:hint="default" w:ascii="Times New Roman" w:hAnsi="Times New Roman" w:eastAsia="宋体" w:cs="Times New Roman"/>
          <w:bCs/>
          <w:color w:val="auto"/>
          <w:kern w:val="0"/>
          <w:szCs w:val="21"/>
        </w:rPr>
        <w:t>锥连栎、余甘子群落</w:t>
      </w:r>
    </w:p>
    <w:p w14:paraId="398AF7B9">
      <w:pPr>
        <w:autoSpaceDE w:val="0"/>
        <w:autoSpaceDN w:val="0"/>
        <w:adjustRightInd w:val="0"/>
        <w:ind w:firstLine="48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评价区椎连栎、余甘子群落主要分布于海拔750</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950m的中山范围，多</w:t>
      </w:r>
      <w:r>
        <w:rPr>
          <w:rFonts w:hint="default" w:ascii="Times New Roman" w:hAnsi="Times New Roman" w:eastAsia="宋体" w:cs="Times New Roman"/>
          <w:color w:val="auto"/>
          <w:kern w:val="0"/>
          <w:szCs w:val="21"/>
          <w:lang w:eastAsia="zh-CN"/>
        </w:rPr>
        <w:t>呈</w:t>
      </w:r>
      <w:r>
        <w:rPr>
          <w:rFonts w:hint="default" w:ascii="Times New Roman" w:hAnsi="Times New Roman" w:eastAsia="宋体" w:cs="Times New Roman"/>
          <w:color w:val="auto"/>
          <w:kern w:val="0"/>
          <w:szCs w:val="21"/>
        </w:rPr>
        <w:t>间断不连续的小块状分布，岩石风化突出，土壤为燥红土，土层薄。群落林冠略整齐，树干多弯曲，林木较稀疏，结构简单，物种较少。</w:t>
      </w:r>
    </w:p>
    <w:p w14:paraId="61B3E684">
      <w:pPr>
        <w:autoSpaceDE w:val="0"/>
        <w:autoSpaceDN w:val="0"/>
        <w:adjustRightInd w:val="0"/>
        <w:ind w:firstLine="48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乔木层盖度50%，高约7m，最高9m，胸径15</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25cm。以锥连栎</w:t>
      </w:r>
      <w:r>
        <w:rPr>
          <w:rFonts w:hint="default" w:ascii="Times New Roman" w:hAnsi="Times New Roman" w:eastAsia="宋体" w:cs="Times New Roman"/>
          <w:i/>
          <w:color w:val="auto"/>
          <w:kern w:val="0"/>
          <w:szCs w:val="21"/>
        </w:rPr>
        <w:t>Quercus franchetii</w:t>
      </w:r>
      <w:r>
        <w:rPr>
          <w:rFonts w:hint="default" w:ascii="Times New Roman" w:hAnsi="Times New Roman" w:eastAsia="宋体" w:cs="Times New Roman"/>
          <w:color w:val="auto"/>
          <w:kern w:val="0"/>
          <w:szCs w:val="21"/>
        </w:rPr>
        <w:t>和余甘子</w:t>
      </w:r>
      <w:r>
        <w:rPr>
          <w:rFonts w:hint="default" w:ascii="Times New Roman" w:hAnsi="Times New Roman" w:eastAsia="宋体" w:cs="Times New Roman"/>
          <w:i/>
          <w:color w:val="auto"/>
          <w:kern w:val="0"/>
          <w:szCs w:val="21"/>
        </w:rPr>
        <w:t>Phyllanthus emblica</w:t>
      </w:r>
      <w:r>
        <w:rPr>
          <w:rFonts w:hint="default" w:ascii="Times New Roman" w:hAnsi="Times New Roman" w:eastAsia="宋体" w:cs="Times New Roman"/>
          <w:color w:val="auto"/>
          <w:kern w:val="0"/>
          <w:szCs w:val="21"/>
        </w:rPr>
        <w:t>为优势，其他有豆腐果</w:t>
      </w:r>
      <w:r>
        <w:rPr>
          <w:rFonts w:hint="default" w:ascii="Times New Roman" w:hAnsi="Times New Roman" w:eastAsia="宋体" w:cs="Times New Roman"/>
          <w:i/>
          <w:color w:val="auto"/>
          <w:kern w:val="0"/>
          <w:szCs w:val="21"/>
        </w:rPr>
        <w:t>Buchanania latifolia</w:t>
      </w:r>
      <w:r>
        <w:rPr>
          <w:rFonts w:hint="default" w:ascii="Times New Roman" w:hAnsi="Times New Roman" w:eastAsia="宋体" w:cs="Times New Roman"/>
          <w:color w:val="auto"/>
          <w:kern w:val="0"/>
          <w:szCs w:val="21"/>
        </w:rPr>
        <w:t>、珠仔树</w:t>
      </w:r>
      <w:r>
        <w:rPr>
          <w:rFonts w:hint="default" w:ascii="Times New Roman" w:hAnsi="Times New Roman" w:eastAsia="宋体" w:cs="Times New Roman"/>
          <w:i/>
          <w:color w:val="auto"/>
          <w:kern w:val="0"/>
          <w:szCs w:val="21"/>
        </w:rPr>
        <w:t>Symplocos racemosa</w:t>
      </w:r>
      <w:r>
        <w:rPr>
          <w:rFonts w:hint="default" w:ascii="Times New Roman" w:hAnsi="Times New Roman" w:eastAsia="宋体" w:cs="Times New Roman"/>
          <w:color w:val="auto"/>
          <w:kern w:val="0"/>
          <w:szCs w:val="21"/>
        </w:rPr>
        <w:t>、羽叶楸</w:t>
      </w:r>
      <w:r>
        <w:rPr>
          <w:rFonts w:hint="default" w:ascii="Times New Roman" w:hAnsi="Times New Roman" w:eastAsia="宋体" w:cs="Times New Roman"/>
          <w:i/>
          <w:color w:val="auto"/>
          <w:kern w:val="0"/>
          <w:szCs w:val="21"/>
        </w:rPr>
        <w:t>Stereospermum tetragonum</w:t>
      </w:r>
      <w:r>
        <w:rPr>
          <w:rFonts w:hint="default" w:ascii="Times New Roman" w:hAnsi="Times New Roman" w:eastAsia="宋体" w:cs="Times New Roman"/>
          <w:color w:val="auto"/>
          <w:kern w:val="0"/>
          <w:szCs w:val="21"/>
        </w:rPr>
        <w:t>、枣一种</w:t>
      </w:r>
      <w:r>
        <w:rPr>
          <w:rFonts w:hint="default" w:ascii="Times New Roman" w:hAnsi="Times New Roman" w:eastAsia="宋体" w:cs="Times New Roman"/>
          <w:i/>
          <w:color w:val="auto"/>
          <w:kern w:val="0"/>
          <w:szCs w:val="21"/>
        </w:rPr>
        <w:t>Ziziphus</w:t>
      </w:r>
      <w:r>
        <w:rPr>
          <w:rFonts w:hint="default" w:ascii="Times New Roman" w:hAnsi="Times New Roman" w:eastAsia="宋体" w:cs="Times New Roman"/>
          <w:color w:val="auto"/>
          <w:kern w:val="0"/>
          <w:szCs w:val="21"/>
        </w:rPr>
        <w:t xml:space="preserve"> sp</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朴叶扁担杆</w:t>
      </w:r>
      <w:r>
        <w:rPr>
          <w:rFonts w:hint="default" w:ascii="Times New Roman" w:hAnsi="Times New Roman" w:eastAsia="宋体" w:cs="Times New Roman"/>
          <w:i/>
          <w:color w:val="auto"/>
          <w:kern w:val="0"/>
          <w:szCs w:val="21"/>
        </w:rPr>
        <w:t>Grewia celtidifolia</w:t>
      </w:r>
      <w:r>
        <w:rPr>
          <w:rFonts w:hint="default" w:ascii="Times New Roman" w:hAnsi="Times New Roman" w:eastAsia="宋体" w:cs="Times New Roman"/>
          <w:color w:val="auto"/>
          <w:kern w:val="0"/>
          <w:szCs w:val="21"/>
        </w:rPr>
        <w:t>等。</w:t>
      </w:r>
    </w:p>
    <w:p w14:paraId="4462ED97">
      <w:pPr>
        <w:autoSpaceDE w:val="0"/>
        <w:autoSpaceDN w:val="0"/>
        <w:adjustRightInd w:val="0"/>
        <w:ind w:firstLine="48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灌木层不发达，盖度30%，高1</w:t>
      </w:r>
      <w:r>
        <w:rPr>
          <w:rFonts w:hint="default" w:ascii="Times New Roman" w:hAnsi="Times New Roman" w:eastAsia="宋体" w:cs="Times New Roman"/>
          <w:color w:val="auto"/>
          <w:kern w:val="0"/>
          <w:szCs w:val="21"/>
          <w:lang w:eastAsia="zh-CN"/>
        </w:rPr>
        <w:t>～</w:t>
      </w:r>
      <w:r>
        <w:rPr>
          <w:rFonts w:hint="default" w:ascii="Times New Roman" w:hAnsi="Times New Roman" w:eastAsia="宋体" w:cs="Times New Roman"/>
          <w:color w:val="auto"/>
          <w:kern w:val="0"/>
          <w:szCs w:val="21"/>
        </w:rPr>
        <w:t>4m，组成物种多为耐干热的种类，主要有大叶紫珠</w:t>
      </w:r>
      <w:r>
        <w:rPr>
          <w:rFonts w:hint="default" w:ascii="Times New Roman" w:hAnsi="Times New Roman" w:eastAsia="宋体" w:cs="Times New Roman"/>
          <w:i/>
          <w:color w:val="auto"/>
          <w:kern w:val="0"/>
          <w:szCs w:val="21"/>
        </w:rPr>
        <w:t>Callicarpa macriphylla</w:t>
      </w:r>
      <w:r>
        <w:rPr>
          <w:rFonts w:hint="default" w:ascii="Times New Roman" w:hAnsi="Times New Roman" w:eastAsia="宋体" w:cs="Times New Roman"/>
          <w:color w:val="auto"/>
          <w:kern w:val="0"/>
          <w:szCs w:val="21"/>
        </w:rPr>
        <w:t>、三叶漆</w:t>
      </w:r>
      <w:r>
        <w:rPr>
          <w:rFonts w:hint="default" w:ascii="Times New Roman" w:hAnsi="Times New Roman" w:eastAsia="宋体" w:cs="Times New Roman"/>
          <w:i/>
          <w:color w:val="auto"/>
          <w:kern w:val="0"/>
          <w:szCs w:val="21"/>
        </w:rPr>
        <w:t>Terminthia paniculata</w:t>
      </w:r>
      <w:r>
        <w:rPr>
          <w:rFonts w:hint="default" w:ascii="Times New Roman" w:hAnsi="Times New Roman" w:eastAsia="宋体" w:cs="Times New Roman"/>
          <w:color w:val="auto"/>
          <w:kern w:val="0"/>
          <w:szCs w:val="21"/>
        </w:rPr>
        <w:t>、老人皮</w:t>
      </w:r>
      <w:r>
        <w:rPr>
          <w:rFonts w:hint="default" w:ascii="Times New Roman" w:hAnsi="Times New Roman" w:eastAsia="宋体" w:cs="Times New Roman"/>
          <w:i/>
          <w:color w:val="auto"/>
          <w:kern w:val="0"/>
          <w:szCs w:val="21"/>
        </w:rPr>
        <w:t>Polyalthia cerasoides</w:t>
      </w:r>
      <w:r>
        <w:rPr>
          <w:rFonts w:hint="default" w:ascii="Times New Roman" w:hAnsi="Times New Roman" w:eastAsia="宋体" w:cs="Times New Roman"/>
          <w:color w:val="auto"/>
          <w:kern w:val="0"/>
          <w:szCs w:val="21"/>
        </w:rPr>
        <w:t>、水锦树</w:t>
      </w:r>
      <w:r>
        <w:rPr>
          <w:rFonts w:hint="default" w:ascii="Times New Roman" w:hAnsi="Times New Roman" w:eastAsia="宋体" w:cs="Times New Roman"/>
          <w:i/>
          <w:color w:val="auto"/>
          <w:kern w:val="0"/>
          <w:szCs w:val="21"/>
        </w:rPr>
        <w:t>Wendlandia uvariifolia、</w:t>
      </w:r>
      <w:r>
        <w:rPr>
          <w:rFonts w:hint="default" w:ascii="Times New Roman" w:hAnsi="Times New Roman" w:eastAsia="宋体" w:cs="Times New Roman"/>
          <w:color w:val="auto"/>
          <w:kern w:val="0"/>
          <w:szCs w:val="21"/>
        </w:rPr>
        <w:t>小叶臭黄皮</w:t>
      </w:r>
      <w:r>
        <w:rPr>
          <w:rFonts w:hint="default" w:ascii="Times New Roman" w:hAnsi="Times New Roman" w:eastAsia="宋体" w:cs="Times New Roman"/>
          <w:i/>
          <w:color w:val="auto"/>
          <w:kern w:val="0"/>
          <w:szCs w:val="21"/>
        </w:rPr>
        <w:t>Clausena excavata</w:t>
      </w:r>
      <w:r>
        <w:rPr>
          <w:rFonts w:hint="default" w:ascii="Times New Roman" w:hAnsi="Times New Roman" w:eastAsia="宋体" w:cs="Times New Roman"/>
          <w:color w:val="auto"/>
          <w:kern w:val="0"/>
          <w:szCs w:val="21"/>
        </w:rPr>
        <w:t>、假木豆</w:t>
      </w:r>
      <w:r>
        <w:rPr>
          <w:rFonts w:hint="default" w:ascii="Times New Roman" w:hAnsi="Times New Roman" w:eastAsia="宋体" w:cs="Times New Roman"/>
          <w:i/>
          <w:color w:val="auto"/>
          <w:kern w:val="0"/>
          <w:szCs w:val="21"/>
        </w:rPr>
        <w:t>Dendrolobium triangulare</w:t>
      </w:r>
      <w:r>
        <w:rPr>
          <w:rFonts w:hint="default" w:ascii="Times New Roman" w:hAnsi="Times New Roman" w:eastAsia="宋体" w:cs="Times New Roman"/>
          <w:color w:val="auto"/>
          <w:kern w:val="0"/>
          <w:szCs w:val="21"/>
        </w:rPr>
        <w:t>、黑面神</w:t>
      </w:r>
      <w:r>
        <w:rPr>
          <w:rFonts w:hint="default" w:ascii="Times New Roman" w:hAnsi="Times New Roman" w:eastAsia="宋体" w:cs="Times New Roman"/>
          <w:i/>
          <w:color w:val="auto"/>
          <w:kern w:val="0"/>
          <w:szCs w:val="21"/>
        </w:rPr>
        <w:t>Breynia fruticosa、</w:t>
      </w:r>
      <w:r>
        <w:rPr>
          <w:rFonts w:hint="default" w:ascii="Times New Roman" w:hAnsi="Times New Roman" w:eastAsia="宋体" w:cs="Times New Roman"/>
          <w:color w:val="auto"/>
          <w:kern w:val="0"/>
          <w:szCs w:val="21"/>
        </w:rPr>
        <w:t>虾子花</w:t>
      </w:r>
      <w:r>
        <w:rPr>
          <w:rFonts w:hint="default" w:ascii="Times New Roman" w:hAnsi="Times New Roman" w:eastAsia="宋体" w:cs="Times New Roman"/>
          <w:i/>
          <w:color w:val="auto"/>
          <w:kern w:val="0"/>
          <w:szCs w:val="21"/>
        </w:rPr>
        <w:t>Woodfordia fruitions</w:t>
      </w:r>
      <w:r>
        <w:rPr>
          <w:rFonts w:hint="default" w:ascii="Times New Roman" w:hAnsi="Times New Roman" w:eastAsia="宋体" w:cs="Times New Roman"/>
          <w:color w:val="auto"/>
          <w:kern w:val="0"/>
          <w:szCs w:val="21"/>
        </w:rPr>
        <w:t>、白背黄花稔</w:t>
      </w:r>
      <w:r>
        <w:rPr>
          <w:rFonts w:hint="default" w:ascii="Times New Roman" w:hAnsi="Times New Roman" w:eastAsia="宋体" w:cs="Times New Roman"/>
          <w:i/>
          <w:color w:val="auto"/>
          <w:kern w:val="0"/>
          <w:szCs w:val="21"/>
        </w:rPr>
        <w:t>Sida rhombifolia</w:t>
      </w:r>
      <w:r>
        <w:rPr>
          <w:rFonts w:hint="default" w:ascii="Times New Roman" w:hAnsi="Times New Roman" w:eastAsia="宋体" w:cs="Times New Roman"/>
          <w:color w:val="auto"/>
          <w:kern w:val="0"/>
          <w:szCs w:val="21"/>
        </w:rPr>
        <w:t>、地桃花</w:t>
      </w:r>
      <w:r>
        <w:rPr>
          <w:rFonts w:hint="default" w:ascii="Times New Roman" w:hAnsi="Times New Roman" w:eastAsia="宋体" w:cs="Times New Roman"/>
          <w:i/>
          <w:color w:val="auto"/>
          <w:kern w:val="0"/>
          <w:szCs w:val="21"/>
        </w:rPr>
        <w:t>Urena lobata、</w:t>
      </w:r>
      <w:r>
        <w:rPr>
          <w:rFonts w:hint="default" w:ascii="Times New Roman" w:hAnsi="Times New Roman" w:eastAsia="宋体" w:cs="Times New Roman"/>
          <w:color w:val="auto"/>
          <w:kern w:val="0"/>
          <w:szCs w:val="21"/>
        </w:rPr>
        <w:t>心叶黄花稔</w:t>
      </w:r>
      <w:r>
        <w:rPr>
          <w:rFonts w:hint="default" w:ascii="Times New Roman" w:hAnsi="Times New Roman" w:eastAsia="宋体" w:cs="Times New Roman"/>
          <w:i/>
          <w:color w:val="auto"/>
          <w:kern w:val="0"/>
          <w:szCs w:val="21"/>
        </w:rPr>
        <w:t>Sida cordifolia、</w:t>
      </w:r>
      <w:r>
        <w:rPr>
          <w:rFonts w:hint="default" w:ascii="Times New Roman" w:hAnsi="Times New Roman" w:eastAsia="宋体" w:cs="Times New Roman"/>
          <w:color w:val="auto"/>
          <w:kern w:val="0"/>
          <w:szCs w:val="21"/>
        </w:rPr>
        <w:t>拔毒散</w:t>
      </w:r>
      <w:r>
        <w:rPr>
          <w:rFonts w:hint="default" w:ascii="Times New Roman" w:hAnsi="Times New Roman" w:eastAsia="宋体" w:cs="Times New Roman"/>
          <w:i/>
          <w:color w:val="auto"/>
          <w:kern w:val="0"/>
          <w:szCs w:val="21"/>
        </w:rPr>
        <w:t>Sida szechuanensis、</w:t>
      </w:r>
      <w:r>
        <w:rPr>
          <w:rFonts w:hint="default" w:ascii="Times New Roman" w:hAnsi="Times New Roman" w:eastAsia="宋体" w:cs="Times New Roman"/>
          <w:color w:val="auto"/>
          <w:kern w:val="0"/>
          <w:szCs w:val="21"/>
        </w:rPr>
        <w:t>毛刺蒴麻</w:t>
      </w:r>
      <w:r>
        <w:rPr>
          <w:rFonts w:hint="default" w:ascii="Times New Roman" w:hAnsi="Times New Roman" w:eastAsia="宋体" w:cs="Times New Roman"/>
          <w:i/>
          <w:color w:val="auto"/>
          <w:kern w:val="0"/>
          <w:szCs w:val="21"/>
        </w:rPr>
        <w:t>Triumfetta tomentosa</w:t>
      </w:r>
      <w:r>
        <w:rPr>
          <w:rFonts w:hint="default" w:ascii="Times New Roman" w:hAnsi="Times New Roman" w:eastAsia="宋体" w:cs="Times New Roman"/>
          <w:color w:val="auto"/>
          <w:kern w:val="0"/>
          <w:szCs w:val="21"/>
        </w:rPr>
        <w:t>、刺蒴麻</w:t>
      </w:r>
      <w:r>
        <w:rPr>
          <w:rFonts w:hint="default" w:ascii="Times New Roman" w:hAnsi="Times New Roman" w:eastAsia="宋体" w:cs="Times New Roman"/>
          <w:i/>
          <w:color w:val="auto"/>
          <w:kern w:val="0"/>
          <w:szCs w:val="21"/>
        </w:rPr>
        <w:t>T.rhomboidea、</w:t>
      </w:r>
      <w:r>
        <w:rPr>
          <w:rFonts w:hint="default" w:ascii="Times New Roman" w:hAnsi="Times New Roman" w:eastAsia="宋体" w:cs="Times New Roman"/>
          <w:color w:val="auto"/>
          <w:kern w:val="0"/>
          <w:szCs w:val="21"/>
        </w:rPr>
        <w:t>圆节山蚂蝗</w:t>
      </w:r>
      <w:r>
        <w:rPr>
          <w:rFonts w:hint="default" w:ascii="Times New Roman" w:hAnsi="Times New Roman" w:eastAsia="宋体" w:cs="Times New Roman"/>
          <w:i/>
          <w:color w:val="auto"/>
          <w:kern w:val="0"/>
          <w:szCs w:val="21"/>
        </w:rPr>
        <w:t>Desmodium oblatum</w:t>
      </w:r>
      <w:r>
        <w:rPr>
          <w:rFonts w:hint="default" w:ascii="Times New Roman" w:hAnsi="Times New Roman" w:eastAsia="宋体" w:cs="Times New Roman"/>
          <w:iCs/>
          <w:color w:val="auto"/>
          <w:kern w:val="0"/>
          <w:szCs w:val="21"/>
        </w:rPr>
        <w:t>等</w:t>
      </w:r>
      <w:r>
        <w:rPr>
          <w:rFonts w:hint="default" w:ascii="Times New Roman" w:hAnsi="Times New Roman" w:eastAsia="宋体" w:cs="Times New Roman"/>
          <w:i/>
          <w:color w:val="auto"/>
          <w:kern w:val="0"/>
          <w:szCs w:val="21"/>
        </w:rPr>
        <w:t>。</w:t>
      </w:r>
    </w:p>
    <w:p w14:paraId="509DE4FC">
      <w:pPr>
        <w:autoSpaceDE w:val="0"/>
        <w:autoSpaceDN w:val="0"/>
        <w:adjustRightInd w:val="0"/>
        <w:ind w:firstLine="48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草本层盖度</w:t>
      </w:r>
      <w:r>
        <w:rPr>
          <w:rFonts w:hint="default" w:ascii="Times New Roman" w:hAnsi="Times New Roman" w:eastAsia="宋体" w:cs="Times New Roman"/>
          <w:color w:val="auto"/>
          <w:kern w:val="0"/>
          <w:szCs w:val="21"/>
          <w:lang w:eastAsia="zh-CN"/>
        </w:rPr>
        <w:t>30%～60%</w:t>
      </w:r>
      <w:r>
        <w:rPr>
          <w:rFonts w:hint="default" w:ascii="Times New Roman" w:hAnsi="Times New Roman" w:eastAsia="宋体" w:cs="Times New Roman"/>
          <w:color w:val="auto"/>
          <w:kern w:val="0"/>
          <w:szCs w:val="21"/>
        </w:rPr>
        <w:t>，高达2m，主要有飞机草</w:t>
      </w:r>
      <w:r>
        <w:rPr>
          <w:rFonts w:hint="default" w:ascii="Times New Roman" w:hAnsi="Times New Roman" w:eastAsia="宋体" w:cs="Times New Roman"/>
          <w:i/>
          <w:color w:val="auto"/>
          <w:kern w:val="0"/>
          <w:szCs w:val="21"/>
        </w:rPr>
        <w:t>Chromolaena odorata</w:t>
      </w:r>
      <w:r>
        <w:rPr>
          <w:rFonts w:hint="default" w:ascii="Times New Roman" w:hAnsi="Times New Roman" w:eastAsia="宋体" w:cs="Times New Roman"/>
          <w:color w:val="auto"/>
          <w:kern w:val="0"/>
          <w:szCs w:val="21"/>
        </w:rPr>
        <w:t>和广防风</w:t>
      </w:r>
      <w:r>
        <w:rPr>
          <w:rFonts w:hint="default" w:ascii="Times New Roman" w:hAnsi="Times New Roman" w:eastAsia="宋体" w:cs="Times New Roman"/>
          <w:i/>
          <w:color w:val="auto"/>
          <w:kern w:val="0"/>
          <w:szCs w:val="21"/>
        </w:rPr>
        <w:t>Epimeredi indica</w:t>
      </w:r>
      <w:r>
        <w:rPr>
          <w:rFonts w:hint="default" w:ascii="Times New Roman" w:hAnsi="Times New Roman" w:eastAsia="宋体" w:cs="Times New Roman"/>
          <w:color w:val="auto"/>
          <w:kern w:val="0"/>
          <w:szCs w:val="21"/>
        </w:rPr>
        <w:t>，其他还有扭黄茅</w:t>
      </w:r>
      <w:r>
        <w:rPr>
          <w:rFonts w:hint="default" w:ascii="Times New Roman" w:hAnsi="Times New Roman" w:eastAsia="宋体" w:cs="Times New Roman"/>
          <w:i/>
          <w:color w:val="auto"/>
          <w:kern w:val="0"/>
          <w:szCs w:val="21"/>
        </w:rPr>
        <w:t>Heteropogon contortus、</w:t>
      </w:r>
      <w:r>
        <w:rPr>
          <w:rFonts w:hint="default" w:ascii="Times New Roman" w:hAnsi="Times New Roman" w:eastAsia="宋体" w:cs="Times New Roman"/>
          <w:color w:val="auto"/>
          <w:kern w:val="0"/>
          <w:szCs w:val="21"/>
        </w:rPr>
        <w:t>疏穗求米草</w:t>
      </w:r>
      <w:r>
        <w:rPr>
          <w:rFonts w:hint="default" w:ascii="Times New Roman" w:hAnsi="Times New Roman" w:eastAsia="宋体" w:cs="Times New Roman"/>
          <w:i/>
          <w:color w:val="auto"/>
          <w:kern w:val="0"/>
          <w:szCs w:val="21"/>
        </w:rPr>
        <w:t>Oplismenus patens</w:t>
      </w:r>
      <w:r>
        <w:rPr>
          <w:rFonts w:hint="default" w:ascii="Times New Roman" w:hAnsi="Times New Roman" w:eastAsia="宋体" w:cs="Times New Roman"/>
          <w:color w:val="auto"/>
          <w:kern w:val="0"/>
          <w:szCs w:val="21"/>
        </w:rPr>
        <w:t>、狸尾豆</w:t>
      </w:r>
      <w:r>
        <w:rPr>
          <w:rFonts w:hint="default" w:ascii="Times New Roman" w:hAnsi="Times New Roman" w:eastAsia="宋体" w:cs="Times New Roman"/>
          <w:i/>
          <w:color w:val="auto"/>
          <w:kern w:val="0"/>
          <w:szCs w:val="21"/>
        </w:rPr>
        <w:t>Uraria lagopodioides</w:t>
      </w:r>
      <w:r>
        <w:rPr>
          <w:rFonts w:hint="default" w:ascii="Times New Roman" w:hAnsi="Times New Roman" w:eastAsia="宋体" w:cs="Times New Roman"/>
          <w:color w:val="auto"/>
          <w:kern w:val="0"/>
          <w:szCs w:val="21"/>
        </w:rPr>
        <w:t>等耐旱种类，充分反映了林地干旱燥热的生境。</w:t>
      </w:r>
    </w:p>
    <w:p w14:paraId="0B50788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rPr>
        <w:t>层间植物不发达，常见多毛叶薯蓣</w:t>
      </w:r>
      <w:r>
        <w:rPr>
          <w:rFonts w:hint="default" w:ascii="Times New Roman" w:hAnsi="Times New Roman" w:eastAsia="宋体" w:cs="Times New Roman"/>
          <w:i/>
          <w:color w:val="auto"/>
          <w:kern w:val="0"/>
          <w:szCs w:val="21"/>
        </w:rPr>
        <w:t>Dioscorea decipiens、</w:t>
      </w:r>
      <w:r>
        <w:rPr>
          <w:rFonts w:hint="default" w:ascii="Times New Roman" w:hAnsi="Times New Roman" w:eastAsia="宋体" w:cs="Times New Roman"/>
          <w:color w:val="auto"/>
          <w:szCs w:val="21"/>
        </w:rPr>
        <w:t>虫豆</w:t>
      </w:r>
      <w:r>
        <w:rPr>
          <w:rFonts w:hint="default" w:ascii="Times New Roman" w:hAnsi="Times New Roman" w:eastAsia="宋体" w:cs="Times New Roman"/>
          <w:i/>
          <w:color w:val="auto"/>
          <w:kern w:val="0"/>
          <w:szCs w:val="21"/>
        </w:rPr>
        <w:t>Cajanus crassus、</w:t>
      </w:r>
      <w:r>
        <w:rPr>
          <w:rFonts w:hint="default" w:ascii="Times New Roman" w:hAnsi="Times New Roman" w:eastAsia="宋体" w:cs="Times New Roman"/>
          <w:color w:val="auto"/>
          <w:szCs w:val="21"/>
        </w:rPr>
        <w:t>叶苞银背藤</w:t>
      </w:r>
      <w:r>
        <w:rPr>
          <w:rFonts w:hint="default" w:ascii="Times New Roman" w:hAnsi="Times New Roman" w:eastAsia="宋体" w:cs="Times New Roman"/>
          <w:i/>
          <w:color w:val="auto"/>
          <w:kern w:val="0"/>
          <w:szCs w:val="21"/>
        </w:rPr>
        <w:t>Argyreia roxburghii</w:t>
      </w:r>
      <w:r>
        <w:rPr>
          <w:rFonts w:hint="default" w:ascii="Times New Roman" w:hAnsi="Times New Roman" w:eastAsia="宋体" w:cs="Times New Roman"/>
          <w:color w:val="auto"/>
          <w:szCs w:val="21"/>
        </w:rPr>
        <w:t>、苞叶藤</w:t>
      </w:r>
      <w:r>
        <w:rPr>
          <w:rFonts w:hint="default" w:ascii="Times New Roman" w:hAnsi="Times New Roman" w:eastAsia="宋体" w:cs="Times New Roman"/>
          <w:i/>
          <w:color w:val="auto"/>
          <w:kern w:val="0"/>
          <w:szCs w:val="21"/>
        </w:rPr>
        <w:t>Blinkworthia cornvoloides</w:t>
      </w:r>
      <w:r>
        <w:rPr>
          <w:rFonts w:hint="default" w:ascii="Times New Roman" w:hAnsi="Times New Roman" w:eastAsia="宋体" w:cs="Times New Roman"/>
          <w:color w:val="auto"/>
          <w:szCs w:val="21"/>
        </w:rPr>
        <w:t>、古钩藤</w:t>
      </w:r>
      <w:r>
        <w:rPr>
          <w:rFonts w:hint="default" w:ascii="Times New Roman" w:hAnsi="Times New Roman" w:eastAsia="宋体" w:cs="Times New Roman"/>
          <w:i/>
          <w:color w:val="auto"/>
          <w:kern w:val="0"/>
          <w:szCs w:val="21"/>
        </w:rPr>
        <w:t>Cryptolepis buchananii</w:t>
      </w:r>
      <w:r>
        <w:rPr>
          <w:rFonts w:hint="default" w:ascii="Times New Roman" w:hAnsi="Times New Roman" w:eastAsia="宋体" w:cs="Times New Roman"/>
          <w:color w:val="auto"/>
          <w:szCs w:val="21"/>
        </w:rPr>
        <w:t>等，几无附生植物。</w:t>
      </w:r>
    </w:p>
    <w:p w14:paraId="1F742979">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w:t>
      </w:r>
      <w:r>
        <w:rPr>
          <w:rFonts w:hint="default" w:ascii="Times New Roman" w:hAnsi="Times New Roman" w:eastAsia="宋体" w:cs="Times New Roman"/>
          <w:color w:val="auto"/>
        </w:rPr>
        <w:t>灌丛</w:t>
      </w:r>
    </w:p>
    <w:p w14:paraId="66648D14">
      <w:pPr>
        <w:ind w:firstLine="4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灌丛是指以灌木为主，乔木和草本植物不甚发育的较低矮而稳定的木本植被类型，其建群种多为中生性的、</w:t>
      </w:r>
      <w:r>
        <w:rPr>
          <w:rFonts w:hint="default" w:ascii="Times New Roman" w:hAnsi="Times New Roman" w:eastAsia="宋体" w:cs="Times New Roman"/>
          <w:color w:val="auto"/>
        </w:rPr>
        <w:t>无明显主干、</w:t>
      </w:r>
      <w:r>
        <w:rPr>
          <w:rFonts w:hint="default" w:ascii="Times New Roman" w:hAnsi="Times New Roman" w:eastAsia="宋体" w:cs="Times New Roman"/>
          <w:color w:val="auto"/>
          <w:szCs w:val="21"/>
        </w:rPr>
        <w:t>高度不超过5m的、簇生的性状，</w:t>
      </w:r>
      <w:r>
        <w:rPr>
          <w:rFonts w:hint="default" w:ascii="Times New Roman" w:hAnsi="Times New Roman" w:eastAsia="宋体" w:cs="Times New Roman"/>
          <w:color w:val="auto"/>
        </w:rPr>
        <w:t>多具丛生和集簇生的结构和丛林状外貌，其覆盖度40％以上</w:t>
      </w:r>
      <w:r>
        <w:rPr>
          <w:rFonts w:hint="default" w:ascii="Times New Roman" w:hAnsi="Times New Roman" w:eastAsia="宋体" w:cs="Times New Roman"/>
          <w:color w:val="auto"/>
          <w:szCs w:val="21"/>
        </w:rPr>
        <w:t>，地表裸露的度小于50％。灌丛的分布很广泛，从温带到热带，从海滨、河谷到5000m的高山都有。其形成原因，有的是在特殊条件下形成的原生类型，如在气候、土壤过于干燥或寒冷而不能形成森林的地区的荒漠灌丛或灌丛；有的则是在长期人为影响下形成的次生灌丛。所以灌丛的类型</w:t>
      </w:r>
      <w:r>
        <w:rPr>
          <w:rFonts w:hint="default" w:ascii="Times New Roman" w:hAnsi="Times New Roman" w:eastAsia="宋体" w:cs="Times New Roman"/>
          <w:color w:val="auto"/>
          <w:szCs w:val="21"/>
          <w:lang w:eastAsia="zh-CN"/>
        </w:rPr>
        <w:t>极其</w:t>
      </w:r>
      <w:r>
        <w:rPr>
          <w:rFonts w:hint="default" w:ascii="Times New Roman" w:hAnsi="Times New Roman" w:eastAsia="宋体" w:cs="Times New Roman"/>
          <w:color w:val="auto"/>
          <w:szCs w:val="21"/>
        </w:rPr>
        <w:t>多样。灌丛作为植被型，其下划分为寒温灌丛、暖性石灰岩灌丛、干热河谷灌丛和热性河滩灌丛等5个植被亚型。</w:t>
      </w:r>
      <w:r>
        <w:rPr>
          <w:rFonts w:hint="default" w:ascii="Times New Roman" w:hAnsi="Times New Roman" w:eastAsia="宋体" w:cs="Times New Roman"/>
          <w:color w:val="auto"/>
        </w:rPr>
        <w:t>评价区气候干热，</w:t>
      </w:r>
      <w:r>
        <w:rPr>
          <w:rFonts w:hint="default" w:ascii="Times New Roman" w:hAnsi="Times New Roman" w:eastAsia="宋体" w:cs="Times New Roman"/>
          <w:color w:val="auto"/>
          <w:szCs w:val="21"/>
        </w:rPr>
        <w:t>属于干热河谷灌丛植被亚型。</w:t>
      </w:r>
    </w:p>
    <w:p w14:paraId="3161B420">
      <w:pPr>
        <w:ind w:firstLine="480"/>
        <w:rPr>
          <w:rFonts w:hint="default" w:ascii="Times New Roman" w:hAnsi="Times New Roman" w:eastAsia="宋体" w:cs="Times New Roman"/>
          <w:color w:val="auto"/>
        </w:rPr>
      </w:pPr>
      <w:bookmarkStart w:id="83" w:name="_Toc186558958"/>
      <w:r>
        <w:rPr>
          <w:rFonts w:hint="default" w:ascii="Times New Roman" w:hAnsi="Times New Roman" w:eastAsia="宋体" w:cs="Times New Roman"/>
          <w:color w:val="auto"/>
        </w:rPr>
        <w:t>干热河谷灌丛</w:t>
      </w:r>
      <w:bookmarkEnd w:id="83"/>
    </w:p>
    <w:p w14:paraId="00BDE08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szCs w:val="21"/>
        </w:rPr>
        <w:t>云南的干热河谷灌丛是在各地深陷河谷底部的干热生境中形成的一类非地带性植被类型，群落面积通常不大，但是低矮、稀疏、分枝低而成丛状的外貌特征非常突出。评价区干热河谷灌丛仅调查到1个群系——</w:t>
      </w:r>
      <w:r>
        <w:rPr>
          <w:rFonts w:hint="default" w:ascii="Times New Roman" w:hAnsi="Times New Roman" w:eastAsia="宋体" w:cs="Times New Roman"/>
          <w:color w:val="auto"/>
        </w:rPr>
        <w:t>疏序黄荆+扭黄茅</w:t>
      </w:r>
      <w:r>
        <w:rPr>
          <w:rFonts w:hint="default" w:ascii="Times New Roman" w:hAnsi="Times New Roman" w:eastAsia="宋体" w:cs="Times New Roman"/>
          <w:color w:val="auto"/>
          <w:szCs w:val="21"/>
        </w:rPr>
        <w:t>群落。</w:t>
      </w:r>
    </w:p>
    <w:p w14:paraId="39EDB98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疏序黄荆+扭黄茅群落</w:t>
      </w:r>
    </w:p>
    <w:p w14:paraId="5DE4F1E2">
      <w:pPr>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主要分布在评价区海拔400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800m，石灰岩燥红壤，土层薄。多</w:t>
      </w:r>
      <w:r>
        <w:rPr>
          <w:rFonts w:hint="default" w:ascii="Times New Roman" w:hAnsi="Times New Roman" w:eastAsia="宋体" w:cs="Times New Roman"/>
          <w:color w:val="auto"/>
          <w:lang w:eastAsia="zh-CN"/>
        </w:rPr>
        <w:t>呈</w:t>
      </w:r>
      <w:r>
        <w:rPr>
          <w:rFonts w:hint="default" w:ascii="Times New Roman" w:hAnsi="Times New Roman" w:eastAsia="宋体" w:cs="Times New Roman"/>
          <w:color w:val="auto"/>
        </w:rPr>
        <w:t>连续的小片状分布。乔木层高3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6m，盖度约10%，有高度不足5m呈灌木状的厚皮树</w:t>
      </w:r>
      <w:r>
        <w:rPr>
          <w:rFonts w:hint="default" w:ascii="Times New Roman" w:hAnsi="Times New Roman" w:eastAsia="宋体" w:cs="Times New Roman"/>
          <w:i/>
          <w:color w:val="auto"/>
        </w:rPr>
        <w:t>Lannea coromandelica</w:t>
      </w:r>
      <w:r>
        <w:rPr>
          <w:rFonts w:hint="default" w:ascii="Times New Roman" w:hAnsi="Times New Roman" w:eastAsia="宋体" w:cs="Times New Roman"/>
          <w:color w:val="auto"/>
        </w:rPr>
        <w:t>、白头树</w:t>
      </w:r>
      <w:r>
        <w:rPr>
          <w:rFonts w:hint="default" w:ascii="Times New Roman" w:hAnsi="Times New Roman" w:eastAsia="宋体" w:cs="Times New Roman"/>
          <w:i/>
          <w:color w:val="auto"/>
        </w:rPr>
        <w:t>Garuga forrestii</w:t>
      </w:r>
      <w:r>
        <w:rPr>
          <w:rFonts w:hint="default" w:ascii="Times New Roman" w:hAnsi="Times New Roman" w:eastAsia="宋体" w:cs="Times New Roman"/>
          <w:color w:val="auto"/>
        </w:rPr>
        <w:t>、厚壳树</w:t>
      </w:r>
      <w:r>
        <w:rPr>
          <w:rFonts w:hint="default" w:ascii="Times New Roman" w:hAnsi="Times New Roman" w:eastAsia="宋体" w:cs="Times New Roman"/>
          <w:i/>
          <w:color w:val="auto"/>
        </w:rPr>
        <w:t>Ehretia acuminata</w:t>
      </w:r>
      <w:r>
        <w:rPr>
          <w:rFonts w:hint="default" w:ascii="Times New Roman" w:hAnsi="Times New Roman" w:eastAsia="宋体" w:cs="Times New Roman"/>
          <w:color w:val="auto"/>
        </w:rPr>
        <w:t>、灰布荆</w:t>
      </w:r>
      <w:r>
        <w:rPr>
          <w:rFonts w:hint="default" w:ascii="Times New Roman" w:hAnsi="Times New Roman" w:eastAsia="宋体" w:cs="Times New Roman"/>
          <w:i/>
          <w:color w:val="auto"/>
        </w:rPr>
        <w:t>Vitex canescens</w:t>
      </w:r>
      <w:r>
        <w:rPr>
          <w:rFonts w:hint="default" w:ascii="Times New Roman" w:hAnsi="Times New Roman" w:eastAsia="宋体" w:cs="Times New Roman"/>
          <w:color w:val="auto"/>
        </w:rPr>
        <w:t>、家麻树</w:t>
      </w:r>
      <w:r>
        <w:rPr>
          <w:rFonts w:hint="default" w:ascii="Times New Roman" w:hAnsi="Times New Roman" w:eastAsia="宋体" w:cs="Times New Roman"/>
          <w:i/>
          <w:color w:val="auto"/>
        </w:rPr>
        <w:t>Sterculia pexa</w:t>
      </w:r>
      <w:r>
        <w:rPr>
          <w:rFonts w:hint="default" w:ascii="Times New Roman" w:hAnsi="Times New Roman" w:eastAsia="宋体" w:cs="Times New Roman"/>
          <w:color w:val="auto"/>
        </w:rPr>
        <w:t>、蒙自合欢</w:t>
      </w:r>
      <w:r>
        <w:rPr>
          <w:rFonts w:hint="default" w:ascii="Times New Roman" w:hAnsi="Times New Roman" w:eastAsia="宋体" w:cs="Times New Roman"/>
          <w:i/>
          <w:color w:val="auto"/>
        </w:rPr>
        <w:t>Albizia bracteata</w:t>
      </w:r>
      <w:r>
        <w:rPr>
          <w:rFonts w:hint="default" w:ascii="Times New Roman" w:hAnsi="Times New Roman" w:eastAsia="宋体" w:cs="Times New Roman"/>
          <w:color w:val="auto"/>
        </w:rPr>
        <w:t>、朴树</w:t>
      </w:r>
      <w:r>
        <w:rPr>
          <w:rFonts w:hint="default" w:ascii="Times New Roman" w:hAnsi="Times New Roman" w:eastAsia="宋体" w:cs="Times New Roman"/>
          <w:i/>
          <w:color w:val="auto"/>
        </w:rPr>
        <w:t>Celtis sinensis</w:t>
      </w:r>
      <w:r>
        <w:rPr>
          <w:rFonts w:hint="default" w:ascii="Times New Roman" w:hAnsi="Times New Roman" w:eastAsia="宋体" w:cs="Times New Roman"/>
          <w:color w:val="auto"/>
        </w:rPr>
        <w:t>、总状花羊蹄甲</w:t>
      </w:r>
      <w:r>
        <w:rPr>
          <w:rFonts w:hint="default" w:ascii="Times New Roman" w:hAnsi="Times New Roman" w:eastAsia="宋体" w:cs="Times New Roman"/>
          <w:i/>
          <w:color w:val="auto"/>
        </w:rPr>
        <w:t>Bauhinia racemosa</w:t>
      </w:r>
      <w:r>
        <w:rPr>
          <w:rFonts w:hint="default" w:ascii="Times New Roman" w:hAnsi="Times New Roman" w:eastAsia="宋体" w:cs="Times New Roman"/>
          <w:color w:val="auto"/>
        </w:rPr>
        <w:t>等。</w:t>
      </w:r>
    </w:p>
    <w:p w14:paraId="450E62F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灌木层高1.5</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3m，盖度</w:t>
      </w:r>
      <w:r>
        <w:rPr>
          <w:rFonts w:hint="default" w:ascii="Times New Roman" w:hAnsi="Times New Roman" w:eastAsia="宋体" w:cs="Times New Roman"/>
          <w:color w:val="auto"/>
          <w:lang w:eastAsia="zh-CN"/>
        </w:rPr>
        <w:t>40%～60%</w:t>
      </w:r>
      <w:r>
        <w:rPr>
          <w:rFonts w:hint="default" w:ascii="Times New Roman" w:hAnsi="Times New Roman" w:eastAsia="宋体" w:cs="Times New Roman"/>
          <w:color w:val="auto"/>
        </w:rPr>
        <w:t>。以疏序黄荆</w:t>
      </w:r>
      <w:r>
        <w:rPr>
          <w:rFonts w:hint="default" w:ascii="Times New Roman" w:hAnsi="Times New Roman" w:eastAsia="宋体" w:cs="Times New Roman"/>
          <w:i/>
          <w:color w:val="auto"/>
        </w:rPr>
        <w:t>Vitex negundo</w:t>
      </w:r>
      <w:r>
        <w:rPr>
          <w:rFonts w:hint="default" w:ascii="Times New Roman" w:hAnsi="Times New Roman" w:eastAsia="宋体" w:cs="Times New Roman"/>
          <w:color w:val="auto"/>
        </w:rPr>
        <w:t>占优势，其他有老人皮、火绳树</w:t>
      </w:r>
      <w:r>
        <w:rPr>
          <w:rFonts w:hint="default" w:ascii="Times New Roman" w:hAnsi="Times New Roman" w:eastAsia="宋体" w:cs="Times New Roman"/>
          <w:i/>
          <w:color w:val="auto"/>
        </w:rPr>
        <w:t>Eriolaena spectabilis</w:t>
      </w:r>
      <w:r>
        <w:rPr>
          <w:rFonts w:hint="default" w:ascii="Times New Roman" w:hAnsi="Times New Roman" w:eastAsia="宋体" w:cs="Times New Roman"/>
          <w:color w:val="auto"/>
        </w:rPr>
        <w:t>、清香木</w:t>
      </w:r>
      <w:r>
        <w:rPr>
          <w:rFonts w:hint="default" w:ascii="Times New Roman" w:hAnsi="Times New Roman" w:eastAsia="宋体" w:cs="Times New Roman"/>
          <w:i/>
          <w:color w:val="auto"/>
        </w:rPr>
        <w:t>Pistacia weinmannifolia</w:t>
      </w:r>
      <w:r>
        <w:rPr>
          <w:rFonts w:hint="default" w:ascii="Times New Roman" w:hAnsi="Times New Roman" w:eastAsia="宋体" w:cs="Times New Roman"/>
          <w:color w:val="auto"/>
        </w:rPr>
        <w:t>、鞍叶羊蹄甲</w:t>
      </w:r>
      <w:r>
        <w:rPr>
          <w:rFonts w:hint="default" w:ascii="Times New Roman" w:hAnsi="Times New Roman" w:eastAsia="宋体" w:cs="Times New Roman"/>
          <w:i/>
          <w:color w:val="auto"/>
        </w:rPr>
        <w:t>Bauhinia brachycarpa</w:t>
      </w:r>
      <w:r>
        <w:rPr>
          <w:rFonts w:hint="default" w:ascii="Times New Roman" w:hAnsi="Times New Roman" w:eastAsia="宋体" w:cs="Times New Roman"/>
          <w:color w:val="auto"/>
        </w:rPr>
        <w:t>、黑面神</w:t>
      </w:r>
      <w:r>
        <w:rPr>
          <w:rFonts w:hint="default" w:ascii="Times New Roman" w:hAnsi="Times New Roman" w:eastAsia="宋体" w:cs="Times New Roman"/>
          <w:i/>
          <w:color w:val="auto"/>
        </w:rPr>
        <w:t>Breynia fruticosa</w:t>
      </w:r>
      <w:r>
        <w:rPr>
          <w:rFonts w:hint="default" w:ascii="Times New Roman" w:hAnsi="Times New Roman" w:eastAsia="宋体" w:cs="Times New Roman"/>
          <w:color w:val="auto"/>
        </w:rPr>
        <w:t>、小黄皮</w:t>
      </w:r>
      <w:r>
        <w:rPr>
          <w:rFonts w:hint="default" w:ascii="Times New Roman" w:hAnsi="Times New Roman" w:eastAsia="宋体" w:cs="Times New Roman"/>
          <w:i/>
          <w:color w:val="auto"/>
        </w:rPr>
        <w:t>Clausena emarginata</w:t>
      </w:r>
      <w:r>
        <w:rPr>
          <w:rFonts w:hint="default" w:ascii="Times New Roman" w:hAnsi="Times New Roman" w:eastAsia="宋体" w:cs="Times New Roman"/>
          <w:color w:val="auto"/>
        </w:rPr>
        <w:t>、黄毛荆</w:t>
      </w:r>
      <w:r>
        <w:rPr>
          <w:rFonts w:hint="default" w:ascii="Times New Roman" w:hAnsi="Times New Roman" w:eastAsia="宋体" w:cs="Times New Roman"/>
          <w:i/>
          <w:color w:val="auto"/>
        </w:rPr>
        <w:t>Vitex vestita</w:t>
      </w:r>
      <w:r>
        <w:rPr>
          <w:rFonts w:hint="default" w:ascii="Times New Roman" w:hAnsi="Times New Roman" w:eastAsia="宋体" w:cs="Times New Roman"/>
          <w:color w:val="auto"/>
        </w:rPr>
        <w:t>、假杜鹃</w:t>
      </w:r>
      <w:r>
        <w:rPr>
          <w:rFonts w:hint="default" w:ascii="Times New Roman" w:hAnsi="Times New Roman" w:eastAsia="宋体" w:cs="Times New Roman"/>
          <w:i/>
          <w:color w:val="auto"/>
        </w:rPr>
        <w:t>Barleria cristat</w:t>
      </w:r>
      <w:r>
        <w:rPr>
          <w:rFonts w:hint="default" w:ascii="Times New Roman" w:hAnsi="Times New Roman" w:eastAsia="宋体" w:cs="Times New Roman"/>
          <w:color w:val="auto"/>
        </w:rPr>
        <w:t>、白皮乌口树</w:t>
      </w:r>
      <w:r>
        <w:rPr>
          <w:rFonts w:hint="default" w:ascii="Times New Roman" w:hAnsi="Times New Roman" w:eastAsia="宋体" w:cs="Times New Roman"/>
          <w:i/>
          <w:color w:val="auto"/>
        </w:rPr>
        <w:t>Tarenna depauperata</w:t>
      </w:r>
      <w:r>
        <w:rPr>
          <w:rFonts w:hint="default" w:ascii="Times New Roman" w:hAnsi="Times New Roman" w:eastAsia="宋体" w:cs="Times New Roman"/>
          <w:color w:val="auto"/>
        </w:rPr>
        <w:t>、宿萼木</w:t>
      </w:r>
      <w:r>
        <w:rPr>
          <w:rFonts w:hint="default" w:ascii="Times New Roman" w:hAnsi="Times New Roman" w:eastAsia="宋体" w:cs="Times New Roman"/>
          <w:i/>
          <w:color w:val="auto"/>
        </w:rPr>
        <w:t>Strophioblachia fimbricalyx</w:t>
      </w:r>
      <w:r>
        <w:rPr>
          <w:rFonts w:hint="default" w:ascii="Times New Roman" w:hAnsi="Times New Roman" w:eastAsia="宋体" w:cs="Times New Roman"/>
          <w:color w:val="auto"/>
        </w:rPr>
        <w:t>、元江素馨</w:t>
      </w:r>
      <w:r>
        <w:rPr>
          <w:rFonts w:hint="default" w:ascii="Times New Roman" w:hAnsi="Times New Roman" w:eastAsia="宋体" w:cs="Times New Roman"/>
          <w:i/>
          <w:color w:val="auto"/>
        </w:rPr>
        <w:t>Jasminum yuanjiangense</w:t>
      </w:r>
      <w:r>
        <w:rPr>
          <w:rFonts w:hint="default" w:ascii="Times New Roman" w:hAnsi="Times New Roman" w:eastAsia="宋体" w:cs="Times New Roman"/>
          <w:color w:val="auto"/>
        </w:rPr>
        <w:t>。</w:t>
      </w:r>
    </w:p>
    <w:p w14:paraId="1E710C9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草本层高0.7</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1.2m，盖度</w:t>
      </w:r>
      <w:r>
        <w:rPr>
          <w:rFonts w:hint="default" w:ascii="Times New Roman" w:hAnsi="Times New Roman" w:eastAsia="宋体" w:cs="Times New Roman"/>
          <w:color w:val="auto"/>
          <w:lang w:eastAsia="zh-CN"/>
        </w:rPr>
        <w:t>40%～60%</w:t>
      </w:r>
      <w:r>
        <w:rPr>
          <w:rFonts w:hint="default" w:ascii="Times New Roman" w:hAnsi="Times New Roman" w:eastAsia="宋体" w:cs="Times New Roman"/>
          <w:color w:val="auto"/>
        </w:rPr>
        <w:t>，优势种扭黄茅</w:t>
      </w:r>
      <w:r>
        <w:rPr>
          <w:rFonts w:hint="default" w:ascii="Times New Roman" w:hAnsi="Times New Roman" w:eastAsia="宋体" w:cs="Times New Roman"/>
          <w:i/>
          <w:color w:val="auto"/>
        </w:rPr>
        <w:t>Heteropogon contortus</w:t>
      </w:r>
      <w:r>
        <w:rPr>
          <w:rFonts w:hint="default" w:ascii="Times New Roman" w:hAnsi="Times New Roman" w:eastAsia="宋体" w:cs="Times New Roman"/>
          <w:color w:val="auto"/>
        </w:rPr>
        <w:t>。其他有多枝臂形草</w:t>
      </w:r>
      <w:r>
        <w:rPr>
          <w:rFonts w:hint="default" w:ascii="Times New Roman" w:hAnsi="Times New Roman" w:eastAsia="宋体" w:cs="Times New Roman"/>
          <w:i/>
          <w:color w:val="auto"/>
        </w:rPr>
        <w:t>Brachiaria ramosa</w:t>
      </w:r>
      <w:r>
        <w:rPr>
          <w:rFonts w:hint="default" w:ascii="Times New Roman" w:hAnsi="Times New Roman" w:eastAsia="宋体" w:cs="Times New Roman"/>
          <w:color w:val="auto"/>
        </w:rPr>
        <w:t>、飞扬草</w:t>
      </w:r>
      <w:r>
        <w:rPr>
          <w:rFonts w:hint="default" w:ascii="Times New Roman" w:hAnsi="Times New Roman" w:eastAsia="宋体" w:cs="Times New Roman"/>
          <w:i/>
          <w:color w:val="auto"/>
        </w:rPr>
        <w:t>Euphorbia hirta</w:t>
      </w:r>
      <w:r>
        <w:rPr>
          <w:rFonts w:hint="default" w:ascii="Times New Roman" w:hAnsi="Times New Roman" w:eastAsia="宋体" w:cs="Times New Roman"/>
          <w:color w:val="auto"/>
        </w:rPr>
        <w:t>、红毛旋蒴苣苔</w:t>
      </w:r>
      <w:r>
        <w:rPr>
          <w:rFonts w:hint="default" w:ascii="Times New Roman" w:hAnsi="Times New Roman" w:eastAsia="宋体" w:cs="Times New Roman"/>
          <w:i/>
          <w:color w:val="auto"/>
        </w:rPr>
        <w:t>Paraboea rufesens</w:t>
      </w:r>
      <w:r>
        <w:rPr>
          <w:rFonts w:hint="default" w:ascii="Times New Roman" w:hAnsi="Times New Roman" w:eastAsia="宋体" w:cs="Times New Roman"/>
          <w:color w:val="auto"/>
        </w:rPr>
        <w:t>、黄细心</w:t>
      </w:r>
      <w:r>
        <w:rPr>
          <w:rFonts w:hint="default" w:ascii="Times New Roman" w:hAnsi="Times New Roman" w:eastAsia="宋体" w:cs="Times New Roman"/>
          <w:i/>
          <w:color w:val="auto"/>
        </w:rPr>
        <w:t>Boerhavia diffusa</w:t>
      </w:r>
      <w:r>
        <w:rPr>
          <w:rFonts w:hint="default" w:ascii="Times New Roman" w:hAnsi="Times New Roman" w:eastAsia="宋体" w:cs="Times New Roman"/>
          <w:color w:val="auto"/>
        </w:rPr>
        <w:t>、九叶木蓝</w:t>
      </w:r>
      <w:r>
        <w:rPr>
          <w:rFonts w:hint="default" w:ascii="Times New Roman" w:hAnsi="Times New Roman" w:eastAsia="宋体" w:cs="Times New Roman"/>
          <w:i/>
          <w:color w:val="auto"/>
        </w:rPr>
        <w:t>Indigofera linnaei</w:t>
      </w:r>
      <w:r>
        <w:rPr>
          <w:rFonts w:hint="default" w:ascii="Times New Roman" w:hAnsi="Times New Roman" w:eastAsia="宋体" w:cs="Times New Roman"/>
          <w:color w:val="auto"/>
        </w:rPr>
        <w:t>、石蝴蝶</w:t>
      </w:r>
      <w:r>
        <w:rPr>
          <w:rFonts w:hint="default" w:ascii="Times New Roman" w:hAnsi="Times New Roman" w:eastAsia="宋体" w:cs="Times New Roman"/>
          <w:i/>
          <w:color w:val="auto"/>
        </w:rPr>
        <w:t>Petrocosmea cluclaxii</w:t>
      </w:r>
      <w:r>
        <w:rPr>
          <w:rFonts w:hint="default" w:ascii="Times New Roman" w:hAnsi="Times New Roman" w:eastAsia="宋体" w:cs="Times New Roman"/>
          <w:color w:val="auto"/>
        </w:rPr>
        <w:t>、疏穗野</w:t>
      </w:r>
      <w:r>
        <w:rPr>
          <w:rFonts w:hint="default" w:ascii="Times New Roman" w:hAnsi="Times New Roman" w:eastAsia="宋体" w:cs="Times New Roman"/>
          <w:color w:val="auto"/>
          <w:lang w:eastAsia="zh-CN"/>
        </w:rPr>
        <w:t>荞麦</w:t>
      </w:r>
      <w:r>
        <w:rPr>
          <w:rFonts w:hint="default" w:ascii="Times New Roman" w:hAnsi="Times New Roman" w:eastAsia="宋体" w:cs="Times New Roman"/>
          <w:i/>
          <w:color w:val="auto"/>
        </w:rPr>
        <w:t>Fagopyrum caudatum</w:t>
      </w:r>
      <w:r>
        <w:rPr>
          <w:rFonts w:hint="default" w:ascii="Times New Roman" w:hAnsi="Times New Roman" w:eastAsia="宋体" w:cs="Times New Roman"/>
          <w:color w:val="auto"/>
        </w:rPr>
        <w:t>、穗状香薷</w:t>
      </w:r>
      <w:r>
        <w:rPr>
          <w:rFonts w:hint="default" w:ascii="Times New Roman" w:hAnsi="Times New Roman" w:eastAsia="宋体" w:cs="Times New Roman"/>
          <w:i/>
          <w:color w:val="auto"/>
        </w:rPr>
        <w:t>Elsholtzia stachyodes</w:t>
      </w:r>
      <w:r>
        <w:rPr>
          <w:rFonts w:hint="default" w:ascii="Times New Roman" w:hAnsi="Times New Roman" w:eastAsia="宋体" w:cs="Times New Roman"/>
          <w:color w:val="auto"/>
        </w:rPr>
        <w:t>、土丁桂</w:t>
      </w:r>
      <w:r>
        <w:rPr>
          <w:rFonts w:hint="default" w:ascii="Times New Roman" w:hAnsi="Times New Roman" w:eastAsia="宋体" w:cs="Times New Roman"/>
          <w:i/>
          <w:color w:val="auto"/>
        </w:rPr>
        <w:t>Evolvulus alsinoides</w:t>
      </w:r>
      <w:r>
        <w:rPr>
          <w:rFonts w:hint="default" w:ascii="Times New Roman" w:hAnsi="Times New Roman" w:eastAsia="宋体" w:cs="Times New Roman"/>
          <w:color w:val="auto"/>
        </w:rPr>
        <w:t>、香薷</w:t>
      </w:r>
      <w:r>
        <w:rPr>
          <w:rFonts w:hint="default" w:ascii="Times New Roman" w:hAnsi="Times New Roman" w:eastAsia="宋体" w:cs="Times New Roman"/>
          <w:i/>
          <w:color w:val="auto"/>
        </w:rPr>
        <w:t>Elsholtzia ciliata</w:t>
      </w:r>
      <w:r>
        <w:rPr>
          <w:rFonts w:hint="default" w:ascii="Times New Roman" w:hAnsi="Times New Roman" w:eastAsia="宋体" w:cs="Times New Roman"/>
          <w:color w:val="auto"/>
        </w:rPr>
        <w:t>、小牵牛</w:t>
      </w:r>
      <w:r>
        <w:rPr>
          <w:rFonts w:hint="default" w:ascii="Times New Roman" w:hAnsi="Times New Roman" w:eastAsia="宋体" w:cs="Times New Roman"/>
          <w:i/>
          <w:color w:val="auto"/>
        </w:rPr>
        <w:t>Jacquemontia paniculata</w:t>
      </w:r>
      <w:r>
        <w:rPr>
          <w:rFonts w:hint="default" w:ascii="Times New Roman" w:hAnsi="Times New Roman" w:eastAsia="宋体" w:cs="Times New Roman"/>
          <w:color w:val="auto"/>
        </w:rPr>
        <w:t>、叶下珠</w:t>
      </w:r>
      <w:r>
        <w:rPr>
          <w:rFonts w:hint="default" w:ascii="Times New Roman" w:hAnsi="Times New Roman" w:eastAsia="宋体" w:cs="Times New Roman"/>
          <w:i/>
          <w:color w:val="auto"/>
        </w:rPr>
        <w:t>Phyllanthus ruinaria</w:t>
      </w:r>
      <w:r>
        <w:rPr>
          <w:rFonts w:hint="default" w:ascii="Times New Roman" w:hAnsi="Times New Roman" w:eastAsia="宋体" w:cs="Times New Roman"/>
          <w:color w:val="auto"/>
        </w:rPr>
        <w:t>、羽芒菊</w:t>
      </w:r>
      <w:r>
        <w:rPr>
          <w:rFonts w:hint="default" w:ascii="Times New Roman" w:hAnsi="Times New Roman" w:eastAsia="宋体" w:cs="Times New Roman"/>
          <w:i/>
          <w:color w:val="auto"/>
        </w:rPr>
        <w:t>Tridax procumbens</w:t>
      </w:r>
      <w:r>
        <w:rPr>
          <w:rFonts w:hint="default" w:ascii="Times New Roman" w:hAnsi="Times New Roman" w:eastAsia="宋体" w:cs="Times New Roman"/>
          <w:color w:val="auto"/>
        </w:rPr>
        <w:t>、芸香草</w:t>
      </w:r>
      <w:r>
        <w:rPr>
          <w:rFonts w:hint="default" w:ascii="Times New Roman" w:hAnsi="Times New Roman" w:eastAsia="宋体" w:cs="Times New Roman"/>
          <w:i/>
          <w:color w:val="auto"/>
        </w:rPr>
        <w:t>Cymbopogon distans</w:t>
      </w:r>
      <w:r>
        <w:rPr>
          <w:rFonts w:hint="default" w:ascii="Times New Roman" w:hAnsi="Times New Roman" w:eastAsia="宋体" w:cs="Times New Roman"/>
          <w:color w:val="auto"/>
        </w:rPr>
        <w:t>、蔗茅</w:t>
      </w:r>
      <w:r>
        <w:rPr>
          <w:rFonts w:hint="default" w:ascii="Times New Roman" w:hAnsi="Times New Roman" w:eastAsia="宋体" w:cs="Times New Roman"/>
          <w:i/>
          <w:color w:val="auto"/>
        </w:rPr>
        <w:t>Erianthus rufipilus</w:t>
      </w:r>
      <w:r>
        <w:rPr>
          <w:rFonts w:hint="default" w:ascii="Times New Roman" w:hAnsi="Times New Roman" w:eastAsia="宋体" w:cs="Times New Roman"/>
          <w:color w:val="auto"/>
        </w:rPr>
        <w:t>、竹节草</w:t>
      </w:r>
      <w:r>
        <w:rPr>
          <w:rFonts w:hint="default" w:ascii="Times New Roman" w:hAnsi="Times New Roman" w:eastAsia="宋体" w:cs="Times New Roman"/>
          <w:i/>
          <w:color w:val="auto"/>
        </w:rPr>
        <w:t>Commelina diffusa</w:t>
      </w:r>
      <w:r>
        <w:rPr>
          <w:rFonts w:hint="default" w:ascii="Times New Roman" w:hAnsi="Times New Roman" w:eastAsia="宋体" w:cs="Times New Roman"/>
          <w:color w:val="auto"/>
        </w:rPr>
        <w:t>。</w:t>
      </w:r>
    </w:p>
    <w:p w14:paraId="1F35D78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层间植物有翅果藤</w:t>
      </w:r>
      <w:r>
        <w:rPr>
          <w:rFonts w:hint="default" w:ascii="Times New Roman" w:hAnsi="Times New Roman" w:eastAsia="宋体" w:cs="Times New Roman"/>
          <w:i/>
          <w:color w:val="auto"/>
        </w:rPr>
        <w:t>Myriopteron extensum</w:t>
      </w:r>
      <w:r>
        <w:rPr>
          <w:rFonts w:hint="default" w:ascii="Times New Roman" w:hAnsi="Times New Roman" w:eastAsia="宋体" w:cs="Times New Roman"/>
          <w:color w:val="auto"/>
        </w:rPr>
        <w:t>、虫豆</w:t>
      </w:r>
      <w:r>
        <w:rPr>
          <w:rFonts w:hint="default" w:ascii="Times New Roman" w:hAnsi="Times New Roman" w:eastAsia="宋体" w:cs="Times New Roman"/>
          <w:i/>
          <w:color w:val="auto"/>
        </w:rPr>
        <w:t>Cajanus crassus</w:t>
      </w:r>
      <w:r>
        <w:rPr>
          <w:rFonts w:hint="default" w:ascii="Times New Roman" w:hAnsi="Times New Roman" w:eastAsia="宋体" w:cs="Times New Roman"/>
          <w:color w:val="auto"/>
        </w:rPr>
        <w:t>、飞蛾藤</w:t>
      </w:r>
      <w:r>
        <w:rPr>
          <w:rFonts w:hint="default" w:ascii="Times New Roman" w:hAnsi="Times New Roman" w:eastAsia="宋体" w:cs="Times New Roman"/>
          <w:i/>
          <w:color w:val="auto"/>
        </w:rPr>
        <w:t>Porana sp</w:t>
      </w:r>
      <w:r>
        <w:rPr>
          <w:rFonts w:hint="default" w:ascii="Times New Roman" w:hAnsi="Times New Roman" w:eastAsia="宋体" w:cs="Times New Roman"/>
          <w:i/>
          <w:color w:val="auto"/>
          <w:lang w:eastAsia="zh-CN"/>
        </w:rPr>
        <w:t>.</w:t>
      </w:r>
      <w:r>
        <w:rPr>
          <w:rFonts w:hint="default" w:ascii="Times New Roman" w:hAnsi="Times New Roman" w:eastAsia="宋体" w:cs="Times New Roman"/>
          <w:color w:val="auto"/>
        </w:rPr>
        <w:t>假蓝叶藤</w:t>
      </w:r>
      <w:r>
        <w:rPr>
          <w:rFonts w:hint="default" w:ascii="Times New Roman" w:hAnsi="Times New Roman" w:eastAsia="宋体" w:cs="Times New Roman"/>
          <w:i/>
          <w:color w:val="auto"/>
        </w:rPr>
        <w:t>Marsdenia pseudotinctoria</w:t>
      </w:r>
      <w:r>
        <w:rPr>
          <w:rFonts w:hint="default" w:ascii="Times New Roman" w:hAnsi="Times New Roman" w:eastAsia="宋体" w:cs="Times New Roman"/>
          <w:color w:val="auto"/>
        </w:rPr>
        <w:t>、蛇藤</w:t>
      </w:r>
      <w:r>
        <w:rPr>
          <w:rFonts w:hint="default" w:ascii="Times New Roman" w:hAnsi="Times New Roman" w:eastAsia="宋体" w:cs="Times New Roman"/>
          <w:i/>
          <w:color w:val="auto"/>
        </w:rPr>
        <w:t>Acacia pennata</w:t>
      </w:r>
      <w:r>
        <w:rPr>
          <w:rFonts w:hint="default" w:ascii="Times New Roman" w:hAnsi="Times New Roman" w:eastAsia="宋体" w:cs="Times New Roman"/>
          <w:color w:val="auto"/>
        </w:rPr>
        <w:t>、台湾乳豆</w:t>
      </w:r>
      <w:r>
        <w:rPr>
          <w:rFonts w:hint="default" w:ascii="Times New Roman" w:hAnsi="Times New Roman" w:eastAsia="宋体" w:cs="Times New Roman"/>
          <w:i/>
          <w:color w:val="auto"/>
        </w:rPr>
        <w:t>Galactia formosana</w:t>
      </w:r>
      <w:r>
        <w:rPr>
          <w:rFonts w:hint="default" w:ascii="Times New Roman" w:hAnsi="Times New Roman" w:eastAsia="宋体" w:cs="Times New Roman"/>
          <w:color w:val="auto"/>
        </w:rPr>
        <w:t>、相思子</w:t>
      </w:r>
      <w:r>
        <w:rPr>
          <w:rFonts w:hint="default" w:ascii="Times New Roman" w:hAnsi="Times New Roman" w:eastAsia="宋体" w:cs="Times New Roman"/>
          <w:i/>
          <w:color w:val="auto"/>
        </w:rPr>
        <w:t>Abrus precatorius</w:t>
      </w:r>
      <w:r>
        <w:rPr>
          <w:rFonts w:hint="default" w:ascii="Times New Roman" w:hAnsi="Times New Roman" w:eastAsia="宋体" w:cs="Times New Roman"/>
          <w:color w:val="auto"/>
        </w:rPr>
        <w:t>、小心叶薯</w:t>
      </w:r>
      <w:r>
        <w:rPr>
          <w:rFonts w:hint="default" w:ascii="Times New Roman" w:hAnsi="Times New Roman" w:eastAsia="宋体" w:cs="Times New Roman"/>
          <w:i/>
          <w:color w:val="auto"/>
        </w:rPr>
        <w:t>Ipomoea obscura</w:t>
      </w:r>
      <w:r>
        <w:rPr>
          <w:rFonts w:hint="default" w:ascii="Times New Roman" w:hAnsi="Times New Roman" w:eastAsia="宋体" w:cs="Times New Roman"/>
          <w:color w:val="auto"/>
        </w:rPr>
        <w:t>、土密藤</w:t>
      </w:r>
      <w:r>
        <w:rPr>
          <w:rFonts w:hint="default" w:ascii="Times New Roman" w:hAnsi="Times New Roman" w:eastAsia="宋体" w:cs="Times New Roman"/>
          <w:i/>
          <w:color w:val="auto"/>
        </w:rPr>
        <w:t>Bridelia stipularis</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rPr>
        <w:t>黑珠芽薯蓣</w:t>
      </w:r>
      <w:r>
        <w:rPr>
          <w:rFonts w:hint="default" w:ascii="Times New Roman" w:hAnsi="Times New Roman" w:eastAsia="宋体" w:cs="Times New Roman"/>
          <w:i/>
          <w:color w:val="auto"/>
        </w:rPr>
        <w:t>Dioscorea melanophyma</w:t>
      </w:r>
      <w:r>
        <w:rPr>
          <w:rFonts w:hint="default" w:ascii="Times New Roman" w:hAnsi="Times New Roman" w:eastAsia="宋体" w:cs="Times New Roman"/>
          <w:color w:val="auto"/>
        </w:rPr>
        <w:t>。</w:t>
      </w:r>
    </w:p>
    <w:p w14:paraId="3E65A367">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w:t>
      </w:r>
      <w:r>
        <w:rPr>
          <w:rFonts w:hint="default" w:ascii="Times New Roman" w:hAnsi="Times New Roman" w:eastAsia="宋体" w:cs="Times New Roman"/>
          <w:color w:val="auto"/>
        </w:rPr>
        <w:t>稀树灌木草丛</w:t>
      </w:r>
    </w:p>
    <w:p w14:paraId="2D7D073F">
      <w:pPr>
        <w:ind w:firstLine="480"/>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稀树灌木草丛是指在热带</w:t>
      </w:r>
      <w:r>
        <w:rPr>
          <w:rFonts w:hint="default" w:ascii="Times New Roman" w:hAnsi="Times New Roman" w:eastAsia="宋体" w:cs="Times New Roman"/>
          <w:color w:val="auto"/>
          <w:szCs w:val="21"/>
        </w:rPr>
        <w:t>、亚热带干旱气候条件下，以草本为主，零星分布乔木和灌木的植物群落。其重要特征是以广泛分布于亚热带的多年生丛生禾草为主，一般较高大粗壮。除禾草外，其他草本种类、乔木、灌木种类都是当地次生林或次生灌丛中的种类，都具有喜阳耐旱特征，在耐土壤贫瘠、耐放牧、耐践踏、耐火烧、萌发力强等方面，都有相似之处。</w:t>
      </w:r>
    </w:p>
    <w:p w14:paraId="106DE77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干热性稀树灌木草丛</w:t>
      </w:r>
    </w:p>
    <w:p w14:paraId="69A433D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szCs w:val="21"/>
        </w:rPr>
        <w:t>元江干热河谷是我国最典型的干热河谷类型</w:t>
      </w:r>
      <w:r>
        <w:rPr>
          <w:rFonts w:hint="default" w:ascii="Times New Roman" w:hAnsi="Times New Roman" w:eastAsia="宋体" w:cs="Times New Roman"/>
          <w:color w:val="auto"/>
          <w:szCs w:val="21"/>
        </w:rPr>
        <w:t>，在此发育的河谷型萨王纳植被也是我国西南地区同类植被中最典型的类型。评价区的干热性稀树灌木草丛</w:t>
      </w:r>
      <w:r>
        <w:rPr>
          <w:rFonts w:hint="default" w:ascii="Times New Roman" w:hAnsi="Times New Roman" w:eastAsia="宋体" w:cs="Times New Roman"/>
          <w:color w:val="auto"/>
          <w:kern w:val="0"/>
          <w:szCs w:val="21"/>
        </w:rPr>
        <w:t>分布在低海拔河谷区域。</w:t>
      </w:r>
      <w:r>
        <w:rPr>
          <w:rFonts w:hint="default" w:ascii="Times New Roman" w:hAnsi="Times New Roman" w:eastAsia="宋体" w:cs="Times New Roman"/>
          <w:color w:val="auto"/>
          <w:szCs w:val="21"/>
        </w:rPr>
        <w:t>群落以草本为主，其盖度常达80%以上。灌木和乔木分散生长，树木之间的距离都大，高度一般10m以下（个别可达15m），树干粗壮而弯曲，树皮粗厚，树冠呈球形或伞形。</w:t>
      </w:r>
    </w:p>
    <w:p w14:paraId="2F19EC8E">
      <w:pPr>
        <w:ind w:firstLine="480"/>
        <w:rPr>
          <w:rFonts w:hint="default" w:ascii="Times New Roman" w:hAnsi="Times New Roman" w:eastAsia="宋体" w:cs="Times New Roman"/>
          <w:bCs/>
          <w:color w:val="auto"/>
          <w:kern w:val="0"/>
          <w:szCs w:val="21"/>
        </w:rPr>
      </w:pPr>
      <w:r>
        <w:rPr>
          <w:rFonts w:hint="default" w:ascii="Times New Roman" w:hAnsi="Times New Roman" w:eastAsia="宋体" w:cs="Times New Roman"/>
          <w:color w:val="auto"/>
          <w:kern w:val="0"/>
          <w:szCs w:val="21"/>
        </w:rPr>
        <w:t>厚皮树+五节芒群落</w:t>
      </w:r>
    </w:p>
    <w:p w14:paraId="5D95FA6C">
      <w:pPr>
        <w:ind w:firstLine="480"/>
        <w:rPr>
          <w:rFonts w:hint="default" w:ascii="Times New Roman" w:hAnsi="Times New Roman" w:eastAsia="宋体" w:cs="Times New Roman"/>
          <w:color w:val="auto"/>
          <w:szCs w:val="21"/>
        </w:rPr>
      </w:pPr>
      <w:r>
        <w:rPr>
          <w:rFonts w:hint="default" w:ascii="Times New Roman" w:hAnsi="Times New Roman" w:eastAsia="宋体" w:cs="Times New Roman"/>
          <w:color w:val="auto"/>
          <w:kern w:val="0"/>
          <w:szCs w:val="21"/>
        </w:rPr>
        <w:t>该群落以耐干热的乔木树种厚皮树和耐干热的灌木疏序黄为特征，区域</w:t>
      </w:r>
      <w:r>
        <w:rPr>
          <w:rFonts w:hint="default" w:ascii="Times New Roman" w:hAnsi="Times New Roman" w:eastAsia="宋体" w:cs="Times New Roman"/>
          <w:color w:val="auto"/>
        </w:rPr>
        <w:t>土壤条件较差而且含砂砾较多。</w:t>
      </w:r>
    </w:p>
    <w:p w14:paraId="365B1E95">
      <w:pPr>
        <w:ind w:firstLine="480"/>
        <w:rPr>
          <w:rFonts w:hint="default" w:ascii="Times New Roman" w:hAnsi="Times New Roman" w:eastAsia="宋体" w:cs="Times New Roman"/>
          <w:iCs/>
          <w:color w:val="auto"/>
          <w:szCs w:val="21"/>
        </w:rPr>
      </w:pPr>
      <w:r>
        <w:rPr>
          <w:rFonts w:hint="default" w:ascii="Times New Roman" w:hAnsi="Times New Roman" w:eastAsia="宋体" w:cs="Times New Roman"/>
          <w:bCs/>
          <w:color w:val="auto"/>
          <w:szCs w:val="21"/>
        </w:rPr>
        <w:t>乔木层</w:t>
      </w:r>
      <w:r>
        <w:rPr>
          <w:rFonts w:hint="default" w:ascii="Times New Roman" w:hAnsi="Times New Roman" w:eastAsia="宋体" w:cs="Times New Roman"/>
          <w:color w:val="auto"/>
          <w:szCs w:val="21"/>
        </w:rPr>
        <w:t>平均高6m，</w:t>
      </w:r>
      <w:r>
        <w:rPr>
          <w:rFonts w:hint="default" w:ascii="Times New Roman" w:hAnsi="Times New Roman" w:eastAsia="宋体" w:cs="Times New Roman"/>
          <w:bCs/>
          <w:color w:val="auto"/>
          <w:szCs w:val="21"/>
        </w:rPr>
        <w:t>盖度20%。由</w:t>
      </w:r>
      <w:r>
        <w:rPr>
          <w:rFonts w:hint="default" w:ascii="Times New Roman" w:hAnsi="Times New Roman" w:eastAsia="宋体" w:cs="Times New Roman"/>
          <w:color w:val="auto"/>
          <w:szCs w:val="21"/>
        </w:rPr>
        <w:t>厚皮树</w:t>
      </w:r>
      <w:r>
        <w:rPr>
          <w:rFonts w:hint="default" w:ascii="Times New Roman" w:hAnsi="Times New Roman" w:eastAsia="宋体" w:cs="Times New Roman"/>
          <w:i/>
          <w:color w:val="auto"/>
          <w:szCs w:val="21"/>
        </w:rPr>
        <w:t>Lannea coromandelica</w:t>
      </w:r>
      <w:r>
        <w:rPr>
          <w:rFonts w:hint="default" w:ascii="Times New Roman" w:hAnsi="Times New Roman" w:eastAsia="宋体" w:cs="Times New Roman"/>
          <w:color w:val="auto"/>
          <w:szCs w:val="21"/>
        </w:rPr>
        <w:t>、川楝</w:t>
      </w:r>
      <w:r>
        <w:rPr>
          <w:rFonts w:hint="default" w:ascii="Times New Roman" w:hAnsi="Times New Roman" w:eastAsia="宋体" w:cs="Times New Roman"/>
          <w:i/>
          <w:color w:val="auto"/>
          <w:szCs w:val="21"/>
        </w:rPr>
        <w:t>Melia toosenden</w:t>
      </w:r>
      <w:r>
        <w:rPr>
          <w:rFonts w:hint="default" w:ascii="Times New Roman" w:hAnsi="Times New Roman" w:eastAsia="宋体" w:cs="Times New Roman"/>
          <w:iCs/>
          <w:color w:val="auto"/>
          <w:szCs w:val="21"/>
        </w:rPr>
        <w:t>等落叶乔木构成。</w:t>
      </w:r>
    </w:p>
    <w:p w14:paraId="5E2611AB">
      <w:pPr>
        <w:ind w:firstLine="480"/>
        <w:rPr>
          <w:rFonts w:hint="default" w:ascii="Times New Roman" w:hAnsi="Times New Roman" w:eastAsia="宋体" w:cs="Times New Roman"/>
          <w:color w:val="auto"/>
          <w:szCs w:val="21"/>
        </w:rPr>
      </w:pPr>
      <w:r>
        <w:rPr>
          <w:rFonts w:hint="default" w:ascii="Times New Roman" w:hAnsi="Times New Roman" w:eastAsia="宋体" w:cs="Times New Roman"/>
          <w:color w:val="auto"/>
        </w:rPr>
        <w:t>灌木层平均高1m，盖度20%，常见疏序黄荆</w:t>
      </w:r>
      <w:r>
        <w:rPr>
          <w:rFonts w:hint="default" w:ascii="Times New Roman" w:hAnsi="Times New Roman" w:eastAsia="宋体" w:cs="Times New Roman"/>
          <w:i/>
          <w:color w:val="auto"/>
          <w:szCs w:val="21"/>
        </w:rPr>
        <w:t xml:space="preserve">Vitex negundo </w:t>
      </w:r>
      <w:r>
        <w:rPr>
          <w:rFonts w:hint="default" w:ascii="Times New Roman" w:hAnsi="Times New Roman" w:eastAsia="宋体" w:cs="Times New Roman"/>
          <w:color w:val="auto"/>
          <w:szCs w:val="21"/>
        </w:rPr>
        <w:t>f.</w:t>
      </w:r>
      <w:r>
        <w:rPr>
          <w:rFonts w:hint="default" w:ascii="Times New Roman" w:hAnsi="Times New Roman" w:eastAsia="宋体" w:cs="Times New Roman"/>
          <w:i/>
          <w:color w:val="auto"/>
          <w:szCs w:val="21"/>
        </w:rPr>
        <w:t xml:space="preserve"> laxipaniculata</w:t>
      </w:r>
      <w:r>
        <w:rPr>
          <w:rFonts w:hint="default" w:ascii="Times New Roman" w:hAnsi="Times New Roman" w:eastAsia="宋体" w:cs="Times New Roman"/>
          <w:iCs/>
          <w:color w:val="auto"/>
          <w:szCs w:val="21"/>
        </w:rPr>
        <w:t>、</w:t>
      </w:r>
      <w:r>
        <w:rPr>
          <w:rFonts w:hint="default" w:ascii="Times New Roman" w:hAnsi="Times New Roman" w:eastAsia="宋体" w:cs="Times New Roman"/>
          <w:color w:val="auto"/>
          <w:szCs w:val="21"/>
        </w:rPr>
        <w:t>茸毛木蓝</w:t>
      </w:r>
      <w:r>
        <w:rPr>
          <w:rFonts w:hint="default" w:ascii="Times New Roman" w:hAnsi="Times New Roman" w:eastAsia="宋体" w:cs="Times New Roman"/>
          <w:i/>
          <w:color w:val="auto"/>
          <w:szCs w:val="21"/>
        </w:rPr>
        <w:t>Indigofera stachyodes</w:t>
      </w:r>
      <w:r>
        <w:rPr>
          <w:rFonts w:hint="default" w:ascii="Times New Roman" w:hAnsi="Times New Roman" w:eastAsia="宋体" w:cs="Times New Roman"/>
          <w:color w:val="auto"/>
          <w:szCs w:val="21"/>
        </w:rPr>
        <w:t>、余甘子</w:t>
      </w:r>
      <w:r>
        <w:rPr>
          <w:rFonts w:hint="default" w:ascii="Times New Roman" w:hAnsi="Times New Roman" w:eastAsia="宋体" w:cs="Times New Roman"/>
          <w:i/>
          <w:color w:val="auto"/>
          <w:szCs w:val="21"/>
        </w:rPr>
        <w:t>Phyllanthus emblica</w:t>
      </w:r>
      <w:r>
        <w:rPr>
          <w:rFonts w:hint="default" w:ascii="Times New Roman" w:hAnsi="Times New Roman" w:eastAsia="宋体" w:cs="Times New Roman"/>
          <w:color w:val="auto"/>
          <w:szCs w:val="21"/>
        </w:rPr>
        <w:t>、黏毛黄花稔</w:t>
      </w:r>
      <w:r>
        <w:rPr>
          <w:rFonts w:hint="default" w:ascii="Times New Roman" w:hAnsi="Times New Roman" w:eastAsia="宋体" w:cs="Times New Roman"/>
          <w:i/>
          <w:color w:val="auto"/>
          <w:szCs w:val="21"/>
        </w:rPr>
        <w:t>sida mysorensis</w:t>
      </w:r>
      <w:r>
        <w:rPr>
          <w:rFonts w:hint="default" w:ascii="Times New Roman" w:hAnsi="Times New Roman" w:eastAsia="宋体" w:cs="Times New Roman"/>
          <w:color w:val="auto"/>
          <w:szCs w:val="21"/>
        </w:rPr>
        <w:t>和磨盘草</w:t>
      </w:r>
      <w:r>
        <w:rPr>
          <w:rFonts w:hint="default" w:ascii="Times New Roman" w:hAnsi="Times New Roman" w:eastAsia="宋体" w:cs="Times New Roman"/>
          <w:i/>
          <w:color w:val="auto"/>
          <w:szCs w:val="21"/>
        </w:rPr>
        <w:t>Abutilon indicum</w:t>
      </w:r>
      <w:r>
        <w:rPr>
          <w:rFonts w:hint="default" w:ascii="Times New Roman" w:hAnsi="Times New Roman" w:eastAsia="宋体" w:cs="Times New Roman"/>
          <w:color w:val="auto"/>
          <w:szCs w:val="21"/>
        </w:rPr>
        <w:t>。</w:t>
      </w:r>
    </w:p>
    <w:p w14:paraId="0CD55F4A">
      <w:pPr>
        <w:ind w:firstLine="480"/>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草本层高0.4</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2m，</w:t>
      </w:r>
      <w:r>
        <w:rPr>
          <w:rFonts w:hint="default" w:ascii="Times New Roman" w:hAnsi="Times New Roman" w:eastAsia="宋体" w:cs="Times New Roman"/>
          <w:color w:val="auto"/>
        </w:rPr>
        <w:t>盖度85%，优势种五节芒、扭黄茅</w:t>
      </w:r>
      <w:r>
        <w:rPr>
          <w:rFonts w:hint="default" w:ascii="Times New Roman" w:hAnsi="Times New Roman" w:eastAsia="宋体" w:cs="Times New Roman"/>
          <w:i/>
          <w:color w:val="auto"/>
        </w:rPr>
        <w:t>Heteropogon contortus</w:t>
      </w:r>
      <w:r>
        <w:rPr>
          <w:rFonts w:hint="default" w:ascii="Times New Roman" w:hAnsi="Times New Roman" w:eastAsia="宋体" w:cs="Times New Roman"/>
          <w:color w:val="auto"/>
        </w:rPr>
        <w:t>，其他有</w:t>
      </w:r>
      <w:r>
        <w:rPr>
          <w:rFonts w:hint="default" w:ascii="Times New Roman" w:hAnsi="Times New Roman" w:eastAsia="宋体" w:cs="Times New Roman"/>
          <w:color w:val="auto"/>
          <w:szCs w:val="21"/>
        </w:rPr>
        <w:t>鸭跖草</w:t>
      </w:r>
      <w:r>
        <w:rPr>
          <w:rFonts w:hint="default" w:ascii="Times New Roman" w:hAnsi="Times New Roman" w:eastAsia="宋体" w:cs="Times New Roman"/>
          <w:i/>
          <w:color w:val="auto"/>
          <w:szCs w:val="21"/>
        </w:rPr>
        <w:t>Paspalum scrobiculatum、</w:t>
      </w:r>
      <w:r>
        <w:rPr>
          <w:rFonts w:hint="default" w:ascii="Times New Roman" w:hAnsi="Times New Roman" w:eastAsia="宋体" w:cs="Times New Roman"/>
          <w:color w:val="auto"/>
          <w:szCs w:val="21"/>
        </w:rPr>
        <w:t>粉背蕨</w:t>
      </w:r>
      <w:r>
        <w:rPr>
          <w:rFonts w:hint="default" w:ascii="Times New Roman" w:hAnsi="Times New Roman" w:eastAsia="宋体" w:cs="Times New Roman"/>
          <w:i/>
          <w:color w:val="auto"/>
          <w:szCs w:val="21"/>
        </w:rPr>
        <w:t>Aleuritopteris pseudofarinosa</w:t>
      </w:r>
      <w:r>
        <w:rPr>
          <w:rFonts w:hint="default" w:ascii="Times New Roman" w:hAnsi="Times New Roman" w:eastAsia="宋体" w:cs="Times New Roman"/>
          <w:color w:val="auto"/>
          <w:szCs w:val="21"/>
        </w:rPr>
        <w:t>、土丁桂</w:t>
      </w:r>
      <w:r>
        <w:rPr>
          <w:rFonts w:hint="default" w:ascii="Times New Roman" w:hAnsi="Times New Roman" w:eastAsia="宋体" w:cs="Times New Roman"/>
          <w:i/>
          <w:color w:val="auto"/>
          <w:szCs w:val="21"/>
        </w:rPr>
        <w:t>Evolvulus alsinoides</w:t>
      </w:r>
      <w:r>
        <w:rPr>
          <w:rFonts w:hint="default" w:ascii="Times New Roman" w:hAnsi="Times New Roman" w:eastAsia="宋体" w:cs="Times New Roman"/>
          <w:color w:val="auto"/>
          <w:szCs w:val="21"/>
        </w:rPr>
        <w:t>、黄细心</w:t>
      </w:r>
      <w:r>
        <w:rPr>
          <w:rFonts w:hint="default" w:ascii="Times New Roman" w:hAnsi="Times New Roman" w:eastAsia="宋体" w:cs="Times New Roman"/>
          <w:i/>
          <w:color w:val="auto"/>
          <w:szCs w:val="21"/>
        </w:rPr>
        <w:t>Boerhavia diffusa</w:t>
      </w:r>
      <w:r>
        <w:rPr>
          <w:rFonts w:hint="default" w:ascii="Times New Roman" w:hAnsi="Times New Roman" w:eastAsia="宋体" w:cs="Times New Roman"/>
          <w:color w:val="auto"/>
          <w:szCs w:val="21"/>
        </w:rPr>
        <w:t>、露水草</w:t>
      </w:r>
      <w:r>
        <w:rPr>
          <w:rFonts w:hint="default" w:ascii="Times New Roman" w:hAnsi="Times New Roman" w:eastAsia="宋体" w:cs="Times New Roman"/>
          <w:i/>
          <w:color w:val="auto"/>
          <w:szCs w:val="21"/>
        </w:rPr>
        <w:t>Cyanotis arachnoidea</w:t>
      </w:r>
      <w:r>
        <w:rPr>
          <w:rFonts w:hint="default" w:ascii="Times New Roman" w:hAnsi="Times New Roman" w:eastAsia="宋体" w:cs="Times New Roman"/>
          <w:color w:val="auto"/>
          <w:szCs w:val="21"/>
        </w:rPr>
        <w:t>、多枝臂形草</w:t>
      </w:r>
      <w:r>
        <w:rPr>
          <w:rFonts w:hint="default" w:ascii="Times New Roman" w:hAnsi="Times New Roman" w:eastAsia="宋体" w:cs="Times New Roman"/>
          <w:i/>
          <w:color w:val="auto"/>
          <w:szCs w:val="21"/>
        </w:rPr>
        <w:t>Brachiaria ramosa</w:t>
      </w:r>
      <w:r>
        <w:rPr>
          <w:rFonts w:hint="default" w:ascii="Times New Roman" w:hAnsi="Times New Roman" w:eastAsia="宋体" w:cs="Times New Roman"/>
          <w:color w:val="auto"/>
          <w:szCs w:val="21"/>
        </w:rPr>
        <w:t>，白花鬼针草</w:t>
      </w:r>
      <w:r>
        <w:rPr>
          <w:rFonts w:hint="default" w:ascii="Times New Roman" w:hAnsi="Times New Roman" w:eastAsia="宋体" w:cs="Times New Roman"/>
          <w:i/>
          <w:color w:val="auto"/>
          <w:szCs w:val="21"/>
        </w:rPr>
        <w:t xml:space="preserve">Bidens pilosa </w:t>
      </w:r>
      <w:r>
        <w:rPr>
          <w:rFonts w:hint="default" w:ascii="Times New Roman" w:hAnsi="Times New Roman" w:eastAsia="宋体" w:cs="Times New Roman"/>
          <w:color w:val="auto"/>
          <w:szCs w:val="21"/>
        </w:rPr>
        <w:t xml:space="preserve">var. </w:t>
      </w:r>
      <w:r>
        <w:rPr>
          <w:rFonts w:hint="default" w:ascii="Times New Roman" w:hAnsi="Times New Roman" w:eastAsia="宋体" w:cs="Times New Roman"/>
          <w:i/>
          <w:color w:val="auto"/>
          <w:szCs w:val="21"/>
        </w:rPr>
        <w:t>radiata</w:t>
      </w:r>
      <w:r>
        <w:rPr>
          <w:rFonts w:hint="default" w:ascii="Times New Roman" w:hAnsi="Times New Roman" w:eastAsia="宋体" w:cs="Times New Roman"/>
          <w:color w:val="auto"/>
          <w:szCs w:val="21"/>
        </w:rPr>
        <w:t>、羽芒菊</w:t>
      </w:r>
      <w:r>
        <w:rPr>
          <w:rFonts w:hint="default" w:ascii="Times New Roman" w:hAnsi="Times New Roman" w:eastAsia="宋体" w:cs="Times New Roman"/>
          <w:i/>
          <w:color w:val="auto"/>
          <w:szCs w:val="21"/>
        </w:rPr>
        <w:t>Tridax procumbens</w:t>
      </w:r>
      <w:r>
        <w:rPr>
          <w:rFonts w:hint="default" w:ascii="Times New Roman" w:hAnsi="Times New Roman" w:eastAsia="宋体" w:cs="Times New Roman"/>
          <w:color w:val="auto"/>
          <w:szCs w:val="21"/>
        </w:rPr>
        <w:t>等。</w:t>
      </w:r>
    </w:p>
    <w:p w14:paraId="00FECD8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层间植物常见蔓草虫豆</w:t>
      </w:r>
      <w:r>
        <w:rPr>
          <w:rFonts w:hint="default" w:ascii="Times New Roman" w:hAnsi="Times New Roman" w:eastAsia="宋体" w:cs="Times New Roman"/>
          <w:i/>
          <w:color w:val="auto"/>
        </w:rPr>
        <w:t xml:space="preserve">Cajanus scarabaeoides </w:t>
      </w:r>
      <w:r>
        <w:rPr>
          <w:rFonts w:hint="default" w:ascii="Times New Roman" w:hAnsi="Times New Roman" w:eastAsia="宋体" w:cs="Times New Roman"/>
          <w:color w:val="auto"/>
        </w:rPr>
        <w:t xml:space="preserve">var. </w:t>
      </w:r>
      <w:r>
        <w:rPr>
          <w:rFonts w:hint="default" w:ascii="Times New Roman" w:hAnsi="Times New Roman" w:eastAsia="宋体" w:cs="Times New Roman"/>
          <w:i/>
          <w:color w:val="auto"/>
        </w:rPr>
        <w:t>argyrophllus</w:t>
      </w:r>
      <w:r>
        <w:rPr>
          <w:rFonts w:hint="default" w:ascii="Times New Roman" w:hAnsi="Times New Roman" w:eastAsia="宋体" w:cs="Times New Roman"/>
          <w:color w:val="auto"/>
        </w:rPr>
        <w:t>、虫豆</w:t>
      </w:r>
      <w:r>
        <w:rPr>
          <w:rFonts w:hint="default" w:ascii="Times New Roman" w:hAnsi="Times New Roman" w:eastAsia="宋体" w:cs="Times New Roman"/>
          <w:i/>
          <w:color w:val="auto"/>
        </w:rPr>
        <w:t>Cajanus crassus</w:t>
      </w:r>
      <w:r>
        <w:rPr>
          <w:rFonts w:hint="default" w:ascii="Times New Roman" w:hAnsi="Times New Roman" w:eastAsia="宋体" w:cs="Times New Roman"/>
          <w:color w:val="auto"/>
        </w:rPr>
        <w:t>、美飞蛾藤</w:t>
      </w:r>
      <w:r>
        <w:rPr>
          <w:rFonts w:hint="default" w:ascii="Times New Roman" w:hAnsi="Times New Roman" w:eastAsia="宋体" w:cs="Times New Roman"/>
          <w:i/>
          <w:color w:val="auto"/>
        </w:rPr>
        <w:t>Porana spectabilis</w:t>
      </w:r>
      <w:r>
        <w:rPr>
          <w:rFonts w:hint="default" w:ascii="Times New Roman" w:hAnsi="Times New Roman" w:eastAsia="宋体" w:cs="Times New Roman"/>
          <w:color w:val="auto"/>
        </w:rPr>
        <w:t>、头花银背藤</w:t>
      </w:r>
      <w:r>
        <w:rPr>
          <w:rFonts w:hint="default" w:ascii="Times New Roman" w:hAnsi="Times New Roman" w:eastAsia="宋体" w:cs="Times New Roman"/>
          <w:i/>
          <w:color w:val="auto"/>
        </w:rPr>
        <w:t>Argyreia capitata</w:t>
      </w:r>
      <w:r>
        <w:rPr>
          <w:rFonts w:hint="default" w:ascii="Times New Roman" w:hAnsi="Times New Roman" w:eastAsia="宋体" w:cs="Times New Roman"/>
          <w:color w:val="auto"/>
        </w:rPr>
        <w:t>、</w:t>
      </w:r>
      <w:r>
        <w:rPr>
          <w:rFonts w:hint="default" w:ascii="Times New Roman" w:hAnsi="Times New Roman" w:eastAsia="宋体" w:cs="Times New Roman"/>
          <w:color w:val="auto"/>
          <w:szCs w:val="21"/>
        </w:rPr>
        <w:t>小叶鸡血藤</w:t>
      </w:r>
      <w:r>
        <w:rPr>
          <w:rFonts w:hint="default" w:ascii="Times New Roman" w:hAnsi="Times New Roman" w:eastAsia="宋体" w:cs="Times New Roman"/>
          <w:i/>
          <w:color w:val="auto"/>
          <w:szCs w:val="21"/>
        </w:rPr>
        <w:t>Milletia microphylla</w:t>
      </w:r>
      <w:r>
        <w:rPr>
          <w:rFonts w:hint="default" w:ascii="Times New Roman" w:hAnsi="Times New Roman" w:eastAsia="宋体" w:cs="Times New Roman"/>
          <w:color w:val="auto"/>
          <w:szCs w:val="21"/>
        </w:rPr>
        <w:t>、虫豆</w:t>
      </w:r>
      <w:r>
        <w:rPr>
          <w:rFonts w:hint="default" w:ascii="Times New Roman" w:hAnsi="Times New Roman" w:eastAsia="宋体" w:cs="Times New Roman"/>
          <w:i/>
          <w:color w:val="auto"/>
          <w:szCs w:val="21"/>
        </w:rPr>
        <w:t>Cajanus crassus</w:t>
      </w:r>
      <w:r>
        <w:rPr>
          <w:rFonts w:hint="default" w:ascii="Times New Roman" w:hAnsi="Times New Roman" w:eastAsia="宋体" w:cs="Times New Roman"/>
          <w:color w:val="auto"/>
          <w:szCs w:val="21"/>
        </w:rPr>
        <w:t>、元江羊蹄甲</w:t>
      </w:r>
      <w:r>
        <w:rPr>
          <w:rFonts w:hint="default" w:ascii="Times New Roman" w:hAnsi="Times New Roman" w:eastAsia="宋体" w:cs="Times New Roman"/>
          <w:i/>
          <w:color w:val="auto"/>
          <w:szCs w:val="21"/>
        </w:rPr>
        <w:t>Bauhinia esquirolii</w:t>
      </w:r>
      <w:r>
        <w:rPr>
          <w:rFonts w:hint="default" w:ascii="Times New Roman" w:hAnsi="Times New Roman" w:eastAsia="宋体" w:cs="Times New Roman"/>
          <w:color w:val="auto"/>
          <w:szCs w:val="21"/>
        </w:rPr>
        <w:t>等</w:t>
      </w:r>
      <w:r>
        <w:rPr>
          <w:rFonts w:hint="default" w:ascii="Times New Roman" w:hAnsi="Times New Roman" w:eastAsia="宋体" w:cs="Times New Roman"/>
          <w:color w:val="auto"/>
        </w:rPr>
        <w:t>。</w:t>
      </w:r>
    </w:p>
    <w:p w14:paraId="4E607DCB">
      <w:pPr>
        <w:ind w:firstLine="482"/>
        <w:rPr>
          <w:rFonts w:hint="default" w:ascii="Times New Roman" w:hAnsi="Times New Roman" w:eastAsia="宋体" w:cs="Times New Roman"/>
          <w:color w:val="auto"/>
        </w:rPr>
      </w:pPr>
      <w:bookmarkStart w:id="84" w:name="_Toc9458"/>
      <w:r>
        <w:rPr>
          <w:rFonts w:hint="default" w:ascii="Times New Roman" w:hAnsi="Times New Roman" w:eastAsia="宋体" w:cs="Times New Roman"/>
          <w:b/>
          <w:color w:val="auto"/>
        </w:rPr>
        <w:t>②</w:t>
      </w:r>
      <w:r>
        <w:rPr>
          <w:rFonts w:hint="default" w:ascii="Times New Roman" w:hAnsi="Times New Roman" w:eastAsia="宋体" w:cs="Times New Roman"/>
          <w:b/>
          <w:bCs/>
          <w:color w:val="auto"/>
        </w:rPr>
        <w:t>人工植被</w:t>
      </w:r>
      <w:bookmarkEnd w:id="84"/>
    </w:p>
    <w:p w14:paraId="75E2A86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评价区人工植被包括人工林植被、园地植被和耕地植被。</w:t>
      </w:r>
    </w:p>
    <w:p w14:paraId="72E2D62E">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w:t>
      </w:r>
      <w:r>
        <w:rPr>
          <w:rFonts w:hint="default" w:ascii="Times New Roman" w:hAnsi="Times New Roman" w:eastAsia="宋体" w:cs="Times New Roman"/>
          <w:color w:val="auto"/>
        </w:rPr>
        <w:t>人工林植被</w:t>
      </w:r>
    </w:p>
    <w:p w14:paraId="38E5050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评价区的人工林植被主要为人工用材林，主要包括桉树和竹林。</w:t>
      </w:r>
    </w:p>
    <w:p w14:paraId="11EADDA1">
      <w:pPr>
        <w:ind w:firstLine="482"/>
        <w:rPr>
          <w:rFonts w:hint="default" w:ascii="Times New Roman" w:hAnsi="Times New Roman" w:eastAsia="宋体" w:cs="Times New Roman"/>
          <w:color w:val="auto"/>
        </w:rPr>
      </w:pPr>
      <w:r>
        <w:rPr>
          <w:rFonts w:hint="default" w:ascii="Times New Roman" w:hAnsi="Times New Roman" w:eastAsia="宋体" w:cs="Times New Roman"/>
          <w:b/>
          <w:color w:val="auto"/>
        </w:rPr>
        <w:t>◆</w:t>
      </w:r>
      <w:r>
        <w:rPr>
          <w:rFonts w:hint="default" w:ascii="Times New Roman" w:hAnsi="Times New Roman" w:eastAsia="宋体" w:cs="Times New Roman"/>
          <w:color w:val="auto"/>
        </w:rPr>
        <w:t>园地植被</w:t>
      </w:r>
    </w:p>
    <w:p w14:paraId="0DD07F9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评价区的园地主要种植芒果等。</w:t>
      </w:r>
    </w:p>
    <w:p w14:paraId="176C1BF0">
      <w:pPr>
        <w:ind w:firstLine="482"/>
        <w:rPr>
          <w:rFonts w:hint="default" w:ascii="Times New Roman" w:hAnsi="Times New Roman" w:eastAsia="宋体" w:cs="Times New Roman"/>
          <w:color w:val="auto"/>
        </w:rPr>
      </w:pPr>
      <w:bookmarkStart w:id="85" w:name="_Toc26287"/>
      <w:r>
        <w:rPr>
          <w:rFonts w:hint="default" w:ascii="Times New Roman" w:hAnsi="Times New Roman" w:eastAsia="宋体" w:cs="Times New Roman"/>
          <w:b/>
          <w:color w:val="auto"/>
        </w:rPr>
        <w:t>◆</w:t>
      </w:r>
      <w:r>
        <w:rPr>
          <w:rFonts w:hint="default" w:ascii="Times New Roman" w:hAnsi="Times New Roman" w:eastAsia="宋体" w:cs="Times New Roman"/>
          <w:color w:val="auto"/>
        </w:rPr>
        <w:t>耕地</w:t>
      </w:r>
      <w:bookmarkEnd w:id="85"/>
      <w:r>
        <w:rPr>
          <w:rFonts w:hint="default" w:ascii="Times New Roman" w:hAnsi="Times New Roman" w:eastAsia="宋体" w:cs="Times New Roman"/>
          <w:color w:val="auto"/>
        </w:rPr>
        <w:t>植被</w:t>
      </w:r>
    </w:p>
    <w:p w14:paraId="79065689">
      <w:pPr>
        <w:tabs>
          <w:tab w:val="left" w:pos="1985"/>
        </w:tabs>
        <w:spacing w:line="450" w:lineRule="exact"/>
        <w:ind w:right="34"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评价区的耕地植被主要是旱地；耕地分布于评价区的村庄边和公路边等交通较为方便的平缓区，部分区域分布有坡耕地，主要种植玉米等作物。</w:t>
      </w:r>
    </w:p>
    <w:p w14:paraId="03141095">
      <w:pPr>
        <w:ind w:firstLine="0" w:firstLineChars="0"/>
        <w:rPr>
          <w:rFonts w:hint="default" w:ascii="Times New Roman" w:hAnsi="Times New Roman" w:eastAsia="宋体" w:cs="Times New Roman"/>
          <w:b/>
          <w:bCs/>
          <w:color w:val="auto"/>
        </w:rPr>
      </w:pPr>
      <w:bookmarkStart w:id="86" w:name="_Toc6771"/>
      <w:bookmarkStart w:id="87" w:name="_Toc6516"/>
      <w:r>
        <w:rPr>
          <w:rFonts w:hint="default" w:ascii="Times New Roman" w:hAnsi="Times New Roman" w:eastAsia="宋体" w:cs="Times New Roman"/>
          <w:b/>
          <w:bCs/>
          <w:color w:val="auto"/>
        </w:rPr>
        <w:t>（一）植物种类组成</w:t>
      </w:r>
      <w:bookmarkEnd w:id="86"/>
      <w:bookmarkEnd w:id="87"/>
    </w:p>
    <w:p w14:paraId="59041BD6">
      <w:pPr>
        <w:ind w:firstLine="480"/>
        <w:rPr>
          <w:rFonts w:hint="default" w:ascii="Times New Roman" w:hAnsi="Times New Roman" w:eastAsia="宋体" w:cs="Times New Roman"/>
          <w:b/>
          <w:bCs/>
          <w:color w:val="auto"/>
        </w:rPr>
      </w:pPr>
      <w:r>
        <w:rPr>
          <w:rFonts w:hint="default" w:ascii="Times New Roman" w:hAnsi="Times New Roman" w:eastAsia="宋体" w:cs="Times New Roman"/>
          <w:color w:val="auto"/>
        </w:rPr>
        <w:t>评价区记录到自然分布的维管植物约野生维管植物的科属种组成、评价区记录有维管束植物94科251属336种。其中蕨类植物10科12属16种；种子植物84科239属320种。种子植物中，裸子植物1科2属2种；被子植物83科237属318种。被子植物中，双子叶植物72科206属280，单子叶植物11科31属38种。评价区维管束植物名录详见附录2。</w:t>
      </w:r>
    </w:p>
    <w:p w14:paraId="30D0A584">
      <w:pPr>
        <w:spacing w:line="240" w:lineRule="auto"/>
        <w:ind w:firstLine="0" w:firstLineChars="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表2.3-1  评价区野生维管植物物种统计</w:t>
      </w:r>
    </w:p>
    <w:tbl>
      <w:tblPr>
        <w:tblStyle w:val="58"/>
        <w:tblW w:w="4999" w:type="pct"/>
        <w:tblInd w:w="0" w:type="dxa"/>
        <w:tblLayout w:type="autofit"/>
        <w:tblCellMar>
          <w:top w:w="0" w:type="dxa"/>
          <w:left w:w="108" w:type="dxa"/>
          <w:bottom w:w="0" w:type="dxa"/>
          <w:right w:w="108" w:type="dxa"/>
        </w:tblCellMar>
      </w:tblPr>
      <w:tblGrid>
        <w:gridCol w:w="1018"/>
        <w:gridCol w:w="1220"/>
        <w:gridCol w:w="3308"/>
        <w:gridCol w:w="1491"/>
        <w:gridCol w:w="1491"/>
      </w:tblGrid>
      <w:tr w14:paraId="13AC60D1">
        <w:tblPrEx>
          <w:tblCellMar>
            <w:top w:w="0" w:type="dxa"/>
            <w:left w:w="108" w:type="dxa"/>
            <w:bottom w:w="0" w:type="dxa"/>
            <w:right w:w="108" w:type="dxa"/>
          </w:tblCellMar>
        </w:tblPrEx>
        <w:trPr>
          <w:trHeight w:val="327" w:hRule="atLeast"/>
        </w:trPr>
        <w:tc>
          <w:tcPr>
            <w:tcW w:w="1711" w:type="pct"/>
            <w:gridSpan w:val="2"/>
            <w:tcBorders>
              <w:top w:val="single" w:color="000000" w:sz="8" w:space="0"/>
              <w:left w:val="single" w:color="000000" w:sz="8" w:space="0"/>
              <w:bottom w:val="single" w:color="000000" w:sz="8" w:space="0"/>
              <w:right w:val="single" w:color="000000" w:sz="8" w:space="0"/>
            </w:tcBorders>
            <w:noWrap/>
            <w:vAlign w:val="center"/>
          </w:tcPr>
          <w:p w14:paraId="302704FC">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植物类型</w:t>
            </w:r>
          </w:p>
        </w:tc>
        <w:tc>
          <w:tcPr>
            <w:tcW w:w="1732" w:type="pct"/>
            <w:tcBorders>
              <w:top w:val="single" w:color="000000" w:sz="8" w:space="0"/>
              <w:left w:val="single" w:color="000000" w:sz="8" w:space="0"/>
              <w:bottom w:val="single" w:color="000000" w:sz="8" w:space="0"/>
              <w:right w:val="single" w:color="000000" w:sz="8" w:space="0"/>
            </w:tcBorders>
            <w:noWrap/>
            <w:vAlign w:val="center"/>
          </w:tcPr>
          <w:p w14:paraId="0B1DF9B0">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科</w:t>
            </w:r>
          </w:p>
        </w:tc>
        <w:tc>
          <w:tcPr>
            <w:tcW w:w="778" w:type="pct"/>
            <w:tcBorders>
              <w:top w:val="single" w:color="000000" w:sz="8" w:space="0"/>
              <w:left w:val="single" w:color="000000" w:sz="8" w:space="0"/>
              <w:bottom w:val="single" w:color="000000" w:sz="8" w:space="0"/>
              <w:right w:val="single" w:color="000000" w:sz="8" w:space="0"/>
            </w:tcBorders>
            <w:noWrap/>
            <w:vAlign w:val="center"/>
          </w:tcPr>
          <w:p w14:paraId="7D28EA86">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属</w:t>
            </w:r>
          </w:p>
        </w:tc>
        <w:tc>
          <w:tcPr>
            <w:tcW w:w="778" w:type="pct"/>
            <w:tcBorders>
              <w:top w:val="single" w:color="000000" w:sz="8" w:space="0"/>
              <w:left w:val="single" w:color="000000" w:sz="8" w:space="0"/>
              <w:bottom w:val="single" w:color="000000" w:sz="8" w:space="0"/>
              <w:right w:val="single" w:color="000000" w:sz="8" w:space="0"/>
            </w:tcBorders>
            <w:noWrap/>
            <w:vAlign w:val="center"/>
          </w:tcPr>
          <w:p w14:paraId="0276CB78">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种</w:t>
            </w:r>
          </w:p>
        </w:tc>
      </w:tr>
      <w:tr w14:paraId="4DEE9E8A">
        <w:tblPrEx>
          <w:tblCellMar>
            <w:top w:w="0" w:type="dxa"/>
            <w:left w:w="108" w:type="dxa"/>
            <w:bottom w:w="0" w:type="dxa"/>
            <w:right w:w="108" w:type="dxa"/>
          </w:tblCellMar>
        </w:tblPrEx>
        <w:trPr>
          <w:trHeight w:val="327" w:hRule="atLeast"/>
        </w:trPr>
        <w:tc>
          <w:tcPr>
            <w:tcW w:w="778" w:type="pct"/>
            <w:vMerge w:val="restart"/>
            <w:tcBorders>
              <w:top w:val="nil"/>
              <w:left w:val="single" w:color="000000" w:sz="8" w:space="0"/>
              <w:bottom w:val="single" w:color="000000" w:sz="8" w:space="0"/>
              <w:right w:val="single" w:color="000000" w:sz="8" w:space="0"/>
            </w:tcBorders>
            <w:noWrap/>
            <w:vAlign w:val="center"/>
          </w:tcPr>
          <w:p w14:paraId="602BA18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被子植物</w:t>
            </w:r>
          </w:p>
        </w:tc>
        <w:tc>
          <w:tcPr>
            <w:tcW w:w="932" w:type="pct"/>
            <w:tcBorders>
              <w:top w:val="nil"/>
              <w:left w:val="single" w:color="000000" w:sz="8" w:space="0"/>
              <w:bottom w:val="single" w:color="000000" w:sz="8" w:space="0"/>
              <w:right w:val="single" w:color="000000" w:sz="8" w:space="0"/>
            </w:tcBorders>
            <w:noWrap/>
            <w:vAlign w:val="center"/>
          </w:tcPr>
          <w:p w14:paraId="1B52CB86">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双子叶植物</w:t>
            </w:r>
          </w:p>
        </w:tc>
        <w:tc>
          <w:tcPr>
            <w:tcW w:w="3451" w:type="dxa"/>
            <w:tcBorders>
              <w:top w:val="nil"/>
              <w:left w:val="single" w:color="000000" w:sz="8" w:space="0"/>
              <w:bottom w:val="single" w:color="000000" w:sz="8" w:space="0"/>
              <w:right w:val="single" w:color="000000" w:sz="8" w:space="0"/>
            </w:tcBorders>
            <w:noWrap/>
            <w:vAlign w:val="center"/>
          </w:tcPr>
          <w:p w14:paraId="2F1AB0A2">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72</w:t>
            </w:r>
          </w:p>
        </w:tc>
        <w:tc>
          <w:tcPr>
            <w:tcW w:w="1550" w:type="dxa"/>
            <w:tcBorders>
              <w:top w:val="nil"/>
              <w:left w:val="single" w:color="000000" w:sz="8" w:space="0"/>
              <w:bottom w:val="single" w:color="000000" w:sz="8" w:space="0"/>
              <w:right w:val="single" w:color="000000" w:sz="8" w:space="0"/>
            </w:tcBorders>
            <w:noWrap/>
            <w:vAlign w:val="center"/>
          </w:tcPr>
          <w:p w14:paraId="1FC6BDC1">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206</w:t>
            </w:r>
          </w:p>
        </w:tc>
        <w:tc>
          <w:tcPr>
            <w:tcW w:w="1550" w:type="dxa"/>
            <w:tcBorders>
              <w:top w:val="single" w:color="000000" w:sz="8" w:space="0"/>
              <w:left w:val="single" w:color="000000" w:sz="8" w:space="0"/>
              <w:bottom w:val="single" w:color="000000" w:sz="8" w:space="0"/>
              <w:right w:val="single" w:color="000000" w:sz="8" w:space="0"/>
            </w:tcBorders>
            <w:noWrap/>
            <w:vAlign w:val="center"/>
          </w:tcPr>
          <w:p w14:paraId="2C89BF27">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280</w:t>
            </w:r>
          </w:p>
        </w:tc>
      </w:tr>
      <w:tr w14:paraId="2A11463C">
        <w:tblPrEx>
          <w:tblCellMar>
            <w:top w:w="0" w:type="dxa"/>
            <w:left w:w="108" w:type="dxa"/>
            <w:bottom w:w="0" w:type="dxa"/>
            <w:right w:w="108" w:type="dxa"/>
          </w:tblCellMar>
        </w:tblPrEx>
        <w:trPr>
          <w:trHeight w:val="327" w:hRule="atLeast"/>
        </w:trPr>
        <w:tc>
          <w:tcPr>
            <w:tcW w:w="778" w:type="pct"/>
            <w:vMerge w:val="continue"/>
            <w:tcBorders>
              <w:top w:val="nil"/>
              <w:left w:val="single" w:color="000000" w:sz="8" w:space="0"/>
              <w:bottom w:val="single" w:color="000000" w:sz="8" w:space="0"/>
              <w:right w:val="single" w:color="000000" w:sz="8" w:space="0"/>
            </w:tcBorders>
            <w:noWrap/>
            <w:vAlign w:val="center"/>
          </w:tcPr>
          <w:p w14:paraId="2D38CB9E">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932" w:type="pct"/>
            <w:tcBorders>
              <w:top w:val="nil"/>
              <w:left w:val="single" w:color="000000" w:sz="8" w:space="0"/>
              <w:bottom w:val="single" w:color="000000" w:sz="8" w:space="0"/>
              <w:right w:val="single" w:color="000000" w:sz="8" w:space="0"/>
            </w:tcBorders>
            <w:noWrap/>
            <w:vAlign w:val="center"/>
          </w:tcPr>
          <w:p w14:paraId="79643361">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单子叶植物</w:t>
            </w:r>
          </w:p>
        </w:tc>
        <w:tc>
          <w:tcPr>
            <w:tcW w:w="3451" w:type="dxa"/>
            <w:tcBorders>
              <w:top w:val="nil"/>
              <w:left w:val="single" w:color="000000" w:sz="8" w:space="0"/>
              <w:bottom w:val="single" w:color="000000" w:sz="8" w:space="0"/>
              <w:right w:val="single" w:color="000000" w:sz="8" w:space="0"/>
            </w:tcBorders>
            <w:noWrap/>
            <w:vAlign w:val="center"/>
          </w:tcPr>
          <w:p w14:paraId="6B40DC8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11</w:t>
            </w:r>
          </w:p>
        </w:tc>
        <w:tc>
          <w:tcPr>
            <w:tcW w:w="1550" w:type="dxa"/>
            <w:tcBorders>
              <w:top w:val="nil"/>
              <w:left w:val="single" w:color="000000" w:sz="8" w:space="0"/>
              <w:bottom w:val="single" w:color="000000" w:sz="8" w:space="0"/>
              <w:right w:val="single" w:color="000000" w:sz="8" w:space="0"/>
            </w:tcBorders>
            <w:noWrap/>
            <w:vAlign w:val="center"/>
          </w:tcPr>
          <w:p w14:paraId="2B1AB4C5">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31</w:t>
            </w:r>
          </w:p>
        </w:tc>
        <w:tc>
          <w:tcPr>
            <w:tcW w:w="1550" w:type="dxa"/>
            <w:tcBorders>
              <w:top w:val="nil"/>
              <w:left w:val="single" w:color="000000" w:sz="8" w:space="0"/>
              <w:bottom w:val="single" w:color="000000" w:sz="8" w:space="0"/>
              <w:right w:val="single" w:color="000000" w:sz="8" w:space="0"/>
            </w:tcBorders>
            <w:noWrap/>
            <w:vAlign w:val="center"/>
          </w:tcPr>
          <w:p w14:paraId="1177A68B">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38</w:t>
            </w:r>
          </w:p>
        </w:tc>
      </w:tr>
      <w:tr w14:paraId="3CE0A897">
        <w:tblPrEx>
          <w:tblCellMar>
            <w:top w:w="0" w:type="dxa"/>
            <w:left w:w="108" w:type="dxa"/>
            <w:bottom w:w="0" w:type="dxa"/>
            <w:right w:w="108" w:type="dxa"/>
          </w:tblCellMar>
        </w:tblPrEx>
        <w:trPr>
          <w:trHeight w:val="327" w:hRule="atLeast"/>
        </w:trPr>
        <w:tc>
          <w:tcPr>
            <w:tcW w:w="778" w:type="pct"/>
            <w:vMerge w:val="continue"/>
            <w:tcBorders>
              <w:top w:val="nil"/>
              <w:left w:val="single" w:color="000000" w:sz="8" w:space="0"/>
              <w:bottom w:val="single" w:color="000000" w:sz="8" w:space="0"/>
              <w:right w:val="single" w:color="000000" w:sz="8" w:space="0"/>
            </w:tcBorders>
            <w:noWrap/>
            <w:vAlign w:val="center"/>
          </w:tcPr>
          <w:p w14:paraId="2ACB73C0">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932" w:type="pct"/>
            <w:tcBorders>
              <w:top w:val="nil"/>
              <w:left w:val="single" w:color="000000" w:sz="8" w:space="0"/>
              <w:bottom w:val="single" w:color="000000" w:sz="8" w:space="0"/>
              <w:right w:val="single" w:color="000000" w:sz="8" w:space="0"/>
            </w:tcBorders>
            <w:noWrap w:val="0"/>
            <w:vAlign w:val="center"/>
          </w:tcPr>
          <w:p w14:paraId="66079A62">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小计</w:t>
            </w:r>
          </w:p>
        </w:tc>
        <w:tc>
          <w:tcPr>
            <w:tcW w:w="3451" w:type="dxa"/>
            <w:tcBorders>
              <w:top w:val="nil"/>
              <w:left w:val="single" w:color="000000" w:sz="8" w:space="0"/>
              <w:bottom w:val="single" w:color="000000" w:sz="8" w:space="0"/>
              <w:right w:val="single" w:color="000000" w:sz="8" w:space="0"/>
            </w:tcBorders>
            <w:noWrap/>
            <w:vAlign w:val="center"/>
          </w:tcPr>
          <w:p w14:paraId="233EF577">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83</w:t>
            </w:r>
          </w:p>
        </w:tc>
        <w:tc>
          <w:tcPr>
            <w:tcW w:w="1550" w:type="dxa"/>
            <w:tcBorders>
              <w:top w:val="nil"/>
              <w:left w:val="single" w:color="000000" w:sz="8" w:space="0"/>
              <w:bottom w:val="single" w:color="000000" w:sz="8" w:space="0"/>
              <w:right w:val="single" w:color="000000" w:sz="8" w:space="0"/>
            </w:tcBorders>
            <w:noWrap/>
            <w:vAlign w:val="center"/>
          </w:tcPr>
          <w:p w14:paraId="68111CFB">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237</w:t>
            </w:r>
          </w:p>
        </w:tc>
        <w:tc>
          <w:tcPr>
            <w:tcW w:w="1550" w:type="dxa"/>
            <w:tcBorders>
              <w:top w:val="nil"/>
              <w:left w:val="single" w:color="000000" w:sz="8" w:space="0"/>
              <w:bottom w:val="single" w:color="000000" w:sz="8" w:space="0"/>
              <w:right w:val="single" w:color="000000" w:sz="8" w:space="0"/>
            </w:tcBorders>
            <w:noWrap/>
            <w:vAlign w:val="center"/>
          </w:tcPr>
          <w:p w14:paraId="679DF96C">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318</w:t>
            </w:r>
          </w:p>
        </w:tc>
      </w:tr>
      <w:tr w14:paraId="570C3DD2">
        <w:tblPrEx>
          <w:tblCellMar>
            <w:top w:w="0" w:type="dxa"/>
            <w:left w:w="108" w:type="dxa"/>
            <w:bottom w:w="0" w:type="dxa"/>
            <w:right w:w="108" w:type="dxa"/>
          </w:tblCellMar>
        </w:tblPrEx>
        <w:trPr>
          <w:trHeight w:val="327" w:hRule="atLeast"/>
        </w:trPr>
        <w:tc>
          <w:tcPr>
            <w:tcW w:w="1711" w:type="pct"/>
            <w:gridSpan w:val="2"/>
            <w:tcBorders>
              <w:top w:val="nil"/>
              <w:left w:val="single" w:color="000000" w:sz="8" w:space="0"/>
              <w:bottom w:val="single" w:color="000000" w:sz="8" w:space="0"/>
              <w:right w:val="single" w:color="000000" w:sz="8" w:space="0"/>
            </w:tcBorders>
            <w:noWrap/>
            <w:vAlign w:val="center"/>
          </w:tcPr>
          <w:p w14:paraId="1489FFA7">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裸子植物</w:t>
            </w:r>
          </w:p>
        </w:tc>
        <w:tc>
          <w:tcPr>
            <w:tcW w:w="3451" w:type="dxa"/>
            <w:tcBorders>
              <w:top w:val="nil"/>
              <w:left w:val="single" w:color="000000" w:sz="8" w:space="0"/>
              <w:bottom w:val="single" w:color="000000" w:sz="8" w:space="0"/>
              <w:right w:val="single" w:color="000000" w:sz="8" w:space="0"/>
            </w:tcBorders>
            <w:noWrap/>
            <w:vAlign w:val="center"/>
          </w:tcPr>
          <w:p w14:paraId="077D707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1550" w:type="dxa"/>
            <w:tcBorders>
              <w:top w:val="nil"/>
              <w:left w:val="single" w:color="000000" w:sz="8" w:space="0"/>
              <w:bottom w:val="single" w:color="000000" w:sz="8" w:space="0"/>
              <w:right w:val="single" w:color="000000" w:sz="8" w:space="0"/>
            </w:tcBorders>
            <w:noWrap/>
            <w:vAlign w:val="center"/>
          </w:tcPr>
          <w:p w14:paraId="3D7E4EC1">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c>
          <w:tcPr>
            <w:tcW w:w="1550" w:type="dxa"/>
            <w:tcBorders>
              <w:top w:val="nil"/>
              <w:left w:val="single" w:color="000000" w:sz="8" w:space="0"/>
              <w:bottom w:val="single" w:color="000000" w:sz="8" w:space="0"/>
              <w:right w:val="single" w:color="000000" w:sz="8" w:space="0"/>
            </w:tcBorders>
            <w:noWrap/>
            <w:vAlign w:val="center"/>
          </w:tcPr>
          <w:p w14:paraId="448DABDD">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r>
      <w:tr w14:paraId="2570717B">
        <w:tblPrEx>
          <w:tblCellMar>
            <w:top w:w="0" w:type="dxa"/>
            <w:left w:w="108" w:type="dxa"/>
            <w:bottom w:w="0" w:type="dxa"/>
            <w:right w:w="108" w:type="dxa"/>
          </w:tblCellMar>
        </w:tblPrEx>
        <w:trPr>
          <w:trHeight w:val="327" w:hRule="atLeast"/>
        </w:trPr>
        <w:tc>
          <w:tcPr>
            <w:tcW w:w="1711" w:type="pct"/>
            <w:gridSpan w:val="2"/>
            <w:tcBorders>
              <w:top w:val="nil"/>
              <w:left w:val="single" w:color="000000" w:sz="8" w:space="0"/>
              <w:bottom w:val="single" w:color="000000" w:sz="8" w:space="0"/>
              <w:right w:val="single" w:color="000000" w:sz="8" w:space="0"/>
            </w:tcBorders>
            <w:noWrap/>
            <w:vAlign w:val="center"/>
          </w:tcPr>
          <w:p w14:paraId="2CAFE3A6">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蕨类植物</w:t>
            </w:r>
          </w:p>
        </w:tc>
        <w:tc>
          <w:tcPr>
            <w:tcW w:w="3451" w:type="dxa"/>
            <w:tcBorders>
              <w:top w:val="nil"/>
              <w:left w:val="single" w:color="000000" w:sz="8" w:space="0"/>
              <w:bottom w:val="single" w:color="000000" w:sz="8" w:space="0"/>
              <w:right w:val="single" w:color="000000" w:sz="8" w:space="0"/>
            </w:tcBorders>
            <w:noWrap/>
            <w:vAlign w:val="center"/>
          </w:tcPr>
          <w:p w14:paraId="4F614BBD">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10</w:t>
            </w:r>
          </w:p>
        </w:tc>
        <w:tc>
          <w:tcPr>
            <w:tcW w:w="1550" w:type="dxa"/>
            <w:tcBorders>
              <w:top w:val="nil"/>
              <w:left w:val="single" w:color="000000" w:sz="8" w:space="0"/>
              <w:bottom w:val="single" w:color="000000" w:sz="8" w:space="0"/>
              <w:right w:val="single" w:color="000000" w:sz="8" w:space="0"/>
            </w:tcBorders>
            <w:noWrap/>
            <w:vAlign w:val="center"/>
          </w:tcPr>
          <w:p w14:paraId="4C932B34">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12</w:t>
            </w:r>
          </w:p>
        </w:tc>
        <w:tc>
          <w:tcPr>
            <w:tcW w:w="1550" w:type="dxa"/>
            <w:tcBorders>
              <w:top w:val="nil"/>
              <w:left w:val="single" w:color="000000" w:sz="8" w:space="0"/>
              <w:bottom w:val="single" w:color="000000" w:sz="8" w:space="0"/>
              <w:right w:val="single" w:color="000000" w:sz="8" w:space="0"/>
            </w:tcBorders>
            <w:noWrap/>
            <w:vAlign w:val="center"/>
          </w:tcPr>
          <w:p w14:paraId="4CA076B6">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16</w:t>
            </w:r>
          </w:p>
        </w:tc>
      </w:tr>
      <w:tr w14:paraId="7D3B925F">
        <w:tblPrEx>
          <w:tblCellMar>
            <w:top w:w="0" w:type="dxa"/>
            <w:left w:w="108" w:type="dxa"/>
            <w:bottom w:w="0" w:type="dxa"/>
            <w:right w:w="108" w:type="dxa"/>
          </w:tblCellMar>
        </w:tblPrEx>
        <w:trPr>
          <w:trHeight w:val="327" w:hRule="atLeast"/>
        </w:trPr>
        <w:tc>
          <w:tcPr>
            <w:tcW w:w="1711" w:type="pct"/>
            <w:gridSpan w:val="2"/>
            <w:tcBorders>
              <w:top w:val="nil"/>
              <w:left w:val="single" w:color="000000" w:sz="8" w:space="0"/>
              <w:bottom w:val="single" w:color="000000" w:sz="8" w:space="0"/>
              <w:right w:val="single" w:color="000000" w:sz="8" w:space="0"/>
            </w:tcBorders>
            <w:noWrap/>
            <w:vAlign w:val="center"/>
          </w:tcPr>
          <w:p w14:paraId="253A83C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合计</w:t>
            </w:r>
          </w:p>
        </w:tc>
        <w:tc>
          <w:tcPr>
            <w:tcW w:w="3451" w:type="dxa"/>
            <w:tcBorders>
              <w:top w:val="nil"/>
              <w:left w:val="single" w:color="000000" w:sz="8" w:space="0"/>
              <w:bottom w:val="single" w:color="000000" w:sz="8" w:space="0"/>
              <w:right w:val="single" w:color="000000" w:sz="8" w:space="0"/>
            </w:tcBorders>
            <w:noWrap/>
            <w:vAlign w:val="center"/>
          </w:tcPr>
          <w:p w14:paraId="1B41FCCD">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94</w:t>
            </w:r>
          </w:p>
        </w:tc>
        <w:tc>
          <w:tcPr>
            <w:tcW w:w="1550" w:type="dxa"/>
            <w:tcBorders>
              <w:top w:val="nil"/>
              <w:left w:val="single" w:color="000000" w:sz="8" w:space="0"/>
              <w:bottom w:val="single" w:color="000000" w:sz="8" w:space="0"/>
              <w:right w:val="single" w:color="000000" w:sz="8" w:space="0"/>
            </w:tcBorders>
            <w:noWrap/>
            <w:vAlign w:val="center"/>
          </w:tcPr>
          <w:p w14:paraId="3FF96D8C">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251</w:t>
            </w:r>
          </w:p>
        </w:tc>
        <w:tc>
          <w:tcPr>
            <w:tcW w:w="1550" w:type="dxa"/>
            <w:tcBorders>
              <w:top w:val="nil"/>
              <w:left w:val="single" w:color="000000" w:sz="8" w:space="0"/>
              <w:bottom w:val="single" w:color="000000" w:sz="8" w:space="0"/>
              <w:right w:val="single" w:color="000000" w:sz="8" w:space="0"/>
            </w:tcBorders>
            <w:noWrap/>
            <w:vAlign w:val="center"/>
          </w:tcPr>
          <w:p w14:paraId="090C9DB5">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336</w:t>
            </w:r>
          </w:p>
        </w:tc>
      </w:tr>
    </w:tbl>
    <w:p w14:paraId="3C2D5FBC">
      <w:pPr>
        <w:ind w:firstLine="0" w:firstLineChars="0"/>
        <w:rPr>
          <w:rFonts w:hint="default" w:ascii="Times New Roman" w:hAnsi="Times New Roman" w:eastAsia="宋体" w:cs="Times New Roman"/>
          <w:b/>
          <w:bCs/>
          <w:color w:val="auto"/>
        </w:rPr>
      </w:pPr>
      <w:bookmarkStart w:id="88" w:name="_Toc30012"/>
      <w:r>
        <w:rPr>
          <w:rFonts w:hint="default" w:ascii="Times New Roman" w:hAnsi="Times New Roman" w:eastAsia="宋体" w:cs="Times New Roman"/>
          <w:b/>
          <w:bCs/>
          <w:color w:val="auto"/>
        </w:rPr>
        <w:t>（二）植物区系特征</w:t>
      </w:r>
      <w:bookmarkEnd w:id="88"/>
    </w:p>
    <w:p w14:paraId="5CD48D5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调查和统计表明，评价区范围内有种子植物239属，包括13个分布区类型。该统计数字表明，植物种类来源较为丰富，植物区系成分相对多样复杂。</w:t>
      </w:r>
    </w:p>
    <w:p w14:paraId="2F17E94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在239个种子植物属中，有世界分布属25属，占种子植物属数的10.46%；热带类型的属167属（分布区类型2至7），占种子植物属数的69.87%；温带类型的属45属（分布区类型8至14），占种子植物属数的18.83%。热带属的比例远高于温带属的比例，根据以上分析，该区域的植物区系属于热带区系性质。所有这些属中，以热带分布（分布区类型2）最多，计64属，占评价区种子植物总属数的26.78%，表明评价区的植物区系与热带区系极为密切。</w:t>
      </w:r>
    </w:p>
    <w:p w14:paraId="10DF13A5">
      <w:pPr>
        <w:spacing w:line="240" w:lineRule="auto"/>
        <w:ind w:firstLine="422"/>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表2.3-3   评价区种子植物属的分布区类型</w:t>
      </w:r>
    </w:p>
    <w:tbl>
      <w:tblPr>
        <w:tblStyle w:val="58"/>
        <w:tblW w:w="5000" w:type="pct"/>
        <w:tblInd w:w="0" w:type="dxa"/>
        <w:tblLayout w:type="fixed"/>
        <w:tblCellMar>
          <w:top w:w="0" w:type="dxa"/>
          <w:left w:w="108" w:type="dxa"/>
          <w:bottom w:w="0" w:type="dxa"/>
          <w:right w:w="108" w:type="dxa"/>
        </w:tblCellMar>
      </w:tblPr>
      <w:tblGrid>
        <w:gridCol w:w="1160"/>
        <w:gridCol w:w="5736"/>
        <w:gridCol w:w="715"/>
        <w:gridCol w:w="917"/>
      </w:tblGrid>
      <w:tr w14:paraId="73BA9D01">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0282C6ED">
            <w:pPr>
              <w:widowControl/>
              <w:spacing w:line="240" w:lineRule="auto"/>
              <w:ind w:firstLine="0" w:firstLineChars="0"/>
              <w:jc w:val="left"/>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类型编号</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0E2E0A93">
            <w:pPr>
              <w:widowControl/>
              <w:spacing w:line="240" w:lineRule="auto"/>
              <w:ind w:firstLine="0" w:firstLineChars="0"/>
              <w:jc w:val="left"/>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分布区类型</w:t>
            </w:r>
          </w:p>
        </w:tc>
        <w:tc>
          <w:tcPr>
            <w:tcW w:w="419" w:type="pct"/>
            <w:tcBorders>
              <w:top w:val="single" w:color="000000" w:sz="4" w:space="0"/>
              <w:left w:val="single" w:color="000000" w:sz="4" w:space="0"/>
              <w:bottom w:val="single" w:color="000000" w:sz="4" w:space="0"/>
              <w:right w:val="single" w:color="000000" w:sz="4" w:space="0"/>
            </w:tcBorders>
            <w:noWrap/>
            <w:vAlign w:val="center"/>
          </w:tcPr>
          <w:p w14:paraId="5BE91B8D">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数量</w:t>
            </w:r>
          </w:p>
        </w:tc>
        <w:tc>
          <w:tcPr>
            <w:tcW w:w="538" w:type="pct"/>
            <w:tcBorders>
              <w:top w:val="single" w:color="000000" w:sz="4" w:space="0"/>
              <w:left w:val="single" w:color="000000" w:sz="4" w:space="0"/>
              <w:bottom w:val="single" w:color="000000" w:sz="4" w:space="0"/>
              <w:right w:val="single" w:color="000000" w:sz="4" w:space="0"/>
            </w:tcBorders>
            <w:noWrap/>
            <w:vAlign w:val="center"/>
          </w:tcPr>
          <w:p w14:paraId="5848AD8A">
            <w:pPr>
              <w:widowControl/>
              <w:spacing w:line="240" w:lineRule="auto"/>
              <w:ind w:firstLine="0" w:firstLineChars="0"/>
              <w:jc w:val="center"/>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占比%</w:t>
            </w:r>
          </w:p>
        </w:tc>
      </w:tr>
      <w:tr w14:paraId="4D93DDFA">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5DD81056">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7FFF0033">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世界分布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67C3D4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25</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738024E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10.46%</w:t>
            </w:r>
          </w:p>
        </w:tc>
      </w:tr>
      <w:tr w14:paraId="108E81F3">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6A43F887">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4AD67066">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泛热带分布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C982FCF">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63</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61A630B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26.36%</w:t>
            </w:r>
          </w:p>
        </w:tc>
      </w:tr>
      <w:tr w14:paraId="0E132FEF">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778B74D9">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3</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3E24BEF0">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热带亚洲、非洲和中、南美洲间断分布。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0FA19CE">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20C7743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0EE7B8B9">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69B0A436">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4</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18D79370">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热带亚洲和热带美洲间断分布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C1F2FE1">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3247B708">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2.51%</w:t>
            </w:r>
          </w:p>
        </w:tc>
      </w:tr>
      <w:tr w14:paraId="2CF6AB78">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79CCC6D0">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5</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36D257A1">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旧世界热带分布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00B3527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29</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47FBBDD8">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12.13%</w:t>
            </w:r>
          </w:p>
        </w:tc>
      </w:tr>
      <w:tr w14:paraId="282F14AD">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40317D7F">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6</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7711C9E4">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热带亚洲至热带大洋洲分布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5B84DF8">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74F34CD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2.93%</w:t>
            </w:r>
          </w:p>
        </w:tc>
      </w:tr>
      <w:tr w14:paraId="050B7DC9">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37DA766B">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7</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69CA52EC">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热带亚洲至热带非洲分布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AF0298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23</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5A69B436">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9.62%</w:t>
            </w:r>
          </w:p>
        </w:tc>
      </w:tr>
      <w:tr w14:paraId="3D306E50">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6A743A46">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8</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570293E4">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热带亚洲和东非或马达加斯加间断分布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5A05F22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20C01362">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0ED50918">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7EEBECFD">
            <w:pPr>
              <w:widowControl/>
              <w:spacing w:line="240" w:lineRule="auto"/>
              <w:ind w:firstLine="0" w:firstLineChars="0"/>
              <w:jc w:val="center"/>
              <w:textAlignment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9</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6653A03C">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热带亚洲（印度</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马来西亚）分布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616208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36</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32D0007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15.06%</w:t>
            </w:r>
          </w:p>
        </w:tc>
      </w:tr>
      <w:tr w14:paraId="32A99156">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144A335F">
            <w:pPr>
              <w:widowControl/>
              <w:spacing w:line="240" w:lineRule="auto"/>
              <w:ind w:firstLine="0" w:firstLineChars="0"/>
              <w:jc w:val="center"/>
              <w:textAlignment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10</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712B7003">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爪哇（或苏门答腊）、喜马拉雅间断或星散分布到华南、西南</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A8FB88F">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136FAAF3">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14A61D8A">
        <w:tblPrEx>
          <w:tblCellMar>
            <w:top w:w="0" w:type="dxa"/>
            <w:left w:w="108" w:type="dxa"/>
            <w:bottom w:w="0" w:type="dxa"/>
            <w:right w:w="108" w:type="dxa"/>
          </w:tblCellMar>
        </w:tblPrEx>
        <w:trPr>
          <w:trHeight w:val="312" w:hRule="atLeast"/>
        </w:trPr>
        <w:tc>
          <w:tcPr>
            <w:tcW w:w="4042" w:type="pct"/>
            <w:gridSpan w:val="2"/>
            <w:tcBorders>
              <w:top w:val="single" w:color="000000" w:sz="4" w:space="0"/>
              <w:left w:val="single" w:color="000000" w:sz="4" w:space="0"/>
              <w:bottom w:val="single" w:color="000000" w:sz="4" w:space="0"/>
              <w:right w:val="single" w:color="000000" w:sz="4" w:space="0"/>
            </w:tcBorders>
            <w:noWrap/>
            <w:vAlign w:val="center"/>
          </w:tcPr>
          <w:p w14:paraId="146235B8">
            <w:pPr>
              <w:widowControl/>
              <w:spacing w:line="240" w:lineRule="auto"/>
              <w:ind w:firstLine="0" w:firstLineChars="0"/>
              <w:jc w:val="left"/>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热带属小计（2-7）</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0E97C2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167</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5EEFB563">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69.87%</w:t>
            </w:r>
          </w:p>
        </w:tc>
      </w:tr>
      <w:tr w14:paraId="449A434C">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2B6E38A7">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7FFC76EA">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北温带分布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2DF7984">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18</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4E12DB21">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7.53%</w:t>
            </w:r>
          </w:p>
        </w:tc>
      </w:tr>
      <w:tr w14:paraId="007B5441">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59A08F9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5EA0781F">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北温带和南温带间断分布“全温带”</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C3EE663">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5</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2FF48F8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2.09%</w:t>
            </w:r>
          </w:p>
        </w:tc>
      </w:tr>
      <w:tr w14:paraId="60DE57C3">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6592820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3</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54A66173">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东亚和北美洲间断分布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506CB72">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3BEA4BE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2.93%</w:t>
            </w:r>
          </w:p>
        </w:tc>
      </w:tr>
      <w:tr w14:paraId="79049F00">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68953C9F">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4</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51D572EB">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旧世界温带分布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71A7891">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0AF94364">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1.26%</w:t>
            </w:r>
          </w:p>
        </w:tc>
      </w:tr>
      <w:tr w14:paraId="5607914C">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654BC30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5</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610E9C80">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地中海区和喜马拉雅间断分布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12749937">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1AFD7E3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2F95C92E">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5EC66EBB">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6</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38245F4F">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地中海区至温带</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热带亚洲、大洋洲和南美洲间断分布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5D91A4B">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43397E7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45D38F2F">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52EEF1E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7</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2407F3AC">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东亚分布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6859CF55">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6</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37F89F6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2.51%</w:t>
            </w:r>
          </w:p>
        </w:tc>
      </w:tr>
      <w:tr w14:paraId="6EBAA12C">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12EACCA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8</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59FA09D1">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中国-喜马拉雅分布。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3D5ADA5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497DCE81">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1.26%</w:t>
            </w:r>
          </w:p>
        </w:tc>
      </w:tr>
      <w:tr w14:paraId="5066D620">
        <w:tblPrEx>
          <w:tblCellMar>
            <w:top w:w="0" w:type="dxa"/>
            <w:left w:w="108" w:type="dxa"/>
            <w:bottom w:w="0" w:type="dxa"/>
            <w:right w:w="108" w:type="dxa"/>
          </w:tblCellMar>
        </w:tblPrEx>
        <w:trPr>
          <w:trHeight w:val="312" w:hRule="atLeast"/>
        </w:trPr>
        <w:tc>
          <w:tcPr>
            <w:tcW w:w="1279" w:type="dxa"/>
            <w:tcBorders>
              <w:top w:val="single" w:color="000000" w:sz="4" w:space="0"/>
              <w:left w:val="single" w:color="000000" w:sz="4" w:space="0"/>
              <w:bottom w:val="single" w:color="000000" w:sz="4" w:space="0"/>
              <w:right w:val="single" w:color="000000" w:sz="4" w:space="0"/>
            </w:tcBorders>
            <w:noWrap/>
            <w:vAlign w:val="center"/>
          </w:tcPr>
          <w:p w14:paraId="7684B3A7">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
              </w:rPr>
              <w:t>9</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2252D0B4">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中国</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日本分布。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FDF5A18">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5BEA5F2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0.42%</w:t>
            </w:r>
          </w:p>
        </w:tc>
      </w:tr>
      <w:tr w14:paraId="26518602">
        <w:tblPrEx>
          <w:tblCellMar>
            <w:top w:w="0" w:type="dxa"/>
            <w:left w:w="108" w:type="dxa"/>
            <w:bottom w:w="0" w:type="dxa"/>
            <w:right w:w="108" w:type="dxa"/>
          </w:tblCellMar>
        </w:tblPrEx>
        <w:trPr>
          <w:trHeight w:val="312" w:hRule="atLeast"/>
        </w:trPr>
        <w:tc>
          <w:tcPr>
            <w:tcW w:w="4042" w:type="pct"/>
            <w:gridSpan w:val="2"/>
            <w:tcBorders>
              <w:top w:val="single" w:color="000000" w:sz="4" w:space="0"/>
              <w:left w:val="single" w:color="000000" w:sz="4" w:space="0"/>
              <w:bottom w:val="single" w:color="000000" w:sz="4" w:space="0"/>
              <w:right w:val="single" w:color="000000" w:sz="4" w:space="0"/>
            </w:tcBorders>
            <w:noWrap/>
            <w:vAlign w:val="center"/>
          </w:tcPr>
          <w:p w14:paraId="0ED8E4D2">
            <w:pPr>
              <w:widowControl/>
              <w:spacing w:line="240" w:lineRule="auto"/>
              <w:ind w:firstLine="0" w:firstLineChars="0"/>
              <w:jc w:val="left"/>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温带属小计（8-14）</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7C13F27D">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45</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1893D7B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18.83%</w:t>
            </w:r>
          </w:p>
        </w:tc>
      </w:tr>
      <w:tr w14:paraId="57E1A817">
        <w:tblPrEx>
          <w:tblCellMar>
            <w:top w:w="0" w:type="dxa"/>
            <w:left w:w="108" w:type="dxa"/>
            <w:bottom w:w="0" w:type="dxa"/>
            <w:right w:w="108" w:type="dxa"/>
          </w:tblCellMar>
        </w:tblPrEx>
        <w:trPr>
          <w:trHeight w:val="312" w:hRule="atLeast"/>
        </w:trPr>
        <w:tc>
          <w:tcPr>
            <w:tcW w:w="680" w:type="pct"/>
            <w:tcBorders>
              <w:top w:val="single" w:color="000000" w:sz="4" w:space="0"/>
              <w:left w:val="single" w:color="000000" w:sz="4" w:space="0"/>
              <w:bottom w:val="single" w:color="000000" w:sz="4" w:space="0"/>
              <w:right w:val="single" w:color="000000" w:sz="4" w:space="0"/>
            </w:tcBorders>
            <w:noWrap/>
            <w:vAlign w:val="center"/>
          </w:tcPr>
          <w:p w14:paraId="60CE580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15</w:t>
            </w:r>
          </w:p>
        </w:tc>
        <w:tc>
          <w:tcPr>
            <w:tcW w:w="3361" w:type="pct"/>
            <w:tcBorders>
              <w:top w:val="single" w:color="000000" w:sz="4" w:space="0"/>
              <w:left w:val="single" w:color="000000" w:sz="4" w:space="0"/>
              <w:bottom w:val="single" w:color="000000" w:sz="4" w:space="0"/>
              <w:right w:val="single" w:color="000000" w:sz="4" w:space="0"/>
            </w:tcBorders>
            <w:noWrap/>
            <w:vAlign w:val="center"/>
          </w:tcPr>
          <w:p w14:paraId="46C6CBCB">
            <w:pPr>
              <w:widowControl/>
              <w:spacing w:line="240" w:lineRule="auto"/>
              <w:ind w:firstLine="0" w:firstLineChars="0"/>
              <w:jc w:val="left"/>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中国特有分布</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4A06AFDB">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60DA449E">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0.84%</w:t>
            </w:r>
          </w:p>
        </w:tc>
      </w:tr>
      <w:tr w14:paraId="33DA21A8">
        <w:tblPrEx>
          <w:tblCellMar>
            <w:top w:w="0" w:type="dxa"/>
            <w:left w:w="108" w:type="dxa"/>
            <w:bottom w:w="0" w:type="dxa"/>
            <w:right w:w="108" w:type="dxa"/>
          </w:tblCellMar>
        </w:tblPrEx>
        <w:trPr>
          <w:trHeight w:val="312" w:hRule="atLeast"/>
        </w:trPr>
        <w:tc>
          <w:tcPr>
            <w:tcW w:w="4042" w:type="pct"/>
            <w:gridSpan w:val="2"/>
            <w:tcBorders>
              <w:top w:val="single" w:color="000000" w:sz="4" w:space="0"/>
              <w:left w:val="single" w:color="000000" w:sz="4" w:space="0"/>
              <w:bottom w:val="single" w:color="000000" w:sz="4" w:space="0"/>
              <w:right w:val="single" w:color="000000" w:sz="4" w:space="0"/>
            </w:tcBorders>
            <w:noWrap/>
            <w:vAlign w:val="center"/>
          </w:tcPr>
          <w:p w14:paraId="563443BB">
            <w:pPr>
              <w:widowControl/>
              <w:spacing w:line="240" w:lineRule="auto"/>
              <w:ind w:firstLine="0" w:firstLineChars="0"/>
              <w:jc w:val="left"/>
              <w:textAlignment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合计</w:t>
            </w:r>
          </w:p>
        </w:tc>
        <w:tc>
          <w:tcPr>
            <w:tcW w:w="750" w:type="dxa"/>
            <w:tcBorders>
              <w:top w:val="single" w:color="000000" w:sz="4" w:space="0"/>
              <w:left w:val="single" w:color="000000" w:sz="4" w:space="0"/>
              <w:bottom w:val="single" w:color="000000" w:sz="4" w:space="0"/>
              <w:right w:val="single" w:color="000000" w:sz="4" w:space="0"/>
            </w:tcBorders>
            <w:noWrap/>
            <w:vAlign w:val="center"/>
          </w:tcPr>
          <w:p w14:paraId="2D00BBA0">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239</w:t>
            </w:r>
          </w:p>
        </w:tc>
        <w:tc>
          <w:tcPr>
            <w:tcW w:w="963" w:type="dxa"/>
            <w:tcBorders>
              <w:top w:val="single" w:color="000000" w:sz="4" w:space="0"/>
              <w:left w:val="single" w:color="000000" w:sz="4" w:space="0"/>
              <w:bottom w:val="single" w:color="000000" w:sz="4" w:space="0"/>
              <w:right w:val="single" w:color="000000" w:sz="4" w:space="0"/>
            </w:tcBorders>
            <w:noWrap/>
            <w:vAlign w:val="center"/>
          </w:tcPr>
          <w:p w14:paraId="6E2EE33A">
            <w:pPr>
              <w:widowControl/>
              <w:spacing w:line="240" w:lineRule="auto"/>
              <w:ind w:firstLine="0" w:firstLineChars="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100.00%</w:t>
            </w:r>
          </w:p>
        </w:tc>
      </w:tr>
    </w:tbl>
    <w:p w14:paraId="266D3498">
      <w:pPr>
        <w:ind w:firstLine="0" w:firstLineChars="0"/>
        <w:rPr>
          <w:rFonts w:hint="default" w:ascii="Times New Roman" w:hAnsi="Times New Roman" w:eastAsia="宋体" w:cs="Times New Roman"/>
          <w:b/>
          <w:bCs/>
          <w:color w:val="auto"/>
        </w:rPr>
      </w:pPr>
      <w:bookmarkStart w:id="89" w:name="_Toc5363"/>
      <w:r>
        <w:rPr>
          <w:rFonts w:hint="default" w:ascii="Times New Roman" w:hAnsi="Times New Roman" w:eastAsia="宋体" w:cs="Times New Roman"/>
          <w:b/>
          <w:bCs/>
          <w:color w:val="auto"/>
        </w:rPr>
        <w:t>（三）重要物种</w:t>
      </w:r>
      <w:bookmarkEnd w:id="89"/>
    </w:p>
    <w:p w14:paraId="30EBBDBF">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（1）国家级重点保护植物</w:t>
      </w:r>
    </w:p>
    <w:p w14:paraId="3C42901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对照2021年8月国务院批准《国家重点保护野生植物名录》核实，评价区未调查到国家重点保护野生植物。</w:t>
      </w:r>
    </w:p>
    <w:p w14:paraId="23F9BB12">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（2）云南省级保护植物</w:t>
      </w:r>
    </w:p>
    <w:p w14:paraId="74FF544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按2023年发布的《云南省重点保护野生植物名录》，评价区内未发现云南省重点保护野生植物。</w:t>
      </w:r>
    </w:p>
    <w:p w14:paraId="15B5C5DB">
      <w:pPr>
        <w:ind w:firstLine="482"/>
        <w:jc w:val="left"/>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rPr>
        <w:t>（3）</w:t>
      </w:r>
      <w:r>
        <w:rPr>
          <w:rFonts w:hint="default" w:ascii="Times New Roman" w:hAnsi="Times New Roman" w:eastAsia="宋体" w:cs="Times New Roman"/>
          <w:b/>
          <w:bCs/>
          <w:color w:val="auto"/>
          <w:kern w:val="0"/>
        </w:rPr>
        <w:t>全国极小种群野生植物</w:t>
      </w:r>
    </w:p>
    <w:p w14:paraId="1A071B9F">
      <w:pPr>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根据2011年</w:t>
      </w:r>
      <w:r>
        <w:rPr>
          <w:rFonts w:hint="default" w:ascii="Times New Roman" w:hAnsi="Times New Roman" w:eastAsia="宋体" w:cs="Times New Roman"/>
          <w:color w:val="auto"/>
          <w:lang w:eastAsia="zh-CN"/>
        </w:rPr>
        <w:t>国家林业和草原局</w:t>
      </w:r>
      <w:r>
        <w:rPr>
          <w:rFonts w:hint="default" w:ascii="Times New Roman" w:hAnsi="Times New Roman" w:eastAsia="宋体" w:cs="Times New Roman"/>
          <w:color w:val="auto"/>
        </w:rPr>
        <w:t>发布的《全国极小种群野生植物拯救保护工程计划》（2011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2015年）中附表1《极小种群野生植物物种基本情况表》，评价区未调查到全国极小种群野生植物。</w:t>
      </w:r>
    </w:p>
    <w:p w14:paraId="33DA39EC">
      <w:pPr>
        <w:ind w:firstLine="482"/>
        <w:jc w:val="left"/>
        <w:rPr>
          <w:rFonts w:hint="default" w:ascii="Times New Roman" w:hAnsi="Times New Roman" w:eastAsia="宋体" w:cs="Times New Roman"/>
          <w:b/>
          <w:bCs/>
          <w:color w:val="auto"/>
          <w:kern w:val="0"/>
        </w:rPr>
      </w:pPr>
      <w:r>
        <w:rPr>
          <w:rFonts w:hint="default" w:ascii="Times New Roman" w:hAnsi="Times New Roman" w:eastAsia="宋体" w:cs="Times New Roman"/>
          <w:b/>
          <w:bCs/>
          <w:color w:val="auto"/>
        </w:rPr>
        <w:t>（4）</w:t>
      </w:r>
      <w:r>
        <w:rPr>
          <w:rFonts w:hint="default" w:ascii="Times New Roman" w:hAnsi="Times New Roman" w:eastAsia="宋体" w:cs="Times New Roman"/>
          <w:b/>
          <w:bCs/>
          <w:color w:val="auto"/>
          <w:kern w:val="0"/>
        </w:rPr>
        <w:t>云南省极小种群野生植物</w:t>
      </w:r>
    </w:p>
    <w:p w14:paraId="0A700185">
      <w:pPr>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根据2023年1月，云南省林业和草原局发布的《云南省极小种群野生植物保护名录》 （2022年版），评价区未调查到云南省极小种群野生植物。</w:t>
      </w:r>
    </w:p>
    <w:p w14:paraId="18AE2CF0">
      <w:pPr>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rPr>
        <w:t>（5）</w:t>
      </w:r>
      <w:r>
        <w:rPr>
          <w:rFonts w:hint="default" w:ascii="Times New Roman" w:hAnsi="Times New Roman" w:eastAsia="宋体" w:cs="Times New Roman"/>
          <w:b/>
          <w:bCs/>
          <w:color w:val="auto"/>
          <w:kern w:val="0"/>
          <w:lang w:val="zh-TW" w:eastAsia="zh-TW"/>
        </w:rPr>
        <w:t>名木古树</w:t>
      </w:r>
      <w:r>
        <w:rPr>
          <w:rFonts w:hint="default" w:ascii="Times New Roman" w:hAnsi="Times New Roman" w:eastAsia="宋体" w:cs="Times New Roman"/>
          <w:color w:val="auto"/>
        </w:rPr>
        <w:t>。</w:t>
      </w:r>
    </w:p>
    <w:p w14:paraId="121484B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按照全国绿化委员会、国家林业局文件</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全绿字</w:t>
      </w:r>
      <w:r>
        <w:rPr>
          <w:rFonts w:hint="default" w:ascii="Times New Roman" w:hAnsi="Times New Roman" w:eastAsia="宋体" w:cs="Times New Roman"/>
          <w:color w:val="auto"/>
          <w:lang w:eastAsia="zh-CN"/>
        </w:rPr>
        <w:t>〔2001〕15号）</w:t>
      </w:r>
      <w:r>
        <w:rPr>
          <w:rFonts w:hint="default" w:ascii="Times New Roman" w:hAnsi="Times New Roman" w:eastAsia="宋体" w:cs="Times New Roman"/>
          <w:color w:val="auto"/>
        </w:rPr>
        <w:t>对名木古树的界定，名木指在历史上或社会上有重大影响的中外历代名人、领袖人物所植或者具有极其重要的历史、文化价值、具有纪念意义的树木；古树指树龄在100年以上的树木。按照这个界定，本评价区内未发现名木古树。</w:t>
      </w:r>
    </w:p>
    <w:p w14:paraId="0BAD4F76">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1.2</w:t>
      </w:r>
      <w:r>
        <w:rPr>
          <w:rFonts w:hint="default" w:ascii="Times New Roman" w:hAnsi="Times New Roman" w:eastAsia="宋体" w:cs="Times New Roman"/>
          <w:color w:val="auto"/>
        </w:rPr>
        <w:t>动物资源现状</w:t>
      </w:r>
    </w:p>
    <w:p w14:paraId="3B714C85">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w:t>
      </w:r>
      <w:r>
        <w:rPr>
          <w:rFonts w:hint="default" w:ascii="Times New Roman" w:hAnsi="Times New Roman" w:eastAsia="宋体" w:cs="Times New Roman"/>
          <w:color w:val="auto"/>
          <w:lang w:val="en-US" w:eastAsia="zh-CN"/>
        </w:rPr>
        <w:t>2</w:t>
      </w:r>
      <w:r>
        <w:rPr>
          <w:rFonts w:hint="default" w:ascii="Times New Roman" w:hAnsi="Times New Roman" w:eastAsia="宋体" w:cs="Times New Roman"/>
          <w:color w:val="auto"/>
        </w:rPr>
        <w:t>.1.2.1野生动物调查方法</w:t>
      </w:r>
    </w:p>
    <w:p w14:paraId="73B5A84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①调查时间</w:t>
      </w:r>
    </w:p>
    <w:p w14:paraId="72A412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本项目野外调查于2025年5月进行现场调查，有效调查时间为4天。</w:t>
      </w:r>
    </w:p>
    <w:p w14:paraId="664005D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②调查范围及内容</w:t>
      </w:r>
    </w:p>
    <w:p w14:paraId="7F3929D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调查范围为项目用地范围外延300m范围。主要调查兽类（哺乳类）、鸟类、爬行类和两栖类4个陆生脊椎动物。调查内容主要为各类群动物的组成情况、资源现状及生境特点等。</w:t>
      </w:r>
    </w:p>
    <w:p w14:paraId="21E06C3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③调查方法</w:t>
      </w:r>
    </w:p>
    <w:p w14:paraId="1005F11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◆收集资料法</w:t>
      </w:r>
    </w:p>
    <w:p w14:paraId="551C6A5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查阅《云南两栖爬行动物》《中国云南野生动物》《云南鸟类志》《云南鸟类物种多样性现状与分析》等相关书籍，以及有关元江县调查资料的基础上，确定评价区分布的各类群动物。收集《云南元江自然保护区综合科学考察报告》了解附近区域脊椎动物区系组成及分布特征。同时，根据国家重点动物保护名录（2021）、云南省重点保护植物（2023）、《中国生物多样性红色名录》（脊椎动物卷2020）确定动物的特有种、保护物种和稀有种。</w:t>
      </w:r>
    </w:p>
    <w:p w14:paraId="74700BB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◆实地调查法</w:t>
      </w:r>
    </w:p>
    <w:p w14:paraId="2E21B9A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野外调查时段上，主要于上午时段（日出后三小时）和下午时段（日落前三小时）进行路线调查，其余时段在调查区内遇见的陆生脊椎动物亦进行记录。本次调查主要采用了资料查阅+生境判定法、访问调查等方法。调查期间，对评价区出现的陆生脊椎动物进行记录。此外，对调查范围内的重要陆生脊椎动物发现点进行定位记录。</w:t>
      </w:r>
    </w:p>
    <w:p w14:paraId="79BBE74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生境推测，根据当地的生境特点、景观类型，根据专家知识和访问，分析各观察点附近可能分布的脊椎动物种类；同时，通过向当地居民展示图谱，加以证实。</w:t>
      </w:r>
    </w:p>
    <w:p w14:paraId="71F2F6D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◆访问调查法</w:t>
      </w:r>
    </w:p>
    <w:p w14:paraId="4CD2A3E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采取非诱导访谈法对影响评价区周边村落的群众进行调查，了解他们常年在附近从事种植、非林农产品采集等活动所观察到的陆栖脊椎动物分布及种群数量的情况。向当地护林员了解他们在多年的工作和研究过程中所掌握到的在本区域中陆栖脊椎动物的分布情况。</w:t>
      </w:r>
    </w:p>
    <w:p w14:paraId="0CFBCF2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◆数据整理</w:t>
      </w:r>
    </w:p>
    <w:p w14:paraId="7CA17BF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→陆生脊椎动物识别</w:t>
      </w:r>
    </w:p>
    <w:p w14:paraId="6928DF9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对于调查过程中发现的兽类，主要参考《 中国兽类野外手册》（史密斯等，2009）进行鉴定。对于样线调查记录的鸟类，主要参考《中国鸟类野外手册》（约翰·马敬能等，2000）、《中国鸟类观察手册》（刘阳和陈水华，2021）进行鉴定。两栖爬行动物的识别鉴定主要参考《中国爬行动物图鉴》（中国野生动物保护协会，2002）和《云南两栖爬行动物》（2008）。</w:t>
      </w:r>
    </w:p>
    <w:p w14:paraId="6381227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→保护界定</w:t>
      </w:r>
    </w:p>
    <w:p w14:paraId="3A3CD1B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动物的保护级别界定主要依据《国家重点保护野生动物名录》（2021）、《云南省重点保护野生动物名录》（2023）、《中国生物多样性红色名录—脊椎动物卷（2020）》。</w:t>
      </w:r>
    </w:p>
    <w:p w14:paraId="78667AF3">
      <w:pPr>
        <w:spacing w:line="240" w:lineRule="auto"/>
        <w:ind w:firstLine="0" w:firstLineChars="0"/>
        <w:rPr>
          <w:rFonts w:hint="default" w:ascii="Times New Roman" w:hAnsi="Times New Roman" w:eastAsia="宋体" w:cs="Times New Roman"/>
          <w:b/>
          <w:bCs/>
          <w:color w:val="auto"/>
        </w:rPr>
      </w:pPr>
      <w:bookmarkStart w:id="90" w:name="_Toc20585"/>
      <w:r>
        <w:rPr>
          <w:rFonts w:hint="default" w:ascii="Times New Roman" w:hAnsi="Times New Roman" w:eastAsia="宋体" w:cs="Times New Roman"/>
          <w:b/>
          <w:bCs/>
          <w:color w:val="auto"/>
        </w:rPr>
        <w:t>4.1.1.2.2野生动物资源现状</w:t>
      </w:r>
      <w:bookmarkEnd w:id="90"/>
    </w:p>
    <w:p w14:paraId="6B0CD54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根据实际调查并参考该区域动物区系方面的相关资料，目前评价区共记录到陆生脊椎动物134种，详见下表。</w:t>
      </w:r>
    </w:p>
    <w:p w14:paraId="19B51D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w:t>
      </w:r>
      <w:r>
        <w:rPr>
          <w:rFonts w:hint="default" w:ascii="Times New Roman" w:hAnsi="Times New Roman" w:eastAsia="宋体" w:cs="Times New Roman"/>
          <w:b/>
          <w:color w:val="auto"/>
          <w:sz w:val="21"/>
          <w:szCs w:val="21"/>
          <w:lang w:val="en-US" w:eastAsia="zh-CN"/>
        </w:rPr>
        <w:t>4</w:t>
      </w:r>
      <w:r>
        <w:rPr>
          <w:rFonts w:hint="default" w:ascii="Times New Roman" w:hAnsi="Times New Roman" w:eastAsia="宋体" w:cs="Times New Roman"/>
          <w:b/>
          <w:color w:val="auto"/>
          <w:sz w:val="21"/>
          <w:szCs w:val="21"/>
        </w:rPr>
        <w:t>.</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-1  动物种类统计表</w:t>
      </w:r>
    </w:p>
    <w:tbl>
      <w:tblPr>
        <w:tblStyle w:val="58"/>
        <w:tblW w:w="4998" w:type="pct"/>
        <w:jc w:val="center"/>
        <w:tblLayout w:type="autofit"/>
        <w:tblCellMar>
          <w:top w:w="0" w:type="dxa"/>
          <w:left w:w="108" w:type="dxa"/>
          <w:bottom w:w="0" w:type="dxa"/>
          <w:right w:w="108" w:type="dxa"/>
        </w:tblCellMar>
      </w:tblPr>
      <w:tblGrid>
        <w:gridCol w:w="848"/>
        <w:gridCol w:w="1605"/>
        <w:gridCol w:w="1605"/>
        <w:gridCol w:w="1554"/>
        <w:gridCol w:w="1360"/>
        <w:gridCol w:w="1553"/>
      </w:tblGrid>
      <w:tr w14:paraId="4F56F903">
        <w:tblPrEx>
          <w:tblCellMar>
            <w:top w:w="0" w:type="dxa"/>
            <w:left w:w="108" w:type="dxa"/>
            <w:bottom w:w="0" w:type="dxa"/>
            <w:right w:w="108" w:type="dxa"/>
          </w:tblCellMar>
        </w:tblPrEx>
        <w:trPr>
          <w:trHeight w:val="20" w:hRule="atLeast"/>
          <w:jc w:val="center"/>
        </w:trPr>
        <w:tc>
          <w:tcPr>
            <w:tcW w:w="497" w:type="pct"/>
            <w:tcBorders>
              <w:top w:val="single" w:color="auto" w:sz="4" w:space="0"/>
              <w:left w:val="single" w:color="auto" w:sz="4" w:space="0"/>
              <w:bottom w:val="single" w:color="auto" w:sz="4" w:space="0"/>
              <w:right w:val="single" w:color="auto" w:sz="4" w:space="0"/>
            </w:tcBorders>
            <w:noWrap/>
            <w:vAlign w:val="bottom"/>
          </w:tcPr>
          <w:p w14:paraId="255B51F9">
            <w:pPr>
              <w:widowControl/>
              <w:spacing w:line="240" w:lineRule="auto"/>
              <w:ind w:firstLine="0" w:firstLineChars="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种类</w:t>
            </w:r>
          </w:p>
        </w:tc>
        <w:tc>
          <w:tcPr>
            <w:tcW w:w="941" w:type="pct"/>
            <w:tcBorders>
              <w:top w:val="single" w:color="auto" w:sz="4" w:space="0"/>
              <w:left w:val="nil"/>
              <w:bottom w:val="single" w:color="auto" w:sz="4" w:space="0"/>
              <w:right w:val="single" w:color="auto" w:sz="4" w:space="0"/>
            </w:tcBorders>
            <w:noWrap/>
            <w:vAlign w:val="bottom"/>
          </w:tcPr>
          <w:p w14:paraId="44FAE30B">
            <w:pPr>
              <w:widowControl/>
              <w:spacing w:line="240" w:lineRule="auto"/>
              <w:ind w:firstLine="0" w:firstLineChars="0"/>
              <w:jc w:val="center"/>
              <w:textAlignment w:val="center"/>
              <w:rPr>
                <w:rFonts w:hint="eastAsia" w:ascii="Times New Roman" w:hAnsi="Times New Roman" w:eastAsia="宋体" w:cs="Times New Roman"/>
                <w:b/>
                <w:bCs/>
                <w:color w:val="auto"/>
                <w:kern w:val="0"/>
                <w:sz w:val="21"/>
                <w:szCs w:val="21"/>
                <w:lang w:val="en-US" w:eastAsia="zh-CN" w:bidi="ar"/>
              </w:rPr>
            </w:pPr>
            <w:r>
              <w:rPr>
                <w:rFonts w:hint="eastAsia" w:cs="Times New Roman"/>
                <w:b/>
                <w:bCs/>
                <w:color w:val="auto"/>
                <w:kern w:val="0"/>
                <w:sz w:val="21"/>
                <w:szCs w:val="21"/>
                <w:lang w:val="en-US" w:eastAsia="zh-CN" w:bidi="ar"/>
              </w:rPr>
              <w:t>纲</w:t>
            </w:r>
          </w:p>
        </w:tc>
        <w:tc>
          <w:tcPr>
            <w:tcW w:w="941" w:type="pct"/>
            <w:tcBorders>
              <w:top w:val="single" w:color="auto" w:sz="4" w:space="0"/>
              <w:left w:val="nil"/>
              <w:bottom w:val="single" w:color="auto" w:sz="4" w:space="0"/>
              <w:right w:val="single" w:color="auto" w:sz="4" w:space="0"/>
            </w:tcBorders>
            <w:noWrap/>
            <w:vAlign w:val="bottom"/>
          </w:tcPr>
          <w:p w14:paraId="4F6DFE6F">
            <w:pPr>
              <w:widowControl/>
              <w:spacing w:line="240" w:lineRule="auto"/>
              <w:ind w:firstLine="0" w:firstLineChars="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目</w:t>
            </w:r>
          </w:p>
        </w:tc>
        <w:tc>
          <w:tcPr>
            <w:tcW w:w="911" w:type="pct"/>
            <w:tcBorders>
              <w:top w:val="single" w:color="auto" w:sz="4" w:space="0"/>
              <w:left w:val="nil"/>
              <w:bottom w:val="single" w:color="auto" w:sz="4" w:space="0"/>
              <w:right w:val="single" w:color="auto" w:sz="4" w:space="0"/>
            </w:tcBorders>
            <w:noWrap/>
            <w:vAlign w:val="bottom"/>
          </w:tcPr>
          <w:p w14:paraId="0491BE2D">
            <w:pPr>
              <w:widowControl/>
              <w:spacing w:line="240" w:lineRule="auto"/>
              <w:ind w:firstLine="0" w:firstLineChars="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科</w:t>
            </w:r>
          </w:p>
        </w:tc>
        <w:tc>
          <w:tcPr>
            <w:tcW w:w="797" w:type="pct"/>
            <w:tcBorders>
              <w:top w:val="single" w:color="auto" w:sz="4" w:space="0"/>
              <w:left w:val="nil"/>
              <w:bottom w:val="single" w:color="auto" w:sz="4" w:space="0"/>
              <w:right w:val="single" w:color="auto" w:sz="4" w:space="0"/>
            </w:tcBorders>
            <w:noWrap/>
            <w:vAlign w:val="bottom"/>
          </w:tcPr>
          <w:p w14:paraId="6C090DB1">
            <w:pPr>
              <w:widowControl/>
              <w:spacing w:line="240" w:lineRule="auto"/>
              <w:ind w:firstLine="0" w:firstLineChars="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属</w:t>
            </w:r>
          </w:p>
        </w:tc>
        <w:tc>
          <w:tcPr>
            <w:tcW w:w="910" w:type="pct"/>
            <w:tcBorders>
              <w:top w:val="single" w:color="auto" w:sz="4" w:space="0"/>
              <w:left w:val="nil"/>
              <w:bottom w:val="single" w:color="auto" w:sz="4" w:space="0"/>
              <w:right w:val="single" w:color="auto" w:sz="4" w:space="0"/>
            </w:tcBorders>
            <w:noWrap/>
            <w:vAlign w:val="bottom"/>
          </w:tcPr>
          <w:p w14:paraId="2EBE2CA1">
            <w:pPr>
              <w:widowControl/>
              <w:spacing w:line="240" w:lineRule="auto"/>
              <w:ind w:firstLine="0" w:firstLineChars="0"/>
              <w:jc w:val="center"/>
              <w:textAlignment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种</w:t>
            </w:r>
          </w:p>
        </w:tc>
      </w:tr>
      <w:tr w14:paraId="05221DE4">
        <w:tblPrEx>
          <w:tblCellMar>
            <w:top w:w="0" w:type="dxa"/>
            <w:left w:w="108" w:type="dxa"/>
            <w:bottom w:w="0" w:type="dxa"/>
            <w:right w:w="108" w:type="dxa"/>
          </w:tblCellMar>
        </w:tblPrEx>
        <w:trPr>
          <w:trHeight w:val="20" w:hRule="atLeast"/>
          <w:jc w:val="center"/>
        </w:trPr>
        <w:tc>
          <w:tcPr>
            <w:tcW w:w="497" w:type="pct"/>
            <w:tcBorders>
              <w:top w:val="nil"/>
              <w:left w:val="single" w:color="auto" w:sz="4" w:space="0"/>
              <w:bottom w:val="single" w:color="auto" w:sz="4" w:space="0"/>
              <w:right w:val="single" w:color="auto" w:sz="4" w:space="0"/>
            </w:tcBorders>
            <w:noWrap/>
            <w:vAlign w:val="bottom"/>
          </w:tcPr>
          <w:p w14:paraId="1B298748">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两栖类</w:t>
            </w:r>
          </w:p>
        </w:tc>
        <w:tc>
          <w:tcPr>
            <w:tcW w:w="941" w:type="pct"/>
            <w:tcBorders>
              <w:top w:val="nil"/>
              <w:left w:val="nil"/>
              <w:bottom w:val="single" w:color="auto" w:sz="4" w:space="0"/>
              <w:right w:val="single" w:color="auto" w:sz="4" w:space="0"/>
            </w:tcBorders>
            <w:noWrap/>
            <w:vAlign w:val="bottom"/>
          </w:tcPr>
          <w:p w14:paraId="4DD0F2D0">
            <w:pPr>
              <w:widowControl/>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w:t>
            </w:r>
          </w:p>
        </w:tc>
        <w:tc>
          <w:tcPr>
            <w:tcW w:w="941" w:type="pct"/>
            <w:tcBorders>
              <w:top w:val="nil"/>
              <w:left w:val="nil"/>
              <w:bottom w:val="single" w:color="auto" w:sz="4" w:space="0"/>
              <w:right w:val="single" w:color="auto" w:sz="4" w:space="0"/>
            </w:tcBorders>
            <w:noWrap/>
            <w:vAlign w:val="bottom"/>
          </w:tcPr>
          <w:p w14:paraId="69FCD32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p>
        </w:tc>
        <w:tc>
          <w:tcPr>
            <w:tcW w:w="911" w:type="pct"/>
            <w:tcBorders>
              <w:top w:val="nil"/>
              <w:left w:val="nil"/>
              <w:bottom w:val="single" w:color="auto" w:sz="4" w:space="0"/>
              <w:right w:val="single" w:color="auto" w:sz="4" w:space="0"/>
            </w:tcBorders>
            <w:noWrap/>
            <w:vAlign w:val="bottom"/>
          </w:tcPr>
          <w:p w14:paraId="0B0CD747">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6</w:t>
            </w:r>
          </w:p>
        </w:tc>
        <w:tc>
          <w:tcPr>
            <w:tcW w:w="797" w:type="pct"/>
            <w:tcBorders>
              <w:top w:val="nil"/>
              <w:left w:val="nil"/>
              <w:bottom w:val="single" w:color="auto" w:sz="4" w:space="0"/>
              <w:right w:val="single" w:color="auto" w:sz="4" w:space="0"/>
            </w:tcBorders>
            <w:noWrap/>
            <w:vAlign w:val="bottom"/>
          </w:tcPr>
          <w:p w14:paraId="11D8A32C">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8</w:t>
            </w:r>
          </w:p>
        </w:tc>
        <w:tc>
          <w:tcPr>
            <w:tcW w:w="910" w:type="pct"/>
            <w:tcBorders>
              <w:top w:val="nil"/>
              <w:left w:val="nil"/>
              <w:bottom w:val="single" w:color="auto" w:sz="4" w:space="0"/>
              <w:right w:val="single" w:color="auto" w:sz="4" w:space="0"/>
            </w:tcBorders>
            <w:noWrap/>
            <w:vAlign w:val="bottom"/>
          </w:tcPr>
          <w:p w14:paraId="48D0557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11</w:t>
            </w:r>
          </w:p>
        </w:tc>
      </w:tr>
      <w:tr w14:paraId="543E974C">
        <w:tblPrEx>
          <w:tblCellMar>
            <w:top w:w="0" w:type="dxa"/>
            <w:left w:w="108" w:type="dxa"/>
            <w:bottom w:w="0" w:type="dxa"/>
            <w:right w:w="108" w:type="dxa"/>
          </w:tblCellMar>
        </w:tblPrEx>
        <w:trPr>
          <w:trHeight w:val="20" w:hRule="atLeast"/>
          <w:jc w:val="center"/>
        </w:trPr>
        <w:tc>
          <w:tcPr>
            <w:tcW w:w="497" w:type="pct"/>
            <w:tcBorders>
              <w:top w:val="nil"/>
              <w:left w:val="single" w:color="auto" w:sz="4" w:space="0"/>
              <w:bottom w:val="single" w:color="auto" w:sz="4" w:space="0"/>
              <w:right w:val="single" w:color="auto" w:sz="4" w:space="0"/>
            </w:tcBorders>
            <w:noWrap/>
            <w:vAlign w:val="bottom"/>
          </w:tcPr>
          <w:p w14:paraId="7F9F3B78">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爬行类</w:t>
            </w:r>
          </w:p>
        </w:tc>
        <w:tc>
          <w:tcPr>
            <w:tcW w:w="941" w:type="pct"/>
            <w:tcBorders>
              <w:top w:val="nil"/>
              <w:left w:val="nil"/>
              <w:bottom w:val="single" w:color="auto" w:sz="4" w:space="0"/>
              <w:right w:val="single" w:color="auto" w:sz="4" w:space="0"/>
            </w:tcBorders>
            <w:noWrap/>
            <w:vAlign w:val="bottom"/>
          </w:tcPr>
          <w:p w14:paraId="26E57520">
            <w:pPr>
              <w:widowControl/>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w:t>
            </w:r>
          </w:p>
        </w:tc>
        <w:tc>
          <w:tcPr>
            <w:tcW w:w="941" w:type="pct"/>
            <w:tcBorders>
              <w:top w:val="nil"/>
              <w:left w:val="nil"/>
              <w:bottom w:val="single" w:color="auto" w:sz="4" w:space="0"/>
              <w:right w:val="single" w:color="auto" w:sz="4" w:space="0"/>
            </w:tcBorders>
            <w:noWrap/>
            <w:vAlign w:val="bottom"/>
          </w:tcPr>
          <w:p w14:paraId="7B12272C">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w:t>
            </w:r>
          </w:p>
        </w:tc>
        <w:tc>
          <w:tcPr>
            <w:tcW w:w="911" w:type="pct"/>
            <w:tcBorders>
              <w:top w:val="nil"/>
              <w:left w:val="nil"/>
              <w:bottom w:val="single" w:color="auto" w:sz="4" w:space="0"/>
              <w:right w:val="single" w:color="auto" w:sz="4" w:space="0"/>
            </w:tcBorders>
            <w:noWrap/>
            <w:vAlign w:val="bottom"/>
          </w:tcPr>
          <w:p w14:paraId="1DF79CB2">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6</w:t>
            </w:r>
          </w:p>
        </w:tc>
        <w:tc>
          <w:tcPr>
            <w:tcW w:w="797" w:type="pct"/>
            <w:tcBorders>
              <w:top w:val="nil"/>
              <w:left w:val="nil"/>
              <w:bottom w:val="single" w:color="auto" w:sz="4" w:space="0"/>
              <w:right w:val="single" w:color="auto" w:sz="4" w:space="0"/>
            </w:tcBorders>
            <w:noWrap/>
            <w:vAlign w:val="bottom"/>
          </w:tcPr>
          <w:p w14:paraId="6D0341F6">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8</w:t>
            </w:r>
          </w:p>
        </w:tc>
        <w:tc>
          <w:tcPr>
            <w:tcW w:w="910" w:type="pct"/>
            <w:tcBorders>
              <w:top w:val="nil"/>
              <w:left w:val="nil"/>
              <w:bottom w:val="single" w:color="auto" w:sz="4" w:space="0"/>
              <w:right w:val="single" w:color="auto" w:sz="4" w:space="0"/>
            </w:tcBorders>
            <w:noWrap/>
            <w:vAlign w:val="bottom"/>
          </w:tcPr>
          <w:p w14:paraId="0337FDD8">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10</w:t>
            </w:r>
          </w:p>
        </w:tc>
      </w:tr>
      <w:tr w14:paraId="18456C5F">
        <w:tblPrEx>
          <w:tblCellMar>
            <w:top w:w="0" w:type="dxa"/>
            <w:left w:w="108" w:type="dxa"/>
            <w:bottom w:w="0" w:type="dxa"/>
            <w:right w:w="108" w:type="dxa"/>
          </w:tblCellMar>
        </w:tblPrEx>
        <w:trPr>
          <w:trHeight w:val="20" w:hRule="atLeast"/>
          <w:jc w:val="center"/>
        </w:trPr>
        <w:tc>
          <w:tcPr>
            <w:tcW w:w="497" w:type="pct"/>
            <w:tcBorders>
              <w:top w:val="nil"/>
              <w:left w:val="single" w:color="auto" w:sz="4" w:space="0"/>
              <w:bottom w:val="single" w:color="auto" w:sz="4" w:space="0"/>
              <w:right w:val="single" w:color="auto" w:sz="4" w:space="0"/>
            </w:tcBorders>
            <w:noWrap/>
            <w:vAlign w:val="bottom"/>
          </w:tcPr>
          <w:p w14:paraId="242C9A58">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鸟类</w:t>
            </w:r>
          </w:p>
        </w:tc>
        <w:tc>
          <w:tcPr>
            <w:tcW w:w="941" w:type="pct"/>
            <w:tcBorders>
              <w:top w:val="nil"/>
              <w:left w:val="nil"/>
              <w:bottom w:val="single" w:color="auto" w:sz="4" w:space="0"/>
              <w:right w:val="single" w:color="auto" w:sz="4" w:space="0"/>
            </w:tcBorders>
            <w:noWrap/>
            <w:vAlign w:val="bottom"/>
          </w:tcPr>
          <w:p w14:paraId="2277B8E3">
            <w:pPr>
              <w:widowControl/>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w:t>
            </w:r>
          </w:p>
        </w:tc>
        <w:tc>
          <w:tcPr>
            <w:tcW w:w="941" w:type="pct"/>
            <w:tcBorders>
              <w:top w:val="nil"/>
              <w:left w:val="nil"/>
              <w:bottom w:val="single" w:color="auto" w:sz="4" w:space="0"/>
              <w:right w:val="single" w:color="auto" w:sz="4" w:space="0"/>
            </w:tcBorders>
            <w:noWrap/>
            <w:vAlign w:val="bottom"/>
          </w:tcPr>
          <w:p w14:paraId="7A8AF6CB">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13</w:t>
            </w:r>
          </w:p>
        </w:tc>
        <w:tc>
          <w:tcPr>
            <w:tcW w:w="911" w:type="pct"/>
            <w:tcBorders>
              <w:top w:val="nil"/>
              <w:left w:val="nil"/>
              <w:bottom w:val="single" w:color="auto" w:sz="4" w:space="0"/>
              <w:right w:val="single" w:color="auto" w:sz="4" w:space="0"/>
            </w:tcBorders>
            <w:noWrap/>
            <w:vAlign w:val="bottom"/>
          </w:tcPr>
          <w:p w14:paraId="41241C33">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32</w:t>
            </w:r>
          </w:p>
        </w:tc>
        <w:tc>
          <w:tcPr>
            <w:tcW w:w="797" w:type="pct"/>
            <w:tcBorders>
              <w:top w:val="nil"/>
              <w:left w:val="nil"/>
              <w:bottom w:val="single" w:color="auto" w:sz="4" w:space="0"/>
              <w:right w:val="single" w:color="auto" w:sz="4" w:space="0"/>
            </w:tcBorders>
            <w:noWrap/>
            <w:vAlign w:val="bottom"/>
          </w:tcPr>
          <w:p w14:paraId="2F014B4F">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57</w:t>
            </w:r>
          </w:p>
        </w:tc>
        <w:tc>
          <w:tcPr>
            <w:tcW w:w="910" w:type="pct"/>
            <w:tcBorders>
              <w:top w:val="nil"/>
              <w:left w:val="nil"/>
              <w:bottom w:val="single" w:color="auto" w:sz="4" w:space="0"/>
              <w:right w:val="single" w:color="auto" w:sz="4" w:space="0"/>
            </w:tcBorders>
            <w:noWrap/>
            <w:vAlign w:val="bottom"/>
          </w:tcPr>
          <w:p w14:paraId="01571F7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92</w:t>
            </w:r>
          </w:p>
        </w:tc>
      </w:tr>
      <w:tr w14:paraId="2031A4B3">
        <w:tblPrEx>
          <w:tblCellMar>
            <w:top w:w="0" w:type="dxa"/>
            <w:left w:w="108" w:type="dxa"/>
            <w:bottom w:w="0" w:type="dxa"/>
            <w:right w:w="108" w:type="dxa"/>
          </w:tblCellMar>
        </w:tblPrEx>
        <w:trPr>
          <w:trHeight w:val="207" w:hRule="atLeast"/>
          <w:jc w:val="center"/>
        </w:trPr>
        <w:tc>
          <w:tcPr>
            <w:tcW w:w="497" w:type="pct"/>
            <w:tcBorders>
              <w:top w:val="nil"/>
              <w:left w:val="single" w:color="auto" w:sz="4" w:space="0"/>
              <w:bottom w:val="single" w:color="auto" w:sz="4" w:space="0"/>
              <w:right w:val="single" w:color="auto" w:sz="4" w:space="0"/>
            </w:tcBorders>
            <w:noWrap/>
            <w:vAlign w:val="bottom"/>
          </w:tcPr>
          <w:p w14:paraId="62D3BBA6">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哺乳类</w:t>
            </w:r>
          </w:p>
        </w:tc>
        <w:tc>
          <w:tcPr>
            <w:tcW w:w="941" w:type="pct"/>
            <w:tcBorders>
              <w:top w:val="nil"/>
              <w:left w:val="nil"/>
              <w:bottom w:val="single" w:color="auto" w:sz="4" w:space="0"/>
              <w:right w:val="single" w:color="auto" w:sz="4" w:space="0"/>
            </w:tcBorders>
            <w:noWrap/>
            <w:vAlign w:val="bottom"/>
          </w:tcPr>
          <w:p w14:paraId="36DAAAE5">
            <w:pPr>
              <w:widowControl/>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1</w:t>
            </w:r>
          </w:p>
        </w:tc>
        <w:tc>
          <w:tcPr>
            <w:tcW w:w="941" w:type="pct"/>
            <w:tcBorders>
              <w:top w:val="nil"/>
              <w:left w:val="nil"/>
              <w:bottom w:val="single" w:color="auto" w:sz="4" w:space="0"/>
              <w:right w:val="single" w:color="auto" w:sz="4" w:space="0"/>
            </w:tcBorders>
            <w:noWrap/>
            <w:vAlign w:val="bottom"/>
          </w:tcPr>
          <w:p w14:paraId="09B875B7">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6</w:t>
            </w:r>
          </w:p>
        </w:tc>
        <w:tc>
          <w:tcPr>
            <w:tcW w:w="911" w:type="pct"/>
            <w:tcBorders>
              <w:top w:val="nil"/>
              <w:left w:val="nil"/>
              <w:bottom w:val="single" w:color="auto" w:sz="4" w:space="0"/>
              <w:right w:val="single" w:color="auto" w:sz="4" w:space="0"/>
            </w:tcBorders>
            <w:noWrap/>
            <w:vAlign w:val="bottom"/>
          </w:tcPr>
          <w:p w14:paraId="6FAFF9D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10</w:t>
            </w:r>
          </w:p>
        </w:tc>
        <w:tc>
          <w:tcPr>
            <w:tcW w:w="797" w:type="pct"/>
            <w:tcBorders>
              <w:top w:val="nil"/>
              <w:left w:val="nil"/>
              <w:bottom w:val="single" w:color="auto" w:sz="4" w:space="0"/>
              <w:right w:val="single" w:color="auto" w:sz="4" w:space="0"/>
            </w:tcBorders>
            <w:noWrap/>
            <w:vAlign w:val="bottom"/>
          </w:tcPr>
          <w:p w14:paraId="05326E05">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15</w:t>
            </w:r>
          </w:p>
        </w:tc>
        <w:tc>
          <w:tcPr>
            <w:tcW w:w="910" w:type="pct"/>
            <w:tcBorders>
              <w:top w:val="nil"/>
              <w:left w:val="nil"/>
              <w:bottom w:val="single" w:color="auto" w:sz="4" w:space="0"/>
              <w:right w:val="single" w:color="auto" w:sz="4" w:space="0"/>
            </w:tcBorders>
            <w:noWrap/>
            <w:vAlign w:val="bottom"/>
          </w:tcPr>
          <w:p w14:paraId="59A93DD0">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21</w:t>
            </w:r>
          </w:p>
        </w:tc>
      </w:tr>
      <w:tr w14:paraId="536CCF5B">
        <w:tblPrEx>
          <w:tblCellMar>
            <w:top w:w="0" w:type="dxa"/>
            <w:left w:w="108" w:type="dxa"/>
            <w:bottom w:w="0" w:type="dxa"/>
            <w:right w:w="108" w:type="dxa"/>
          </w:tblCellMar>
        </w:tblPrEx>
        <w:trPr>
          <w:trHeight w:val="20" w:hRule="atLeast"/>
          <w:jc w:val="center"/>
        </w:trPr>
        <w:tc>
          <w:tcPr>
            <w:tcW w:w="497" w:type="pct"/>
            <w:tcBorders>
              <w:top w:val="nil"/>
              <w:left w:val="single" w:color="auto" w:sz="4" w:space="0"/>
              <w:bottom w:val="single" w:color="auto" w:sz="4" w:space="0"/>
              <w:right w:val="single" w:color="auto" w:sz="4" w:space="0"/>
            </w:tcBorders>
            <w:noWrap/>
            <w:vAlign w:val="bottom"/>
          </w:tcPr>
          <w:p w14:paraId="7AED05B5">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合计</w:t>
            </w:r>
          </w:p>
        </w:tc>
        <w:tc>
          <w:tcPr>
            <w:tcW w:w="941" w:type="pct"/>
            <w:tcBorders>
              <w:top w:val="nil"/>
              <w:left w:val="nil"/>
              <w:bottom w:val="single" w:color="auto" w:sz="4" w:space="0"/>
              <w:right w:val="single" w:color="auto" w:sz="4" w:space="0"/>
            </w:tcBorders>
            <w:noWrap/>
            <w:vAlign w:val="center"/>
          </w:tcPr>
          <w:p w14:paraId="47106E61">
            <w:pPr>
              <w:widowControl/>
              <w:spacing w:line="240" w:lineRule="auto"/>
              <w:ind w:firstLine="0" w:firstLineChars="0"/>
              <w:jc w:val="center"/>
              <w:textAlignment w:val="center"/>
              <w:rPr>
                <w:rFonts w:hint="eastAsia" w:ascii="Times New Roman" w:hAnsi="Times New Roman" w:eastAsia="宋体" w:cs="Times New Roman"/>
                <w:color w:val="auto"/>
                <w:kern w:val="0"/>
                <w:sz w:val="21"/>
                <w:szCs w:val="21"/>
                <w:lang w:val="en-US" w:eastAsia="zh-CN" w:bidi="ar"/>
              </w:rPr>
            </w:pPr>
            <w:r>
              <w:rPr>
                <w:rFonts w:hint="eastAsia" w:cs="Times New Roman"/>
                <w:color w:val="auto"/>
                <w:kern w:val="0"/>
                <w:sz w:val="21"/>
                <w:szCs w:val="21"/>
                <w:lang w:val="en-US" w:eastAsia="zh-CN" w:bidi="ar"/>
              </w:rPr>
              <w:t>4</w:t>
            </w:r>
          </w:p>
        </w:tc>
        <w:tc>
          <w:tcPr>
            <w:tcW w:w="941" w:type="pct"/>
            <w:tcBorders>
              <w:top w:val="nil"/>
              <w:left w:val="nil"/>
              <w:bottom w:val="single" w:color="auto" w:sz="4" w:space="0"/>
              <w:right w:val="single" w:color="auto" w:sz="4" w:space="0"/>
            </w:tcBorders>
            <w:noWrap/>
            <w:vAlign w:val="center"/>
          </w:tcPr>
          <w:p w14:paraId="3B5DC01E">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22</w:t>
            </w:r>
          </w:p>
        </w:tc>
        <w:tc>
          <w:tcPr>
            <w:tcW w:w="911" w:type="pct"/>
            <w:tcBorders>
              <w:top w:val="nil"/>
              <w:left w:val="nil"/>
              <w:bottom w:val="single" w:color="auto" w:sz="4" w:space="0"/>
              <w:right w:val="single" w:color="auto" w:sz="4" w:space="0"/>
            </w:tcBorders>
            <w:noWrap/>
            <w:vAlign w:val="center"/>
          </w:tcPr>
          <w:p w14:paraId="77C5B319">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54</w:t>
            </w:r>
          </w:p>
        </w:tc>
        <w:tc>
          <w:tcPr>
            <w:tcW w:w="797" w:type="pct"/>
            <w:tcBorders>
              <w:top w:val="nil"/>
              <w:left w:val="nil"/>
              <w:bottom w:val="single" w:color="auto" w:sz="4" w:space="0"/>
              <w:right w:val="single" w:color="auto" w:sz="4" w:space="0"/>
            </w:tcBorders>
            <w:noWrap/>
            <w:vAlign w:val="center"/>
          </w:tcPr>
          <w:p w14:paraId="3255C624">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88</w:t>
            </w:r>
          </w:p>
        </w:tc>
        <w:tc>
          <w:tcPr>
            <w:tcW w:w="910" w:type="pct"/>
            <w:tcBorders>
              <w:top w:val="nil"/>
              <w:left w:val="nil"/>
              <w:bottom w:val="single" w:color="auto" w:sz="4" w:space="0"/>
              <w:right w:val="single" w:color="auto" w:sz="4" w:space="0"/>
            </w:tcBorders>
            <w:noWrap/>
            <w:vAlign w:val="center"/>
          </w:tcPr>
          <w:p w14:paraId="359F43A4">
            <w:pPr>
              <w:widowControl/>
              <w:spacing w:line="240" w:lineRule="auto"/>
              <w:ind w:firstLine="0" w:firstLineChars="0"/>
              <w:jc w:val="center"/>
              <w:textAlignment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134</w:t>
            </w:r>
          </w:p>
        </w:tc>
      </w:tr>
    </w:tbl>
    <w:p w14:paraId="5CE9CC37">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①两栖类</w:t>
      </w:r>
    </w:p>
    <w:p w14:paraId="390E046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评价区记录到两栖动物11种，</w:t>
      </w:r>
      <w:r>
        <w:rPr>
          <w:rFonts w:hint="default" w:ascii="Times New Roman" w:hAnsi="Times New Roman" w:eastAsia="宋体" w:cs="Times New Roman"/>
          <w:color w:val="auto"/>
        </w:rPr>
        <w:t>分属</w:t>
      </w:r>
      <w:r>
        <w:rPr>
          <w:rFonts w:hint="eastAsia" w:cs="Times New Roman"/>
          <w:color w:val="auto"/>
          <w:lang w:val="en-US" w:eastAsia="zh-CN"/>
        </w:rPr>
        <w:t>1纲</w:t>
      </w:r>
      <w:r>
        <w:rPr>
          <w:rFonts w:hint="default" w:ascii="Times New Roman" w:hAnsi="Times New Roman" w:eastAsia="宋体" w:cs="Times New Roman"/>
          <w:color w:val="auto"/>
        </w:rPr>
        <w:t>1目6科8属</w:t>
      </w:r>
      <w:r>
        <w:rPr>
          <w:rFonts w:hint="default" w:ascii="Times New Roman" w:hAnsi="Times New Roman" w:eastAsia="宋体" w:cs="Times New Roman"/>
          <w:color w:val="auto"/>
        </w:rPr>
        <w:t>。全部为无尾目，包括姬蛙科3属3种，占两栖类总数量的27.27%；蛙科1属3种，占两栖类总数量的27.27%；树蛙科1属2种，占两栖类总数量的18.18%；角蟾科、蟾蜍科和雨蛙科1属1种，占0.09%。</w:t>
      </w:r>
    </w:p>
    <w:p w14:paraId="07E4A7A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两栖动物主要分布于水环境周边。项目区周边是历史悠久的农耕区，由于现代农业生产大量施用化肥农药，对两栖动物的影</w:t>
      </w:r>
      <w:r>
        <w:rPr>
          <w:rFonts w:hint="default" w:ascii="Times New Roman" w:hAnsi="Times New Roman" w:eastAsia="宋体" w:cs="Times New Roman"/>
          <w:color w:val="auto"/>
          <w:lang w:eastAsia="zh-CN"/>
        </w:rPr>
        <w:t>响较</w:t>
      </w:r>
      <w:r>
        <w:rPr>
          <w:rFonts w:hint="default" w:ascii="Times New Roman" w:hAnsi="Times New Roman" w:eastAsia="宋体" w:cs="Times New Roman"/>
          <w:color w:val="auto"/>
        </w:rPr>
        <w:t>大，种类和数量正在日趋减少。在评价区的河流生境，华西蟾蜍和泽蛙为常见物种；在农田生境，则以蛙科种类较常见。</w:t>
      </w:r>
      <w:r>
        <w:rPr>
          <w:rFonts w:hint="default" w:ascii="Times New Roman" w:hAnsi="Times New Roman" w:eastAsia="宋体" w:cs="Times New Roman"/>
          <w:color w:val="auto"/>
          <w:lang w:eastAsia="zh-CN"/>
        </w:rPr>
        <w:t>其他</w:t>
      </w:r>
      <w:r>
        <w:rPr>
          <w:rFonts w:hint="default" w:ascii="Times New Roman" w:hAnsi="Times New Roman" w:eastAsia="宋体" w:cs="Times New Roman"/>
          <w:color w:val="auto"/>
        </w:rPr>
        <w:t>种类较少见。</w:t>
      </w:r>
    </w:p>
    <w:p w14:paraId="0CC9B2CB">
      <w:pPr>
        <w:ind w:firstLine="482"/>
        <w:rPr>
          <w:rFonts w:hint="default" w:ascii="Times New Roman" w:hAnsi="Times New Roman" w:eastAsia="宋体" w:cs="Times New Roman"/>
          <w:b/>
          <w:bCs/>
          <w:color w:val="auto"/>
        </w:rPr>
      </w:pPr>
      <w:bookmarkStart w:id="91" w:name="_Toc4418"/>
      <w:r>
        <w:rPr>
          <w:rFonts w:hint="default" w:ascii="Times New Roman" w:hAnsi="Times New Roman" w:eastAsia="宋体" w:cs="Times New Roman"/>
          <w:b/>
          <w:bCs/>
          <w:color w:val="auto"/>
        </w:rPr>
        <w:t>②爬行类</w:t>
      </w:r>
    </w:p>
    <w:p w14:paraId="45EF6E3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记录到爬行动物10种，分属</w:t>
      </w:r>
      <w:r>
        <w:rPr>
          <w:rFonts w:hint="eastAsia" w:cs="Times New Roman"/>
          <w:color w:val="auto"/>
          <w:lang w:val="en-US" w:eastAsia="zh-CN"/>
        </w:rPr>
        <w:t>1纲</w:t>
      </w:r>
      <w:r>
        <w:rPr>
          <w:rFonts w:hint="default" w:ascii="Times New Roman" w:hAnsi="Times New Roman" w:eastAsia="宋体" w:cs="Times New Roman"/>
          <w:color w:val="auto"/>
        </w:rPr>
        <w:t>2目6科8属（详见附录3）。其中，蜥蜴目4科4属5种，占记录总种数的50%；蛇目2科4属5种，占总种数的50%，其中游蛇科4种，蝰科1种。</w:t>
      </w:r>
    </w:p>
    <w:p w14:paraId="65170DAE">
      <w:pPr>
        <w:ind w:firstLine="482"/>
        <w:rPr>
          <w:rFonts w:hint="default" w:ascii="Times New Roman" w:hAnsi="Times New Roman" w:eastAsia="宋体" w:cs="Times New Roman"/>
          <w:b/>
          <w:bCs/>
          <w:color w:val="auto"/>
        </w:rPr>
      </w:pPr>
      <w:bookmarkStart w:id="92" w:name="_Toc3056"/>
      <w:r>
        <w:rPr>
          <w:rFonts w:hint="default" w:ascii="Times New Roman" w:hAnsi="Times New Roman" w:eastAsia="宋体" w:cs="Times New Roman"/>
          <w:b/>
          <w:bCs/>
          <w:color w:val="auto"/>
        </w:rPr>
        <w:t>③鸟类</w:t>
      </w:r>
      <w:bookmarkEnd w:id="92"/>
    </w:p>
    <w:p w14:paraId="7A760D8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参照《中国鸟类分类与分布名录（第三版）》（郑光美，2017）进行编目，调查区记录鸟类92种，隶属</w:t>
      </w:r>
      <w:r>
        <w:rPr>
          <w:rFonts w:hint="eastAsia" w:cs="Times New Roman"/>
          <w:color w:val="auto"/>
          <w:lang w:val="en-US" w:eastAsia="zh-CN"/>
        </w:rPr>
        <w:t>1纲</w:t>
      </w:r>
      <w:r>
        <w:rPr>
          <w:rFonts w:hint="default" w:ascii="Times New Roman" w:hAnsi="Times New Roman" w:eastAsia="宋体" w:cs="Times New Roman"/>
          <w:color w:val="auto"/>
        </w:rPr>
        <w:t>1</w:t>
      </w:r>
      <w:r>
        <w:rPr>
          <w:rFonts w:hint="eastAsia" w:cs="Times New Roman"/>
          <w:color w:val="auto"/>
          <w:lang w:val="en-US" w:eastAsia="zh-CN"/>
        </w:rPr>
        <w:t>3</w:t>
      </w:r>
      <w:r>
        <w:rPr>
          <w:rFonts w:hint="default" w:ascii="Times New Roman" w:hAnsi="Times New Roman" w:eastAsia="宋体" w:cs="Times New Roman"/>
          <w:color w:val="auto"/>
        </w:rPr>
        <w:t>目</w:t>
      </w:r>
      <w:r>
        <w:rPr>
          <w:rFonts w:hint="default" w:ascii="Times New Roman" w:hAnsi="Times New Roman" w:eastAsia="宋体" w:cs="Times New Roman"/>
          <w:color w:val="auto"/>
        </w:rPr>
        <w:t>32科57属（见附录）。</w:t>
      </w:r>
    </w:p>
    <w:p w14:paraId="4B84FA22">
      <w:pPr>
        <w:ind w:firstLine="480"/>
        <w:jc w:val="left"/>
        <w:rPr>
          <w:rFonts w:hint="default" w:ascii="Times New Roman" w:hAnsi="Times New Roman" w:eastAsia="宋体" w:cs="Times New Roman"/>
          <w:color w:val="auto"/>
          <w:sz w:val="22"/>
          <w:szCs w:val="28"/>
        </w:rPr>
      </w:pPr>
      <w:r>
        <w:rPr>
          <w:rFonts w:hint="default" w:ascii="Times New Roman" w:hAnsi="Times New Roman" w:eastAsia="宋体" w:cs="Times New Roman"/>
          <w:color w:val="auto"/>
        </w:rPr>
        <w:t>调查区的鸟类以小型的雀形目为主，而鹰形目和鸮形目等中大型鸟类所占比重较小。</w:t>
      </w:r>
    </w:p>
    <w:p w14:paraId="25983BF5">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④哺乳类</w:t>
      </w:r>
    </w:p>
    <w:p w14:paraId="6276F1E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根据现场调查、访问调查、生境分析、历史文献资料等途径，确定本工程评价区哺乳动物计21种，分属</w:t>
      </w:r>
      <w:r>
        <w:rPr>
          <w:rFonts w:hint="eastAsia" w:cs="Times New Roman"/>
          <w:color w:val="auto"/>
          <w:lang w:val="en-US" w:eastAsia="zh-CN"/>
        </w:rPr>
        <w:t>1纲</w:t>
      </w:r>
      <w:r>
        <w:rPr>
          <w:rFonts w:hint="default" w:ascii="Times New Roman" w:hAnsi="Times New Roman" w:eastAsia="宋体" w:cs="Times New Roman"/>
          <w:color w:val="auto"/>
        </w:rPr>
        <w:t>6目10科15属（详见附录）。其中，啮齿目3科7属10种，占记录总种数的47.62%；</w:t>
      </w:r>
      <w:r>
        <w:rPr>
          <w:rFonts w:hint="default" w:ascii="Times New Roman" w:hAnsi="Times New Roman" w:eastAsia="宋体" w:cs="Times New Roman"/>
          <w:color w:val="auto"/>
          <w:kern w:val="0"/>
        </w:rPr>
        <w:t>翼手目2科4属6种，</w:t>
      </w:r>
      <w:r>
        <w:rPr>
          <w:rFonts w:hint="default" w:ascii="Times New Roman" w:hAnsi="Times New Roman" w:eastAsia="宋体" w:cs="Times New Roman"/>
          <w:color w:val="auto"/>
          <w:kern w:val="0"/>
          <w:lang w:eastAsia="zh-CN"/>
        </w:rPr>
        <w:t>占</w:t>
      </w:r>
      <w:r>
        <w:rPr>
          <w:rFonts w:hint="default" w:ascii="Times New Roman" w:hAnsi="Times New Roman" w:eastAsia="宋体" w:cs="Times New Roman"/>
          <w:color w:val="auto"/>
          <w:kern w:val="0"/>
        </w:rPr>
        <w:t>记录总数的28.57%；</w:t>
      </w:r>
      <w:r>
        <w:rPr>
          <w:rFonts w:hint="default" w:ascii="Times New Roman" w:hAnsi="Times New Roman" w:eastAsia="宋体" w:cs="Times New Roman"/>
          <w:color w:val="auto"/>
        </w:rPr>
        <w:t>食肉目2科2属2种，占记录总数的9.52%；食虫目</w:t>
      </w:r>
      <w:r>
        <w:rPr>
          <w:rFonts w:hint="default" w:ascii="Times New Roman" w:hAnsi="Times New Roman" w:eastAsia="宋体" w:cs="Times New Roman"/>
          <w:color w:val="auto"/>
          <w:kern w:val="0"/>
        </w:rPr>
        <w:t>、</w:t>
      </w:r>
      <w:r>
        <w:rPr>
          <w:rFonts w:hint="default" w:ascii="Times New Roman" w:hAnsi="Times New Roman" w:eastAsia="宋体" w:cs="Times New Roman"/>
          <w:color w:val="auto"/>
          <w:kern w:val="0"/>
          <w:lang w:eastAsia="zh-CN"/>
        </w:rPr>
        <w:t>兔形目</w:t>
      </w:r>
      <w:r>
        <w:rPr>
          <w:rFonts w:hint="default" w:ascii="Times New Roman" w:hAnsi="Times New Roman" w:eastAsia="宋体" w:cs="Times New Roman"/>
          <w:color w:val="auto"/>
        </w:rPr>
        <w:t>1科1属1种，占总种数的4.6%。</w:t>
      </w:r>
    </w:p>
    <w:p w14:paraId="661CACA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总的说来，评价区地处云南玉溪市元江县，评价区缺乏大型兽类的栖息、觅食、筑巢等活动环境，大型兽类已经很难见到。在农耕地和村落周边活动的鼠科，以及在华山松等人工林地活动的云南兔、鼠科和松鼠科的种类较常见。其余在评价区均属少见物种。</w:t>
      </w:r>
    </w:p>
    <w:bookmarkEnd w:id="91"/>
    <w:p w14:paraId="281F8123">
      <w:pPr>
        <w:ind w:firstLine="0" w:firstLineChars="0"/>
        <w:rPr>
          <w:rFonts w:hint="default" w:ascii="Times New Roman" w:hAnsi="Times New Roman" w:eastAsia="宋体" w:cs="Times New Roman"/>
          <w:b/>
          <w:bCs/>
          <w:color w:val="auto"/>
        </w:rPr>
      </w:pPr>
      <w:bookmarkStart w:id="93" w:name="_Toc17549"/>
      <w:r>
        <w:rPr>
          <w:rFonts w:hint="default" w:ascii="Times New Roman" w:hAnsi="Times New Roman" w:eastAsia="宋体" w:cs="Times New Roman"/>
          <w:b/>
          <w:bCs/>
          <w:color w:val="auto"/>
        </w:rPr>
        <w:t>4.1.1.2.3区系特征</w:t>
      </w:r>
      <w:bookmarkEnd w:id="93"/>
    </w:p>
    <w:p w14:paraId="7ECF8C2C">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①两栖类</w:t>
      </w:r>
    </w:p>
    <w:p w14:paraId="5813E5F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评价区内记录的11种两栖动物，全部为东洋界物种，其中西南区7种，东洋界广布4种。</w:t>
      </w:r>
    </w:p>
    <w:p w14:paraId="49714940">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②爬行类</w:t>
      </w:r>
    </w:p>
    <w:p w14:paraId="7CC8046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评价区内记录的爬行动物有10种，全部为东洋界物种，其中西南区3种，华南区5种，东洋界广布2种。</w:t>
      </w:r>
    </w:p>
    <w:p w14:paraId="02186A82">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③鸟类</w:t>
      </w:r>
    </w:p>
    <w:p w14:paraId="3D53FE8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调查区共记录鸟类92种，其中留鸟有62种，占总数的67.39%，夏候鸟12种，占13.04%，冬候鸟18种，占19.56%，旅鸟1种，占1.09%。从区系组成来看，调查区有繁殖鸟74种，其中东洋界鸟类有49种，占繁殖鸟的66.22%；广布种有23种，占31.08%；古北界鸟类1种，占1.35%。</w:t>
      </w:r>
    </w:p>
    <w:p w14:paraId="0B7BF69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调查区处于东洋界西南区，若仅从动物地理区划的分界范围界定，则调查区的鸟类区系分析结果与当地在中国动物地理区划中的位置相符合，即当地所记录的繁殖鸟多数为东洋种和广布种。</w:t>
      </w:r>
    </w:p>
    <w:p w14:paraId="6697C2CB">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④哺乳类</w:t>
      </w:r>
    </w:p>
    <w:p w14:paraId="65F9F6C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在记录的21种哺乳动物中，东洋界物种有15种，占总种数的71.43%；古北界物种有3种，占总数的14.29%；广泛分布于古北界和东洋界的物种有3种，占总种数的14.29%。</w:t>
      </w:r>
    </w:p>
    <w:p w14:paraId="63BD2223">
      <w:pPr>
        <w:keepNext w:val="0"/>
        <w:keepLines w:val="0"/>
        <w:pageBreakBefore w:val="0"/>
        <w:widowControl w:val="0"/>
        <w:kinsoku/>
        <w:wordWrap/>
        <w:overflowPunct/>
        <w:topLinePunct/>
        <w:autoSpaceDE/>
        <w:autoSpaceDN/>
        <w:bidi w:val="0"/>
        <w:adjustRightInd w:val="0"/>
        <w:snapToGrid w:val="0"/>
        <w:spacing w:line="360" w:lineRule="auto"/>
        <w:ind w:firstLine="480"/>
        <w:textAlignment w:val="auto"/>
        <w:outlineLvl w:val="9"/>
        <w:rPr>
          <w:rFonts w:hint="default" w:ascii="Times New Roman" w:hAnsi="Times New Roman" w:eastAsia="宋体" w:cs="Times New Roman"/>
          <w:b/>
          <w:bCs/>
          <w:color w:val="auto"/>
          <w:sz w:val="24"/>
          <w:highlight w:val="none"/>
          <w:lang w:val="en-US" w:eastAsia="zh-CN"/>
        </w:rPr>
      </w:pPr>
      <w:r>
        <w:rPr>
          <w:rFonts w:hint="default" w:ascii="Times New Roman" w:hAnsi="Times New Roman" w:eastAsia="宋体" w:cs="Times New Roman"/>
          <w:b/>
          <w:bCs/>
          <w:color w:val="auto"/>
          <w:sz w:val="24"/>
          <w:highlight w:val="none"/>
          <w:lang w:val="en-US" w:eastAsia="zh-CN"/>
        </w:rPr>
        <w:t>评价区陆生脊椎动物现状小结</w:t>
      </w:r>
    </w:p>
    <w:p w14:paraId="10FC2C5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（1）种类较单一，且分布不均匀</w:t>
      </w:r>
    </w:p>
    <w:p w14:paraId="7E0F3C33">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评价区分布的陆栖脊椎动物种类丰富程度较低，主要分布在厂区后山密林和平缓山坡，而河谷地带道路和车辆较多，村民放牧牛羊现象较为常见，人类生产活动干扰很大，难以为动物提供觅食和藏身场所，但旱季能为野生动物提供水源。在农耕区域唯有雀形目鸟类和鼠类等少数动物的种群数量较多。</w:t>
      </w:r>
    </w:p>
    <w:p w14:paraId="5671FE76">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（2）种群数量不大</w:t>
      </w:r>
    </w:p>
    <w:p w14:paraId="23DA6C24">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评价区范围内可供直接经济利用的动物资源，如人们所熟悉的食用、观赏用和药用等种类少，而且绝大多数物种的种群大小低下。这主要与评价区的生境以灌丛和农耕生境为主有关。</w:t>
      </w:r>
    </w:p>
    <w:p w14:paraId="175DFE8D">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（3）缺乏狭域分布的特有种类及保护物种</w:t>
      </w:r>
    </w:p>
    <w:p w14:paraId="3DDB616B">
      <w:pPr>
        <w:keepNext w:val="0"/>
        <w:keepLines w:val="0"/>
        <w:pageBreakBefore w:val="0"/>
        <w:widowControl w:val="0"/>
        <w:kinsoku/>
        <w:wordWrap/>
        <w:overflowPunct/>
        <w:topLinePunct/>
        <w:autoSpaceDE/>
        <w:autoSpaceDN/>
        <w:bidi w:val="0"/>
        <w:adjustRightInd w:val="0"/>
        <w:snapToGrid w:val="0"/>
        <w:spacing w:line="360" w:lineRule="auto"/>
        <w:ind w:firstLine="480"/>
        <w:textAlignment w:val="auto"/>
        <w:outlineLvl w:val="9"/>
        <w:rPr>
          <w:rFonts w:hint="default" w:ascii="Times New Roman" w:hAnsi="Times New Roman" w:eastAsia="宋体" w:cs="Times New Roman"/>
          <w:b w:val="0"/>
          <w:bCs w:val="0"/>
          <w:color w:val="auto"/>
          <w:sz w:val="24"/>
          <w:highlight w:val="none"/>
          <w:lang w:val="en-US" w:eastAsia="zh-CN"/>
        </w:rPr>
      </w:pPr>
      <w:r>
        <w:rPr>
          <w:rFonts w:hint="default" w:ascii="Times New Roman" w:hAnsi="Times New Roman" w:eastAsia="宋体" w:cs="Times New Roman"/>
          <w:b w:val="0"/>
          <w:bCs w:val="0"/>
          <w:color w:val="auto"/>
          <w:sz w:val="24"/>
          <w:highlight w:val="none"/>
          <w:lang w:val="en-US" w:eastAsia="zh-CN"/>
        </w:rPr>
        <w:t>两栖类、爬行类、鸟类和兽类等类群中均无局限分布于项目区范围的狭域特有物种，所记录的种类多数为广分布的物种，无国家级或云南省级重点保护种类，也无《中国生物多样性红色名录》受威胁物种。</w:t>
      </w:r>
    </w:p>
    <w:p w14:paraId="4B7D5023">
      <w:pPr>
        <w:pStyle w:val="5"/>
        <w:bidi w:val="0"/>
        <w:ind w:left="0" w:leftChars="0" w:firstLine="0" w:firstLineChars="0"/>
        <w:rPr>
          <w:rFonts w:hint="default" w:ascii="Times New Roman" w:hAnsi="Times New Roman" w:eastAsia="宋体" w:cs="Times New Roman"/>
          <w:color w:val="auto"/>
        </w:rPr>
      </w:pPr>
      <w:bookmarkStart w:id="94" w:name="_Toc22613"/>
      <w:r>
        <w:rPr>
          <w:rFonts w:hint="default" w:ascii="Times New Roman" w:hAnsi="Times New Roman" w:eastAsia="宋体" w:cs="Times New Roman"/>
          <w:color w:val="auto"/>
        </w:rPr>
        <w:t>4.2.2声环境质量现状</w:t>
      </w:r>
      <w:bookmarkEnd w:id="94"/>
    </w:p>
    <w:p w14:paraId="3299BC00">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4.2.2.1环境噪声（背景噪声）监测</w:t>
      </w:r>
    </w:p>
    <w:p w14:paraId="54E41D8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202</w:t>
      </w:r>
      <w:r>
        <w:rPr>
          <w:rFonts w:hint="eastAsia" w:cs="Times New Roman"/>
          <w:color w:val="auto"/>
          <w:kern w:val="0"/>
          <w:lang w:val="en-US" w:eastAsia="zh-CN" w:bidi="ar"/>
        </w:rPr>
        <w:t>6</w:t>
      </w:r>
      <w:r>
        <w:rPr>
          <w:rFonts w:hint="default" w:ascii="Times New Roman" w:hAnsi="Times New Roman" w:eastAsia="宋体" w:cs="Times New Roman"/>
          <w:color w:val="auto"/>
          <w:kern w:val="0"/>
          <w:lang w:bidi="ar"/>
        </w:rPr>
        <w:t>年</w:t>
      </w:r>
      <w:r>
        <w:rPr>
          <w:rFonts w:hint="eastAsia" w:cs="Times New Roman"/>
          <w:color w:val="auto"/>
          <w:kern w:val="0"/>
          <w:lang w:val="en-US" w:eastAsia="zh-CN" w:bidi="ar"/>
        </w:rPr>
        <w:t>5</w:t>
      </w:r>
      <w:r>
        <w:rPr>
          <w:rFonts w:hint="default" w:ascii="Times New Roman" w:hAnsi="Times New Roman" w:eastAsia="宋体" w:cs="Times New Roman"/>
          <w:color w:val="auto"/>
          <w:kern w:val="0"/>
          <w:lang w:bidi="ar"/>
        </w:rPr>
        <w:t>月</w:t>
      </w:r>
      <w:r>
        <w:rPr>
          <w:rFonts w:hint="eastAsia" w:cs="Times New Roman"/>
          <w:color w:val="auto"/>
          <w:kern w:val="0"/>
          <w:lang w:val="en-US" w:eastAsia="zh-CN" w:bidi="ar"/>
        </w:rPr>
        <w:t>9</w:t>
      </w:r>
      <w:r>
        <w:rPr>
          <w:rFonts w:hint="default" w:ascii="Times New Roman" w:hAnsi="Times New Roman" w:eastAsia="宋体" w:cs="Times New Roman"/>
          <w:color w:val="auto"/>
          <w:kern w:val="0"/>
          <w:lang w:bidi="ar"/>
        </w:rPr>
        <w:t>日至</w:t>
      </w:r>
      <w:r>
        <w:rPr>
          <w:rFonts w:hint="eastAsia" w:cs="Times New Roman"/>
          <w:color w:val="auto"/>
          <w:kern w:val="0"/>
          <w:lang w:val="en-US" w:eastAsia="zh-CN" w:bidi="ar"/>
        </w:rPr>
        <w:t>5</w:t>
      </w:r>
      <w:r>
        <w:rPr>
          <w:rFonts w:hint="default" w:ascii="Times New Roman" w:hAnsi="Times New Roman" w:eastAsia="宋体" w:cs="Times New Roman"/>
          <w:color w:val="auto"/>
          <w:kern w:val="0"/>
          <w:lang w:bidi="ar"/>
        </w:rPr>
        <w:t>月</w:t>
      </w:r>
      <w:r>
        <w:rPr>
          <w:rFonts w:hint="eastAsia" w:cs="Times New Roman"/>
          <w:color w:val="auto"/>
          <w:kern w:val="0"/>
          <w:lang w:val="en-US" w:eastAsia="zh-CN" w:bidi="ar"/>
        </w:rPr>
        <w:t>11</w:t>
      </w:r>
      <w:r>
        <w:rPr>
          <w:rFonts w:hint="default" w:ascii="Times New Roman" w:hAnsi="Times New Roman" w:eastAsia="宋体" w:cs="Times New Roman"/>
          <w:color w:val="auto"/>
          <w:kern w:val="0"/>
          <w:lang w:bidi="ar"/>
        </w:rPr>
        <w:t>日，建设单位委托云南长源检测技术有限公司对项目沿线评价范围内敏感点声环境现状进行了监测，同时对拟建道路与现状道路交叉的道路现状交通噪声进行了监测。</w:t>
      </w:r>
    </w:p>
    <w:p w14:paraId="221D409D">
      <w:pPr>
        <w:pStyle w:val="4"/>
        <w:spacing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根据项目所经区域的环境特征、噪声污染源和噪声敏感目标现状情况，根据“以点和代表性区段为主、点段结合、反馈全线”的评价原则，项目声环境监测选取8处进行了环境噪声监测。</w:t>
      </w:r>
    </w:p>
    <w:p w14:paraId="53A492B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（1）监测因子：</w:t>
      </w:r>
      <w:r>
        <w:rPr>
          <w:rFonts w:hint="default" w:ascii="Times New Roman" w:hAnsi="Times New Roman" w:eastAsia="宋体" w:cs="Times New Roman"/>
          <w:color w:val="auto"/>
          <w:kern w:val="0"/>
          <w:lang w:bidi="ar"/>
        </w:rPr>
        <w:t>等效连续A声级Leq</w:t>
      </w:r>
    </w:p>
    <w:p w14:paraId="4A6FCF4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rPr>
        <w:t>（2）监测布点：</w:t>
      </w:r>
      <w:r>
        <w:rPr>
          <w:rFonts w:hint="default" w:ascii="Times New Roman" w:hAnsi="Times New Roman" w:eastAsia="宋体" w:cs="Times New Roman"/>
          <w:color w:val="auto"/>
          <w:kern w:val="0"/>
          <w:lang w:bidi="ar"/>
        </w:rPr>
        <w:t>根据沿线勘察以及敏感点的特性，共设8个现状监测点位。</w:t>
      </w:r>
    </w:p>
    <w:p w14:paraId="4D4016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表4.</w:t>
      </w:r>
      <w:r>
        <w:rPr>
          <w:rFonts w:hint="default"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-1主要声环境质量现状监测布点一览表</w:t>
      </w:r>
    </w:p>
    <w:tbl>
      <w:tblPr>
        <w:tblStyle w:val="5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2008"/>
        <w:gridCol w:w="2032"/>
        <w:gridCol w:w="1556"/>
        <w:gridCol w:w="1839"/>
      </w:tblGrid>
      <w:tr w14:paraId="49C96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pct"/>
            <w:noWrap w:val="0"/>
            <w:vAlign w:val="center"/>
          </w:tcPr>
          <w:p w14:paraId="49BAC66D">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序号</w:t>
            </w:r>
          </w:p>
        </w:tc>
        <w:tc>
          <w:tcPr>
            <w:tcW w:w="1178" w:type="pct"/>
            <w:noWrap w:val="0"/>
            <w:vAlign w:val="center"/>
          </w:tcPr>
          <w:p w14:paraId="193113B0">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监测点位</w:t>
            </w:r>
          </w:p>
        </w:tc>
        <w:tc>
          <w:tcPr>
            <w:tcW w:w="1192" w:type="pct"/>
            <w:noWrap w:val="0"/>
            <w:vAlign w:val="center"/>
          </w:tcPr>
          <w:p w14:paraId="1AC37EC1">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频率</w:t>
            </w:r>
          </w:p>
        </w:tc>
        <w:tc>
          <w:tcPr>
            <w:tcW w:w="913" w:type="pct"/>
            <w:noWrap w:val="0"/>
            <w:vAlign w:val="center"/>
          </w:tcPr>
          <w:p w14:paraId="2523F4F3">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备注</w:t>
            </w:r>
          </w:p>
        </w:tc>
        <w:tc>
          <w:tcPr>
            <w:tcW w:w="1078" w:type="pct"/>
            <w:noWrap w:val="0"/>
            <w:vAlign w:val="center"/>
          </w:tcPr>
          <w:p w14:paraId="066C92F4">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执行标准</w:t>
            </w:r>
          </w:p>
        </w:tc>
      </w:tr>
      <w:tr w14:paraId="5391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36" w:type="pct"/>
            <w:noWrap w:val="0"/>
            <w:vAlign w:val="center"/>
          </w:tcPr>
          <w:p w14:paraId="51ED5964">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N1</w:t>
            </w:r>
          </w:p>
        </w:tc>
        <w:tc>
          <w:tcPr>
            <w:tcW w:w="1178" w:type="pct"/>
            <w:noWrap w:val="0"/>
            <w:vAlign w:val="center"/>
          </w:tcPr>
          <w:p w14:paraId="0A162193">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起始点</w:t>
            </w:r>
          </w:p>
        </w:tc>
        <w:tc>
          <w:tcPr>
            <w:tcW w:w="1192" w:type="pct"/>
            <w:vMerge w:val="restart"/>
            <w:noWrap w:val="0"/>
            <w:vAlign w:val="top"/>
          </w:tcPr>
          <w:p w14:paraId="169231D5">
            <w:pPr>
              <w:pStyle w:val="4"/>
              <w:adjustRightInd w:val="0"/>
              <w:snapToGrid w:val="0"/>
              <w:spacing w:line="240" w:lineRule="auto"/>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连续监测2天；每天2次，昼夜各1次，每次监测20min，监测时同步记录相邻道路的交通量，填写车流量原始记录表（分大、中、小型车辆）</w:t>
            </w:r>
          </w:p>
        </w:tc>
        <w:tc>
          <w:tcPr>
            <w:tcW w:w="913" w:type="pct"/>
            <w:noWrap w:val="0"/>
            <w:vAlign w:val="center"/>
          </w:tcPr>
          <w:p w14:paraId="18B6263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背景值</w:t>
            </w:r>
          </w:p>
        </w:tc>
        <w:tc>
          <w:tcPr>
            <w:tcW w:w="1078" w:type="pct"/>
            <w:vMerge w:val="restart"/>
            <w:noWrap w:val="0"/>
            <w:vAlign w:val="center"/>
          </w:tcPr>
          <w:p w14:paraId="4FE57FDD">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《声环境质量标准》（GB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3096-2008）4a类标准</w:t>
            </w:r>
          </w:p>
        </w:tc>
      </w:tr>
      <w:tr w14:paraId="64344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36" w:type="pct"/>
            <w:noWrap w:val="0"/>
            <w:vAlign w:val="center"/>
          </w:tcPr>
          <w:p w14:paraId="4929884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N2</w:t>
            </w:r>
          </w:p>
        </w:tc>
        <w:tc>
          <w:tcPr>
            <w:tcW w:w="1178" w:type="pct"/>
            <w:noWrap w:val="0"/>
            <w:vAlign w:val="center"/>
          </w:tcPr>
          <w:p w14:paraId="20F5869E">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终点</w:t>
            </w:r>
          </w:p>
        </w:tc>
        <w:tc>
          <w:tcPr>
            <w:tcW w:w="1192" w:type="pct"/>
            <w:vMerge w:val="continue"/>
            <w:noWrap w:val="0"/>
            <w:vAlign w:val="top"/>
          </w:tcPr>
          <w:p w14:paraId="6FD947A0">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32ADFEDC">
            <w:pPr>
              <w:adjustRightInd w:val="0"/>
              <w:snapToGrid w:val="0"/>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背景值</w:t>
            </w:r>
          </w:p>
        </w:tc>
        <w:tc>
          <w:tcPr>
            <w:tcW w:w="1078" w:type="pct"/>
            <w:vMerge w:val="continue"/>
            <w:noWrap w:val="0"/>
            <w:vAlign w:val="top"/>
          </w:tcPr>
          <w:p w14:paraId="76B39CCD">
            <w:pPr>
              <w:pStyle w:val="4"/>
              <w:adjustRightInd w:val="0"/>
              <w:snapToGrid w:val="0"/>
              <w:spacing w:line="240" w:lineRule="auto"/>
              <w:ind w:firstLine="0" w:firstLineChars="0"/>
              <w:rPr>
                <w:rFonts w:hint="default" w:ascii="Times New Roman" w:hAnsi="Times New Roman" w:eastAsia="宋体" w:cs="Times New Roman"/>
                <w:color w:val="auto"/>
              </w:rPr>
            </w:pPr>
          </w:p>
        </w:tc>
      </w:tr>
      <w:tr w14:paraId="18B93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36" w:type="pct"/>
            <w:noWrap w:val="0"/>
            <w:vAlign w:val="center"/>
          </w:tcPr>
          <w:p w14:paraId="77BF056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N3</w:t>
            </w:r>
          </w:p>
        </w:tc>
        <w:tc>
          <w:tcPr>
            <w:tcW w:w="1178" w:type="pct"/>
            <w:noWrap w:val="0"/>
            <w:vAlign w:val="center"/>
          </w:tcPr>
          <w:p w14:paraId="121AF1C5">
            <w:pPr>
              <w:pStyle w:val="4"/>
              <w:adjustRightInd w:val="0"/>
              <w:snapToGrid w:val="0"/>
              <w:spacing w:line="240" w:lineRule="auto"/>
              <w:ind w:firstLine="210" w:firstLineChars="10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G213国道接口处</w:t>
            </w:r>
          </w:p>
        </w:tc>
        <w:tc>
          <w:tcPr>
            <w:tcW w:w="1192" w:type="pct"/>
            <w:vMerge w:val="continue"/>
            <w:noWrap w:val="0"/>
            <w:vAlign w:val="top"/>
          </w:tcPr>
          <w:p w14:paraId="3ABF0564">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6A0399A3">
            <w:pPr>
              <w:adjustRightInd w:val="0"/>
              <w:snapToGrid w:val="0"/>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背景值</w:t>
            </w:r>
          </w:p>
        </w:tc>
        <w:tc>
          <w:tcPr>
            <w:tcW w:w="1078" w:type="pct"/>
            <w:vMerge w:val="continue"/>
            <w:noWrap w:val="0"/>
            <w:vAlign w:val="top"/>
          </w:tcPr>
          <w:p w14:paraId="69992C20">
            <w:pPr>
              <w:pStyle w:val="4"/>
              <w:adjustRightInd w:val="0"/>
              <w:snapToGrid w:val="0"/>
              <w:spacing w:line="240" w:lineRule="auto"/>
              <w:ind w:firstLine="0" w:firstLineChars="0"/>
              <w:rPr>
                <w:rFonts w:hint="default" w:ascii="Times New Roman" w:hAnsi="Times New Roman" w:eastAsia="宋体" w:cs="Times New Roman"/>
                <w:color w:val="auto"/>
              </w:rPr>
            </w:pPr>
          </w:p>
        </w:tc>
      </w:tr>
      <w:tr w14:paraId="290EB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36" w:type="pct"/>
            <w:noWrap w:val="0"/>
            <w:vAlign w:val="center"/>
          </w:tcPr>
          <w:p w14:paraId="0268BE1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N4</w:t>
            </w:r>
          </w:p>
        </w:tc>
        <w:tc>
          <w:tcPr>
            <w:tcW w:w="1178" w:type="pct"/>
            <w:noWrap w:val="0"/>
            <w:vAlign w:val="center"/>
          </w:tcPr>
          <w:p w14:paraId="159DB965">
            <w:pPr>
              <w:pStyle w:val="4"/>
              <w:adjustRightInd w:val="0"/>
              <w:snapToGrid w:val="0"/>
              <w:spacing w:line="240" w:lineRule="auto"/>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公路沿线1#</w:t>
            </w:r>
          </w:p>
        </w:tc>
        <w:tc>
          <w:tcPr>
            <w:tcW w:w="1192" w:type="pct"/>
            <w:vMerge w:val="continue"/>
            <w:noWrap w:val="0"/>
            <w:vAlign w:val="top"/>
          </w:tcPr>
          <w:p w14:paraId="6C539C17">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0F7BD4E2">
            <w:pPr>
              <w:adjustRightInd w:val="0"/>
              <w:snapToGrid w:val="0"/>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背景值</w:t>
            </w:r>
          </w:p>
        </w:tc>
        <w:tc>
          <w:tcPr>
            <w:tcW w:w="1078" w:type="pct"/>
            <w:vMerge w:val="continue"/>
            <w:noWrap w:val="0"/>
            <w:vAlign w:val="top"/>
          </w:tcPr>
          <w:p w14:paraId="610F3009">
            <w:pPr>
              <w:pStyle w:val="4"/>
              <w:adjustRightInd w:val="0"/>
              <w:snapToGrid w:val="0"/>
              <w:spacing w:line="240" w:lineRule="auto"/>
              <w:ind w:firstLine="0" w:firstLineChars="0"/>
              <w:rPr>
                <w:rFonts w:hint="default" w:ascii="Times New Roman" w:hAnsi="Times New Roman" w:eastAsia="宋体" w:cs="Times New Roman"/>
                <w:color w:val="auto"/>
              </w:rPr>
            </w:pPr>
          </w:p>
        </w:tc>
      </w:tr>
      <w:tr w14:paraId="015B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36" w:type="pct"/>
            <w:noWrap w:val="0"/>
            <w:vAlign w:val="center"/>
          </w:tcPr>
          <w:p w14:paraId="526CF3A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N5</w:t>
            </w:r>
          </w:p>
        </w:tc>
        <w:tc>
          <w:tcPr>
            <w:tcW w:w="1178" w:type="pct"/>
            <w:noWrap w:val="0"/>
            <w:vAlign w:val="center"/>
          </w:tcPr>
          <w:p w14:paraId="4BB3E2E3">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公路沿线2#</w:t>
            </w:r>
          </w:p>
        </w:tc>
        <w:tc>
          <w:tcPr>
            <w:tcW w:w="1192" w:type="pct"/>
            <w:vMerge w:val="continue"/>
            <w:noWrap w:val="0"/>
            <w:vAlign w:val="top"/>
          </w:tcPr>
          <w:p w14:paraId="176BD8E4">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315DCC9D">
            <w:pPr>
              <w:adjustRightInd w:val="0"/>
              <w:snapToGrid w:val="0"/>
              <w:spacing w:line="240" w:lineRule="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背景值</w:t>
            </w:r>
          </w:p>
        </w:tc>
        <w:tc>
          <w:tcPr>
            <w:tcW w:w="1078" w:type="pct"/>
            <w:noWrap w:val="0"/>
            <w:vAlign w:val="top"/>
          </w:tcPr>
          <w:p w14:paraId="400E4548">
            <w:pPr>
              <w:pStyle w:val="4"/>
              <w:adjustRightInd w:val="0"/>
              <w:snapToGrid w:val="0"/>
              <w:spacing w:line="240" w:lineRule="auto"/>
              <w:ind w:firstLine="0" w:firstLineChars="0"/>
              <w:rPr>
                <w:rFonts w:hint="default" w:ascii="Times New Roman" w:hAnsi="Times New Roman" w:eastAsia="宋体" w:cs="Times New Roman"/>
                <w:color w:val="auto"/>
              </w:rPr>
            </w:pPr>
          </w:p>
        </w:tc>
      </w:tr>
      <w:tr w14:paraId="5AFA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636" w:type="pct"/>
            <w:noWrap w:val="0"/>
            <w:vAlign w:val="center"/>
          </w:tcPr>
          <w:p w14:paraId="218C584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N6</w:t>
            </w:r>
          </w:p>
        </w:tc>
        <w:tc>
          <w:tcPr>
            <w:tcW w:w="1178" w:type="pct"/>
            <w:noWrap w:val="0"/>
            <w:vAlign w:val="top"/>
          </w:tcPr>
          <w:p w14:paraId="4A1C9B18">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元江甘庄中学</w:t>
            </w:r>
          </w:p>
        </w:tc>
        <w:tc>
          <w:tcPr>
            <w:tcW w:w="1192" w:type="pct"/>
            <w:vMerge w:val="restart"/>
            <w:noWrap w:val="0"/>
            <w:vAlign w:val="top"/>
          </w:tcPr>
          <w:p w14:paraId="3625039D">
            <w:pPr>
              <w:pStyle w:val="4"/>
              <w:adjustRightInd w:val="0"/>
              <w:snapToGrid w:val="0"/>
              <w:spacing w:line="240" w:lineRule="auto"/>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连续监测2天；每天2次；昼（6:00~22:00）夜（22</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00～6</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00）各监测1次，每次监测20min。</w:t>
            </w:r>
          </w:p>
        </w:tc>
        <w:tc>
          <w:tcPr>
            <w:tcW w:w="913" w:type="pct"/>
            <w:noWrap w:val="0"/>
            <w:vAlign w:val="center"/>
          </w:tcPr>
          <w:p w14:paraId="590E5A7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现状噪声</w:t>
            </w:r>
          </w:p>
        </w:tc>
        <w:tc>
          <w:tcPr>
            <w:tcW w:w="1078" w:type="pct"/>
            <w:vMerge w:val="restart"/>
            <w:noWrap w:val="0"/>
            <w:vAlign w:val="center"/>
          </w:tcPr>
          <w:p w14:paraId="123C3523">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《声环境质量标准》（GB</w:t>
            </w:r>
            <w:r>
              <w:rPr>
                <w:rFonts w:hint="eastAsia" w:cs="Times New Roman"/>
                <w:color w:val="auto"/>
                <w:sz w:val="21"/>
                <w:szCs w:val="21"/>
                <w:lang w:val="en-US" w:eastAsia="zh-CN"/>
              </w:rPr>
              <w:t xml:space="preserve"> </w:t>
            </w:r>
            <w:r>
              <w:rPr>
                <w:rFonts w:hint="default" w:ascii="Times New Roman" w:hAnsi="Times New Roman" w:eastAsia="宋体" w:cs="Times New Roman"/>
                <w:color w:val="auto"/>
                <w:sz w:val="21"/>
                <w:szCs w:val="21"/>
              </w:rPr>
              <w:t>3096-2008）2类标准</w:t>
            </w:r>
          </w:p>
        </w:tc>
      </w:tr>
      <w:tr w14:paraId="7AB1D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36" w:type="pct"/>
            <w:noWrap w:val="0"/>
            <w:vAlign w:val="center"/>
          </w:tcPr>
          <w:p w14:paraId="6DA0562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N7</w:t>
            </w:r>
          </w:p>
        </w:tc>
        <w:tc>
          <w:tcPr>
            <w:tcW w:w="1178" w:type="pct"/>
            <w:noWrap w:val="0"/>
            <w:vAlign w:val="center"/>
          </w:tcPr>
          <w:p w14:paraId="169BFFDF">
            <w:pPr>
              <w:pStyle w:val="4"/>
              <w:adjustRightInd w:val="0"/>
              <w:snapToGrid w:val="0"/>
              <w:spacing w:line="240" w:lineRule="auto"/>
              <w:ind w:firstLine="210" w:firstLineChars="10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甘庄集镇居民区</w:t>
            </w:r>
          </w:p>
        </w:tc>
        <w:tc>
          <w:tcPr>
            <w:tcW w:w="1192" w:type="pct"/>
            <w:vMerge w:val="continue"/>
            <w:noWrap w:val="0"/>
            <w:vAlign w:val="top"/>
          </w:tcPr>
          <w:p w14:paraId="46196FE1">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5B9AB8C0">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现状噪声</w:t>
            </w:r>
          </w:p>
        </w:tc>
        <w:tc>
          <w:tcPr>
            <w:tcW w:w="1078" w:type="pct"/>
            <w:vMerge w:val="continue"/>
            <w:noWrap w:val="0"/>
            <w:vAlign w:val="top"/>
          </w:tcPr>
          <w:p w14:paraId="5F9DBA8D">
            <w:pPr>
              <w:pStyle w:val="4"/>
              <w:adjustRightInd w:val="0"/>
              <w:snapToGrid w:val="0"/>
              <w:spacing w:line="240" w:lineRule="auto"/>
              <w:ind w:firstLine="0" w:firstLineChars="0"/>
              <w:rPr>
                <w:rFonts w:hint="default" w:ascii="Times New Roman" w:hAnsi="Times New Roman" w:eastAsia="宋体" w:cs="Times New Roman"/>
                <w:color w:val="auto"/>
              </w:rPr>
            </w:pPr>
          </w:p>
        </w:tc>
      </w:tr>
      <w:tr w14:paraId="2087A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pct"/>
            <w:noWrap w:val="0"/>
            <w:vAlign w:val="center"/>
          </w:tcPr>
          <w:p w14:paraId="4D91E2E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N8</w:t>
            </w:r>
          </w:p>
        </w:tc>
        <w:tc>
          <w:tcPr>
            <w:tcW w:w="1178" w:type="pct"/>
            <w:noWrap w:val="0"/>
            <w:vAlign w:val="center"/>
          </w:tcPr>
          <w:p w14:paraId="0715D67F">
            <w:pPr>
              <w:pStyle w:val="4"/>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1"/>
              </w:rPr>
              <w:t>起始点居民区</w:t>
            </w:r>
          </w:p>
        </w:tc>
        <w:tc>
          <w:tcPr>
            <w:tcW w:w="1192" w:type="pct"/>
            <w:vMerge w:val="continue"/>
            <w:noWrap w:val="0"/>
            <w:vAlign w:val="top"/>
          </w:tcPr>
          <w:p w14:paraId="7C3F9B6E">
            <w:pPr>
              <w:pStyle w:val="4"/>
              <w:adjustRightInd w:val="0"/>
              <w:snapToGrid w:val="0"/>
              <w:spacing w:line="240" w:lineRule="auto"/>
              <w:ind w:firstLine="0" w:firstLineChars="0"/>
              <w:rPr>
                <w:rFonts w:hint="default" w:ascii="Times New Roman" w:hAnsi="Times New Roman" w:eastAsia="宋体" w:cs="Times New Roman"/>
                <w:color w:val="auto"/>
              </w:rPr>
            </w:pPr>
          </w:p>
        </w:tc>
        <w:tc>
          <w:tcPr>
            <w:tcW w:w="913" w:type="pct"/>
            <w:noWrap w:val="0"/>
            <w:vAlign w:val="center"/>
          </w:tcPr>
          <w:p w14:paraId="107A0AE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现状噪声</w:t>
            </w:r>
          </w:p>
        </w:tc>
        <w:tc>
          <w:tcPr>
            <w:tcW w:w="1078" w:type="pct"/>
            <w:vMerge w:val="continue"/>
            <w:noWrap w:val="0"/>
            <w:vAlign w:val="top"/>
          </w:tcPr>
          <w:p w14:paraId="0D00EE5B">
            <w:pPr>
              <w:pStyle w:val="4"/>
              <w:adjustRightInd w:val="0"/>
              <w:snapToGrid w:val="0"/>
              <w:spacing w:line="240" w:lineRule="auto"/>
              <w:ind w:firstLine="0" w:firstLineChars="0"/>
              <w:rPr>
                <w:rFonts w:hint="default" w:ascii="Times New Roman" w:hAnsi="Times New Roman" w:eastAsia="宋体" w:cs="Times New Roman"/>
                <w:color w:val="auto"/>
              </w:rPr>
            </w:pPr>
          </w:p>
        </w:tc>
      </w:tr>
    </w:tbl>
    <w:p w14:paraId="5F21B926">
      <w:pPr>
        <w:bidi w:val="0"/>
        <w:ind w:left="0" w:leftChars="0"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kern w:val="0"/>
          <w:sz w:val="24"/>
          <w:szCs w:val="24"/>
          <w:lang w:bidi="ar"/>
        </w:rPr>
        <w:t>4.2.2.2现状噪声监测结果及评价</w:t>
      </w:r>
    </w:p>
    <w:p w14:paraId="5DA3BC9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1）敏感目标声环境监测结果及评价</w:t>
      </w:r>
    </w:p>
    <w:p w14:paraId="3F565BE2">
      <w:pPr>
        <w:widowControl/>
        <w:ind w:firstLine="0" w:firstLineChars="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主要敏感目标声环境监测结果统计表详见表4.</w:t>
      </w:r>
      <w:r>
        <w:rPr>
          <w:rFonts w:hint="default" w:ascii="Times New Roman" w:hAnsi="Times New Roman" w:eastAsia="宋体" w:cs="Times New Roman"/>
          <w:color w:val="auto"/>
          <w:kern w:val="0"/>
          <w:lang w:val="en-US" w:eastAsia="zh-CN" w:bidi="ar"/>
        </w:rPr>
        <w:t>2</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val="en-US" w:eastAsia="zh-CN" w:bidi="ar"/>
        </w:rPr>
        <w:t>2</w:t>
      </w:r>
    </w:p>
    <w:p w14:paraId="29F0BD0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表4.</w:t>
      </w:r>
      <w:r>
        <w:rPr>
          <w:rFonts w:hint="default"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 xml:space="preserve">  主要敏感目标声环境监测结果统计表</w:t>
      </w:r>
    </w:p>
    <w:tbl>
      <w:tblPr>
        <w:tblStyle w:val="5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3"/>
        <w:gridCol w:w="1591"/>
        <w:gridCol w:w="1980"/>
        <w:gridCol w:w="1219"/>
        <w:gridCol w:w="1156"/>
        <w:gridCol w:w="1064"/>
      </w:tblGrid>
      <w:tr w14:paraId="5B8C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887" w:type="pct"/>
            <w:noWrap w:val="0"/>
            <w:vAlign w:val="center"/>
          </w:tcPr>
          <w:p w14:paraId="66C242F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监测点位</w:t>
            </w:r>
          </w:p>
        </w:tc>
        <w:tc>
          <w:tcPr>
            <w:tcW w:w="933" w:type="pct"/>
            <w:noWrap w:val="0"/>
            <w:vAlign w:val="center"/>
          </w:tcPr>
          <w:p w14:paraId="0D51875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监测日期</w:t>
            </w:r>
          </w:p>
        </w:tc>
        <w:tc>
          <w:tcPr>
            <w:tcW w:w="1161" w:type="pct"/>
            <w:noWrap w:val="0"/>
            <w:vAlign w:val="center"/>
          </w:tcPr>
          <w:p w14:paraId="50187F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监测时段</w:t>
            </w:r>
          </w:p>
        </w:tc>
        <w:tc>
          <w:tcPr>
            <w:tcW w:w="715" w:type="pct"/>
            <w:noWrap w:val="0"/>
            <w:vAlign w:val="center"/>
          </w:tcPr>
          <w:p w14:paraId="694698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Leq(dB(A))</w:t>
            </w:r>
          </w:p>
        </w:tc>
        <w:tc>
          <w:tcPr>
            <w:tcW w:w="678" w:type="pct"/>
            <w:noWrap w:val="0"/>
            <w:vAlign w:val="center"/>
          </w:tcPr>
          <w:p w14:paraId="381077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标准值</w:t>
            </w:r>
          </w:p>
        </w:tc>
        <w:tc>
          <w:tcPr>
            <w:tcW w:w="624" w:type="pct"/>
            <w:noWrap w:val="0"/>
            <w:vAlign w:val="center"/>
          </w:tcPr>
          <w:p w14:paraId="3D816C4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达标情况</w:t>
            </w:r>
          </w:p>
        </w:tc>
      </w:tr>
      <w:tr w14:paraId="2EB8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87" w:type="pct"/>
            <w:vMerge w:val="restart"/>
            <w:noWrap w:val="0"/>
            <w:vAlign w:val="center"/>
          </w:tcPr>
          <w:p w14:paraId="1730CA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N6：元江甘庄中学</w:t>
            </w:r>
          </w:p>
        </w:tc>
        <w:tc>
          <w:tcPr>
            <w:tcW w:w="933" w:type="pct"/>
            <w:noWrap w:val="0"/>
            <w:vAlign w:val="center"/>
          </w:tcPr>
          <w:p w14:paraId="27B99E8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1161" w:type="pct"/>
            <w:noWrap w:val="0"/>
            <w:vAlign w:val="center"/>
          </w:tcPr>
          <w:p w14:paraId="0987C2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37</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:5</w:t>
            </w:r>
            <w:r>
              <w:rPr>
                <w:rFonts w:hint="default" w:ascii="Times New Roman" w:hAnsi="Times New Roman" w:eastAsia="宋体" w:cs="Times New Roman"/>
                <w:color w:val="auto"/>
                <w:kern w:val="0"/>
                <w:sz w:val="21"/>
                <w:szCs w:val="21"/>
                <w:lang w:val="en-US" w:eastAsia="zh-CN" w:bidi="ar"/>
              </w:rPr>
              <w:t>7</w:t>
            </w:r>
          </w:p>
        </w:tc>
        <w:tc>
          <w:tcPr>
            <w:tcW w:w="715" w:type="pct"/>
            <w:noWrap w:val="0"/>
            <w:vAlign w:val="center"/>
          </w:tcPr>
          <w:p w14:paraId="65D7F22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678" w:type="pct"/>
            <w:noWrap w:val="0"/>
            <w:vAlign w:val="center"/>
          </w:tcPr>
          <w:p w14:paraId="32AAD9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12CC281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191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887" w:type="pct"/>
            <w:vMerge w:val="continue"/>
            <w:noWrap w:val="0"/>
            <w:vAlign w:val="center"/>
          </w:tcPr>
          <w:p w14:paraId="6FE4A6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3EC3E51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0A4D364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08</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28</w:t>
            </w:r>
          </w:p>
        </w:tc>
        <w:tc>
          <w:tcPr>
            <w:tcW w:w="715" w:type="pct"/>
            <w:noWrap w:val="0"/>
            <w:vAlign w:val="center"/>
          </w:tcPr>
          <w:p w14:paraId="06AEB58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w:t>
            </w:r>
          </w:p>
        </w:tc>
        <w:tc>
          <w:tcPr>
            <w:tcW w:w="678" w:type="pct"/>
            <w:noWrap w:val="0"/>
            <w:vAlign w:val="center"/>
          </w:tcPr>
          <w:p w14:paraId="149D7CA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4CFA10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E2F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87" w:type="pct"/>
            <w:vMerge w:val="continue"/>
            <w:noWrap w:val="0"/>
            <w:vAlign w:val="center"/>
          </w:tcPr>
          <w:p w14:paraId="4030BDE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210589C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00113F1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:5</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11</w:t>
            </w:r>
          </w:p>
        </w:tc>
        <w:tc>
          <w:tcPr>
            <w:tcW w:w="715" w:type="pct"/>
            <w:noWrap w:val="0"/>
            <w:vAlign w:val="center"/>
          </w:tcPr>
          <w:p w14:paraId="387AC95E">
            <w:pPr>
              <w:widowControl/>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5</w:t>
            </w:r>
            <w:r>
              <w:rPr>
                <w:rFonts w:hint="eastAsia" w:cs="Times New Roman"/>
                <w:color w:val="auto"/>
                <w:sz w:val="21"/>
                <w:szCs w:val="21"/>
                <w:lang w:val="en-US" w:eastAsia="zh-CN"/>
              </w:rPr>
              <w:t>2</w:t>
            </w:r>
          </w:p>
        </w:tc>
        <w:tc>
          <w:tcPr>
            <w:tcW w:w="678" w:type="pct"/>
            <w:noWrap w:val="0"/>
            <w:vAlign w:val="center"/>
          </w:tcPr>
          <w:p w14:paraId="67C6AEE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7B131B5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8AD5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887" w:type="pct"/>
            <w:vMerge w:val="continue"/>
            <w:noWrap w:val="0"/>
            <w:vAlign w:val="center"/>
          </w:tcPr>
          <w:p w14:paraId="2A6724F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302F90E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11</w:t>
            </w:r>
          </w:p>
        </w:tc>
        <w:tc>
          <w:tcPr>
            <w:tcW w:w="1161" w:type="pct"/>
            <w:noWrap w:val="0"/>
            <w:vAlign w:val="center"/>
          </w:tcPr>
          <w:p w14:paraId="5448DA3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58</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18</w:t>
            </w:r>
          </w:p>
        </w:tc>
        <w:tc>
          <w:tcPr>
            <w:tcW w:w="715" w:type="pct"/>
            <w:noWrap w:val="0"/>
            <w:vAlign w:val="center"/>
          </w:tcPr>
          <w:p w14:paraId="5BDAEE9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41</w:t>
            </w:r>
          </w:p>
        </w:tc>
        <w:tc>
          <w:tcPr>
            <w:tcW w:w="678" w:type="pct"/>
            <w:noWrap w:val="0"/>
            <w:vAlign w:val="center"/>
          </w:tcPr>
          <w:p w14:paraId="554DFC7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5DE235D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85C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887" w:type="pct"/>
            <w:vMerge w:val="restart"/>
            <w:noWrap w:val="0"/>
            <w:vAlign w:val="center"/>
          </w:tcPr>
          <w:p w14:paraId="0E30572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N7：甘庄集镇居民区</w:t>
            </w:r>
          </w:p>
        </w:tc>
        <w:tc>
          <w:tcPr>
            <w:tcW w:w="933" w:type="pct"/>
            <w:noWrap w:val="0"/>
            <w:vAlign w:val="center"/>
          </w:tcPr>
          <w:p w14:paraId="2C53A38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1161" w:type="pct"/>
            <w:noWrap w:val="0"/>
            <w:vAlign w:val="center"/>
          </w:tcPr>
          <w:p w14:paraId="58B9B65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52</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12</w:t>
            </w:r>
          </w:p>
        </w:tc>
        <w:tc>
          <w:tcPr>
            <w:tcW w:w="715" w:type="pct"/>
            <w:noWrap w:val="0"/>
            <w:vAlign w:val="center"/>
          </w:tcPr>
          <w:p w14:paraId="179EA722">
            <w:pPr>
              <w:widowControl/>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6</w:t>
            </w:r>
          </w:p>
        </w:tc>
        <w:tc>
          <w:tcPr>
            <w:tcW w:w="678" w:type="pct"/>
            <w:noWrap w:val="0"/>
            <w:vAlign w:val="center"/>
          </w:tcPr>
          <w:p w14:paraId="58FA2E0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0A7F675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332D6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887" w:type="pct"/>
            <w:vMerge w:val="continue"/>
            <w:noWrap w:val="0"/>
            <w:vAlign w:val="center"/>
          </w:tcPr>
          <w:p w14:paraId="2D0E26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77AA49D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4BC2A2A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29</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49</w:t>
            </w:r>
          </w:p>
        </w:tc>
        <w:tc>
          <w:tcPr>
            <w:tcW w:w="715" w:type="pct"/>
            <w:noWrap w:val="0"/>
            <w:vAlign w:val="center"/>
          </w:tcPr>
          <w:p w14:paraId="76F03ED6">
            <w:pPr>
              <w:widowControl/>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2</w:t>
            </w:r>
          </w:p>
        </w:tc>
        <w:tc>
          <w:tcPr>
            <w:tcW w:w="678" w:type="pct"/>
            <w:noWrap w:val="0"/>
            <w:vAlign w:val="center"/>
          </w:tcPr>
          <w:p w14:paraId="29FDC53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489656D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CA81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Merge w:val="continue"/>
            <w:noWrap w:val="0"/>
            <w:vAlign w:val="center"/>
          </w:tcPr>
          <w:p w14:paraId="7541424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0815736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258B5CB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bidi="ar"/>
              </w:rPr>
              <w:t>6-1</w:t>
            </w:r>
            <w:r>
              <w:rPr>
                <w:rFonts w:hint="default" w:ascii="Times New Roman" w:hAnsi="Times New Roman" w:eastAsia="宋体" w:cs="Times New Roman"/>
                <w:color w:val="auto"/>
                <w:kern w:val="0"/>
                <w:sz w:val="21"/>
                <w:szCs w:val="21"/>
                <w:lang w:val="en-US" w:eastAsia="zh-CN" w:bidi="ar"/>
              </w:rPr>
              <w:t>4</w:t>
            </w:r>
            <w:r>
              <w:rPr>
                <w:rFonts w:hint="default" w:ascii="Times New Roman" w:hAnsi="Times New Roman" w:eastAsia="宋体" w:cs="Times New Roman"/>
                <w:color w:val="auto"/>
                <w:kern w:val="0"/>
                <w:sz w:val="21"/>
                <w:szCs w:val="21"/>
                <w:lang w:bidi="ar"/>
              </w:rPr>
              <w:t>:26</w:t>
            </w:r>
          </w:p>
        </w:tc>
        <w:tc>
          <w:tcPr>
            <w:tcW w:w="715" w:type="pct"/>
            <w:noWrap w:val="0"/>
            <w:vAlign w:val="center"/>
          </w:tcPr>
          <w:p w14:paraId="053F777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678" w:type="pct"/>
            <w:noWrap w:val="0"/>
            <w:vAlign w:val="center"/>
          </w:tcPr>
          <w:p w14:paraId="675A61A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1FF5529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310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Merge w:val="continue"/>
            <w:noWrap w:val="0"/>
            <w:vAlign w:val="center"/>
          </w:tcPr>
          <w:p w14:paraId="012E903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933" w:type="pct"/>
            <w:noWrap w:val="0"/>
            <w:vAlign w:val="center"/>
          </w:tcPr>
          <w:p w14:paraId="2CBF3EA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11</w:t>
            </w:r>
          </w:p>
        </w:tc>
        <w:tc>
          <w:tcPr>
            <w:tcW w:w="1161" w:type="pct"/>
            <w:noWrap w:val="0"/>
            <w:vAlign w:val="center"/>
          </w:tcPr>
          <w:p w14:paraId="597CED9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17</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37</w:t>
            </w:r>
          </w:p>
        </w:tc>
        <w:tc>
          <w:tcPr>
            <w:tcW w:w="715" w:type="pct"/>
            <w:noWrap w:val="0"/>
            <w:vAlign w:val="center"/>
          </w:tcPr>
          <w:p w14:paraId="39408DFA">
            <w:pPr>
              <w:widowControl/>
              <w:adjustRightInd w:val="0"/>
              <w:snapToGrid w:val="0"/>
              <w:spacing w:line="240" w:lineRule="auto"/>
              <w:ind w:firstLine="0" w:firstLineChars="0"/>
              <w:jc w:val="center"/>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0</w:t>
            </w:r>
          </w:p>
        </w:tc>
        <w:tc>
          <w:tcPr>
            <w:tcW w:w="678" w:type="pct"/>
            <w:noWrap w:val="0"/>
            <w:vAlign w:val="center"/>
          </w:tcPr>
          <w:p w14:paraId="3B4D513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0ACE506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7FB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87" w:type="pct"/>
            <w:vMerge w:val="restart"/>
            <w:noWrap w:val="0"/>
            <w:vAlign w:val="center"/>
          </w:tcPr>
          <w:p w14:paraId="0FED34F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N8：起始点居民区</w:t>
            </w:r>
          </w:p>
        </w:tc>
        <w:tc>
          <w:tcPr>
            <w:tcW w:w="1591" w:type="dxa"/>
            <w:noWrap w:val="0"/>
            <w:vAlign w:val="center"/>
          </w:tcPr>
          <w:p w14:paraId="6D535A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1161" w:type="pct"/>
            <w:noWrap w:val="0"/>
            <w:vAlign w:val="center"/>
          </w:tcPr>
          <w:p w14:paraId="052F6BD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07</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:2</w:t>
            </w:r>
            <w:r>
              <w:rPr>
                <w:rFonts w:hint="default" w:ascii="Times New Roman" w:hAnsi="Times New Roman" w:eastAsia="宋体" w:cs="Times New Roman"/>
                <w:color w:val="auto"/>
                <w:kern w:val="0"/>
                <w:sz w:val="21"/>
                <w:szCs w:val="21"/>
                <w:lang w:val="en-US" w:eastAsia="zh-CN" w:bidi="ar"/>
              </w:rPr>
              <w:t>7</w:t>
            </w:r>
          </w:p>
        </w:tc>
        <w:tc>
          <w:tcPr>
            <w:tcW w:w="715" w:type="pct"/>
            <w:noWrap w:val="0"/>
            <w:vAlign w:val="center"/>
          </w:tcPr>
          <w:p w14:paraId="2BDCCC2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w:t>
            </w:r>
          </w:p>
        </w:tc>
        <w:tc>
          <w:tcPr>
            <w:tcW w:w="678" w:type="pct"/>
            <w:noWrap w:val="0"/>
            <w:vAlign w:val="center"/>
          </w:tcPr>
          <w:p w14:paraId="2277CFF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5E47844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037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87" w:type="pct"/>
            <w:vMerge w:val="continue"/>
            <w:noWrap w:val="0"/>
            <w:vAlign w:val="center"/>
          </w:tcPr>
          <w:p w14:paraId="69E209B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591" w:type="dxa"/>
            <w:noWrap w:val="0"/>
            <w:vAlign w:val="center"/>
          </w:tcPr>
          <w:p w14:paraId="04ED27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1304AD9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00</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55</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15</w:t>
            </w:r>
          </w:p>
        </w:tc>
        <w:tc>
          <w:tcPr>
            <w:tcW w:w="715" w:type="pct"/>
            <w:noWrap w:val="0"/>
            <w:vAlign w:val="center"/>
          </w:tcPr>
          <w:p w14:paraId="4428215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3</w:t>
            </w:r>
          </w:p>
        </w:tc>
        <w:tc>
          <w:tcPr>
            <w:tcW w:w="678" w:type="pct"/>
            <w:noWrap w:val="0"/>
            <w:vAlign w:val="center"/>
          </w:tcPr>
          <w:p w14:paraId="7DA318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68E8D5E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DED9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Merge w:val="continue"/>
            <w:noWrap w:val="0"/>
            <w:vAlign w:val="center"/>
          </w:tcPr>
          <w:p w14:paraId="4CAEE39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591" w:type="dxa"/>
            <w:noWrap w:val="0"/>
            <w:vAlign w:val="center"/>
          </w:tcPr>
          <w:p w14:paraId="35B7D49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1161" w:type="pct"/>
            <w:noWrap w:val="0"/>
            <w:vAlign w:val="center"/>
          </w:tcPr>
          <w:p w14:paraId="6CAFBE2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28</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48</w:t>
            </w:r>
          </w:p>
        </w:tc>
        <w:tc>
          <w:tcPr>
            <w:tcW w:w="715" w:type="pct"/>
            <w:noWrap w:val="0"/>
            <w:vAlign w:val="center"/>
          </w:tcPr>
          <w:p w14:paraId="1940363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w:t>
            </w:r>
          </w:p>
        </w:tc>
        <w:tc>
          <w:tcPr>
            <w:tcW w:w="678" w:type="pct"/>
            <w:noWrap w:val="0"/>
            <w:vAlign w:val="center"/>
          </w:tcPr>
          <w:p w14:paraId="5A4E96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24" w:type="pct"/>
            <w:noWrap w:val="0"/>
            <w:vAlign w:val="center"/>
          </w:tcPr>
          <w:p w14:paraId="293562B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1A618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7" w:type="pct"/>
            <w:vMerge w:val="continue"/>
            <w:noWrap w:val="0"/>
            <w:vAlign w:val="center"/>
          </w:tcPr>
          <w:p w14:paraId="6217AC4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591" w:type="dxa"/>
            <w:noWrap w:val="0"/>
            <w:vAlign w:val="center"/>
          </w:tcPr>
          <w:p w14:paraId="4672B99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11</w:t>
            </w:r>
          </w:p>
        </w:tc>
        <w:tc>
          <w:tcPr>
            <w:tcW w:w="1161" w:type="pct"/>
            <w:noWrap w:val="0"/>
            <w:vAlign w:val="center"/>
          </w:tcPr>
          <w:p w14:paraId="1DBC552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val="en-US" w:eastAsia="zh-CN" w:bidi="ar"/>
              </w:rPr>
              <w:t>01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36</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01</w:t>
            </w:r>
            <w:r>
              <w:rPr>
                <w:rFonts w:hint="default" w:ascii="Times New Roman" w:hAnsi="Times New Roman" w:eastAsia="宋体" w:cs="Times New Roman"/>
                <w:color w:val="auto"/>
                <w:kern w:val="0"/>
                <w:sz w:val="21"/>
                <w:szCs w:val="21"/>
                <w:lang w:bidi="ar"/>
              </w:rPr>
              <w:t>:5</w:t>
            </w:r>
            <w:r>
              <w:rPr>
                <w:rFonts w:hint="default" w:ascii="Times New Roman" w:hAnsi="Times New Roman" w:eastAsia="宋体" w:cs="Times New Roman"/>
                <w:color w:val="auto"/>
                <w:kern w:val="0"/>
                <w:sz w:val="21"/>
                <w:szCs w:val="21"/>
                <w:lang w:val="en-US" w:eastAsia="zh-CN" w:bidi="ar"/>
              </w:rPr>
              <w:t>6</w:t>
            </w:r>
          </w:p>
        </w:tc>
        <w:tc>
          <w:tcPr>
            <w:tcW w:w="715" w:type="pct"/>
            <w:noWrap w:val="0"/>
            <w:vAlign w:val="center"/>
          </w:tcPr>
          <w:p w14:paraId="51B4958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3</w:t>
            </w:r>
          </w:p>
        </w:tc>
        <w:tc>
          <w:tcPr>
            <w:tcW w:w="678" w:type="pct"/>
            <w:noWrap w:val="0"/>
            <w:vAlign w:val="center"/>
          </w:tcPr>
          <w:p w14:paraId="55E1352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24" w:type="pct"/>
            <w:noWrap w:val="0"/>
            <w:vAlign w:val="center"/>
          </w:tcPr>
          <w:p w14:paraId="30C9702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2001BEED">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根据表4.</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分析，项目敏感目标声环境现状昼间、夜间均能满足《声环境质量标准》（GB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3096-2008）2类。</w:t>
      </w:r>
    </w:p>
    <w:p w14:paraId="726CD994">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2）交通噪声水平监测结果及评价</w:t>
      </w:r>
    </w:p>
    <w:p w14:paraId="59C61EB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表4.</w:t>
      </w:r>
      <w:r>
        <w:rPr>
          <w:rFonts w:hint="default"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 xml:space="preserve">  交通噪声背景值监测结果统计表</w:t>
      </w:r>
    </w:p>
    <w:tbl>
      <w:tblPr>
        <w:tblStyle w:val="5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1056"/>
        <w:gridCol w:w="1318"/>
        <w:gridCol w:w="1221"/>
        <w:gridCol w:w="812"/>
        <w:gridCol w:w="812"/>
        <w:gridCol w:w="813"/>
        <w:gridCol w:w="767"/>
        <w:gridCol w:w="704"/>
      </w:tblGrid>
      <w:tr w14:paraId="299D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595" w:type="pct"/>
            <w:noWrap w:val="0"/>
            <w:vAlign w:val="center"/>
          </w:tcPr>
          <w:p w14:paraId="3890F69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监测点位</w:t>
            </w:r>
          </w:p>
        </w:tc>
        <w:tc>
          <w:tcPr>
            <w:tcW w:w="619" w:type="pct"/>
            <w:noWrap w:val="0"/>
            <w:vAlign w:val="center"/>
          </w:tcPr>
          <w:p w14:paraId="5062689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监测日期</w:t>
            </w:r>
          </w:p>
        </w:tc>
        <w:tc>
          <w:tcPr>
            <w:tcW w:w="773" w:type="pct"/>
            <w:noWrap w:val="0"/>
            <w:vAlign w:val="center"/>
          </w:tcPr>
          <w:p w14:paraId="090C74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监测时段</w:t>
            </w:r>
          </w:p>
        </w:tc>
        <w:tc>
          <w:tcPr>
            <w:tcW w:w="716" w:type="pct"/>
            <w:noWrap w:val="0"/>
            <w:vAlign w:val="center"/>
          </w:tcPr>
          <w:p w14:paraId="5276BDA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Leq(dB(A))</w:t>
            </w:r>
          </w:p>
        </w:tc>
        <w:tc>
          <w:tcPr>
            <w:tcW w:w="476" w:type="pct"/>
            <w:noWrap w:val="0"/>
            <w:vAlign w:val="center"/>
          </w:tcPr>
          <w:p w14:paraId="1B1A67D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标准值</w:t>
            </w:r>
          </w:p>
        </w:tc>
        <w:tc>
          <w:tcPr>
            <w:tcW w:w="476" w:type="pct"/>
            <w:noWrap w:val="0"/>
            <w:vAlign w:val="center"/>
          </w:tcPr>
          <w:p w14:paraId="1FB345B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达标情况</w:t>
            </w:r>
          </w:p>
        </w:tc>
        <w:tc>
          <w:tcPr>
            <w:tcW w:w="477" w:type="pct"/>
            <w:noWrap w:val="0"/>
            <w:vAlign w:val="center"/>
          </w:tcPr>
          <w:p w14:paraId="78E4C85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小型车</w:t>
            </w:r>
          </w:p>
        </w:tc>
        <w:tc>
          <w:tcPr>
            <w:tcW w:w="450" w:type="pct"/>
            <w:noWrap w:val="0"/>
            <w:vAlign w:val="center"/>
          </w:tcPr>
          <w:p w14:paraId="661F5C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中型车</w:t>
            </w:r>
          </w:p>
        </w:tc>
        <w:tc>
          <w:tcPr>
            <w:tcW w:w="413" w:type="pct"/>
            <w:noWrap w:val="0"/>
            <w:vAlign w:val="center"/>
          </w:tcPr>
          <w:p w14:paraId="2F7D5D8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大型车</w:t>
            </w:r>
          </w:p>
        </w:tc>
      </w:tr>
      <w:tr w14:paraId="60803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595" w:type="pct"/>
            <w:vMerge w:val="restart"/>
            <w:noWrap w:val="0"/>
            <w:vAlign w:val="center"/>
          </w:tcPr>
          <w:p w14:paraId="15DECE5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N1起始点</w:t>
            </w:r>
          </w:p>
        </w:tc>
        <w:tc>
          <w:tcPr>
            <w:tcW w:w="619" w:type="pct"/>
            <w:noWrap w:val="0"/>
            <w:vAlign w:val="center"/>
          </w:tcPr>
          <w:p w14:paraId="4DDC587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773" w:type="pct"/>
            <w:noWrap w:val="0"/>
            <w:vAlign w:val="center"/>
          </w:tcPr>
          <w:p w14:paraId="762607E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18</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38</w:t>
            </w:r>
          </w:p>
        </w:tc>
        <w:tc>
          <w:tcPr>
            <w:tcW w:w="716" w:type="pct"/>
            <w:noWrap w:val="0"/>
            <w:vAlign w:val="center"/>
          </w:tcPr>
          <w:p w14:paraId="3BB837D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w:t>
            </w:r>
          </w:p>
        </w:tc>
        <w:tc>
          <w:tcPr>
            <w:tcW w:w="476" w:type="pct"/>
            <w:noWrap w:val="0"/>
            <w:vAlign w:val="center"/>
          </w:tcPr>
          <w:p w14:paraId="648C23B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190D5B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62AD8D3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w:t>
            </w:r>
          </w:p>
        </w:tc>
        <w:tc>
          <w:tcPr>
            <w:tcW w:w="450" w:type="pct"/>
            <w:noWrap w:val="0"/>
            <w:vAlign w:val="center"/>
          </w:tcPr>
          <w:p w14:paraId="3BB1D3A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w:t>
            </w:r>
            <w:r>
              <w:rPr>
                <w:rFonts w:hint="default" w:ascii="Times New Roman" w:hAnsi="Times New Roman" w:eastAsia="宋体" w:cs="Times New Roman"/>
                <w:color w:val="auto"/>
                <w:sz w:val="21"/>
                <w:szCs w:val="21"/>
                <w:lang w:val="en-US" w:eastAsia="zh-CN"/>
              </w:rPr>
              <w:t>4</w:t>
            </w:r>
          </w:p>
        </w:tc>
        <w:tc>
          <w:tcPr>
            <w:tcW w:w="413" w:type="pct"/>
            <w:noWrap w:val="0"/>
            <w:vAlign w:val="center"/>
          </w:tcPr>
          <w:p w14:paraId="0B9935D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8</w:t>
            </w:r>
          </w:p>
        </w:tc>
      </w:tr>
      <w:tr w14:paraId="7484F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595" w:type="pct"/>
            <w:vMerge w:val="continue"/>
            <w:noWrap w:val="0"/>
            <w:vAlign w:val="center"/>
          </w:tcPr>
          <w:p w14:paraId="5225AD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noWrap w:val="0"/>
            <w:vAlign w:val="center"/>
          </w:tcPr>
          <w:p w14:paraId="3222715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3916DD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00:</w:t>
            </w:r>
            <w:r>
              <w:rPr>
                <w:rFonts w:hint="default" w:ascii="Times New Roman" w:hAnsi="Times New Roman" w:eastAsia="宋体" w:cs="Times New Roman"/>
                <w:color w:val="auto"/>
                <w:kern w:val="0"/>
                <w:sz w:val="21"/>
                <w:szCs w:val="21"/>
                <w:lang w:val="en-US" w:eastAsia="zh-CN" w:bidi="ar"/>
              </w:rPr>
              <w:t>22</w:t>
            </w:r>
            <w:r>
              <w:rPr>
                <w:rFonts w:hint="default" w:ascii="Times New Roman" w:hAnsi="Times New Roman" w:eastAsia="宋体" w:cs="Times New Roman"/>
                <w:color w:val="auto"/>
                <w:kern w:val="0"/>
                <w:sz w:val="21"/>
                <w:szCs w:val="21"/>
                <w:lang w:bidi="ar"/>
              </w:rPr>
              <w:t>-00:</w:t>
            </w:r>
            <w:r>
              <w:rPr>
                <w:rFonts w:hint="default" w:ascii="Times New Roman" w:hAnsi="Times New Roman" w:eastAsia="宋体" w:cs="Times New Roman"/>
                <w:color w:val="auto"/>
                <w:kern w:val="0"/>
                <w:sz w:val="21"/>
                <w:szCs w:val="21"/>
                <w:lang w:val="en-US" w:eastAsia="zh-CN" w:bidi="ar"/>
              </w:rPr>
              <w:t>42</w:t>
            </w:r>
          </w:p>
        </w:tc>
        <w:tc>
          <w:tcPr>
            <w:tcW w:w="716" w:type="pct"/>
            <w:noWrap w:val="0"/>
            <w:vAlign w:val="center"/>
          </w:tcPr>
          <w:p w14:paraId="6CD3449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w:t>
            </w:r>
          </w:p>
        </w:tc>
        <w:tc>
          <w:tcPr>
            <w:tcW w:w="476" w:type="pct"/>
            <w:noWrap w:val="0"/>
            <w:vAlign w:val="center"/>
          </w:tcPr>
          <w:p w14:paraId="119C9FA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7D45AEE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31E87B4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w:t>
            </w:r>
          </w:p>
        </w:tc>
        <w:tc>
          <w:tcPr>
            <w:tcW w:w="450" w:type="pct"/>
            <w:noWrap w:val="0"/>
            <w:vAlign w:val="center"/>
          </w:tcPr>
          <w:p w14:paraId="3DF9FCC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0</w:t>
            </w:r>
          </w:p>
        </w:tc>
        <w:tc>
          <w:tcPr>
            <w:tcW w:w="413" w:type="pct"/>
            <w:noWrap w:val="0"/>
            <w:vAlign w:val="center"/>
          </w:tcPr>
          <w:p w14:paraId="0CA06E3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r>
      <w:tr w14:paraId="0BD53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595" w:type="pct"/>
            <w:vMerge w:val="continue"/>
            <w:noWrap w:val="0"/>
            <w:vAlign w:val="center"/>
          </w:tcPr>
          <w:p w14:paraId="21F6C65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noWrap w:val="0"/>
            <w:vAlign w:val="center"/>
          </w:tcPr>
          <w:p w14:paraId="4ACD4C2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68EE2B9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:4</w:t>
            </w:r>
            <w:r>
              <w:rPr>
                <w:rFonts w:hint="default" w:ascii="Times New Roman" w:hAnsi="Times New Roman" w:eastAsia="宋体" w:cs="Times New Roman"/>
                <w:color w:val="auto"/>
                <w:kern w:val="0"/>
                <w:sz w:val="21"/>
                <w:szCs w:val="21"/>
                <w:lang w:val="en-US" w:eastAsia="zh-CN" w:bidi="ar"/>
              </w:rPr>
              <w:t>8</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2</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8</w:t>
            </w:r>
          </w:p>
        </w:tc>
        <w:tc>
          <w:tcPr>
            <w:tcW w:w="716" w:type="pct"/>
            <w:noWrap w:val="0"/>
            <w:vAlign w:val="center"/>
          </w:tcPr>
          <w:p w14:paraId="25DB543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w:t>
            </w:r>
          </w:p>
        </w:tc>
        <w:tc>
          <w:tcPr>
            <w:tcW w:w="476" w:type="pct"/>
            <w:noWrap w:val="0"/>
            <w:vAlign w:val="center"/>
          </w:tcPr>
          <w:p w14:paraId="416701F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4C2EA26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71A6B5B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w:t>
            </w:r>
          </w:p>
        </w:tc>
        <w:tc>
          <w:tcPr>
            <w:tcW w:w="450" w:type="pct"/>
            <w:noWrap w:val="0"/>
            <w:vAlign w:val="center"/>
          </w:tcPr>
          <w:p w14:paraId="2F96F36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413" w:type="pct"/>
            <w:noWrap w:val="0"/>
            <w:vAlign w:val="center"/>
          </w:tcPr>
          <w:p w14:paraId="796F6B6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4</w:t>
            </w:r>
          </w:p>
        </w:tc>
      </w:tr>
      <w:tr w14:paraId="0F76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trPr>
        <w:tc>
          <w:tcPr>
            <w:tcW w:w="595" w:type="pct"/>
            <w:vMerge w:val="continue"/>
            <w:noWrap w:val="0"/>
            <w:vAlign w:val="center"/>
          </w:tcPr>
          <w:p w14:paraId="3DDA7EE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noWrap w:val="0"/>
            <w:vAlign w:val="center"/>
          </w:tcPr>
          <w:p w14:paraId="105E8AC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11</w:t>
            </w:r>
          </w:p>
        </w:tc>
        <w:tc>
          <w:tcPr>
            <w:tcW w:w="773" w:type="pct"/>
            <w:noWrap w:val="0"/>
            <w:vAlign w:val="center"/>
          </w:tcPr>
          <w:p w14:paraId="374CCC1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00:</w:t>
            </w:r>
            <w:r>
              <w:rPr>
                <w:rFonts w:hint="default" w:ascii="Times New Roman" w:hAnsi="Times New Roman" w:eastAsia="宋体" w:cs="Times New Roman"/>
                <w:color w:val="auto"/>
                <w:kern w:val="0"/>
                <w:sz w:val="21"/>
                <w:szCs w:val="21"/>
                <w:lang w:val="en-US" w:eastAsia="zh-CN" w:bidi="ar"/>
              </w:rPr>
              <w:t>52</w:t>
            </w: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12</w:t>
            </w:r>
          </w:p>
        </w:tc>
        <w:tc>
          <w:tcPr>
            <w:tcW w:w="716" w:type="pct"/>
            <w:noWrap w:val="0"/>
            <w:vAlign w:val="center"/>
          </w:tcPr>
          <w:p w14:paraId="050D357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w:t>
            </w:r>
          </w:p>
        </w:tc>
        <w:tc>
          <w:tcPr>
            <w:tcW w:w="476" w:type="pct"/>
            <w:noWrap w:val="0"/>
            <w:vAlign w:val="center"/>
          </w:tcPr>
          <w:p w14:paraId="4E3D86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3AD6415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10B8E89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w:t>
            </w:r>
          </w:p>
        </w:tc>
        <w:tc>
          <w:tcPr>
            <w:tcW w:w="450" w:type="pct"/>
            <w:noWrap w:val="0"/>
            <w:vAlign w:val="center"/>
          </w:tcPr>
          <w:p w14:paraId="75494C4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c>
          <w:tcPr>
            <w:tcW w:w="413" w:type="pct"/>
            <w:noWrap w:val="0"/>
            <w:vAlign w:val="center"/>
          </w:tcPr>
          <w:p w14:paraId="77FCC2E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p>
        </w:tc>
      </w:tr>
      <w:tr w14:paraId="7A5BF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595" w:type="pct"/>
            <w:vMerge w:val="restart"/>
            <w:noWrap w:val="0"/>
            <w:vAlign w:val="center"/>
          </w:tcPr>
          <w:p w14:paraId="1544E9F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N2终点</w:t>
            </w:r>
          </w:p>
        </w:tc>
        <w:tc>
          <w:tcPr>
            <w:tcW w:w="619" w:type="pct"/>
            <w:vMerge w:val="restart"/>
            <w:noWrap w:val="0"/>
            <w:vAlign w:val="center"/>
          </w:tcPr>
          <w:p w14:paraId="7A6D731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773" w:type="pct"/>
            <w:noWrap w:val="0"/>
            <w:vAlign w:val="center"/>
          </w:tcPr>
          <w:p w14:paraId="2E324E7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0</w:t>
            </w:r>
            <w:r>
              <w:rPr>
                <w:rFonts w:hint="default" w:ascii="Times New Roman" w:hAnsi="Times New Roman" w:eastAsia="宋体" w:cs="Times New Roman"/>
                <w:color w:val="auto"/>
                <w:kern w:val="0"/>
                <w:sz w:val="21"/>
                <w:szCs w:val="21"/>
                <w:lang w:val="en-US" w:eastAsia="zh-CN" w:bidi="ar"/>
              </w:rPr>
              <w:t>8</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51</w:t>
            </w:r>
            <w:r>
              <w:rPr>
                <w:rFonts w:hint="default" w:ascii="Times New Roman" w:hAnsi="Times New Roman" w:eastAsia="宋体" w:cs="Times New Roman"/>
                <w:color w:val="auto"/>
                <w:kern w:val="0"/>
                <w:sz w:val="21"/>
                <w:szCs w:val="21"/>
                <w:lang w:bidi="ar"/>
              </w:rPr>
              <w:t>-09:</w:t>
            </w:r>
            <w:r>
              <w:rPr>
                <w:rFonts w:hint="default" w:ascii="Times New Roman" w:hAnsi="Times New Roman" w:eastAsia="宋体" w:cs="Times New Roman"/>
                <w:color w:val="auto"/>
                <w:kern w:val="0"/>
                <w:sz w:val="21"/>
                <w:szCs w:val="21"/>
                <w:lang w:val="en-US" w:eastAsia="zh-CN" w:bidi="ar"/>
              </w:rPr>
              <w:t>11</w:t>
            </w:r>
          </w:p>
        </w:tc>
        <w:tc>
          <w:tcPr>
            <w:tcW w:w="716" w:type="pct"/>
            <w:noWrap w:val="0"/>
            <w:vAlign w:val="center"/>
          </w:tcPr>
          <w:p w14:paraId="0E56A96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6</w:t>
            </w:r>
            <w:r>
              <w:rPr>
                <w:rFonts w:hint="eastAsia" w:cs="Times New Roman"/>
                <w:color w:val="auto"/>
                <w:sz w:val="21"/>
                <w:szCs w:val="21"/>
                <w:lang w:val="en-US" w:eastAsia="zh-CN"/>
              </w:rPr>
              <w:t>2</w:t>
            </w:r>
          </w:p>
        </w:tc>
        <w:tc>
          <w:tcPr>
            <w:tcW w:w="476" w:type="pct"/>
            <w:noWrap w:val="0"/>
            <w:vAlign w:val="center"/>
          </w:tcPr>
          <w:p w14:paraId="5FB30EA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0CF3D58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22C01BF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118</w:t>
            </w:r>
          </w:p>
        </w:tc>
        <w:tc>
          <w:tcPr>
            <w:tcW w:w="450" w:type="pct"/>
            <w:noWrap w:val="0"/>
            <w:vAlign w:val="center"/>
          </w:tcPr>
          <w:p w14:paraId="7790D7B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p>
        </w:tc>
        <w:tc>
          <w:tcPr>
            <w:tcW w:w="413" w:type="pct"/>
            <w:noWrap w:val="0"/>
            <w:vAlign w:val="center"/>
          </w:tcPr>
          <w:p w14:paraId="72D8C8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13</w:t>
            </w:r>
          </w:p>
        </w:tc>
      </w:tr>
      <w:tr w14:paraId="31122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595" w:type="pct"/>
            <w:vMerge w:val="continue"/>
            <w:noWrap w:val="0"/>
            <w:vAlign w:val="center"/>
          </w:tcPr>
          <w:p w14:paraId="64EA55A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3664D6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2FA71F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kern w:val="0"/>
                <w:sz w:val="21"/>
                <w:szCs w:val="21"/>
                <w:lang w:val="en-US" w:eastAsia="zh-CN" w:bidi="ar"/>
              </w:rPr>
              <w:t>22</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04</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22</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24</w:t>
            </w:r>
          </w:p>
        </w:tc>
        <w:tc>
          <w:tcPr>
            <w:tcW w:w="716" w:type="pct"/>
            <w:noWrap w:val="0"/>
            <w:vAlign w:val="center"/>
          </w:tcPr>
          <w:p w14:paraId="56E3202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r>
              <w:rPr>
                <w:rFonts w:hint="eastAsia" w:cs="Times New Roman"/>
                <w:color w:val="auto"/>
                <w:sz w:val="21"/>
                <w:szCs w:val="21"/>
                <w:lang w:val="en-US" w:eastAsia="zh-CN"/>
              </w:rPr>
              <w:t>6</w:t>
            </w:r>
          </w:p>
        </w:tc>
        <w:tc>
          <w:tcPr>
            <w:tcW w:w="476" w:type="pct"/>
            <w:noWrap w:val="0"/>
            <w:vAlign w:val="center"/>
          </w:tcPr>
          <w:p w14:paraId="69016C7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3D534D0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6D59DF0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w:t>
            </w:r>
          </w:p>
        </w:tc>
        <w:tc>
          <w:tcPr>
            <w:tcW w:w="450" w:type="pct"/>
            <w:noWrap w:val="0"/>
            <w:vAlign w:val="center"/>
          </w:tcPr>
          <w:p w14:paraId="51A791E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w:t>
            </w:r>
          </w:p>
        </w:tc>
        <w:tc>
          <w:tcPr>
            <w:tcW w:w="413" w:type="pct"/>
            <w:noWrap w:val="0"/>
            <w:vAlign w:val="center"/>
          </w:tcPr>
          <w:p w14:paraId="49DC7A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0</w:t>
            </w:r>
          </w:p>
        </w:tc>
      </w:tr>
      <w:tr w14:paraId="1363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71E0992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restart"/>
            <w:noWrap w:val="0"/>
            <w:vAlign w:val="center"/>
          </w:tcPr>
          <w:p w14:paraId="5009E09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11110FC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09</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14</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09</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34</w:t>
            </w:r>
          </w:p>
        </w:tc>
        <w:tc>
          <w:tcPr>
            <w:tcW w:w="716" w:type="pct"/>
            <w:noWrap w:val="0"/>
            <w:vAlign w:val="center"/>
          </w:tcPr>
          <w:p w14:paraId="11788AF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w:t>
            </w:r>
          </w:p>
        </w:tc>
        <w:tc>
          <w:tcPr>
            <w:tcW w:w="476" w:type="pct"/>
            <w:noWrap w:val="0"/>
            <w:vAlign w:val="center"/>
          </w:tcPr>
          <w:p w14:paraId="1FF5F4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3B75A5C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07224F9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101</w:t>
            </w:r>
          </w:p>
        </w:tc>
        <w:tc>
          <w:tcPr>
            <w:tcW w:w="450" w:type="pct"/>
            <w:noWrap w:val="0"/>
            <w:vAlign w:val="center"/>
          </w:tcPr>
          <w:p w14:paraId="3718E3B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10</w:t>
            </w:r>
          </w:p>
        </w:tc>
        <w:tc>
          <w:tcPr>
            <w:tcW w:w="413" w:type="pct"/>
            <w:noWrap w:val="0"/>
            <w:vAlign w:val="center"/>
          </w:tcPr>
          <w:p w14:paraId="4F23D7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w:t>
            </w:r>
          </w:p>
        </w:tc>
      </w:tr>
      <w:tr w14:paraId="348C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75EC893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3A2B4B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4B3669B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22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10</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22</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30</w:t>
            </w:r>
          </w:p>
        </w:tc>
        <w:tc>
          <w:tcPr>
            <w:tcW w:w="716" w:type="pct"/>
            <w:noWrap w:val="0"/>
            <w:vAlign w:val="center"/>
          </w:tcPr>
          <w:p w14:paraId="3BE4115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w:t>
            </w:r>
          </w:p>
        </w:tc>
        <w:tc>
          <w:tcPr>
            <w:tcW w:w="476" w:type="pct"/>
            <w:noWrap w:val="0"/>
            <w:vAlign w:val="center"/>
          </w:tcPr>
          <w:p w14:paraId="20C9180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0AA5DD3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1A4221F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450" w:type="pct"/>
            <w:noWrap w:val="0"/>
            <w:vAlign w:val="center"/>
          </w:tcPr>
          <w:p w14:paraId="0B21FA7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p>
        </w:tc>
        <w:tc>
          <w:tcPr>
            <w:tcW w:w="413" w:type="pct"/>
            <w:noWrap w:val="0"/>
            <w:vAlign w:val="center"/>
          </w:tcPr>
          <w:p w14:paraId="7F0B72F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12395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95" w:type="pct"/>
            <w:vMerge w:val="restart"/>
            <w:noWrap w:val="0"/>
            <w:vAlign w:val="center"/>
          </w:tcPr>
          <w:p w14:paraId="6E2F1A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N3G213国道接口处</w:t>
            </w:r>
          </w:p>
        </w:tc>
        <w:tc>
          <w:tcPr>
            <w:tcW w:w="619" w:type="pct"/>
            <w:vMerge w:val="restart"/>
            <w:noWrap w:val="0"/>
            <w:vAlign w:val="center"/>
          </w:tcPr>
          <w:p w14:paraId="0C5296A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773" w:type="pct"/>
            <w:noWrap w:val="0"/>
            <w:vAlign w:val="center"/>
          </w:tcPr>
          <w:p w14:paraId="745030D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09</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19</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09</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39</w:t>
            </w:r>
          </w:p>
        </w:tc>
        <w:tc>
          <w:tcPr>
            <w:tcW w:w="716" w:type="pct"/>
            <w:noWrap w:val="0"/>
            <w:vAlign w:val="center"/>
          </w:tcPr>
          <w:p w14:paraId="420E1D2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64</w:t>
            </w:r>
          </w:p>
        </w:tc>
        <w:tc>
          <w:tcPr>
            <w:tcW w:w="476" w:type="pct"/>
            <w:noWrap w:val="0"/>
            <w:vAlign w:val="center"/>
          </w:tcPr>
          <w:p w14:paraId="47018BF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66CB3B9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5602C2E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138</w:t>
            </w:r>
          </w:p>
        </w:tc>
        <w:tc>
          <w:tcPr>
            <w:tcW w:w="450" w:type="pct"/>
            <w:noWrap w:val="0"/>
            <w:vAlign w:val="center"/>
          </w:tcPr>
          <w:p w14:paraId="72ADAC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8</w:t>
            </w:r>
          </w:p>
        </w:tc>
        <w:tc>
          <w:tcPr>
            <w:tcW w:w="413" w:type="pct"/>
            <w:noWrap w:val="0"/>
            <w:vAlign w:val="center"/>
          </w:tcPr>
          <w:p w14:paraId="3AEBE2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w:t>
            </w:r>
          </w:p>
        </w:tc>
      </w:tr>
      <w:tr w14:paraId="43CE0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95" w:type="pct"/>
            <w:vMerge w:val="continue"/>
            <w:noWrap w:val="0"/>
            <w:vAlign w:val="center"/>
          </w:tcPr>
          <w:p w14:paraId="355A6E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74E7B46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1112D89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bidi="ar"/>
              </w:rPr>
              <w:t>22:3</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-22:5</w:t>
            </w:r>
            <w:r>
              <w:rPr>
                <w:rFonts w:hint="default" w:ascii="Times New Roman" w:hAnsi="Times New Roman" w:eastAsia="宋体" w:cs="Times New Roman"/>
                <w:color w:val="auto"/>
                <w:kern w:val="0"/>
                <w:sz w:val="21"/>
                <w:szCs w:val="21"/>
                <w:lang w:val="en-US" w:eastAsia="zh-CN" w:bidi="ar"/>
              </w:rPr>
              <w:t>3</w:t>
            </w:r>
          </w:p>
        </w:tc>
        <w:tc>
          <w:tcPr>
            <w:tcW w:w="716" w:type="pct"/>
            <w:noWrap w:val="0"/>
            <w:vAlign w:val="center"/>
          </w:tcPr>
          <w:p w14:paraId="620406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w:t>
            </w:r>
          </w:p>
        </w:tc>
        <w:tc>
          <w:tcPr>
            <w:tcW w:w="476" w:type="pct"/>
            <w:noWrap w:val="0"/>
            <w:vAlign w:val="center"/>
          </w:tcPr>
          <w:p w14:paraId="12D92AD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5291C50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090E7DA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w:t>
            </w:r>
          </w:p>
        </w:tc>
        <w:tc>
          <w:tcPr>
            <w:tcW w:w="450" w:type="pct"/>
            <w:noWrap w:val="0"/>
            <w:vAlign w:val="center"/>
          </w:tcPr>
          <w:p w14:paraId="3C85448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p>
        </w:tc>
        <w:tc>
          <w:tcPr>
            <w:tcW w:w="413" w:type="pct"/>
            <w:noWrap w:val="0"/>
            <w:vAlign w:val="center"/>
          </w:tcPr>
          <w:p w14:paraId="4B9499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0</w:t>
            </w:r>
          </w:p>
        </w:tc>
      </w:tr>
      <w:tr w14:paraId="16D8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4EF4A6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restart"/>
            <w:noWrap w:val="0"/>
            <w:vAlign w:val="center"/>
          </w:tcPr>
          <w:p w14:paraId="314CE6A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51A2006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kern w:val="0"/>
                <w:sz w:val="21"/>
                <w:szCs w:val="21"/>
                <w:lang w:bidi="ar"/>
              </w:rPr>
              <w:t>09:4</w:t>
            </w:r>
            <w:r>
              <w:rPr>
                <w:rFonts w:hint="default" w:ascii="Times New Roman" w:hAnsi="Times New Roman" w:eastAsia="宋体" w:cs="Times New Roman"/>
                <w:color w:val="auto"/>
                <w:kern w:val="0"/>
                <w:sz w:val="21"/>
                <w:szCs w:val="21"/>
                <w:lang w:val="en-US" w:eastAsia="zh-CN" w:bidi="ar"/>
              </w:rPr>
              <w:t>8</w:t>
            </w:r>
            <w:r>
              <w:rPr>
                <w:rFonts w:hint="default" w:ascii="Times New Roman" w:hAnsi="Times New Roman" w:eastAsia="宋体" w:cs="Times New Roman"/>
                <w:color w:val="auto"/>
                <w:kern w:val="0"/>
                <w:sz w:val="21"/>
                <w:szCs w:val="21"/>
                <w:lang w:bidi="ar"/>
              </w:rPr>
              <w:t>-10:0</w:t>
            </w:r>
            <w:r>
              <w:rPr>
                <w:rFonts w:hint="default" w:ascii="Times New Roman" w:hAnsi="Times New Roman" w:eastAsia="宋体" w:cs="Times New Roman"/>
                <w:color w:val="auto"/>
                <w:kern w:val="0"/>
                <w:sz w:val="21"/>
                <w:szCs w:val="21"/>
                <w:lang w:val="en-US" w:eastAsia="zh-CN" w:bidi="ar"/>
              </w:rPr>
              <w:t>8</w:t>
            </w:r>
          </w:p>
        </w:tc>
        <w:tc>
          <w:tcPr>
            <w:tcW w:w="716" w:type="pct"/>
            <w:noWrap w:val="0"/>
            <w:vAlign w:val="center"/>
          </w:tcPr>
          <w:p w14:paraId="2B897FF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6</w:t>
            </w:r>
            <w:r>
              <w:rPr>
                <w:rFonts w:hint="default" w:ascii="Times New Roman" w:hAnsi="Times New Roman" w:eastAsia="宋体" w:cs="Times New Roman"/>
                <w:color w:val="auto"/>
                <w:sz w:val="21"/>
                <w:szCs w:val="21"/>
                <w:lang w:val="en-US" w:eastAsia="zh-CN"/>
              </w:rPr>
              <w:t>1</w:t>
            </w:r>
          </w:p>
        </w:tc>
        <w:tc>
          <w:tcPr>
            <w:tcW w:w="476" w:type="pct"/>
            <w:noWrap w:val="0"/>
            <w:vAlign w:val="center"/>
          </w:tcPr>
          <w:p w14:paraId="5A79637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613BD81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6144E17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12</w:t>
            </w:r>
            <w:r>
              <w:rPr>
                <w:rFonts w:hint="default" w:ascii="Times New Roman" w:hAnsi="Times New Roman" w:eastAsia="宋体" w:cs="Times New Roman"/>
                <w:color w:val="auto"/>
                <w:sz w:val="21"/>
                <w:szCs w:val="21"/>
                <w:lang w:val="en-US" w:eastAsia="zh-CN"/>
              </w:rPr>
              <w:t>2</w:t>
            </w:r>
          </w:p>
        </w:tc>
        <w:tc>
          <w:tcPr>
            <w:tcW w:w="450" w:type="pct"/>
            <w:noWrap w:val="0"/>
            <w:vAlign w:val="center"/>
          </w:tcPr>
          <w:p w14:paraId="0F2414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w:t>
            </w:r>
          </w:p>
        </w:tc>
        <w:tc>
          <w:tcPr>
            <w:tcW w:w="413" w:type="pct"/>
            <w:noWrap w:val="0"/>
            <w:vAlign w:val="center"/>
          </w:tcPr>
          <w:p w14:paraId="03199C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7</w:t>
            </w:r>
          </w:p>
        </w:tc>
      </w:tr>
      <w:tr w14:paraId="4237F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3D438AE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4796FE4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7F850BF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22:</w:t>
            </w:r>
            <w:r>
              <w:rPr>
                <w:rFonts w:hint="default" w:ascii="Times New Roman" w:hAnsi="Times New Roman" w:eastAsia="宋体" w:cs="Times New Roman"/>
                <w:color w:val="auto"/>
                <w:kern w:val="0"/>
                <w:sz w:val="21"/>
                <w:szCs w:val="21"/>
                <w:lang w:val="en-US" w:eastAsia="zh-CN" w:bidi="ar"/>
              </w:rPr>
              <w:t>48</w:t>
            </w:r>
            <w:r>
              <w:rPr>
                <w:rFonts w:hint="default" w:ascii="Times New Roman" w:hAnsi="Times New Roman" w:eastAsia="宋体" w:cs="Times New Roman"/>
                <w:color w:val="auto"/>
                <w:kern w:val="0"/>
                <w:sz w:val="21"/>
                <w:szCs w:val="21"/>
                <w:lang w:bidi="ar"/>
              </w:rPr>
              <w:t>-2</w:t>
            </w:r>
            <w:r>
              <w:rPr>
                <w:rFonts w:hint="default" w:ascii="Times New Roman" w:hAnsi="Times New Roman" w:eastAsia="宋体"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08</w:t>
            </w:r>
          </w:p>
        </w:tc>
        <w:tc>
          <w:tcPr>
            <w:tcW w:w="716" w:type="pct"/>
            <w:noWrap w:val="0"/>
            <w:vAlign w:val="center"/>
          </w:tcPr>
          <w:p w14:paraId="039B61A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w:t>
            </w:r>
          </w:p>
        </w:tc>
        <w:tc>
          <w:tcPr>
            <w:tcW w:w="476" w:type="pct"/>
            <w:noWrap w:val="0"/>
            <w:vAlign w:val="center"/>
          </w:tcPr>
          <w:p w14:paraId="530F963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1EC6DB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1E3543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w:t>
            </w:r>
          </w:p>
        </w:tc>
        <w:tc>
          <w:tcPr>
            <w:tcW w:w="450" w:type="pct"/>
            <w:noWrap w:val="0"/>
            <w:vAlign w:val="center"/>
          </w:tcPr>
          <w:p w14:paraId="694E648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413" w:type="pct"/>
            <w:noWrap w:val="0"/>
            <w:vAlign w:val="center"/>
          </w:tcPr>
          <w:p w14:paraId="7B03154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r>
      <w:tr w14:paraId="5E32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95" w:type="pct"/>
            <w:vMerge w:val="restart"/>
            <w:noWrap w:val="0"/>
            <w:vAlign w:val="center"/>
          </w:tcPr>
          <w:p w14:paraId="5DE8B3C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N4公路沿线1#</w:t>
            </w:r>
          </w:p>
        </w:tc>
        <w:tc>
          <w:tcPr>
            <w:tcW w:w="619" w:type="pct"/>
            <w:vMerge w:val="restart"/>
            <w:noWrap w:val="0"/>
            <w:vAlign w:val="center"/>
          </w:tcPr>
          <w:p w14:paraId="358DD27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773" w:type="pct"/>
            <w:noWrap w:val="0"/>
            <w:vAlign w:val="center"/>
          </w:tcPr>
          <w:p w14:paraId="48F55B2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10:</w:t>
            </w:r>
            <w:r>
              <w:rPr>
                <w:rFonts w:hint="default" w:ascii="Times New Roman" w:hAnsi="Times New Roman" w:eastAsia="宋体" w:cs="Times New Roman"/>
                <w:color w:val="auto"/>
                <w:kern w:val="0"/>
                <w:sz w:val="21"/>
                <w:szCs w:val="21"/>
                <w:lang w:val="en-US" w:eastAsia="zh-CN" w:bidi="ar"/>
              </w:rPr>
              <w:t>02</w:t>
            </w:r>
            <w:r>
              <w:rPr>
                <w:rFonts w:hint="default" w:ascii="Times New Roman" w:hAnsi="Times New Roman" w:eastAsia="宋体" w:cs="Times New Roman"/>
                <w:color w:val="auto"/>
                <w:kern w:val="0"/>
                <w:sz w:val="21"/>
                <w:szCs w:val="21"/>
                <w:lang w:bidi="ar"/>
              </w:rPr>
              <w:t>-10:</w:t>
            </w:r>
            <w:r>
              <w:rPr>
                <w:rFonts w:hint="default" w:ascii="Times New Roman" w:hAnsi="Times New Roman" w:eastAsia="宋体" w:cs="Times New Roman"/>
                <w:color w:val="auto"/>
                <w:kern w:val="0"/>
                <w:sz w:val="21"/>
                <w:szCs w:val="21"/>
                <w:lang w:val="en-US" w:eastAsia="zh-CN" w:bidi="ar"/>
              </w:rPr>
              <w:t>22</w:t>
            </w:r>
          </w:p>
        </w:tc>
        <w:tc>
          <w:tcPr>
            <w:tcW w:w="716" w:type="pct"/>
            <w:noWrap w:val="0"/>
            <w:vAlign w:val="center"/>
          </w:tcPr>
          <w:p w14:paraId="45E6E89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4</w:t>
            </w:r>
            <w:r>
              <w:rPr>
                <w:rFonts w:hint="default" w:ascii="Times New Roman" w:hAnsi="Times New Roman" w:eastAsia="宋体" w:cs="Times New Roman"/>
                <w:color w:val="auto"/>
                <w:sz w:val="21"/>
                <w:szCs w:val="21"/>
                <w:lang w:val="en-US" w:eastAsia="zh-CN"/>
              </w:rPr>
              <w:t>6</w:t>
            </w:r>
          </w:p>
        </w:tc>
        <w:tc>
          <w:tcPr>
            <w:tcW w:w="476" w:type="pct"/>
            <w:noWrap w:val="0"/>
            <w:vAlign w:val="center"/>
          </w:tcPr>
          <w:p w14:paraId="1FF4B4D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3714D69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55D3C8E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50" w:type="pct"/>
            <w:noWrap w:val="0"/>
            <w:vAlign w:val="center"/>
          </w:tcPr>
          <w:p w14:paraId="55B310C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13" w:type="pct"/>
            <w:noWrap w:val="0"/>
            <w:vAlign w:val="center"/>
          </w:tcPr>
          <w:p w14:paraId="4AF71D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0869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595" w:type="pct"/>
            <w:vMerge w:val="continue"/>
            <w:noWrap w:val="0"/>
            <w:vAlign w:val="center"/>
          </w:tcPr>
          <w:p w14:paraId="6E3C0B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16AA566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775FEFB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23:0</w:t>
            </w:r>
            <w:r>
              <w:rPr>
                <w:rFonts w:hint="default" w:ascii="Times New Roman" w:hAnsi="Times New Roman" w:eastAsia="宋体" w:cs="Times New Roman"/>
                <w:color w:val="auto"/>
                <w:kern w:val="0"/>
                <w:sz w:val="21"/>
                <w:szCs w:val="21"/>
                <w:lang w:val="en-US" w:eastAsia="zh-CN" w:bidi="ar"/>
              </w:rPr>
              <w:t>7</w:t>
            </w:r>
            <w:r>
              <w:rPr>
                <w:rFonts w:hint="default" w:ascii="Times New Roman" w:hAnsi="Times New Roman" w:eastAsia="宋体" w:cs="Times New Roman"/>
                <w:color w:val="auto"/>
                <w:kern w:val="0"/>
                <w:sz w:val="21"/>
                <w:szCs w:val="21"/>
                <w:lang w:bidi="ar"/>
              </w:rPr>
              <w:t>-23:</w:t>
            </w:r>
            <w:r>
              <w:rPr>
                <w:rFonts w:hint="default" w:ascii="Times New Roman" w:hAnsi="Times New Roman" w:eastAsia="宋体" w:cs="Times New Roman"/>
                <w:color w:val="auto"/>
                <w:kern w:val="0"/>
                <w:sz w:val="21"/>
                <w:szCs w:val="21"/>
                <w:lang w:val="en-US" w:eastAsia="zh-CN" w:bidi="ar"/>
              </w:rPr>
              <w:t>27</w:t>
            </w:r>
          </w:p>
        </w:tc>
        <w:tc>
          <w:tcPr>
            <w:tcW w:w="716" w:type="pct"/>
            <w:noWrap w:val="0"/>
            <w:vAlign w:val="center"/>
          </w:tcPr>
          <w:p w14:paraId="2C3ACCF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w:t>
            </w:r>
          </w:p>
        </w:tc>
        <w:tc>
          <w:tcPr>
            <w:tcW w:w="476" w:type="pct"/>
            <w:noWrap w:val="0"/>
            <w:vAlign w:val="center"/>
          </w:tcPr>
          <w:p w14:paraId="09F95B0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4AFC2A3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764C1EF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50" w:type="pct"/>
            <w:noWrap w:val="0"/>
            <w:vAlign w:val="center"/>
          </w:tcPr>
          <w:p w14:paraId="597C07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13" w:type="pct"/>
            <w:noWrap w:val="0"/>
            <w:vAlign w:val="center"/>
          </w:tcPr>
          <w:p w14:paraId="38EC801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40B3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2E409B9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restart"/>
            <w:noWrap w:val="0"/>
            <w:vAlign w:val="center"/>
          </w:tcPr>
          <w:p w14:paraId="2A23E17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0EE41FA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10:</w:t>
            </w:r>
            <w:r>
              <w:rPr>
                <w:rFonts w:hint="default" w:ascii="Times New Roman" w:hAnsi="Times New Roman" w:eastAsia="宋体" w:cs="Times New Roman"/>
                <w:color w:val="auto"/>
                <w:kern w:val="0"/>
                <w:sz w:val="21"/>
                <w:szCs w:val="21"/>
                <w:lang w:val="en-US" w:eastAsia="zh-CN" w:bidi="ar"/>
              </w:rPr>
              <w:t>27</w:t>
            </w:r>
            <w:r>
              <w:rPr>
                <w:rFonts w:hint="default" w:ascii="Times New Roman" w:hAnsi="Times New Roman" w:eastAsia="宋体" w:cs="Times New Roman"/>
                <w:color w:val="auto"/>
                <w:kern w:val="0"/>
                <w:sz w:val="21"/>
                <w:szCs w:val="21"/>
                <w:lang w:bidi="ar"/>
              </w:rPr>
              <w:t>-10:</w:t>
            </w:r>
            <w:r>
              <w:rPr>
                <w:rFonts w:hint="default" w:ascii="Times New Roman" w:hAnsi="Times New Roman" w:eastAsia="宋体" w:cs="Times New Roman"/>
                <w:color w:val="auto"/>
                <w:kern w:val="0"/>
                <w:sz w:val="21"/>
                <w:szCs w:val="21"/>
                <w:lang w:val="en-US" w:eastAsia="zh-CN" w:bidi="ar"/>
              </w:rPr>
              <w:t>47</w:t>
            </w:r>
          </w:p>
        </w:tc>
        <w:tc>
          <w:tcPr>
            <w:tcW w:w="716" w:type="pct"/>
            <w:noWrap w:val="0"/>
            <w:vAlign w:val="center"/>
          </w:tcPr>
          <w:p w14:paraId="14693AF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w:t>
            </w:r>
          </w:p>
        </w:tc>
        <w:tc>
          <w:tcPr>
            <w:tcW w:w="476" w:type="pct"/>
            <w:noWrap w:val="0"/>
            <w:vAlign w:val="center"/>
          </w:tcPr>
          <w:p w14:paraId="6CD0AD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476" w:type="pct"/>
            <w:noWrap w:val="0"/>
            <w:vAlign w:val="center"/>
          </w:tcPr>
          <w:p w14:paraId="6B4998D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22F67EC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06C8B44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70767E3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175A8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310C0D9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49EAB74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2079F7D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bidi="ar"/>
              </w:rPr>
              <w:t>23:</w:t>
            </w:r>
            <w:r>
              <w:rPr>
                <w:rFonts w:hint="default" w:ascii="Times New Roman" w:hAnsi="Times New Roman" w:eastAsia="宋体" w:cs="Times New Roman"/>
                <w:color w:val="auto"/>
                <w:kern w:val="0"/>
                <w:sz w:val="21"/>
                <w:szCs w:val="21"/>
                <w:lang w:val="en-US" w:eastAsia="zh-CN" w:bidi="ar"/>
              </w:rPr>
              <w:t>34</w:t>
            </w:r>
            <w:r>
              <w:rPr>
                <w:rFonts w:hint="default" w:ascii="Times New Roman" w:hAnsi="Times New Roman" w:eastAsia="宋体" w:cs="Times New Roman"/>
                <w:color w:val="auto"/>
                <w:kern w:val="0"/>
                <w:sz w:val="21"/>
                <w:szCs w:val="21"/>
                <w:lang w:bidi="ar"/>
              </w:rPr>
              <w:t>-23:</w:t>
            </w:r>
            <w:r>
              <w:rPr>
                <w:rFonts w:hint="default" w:ascii="Times New Roman" w:hAnsi="Times New Roman" w:eastAsia="宋体" w:cs="Times New Roman"/>
                <w:color w:val="auto"/>
                <w:kern w:val="0"/>
                <w:sz w:val="21"/>
                <w:szCs w:val="21"/>
                <w:lang w:val="en-US" w:eastAsia="zh-CN" w:bidi="ar"/>
              </w:rPr>
              <w:t>54</w:t>
            </w:r>
          </w:p>
        </w:tc>
        <w:tc>
          <w:tcPr>
            <w:tcW w:w="716" w:type="pct"/>
            <w:noWrap w:val="0"/>
            <w:vAlign w:val="center"/>
          </w:tcPr>
          <w:p w14:paraId="68B159D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w:t>
            </w:r>
          </w:p>
        </w:tc>
        <w:tc>
          <w:tcPr>
            <w:tcW w:w="476" w:type="pct"/>
            <w:noWrap w:val="0"/>
            <w:vAlign w:val="center"/>
          </w:tcPr>
          <w:p w14:paraId="3B9F0F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w:t>
            </w:r>
          </w:p>
        </w:tc>
        <w:tc>
          <w:tcPr>
            <w:tcW w:w="476" w:type="pct"/>
            <w:noWrap w:val="0"/>
            <w:vAlign w:val="center"/>
          </w:tcPr>
          <w:p w14:paraId="0BC886E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1594897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2D6426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6D202D8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0128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restart"/>
            <w:noWrap w:val="0"/>
            <w:vAlign w:val="center"/>
          </w:tcPr>
          <w:p w14:paraId="3869547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N5：公路沿线2#</w:t>
            </w:r>
          </w:p>
        </w:tc>
        <w:tc>
          <w:tcPr>
            <w:tcW w:w="619" w:type="pct"/>
            <w:noWrap w:val="0"/>
            <w:vAlign w:val="center"/>
          </w:tcPr>
          <w:p w14:paraId="42873A1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09</w:t>
            </w:r>
          </w:p>
        </w:tc>
        <w:tc>
          <w:tcPr>
            <w:tcW w:w="773" w:type="pct"/>
            <w:noWrap w:val="0"/>
            <w:vAlign w:val="center"/>
          </w:tcPr>
          <w:p w14:paraId="731AC2CE">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37</w:t>
            </w:r>
            <w:r>
              <w:rPr>
                <w:rFonts w:hint="default" w:ascii="Times New Roman" w:hAnsi="Times New Roman" w:eastAsia="宋体" w:cs="Times New Roman"/>
                <w:color w:val="auto"/>
                <w:kern w:val="0"/>
                <w:sz w:val="21"/>
                <w:szCs w:val="21"/>
                <w:lang w:bidi="ar"/>
              </w:rPr>
              <w:t>-1</w:t>
            </w:r>
            <w:r>
              <w:rPr>
                <w:rFonts w:hint="default" w:ascii="Times New Roman" w:hAnsi="Times New Roman" w:eastAsia="宋体" w:cs="Times New Roman"/>
                <w:color w:val="auto"/>
                <w:kern w:val="0"/>
                <w:sz w:val="21"/>
                <w:szCs w:val="21"/>
                <w:lang w:val="en-US" w:eastAsia="zh-CN" w:bidi="ar"/>
              </w:rPr>
              <w:t>0</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57</w:t>
            </w:r>
          </w:p>
        </w:tc>
        <w:tc>
          <w:tcPr>
            <w:tcW w:w="716" w:type="pct"/>
            <w:noWrap w:val="0"/>
            <w:vAlign w:val="center"/>
          </w:tcPr>
          <w:p w14:paraId="6F0509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44</w:t>
            </w:r>
          </w:p>
        </w:tc>
        <w:tc>
          <w:tcPr>
            <w:tcW w:w="476" w:type="pct"/>
            <w:noWrap w:val="0"/>
            <w:vAlign w:val="center"/>
          </w:tcPr>
          <w:p w14:paraId="159E9D6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476" w:type="pct"/>
            <w:noWrap w:val="0"/>
            <w:vAlign w:val="center"/>
          </w:tcPr>
          <w:p w14:paraId="1AF09CC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32C820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651CE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686F21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59FD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71A7A59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restart"/>
            <w:noWrap w:val="0"/>
            <w:vAlign w:val="center"/>
          </w:tcPr>
          <w:p w14:paraId="462677A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10</w:t>
            </w:r>
          </w:p>
        </w:tc>
        <w:tc>
          <w:tcPr>
            <w:tcW w:w="773" w:type="pct"/>
            <w:noWrap w:val="0"/>
            <w:vAlign w:val="center"/>
          </w:tcPr>
          <w:p w14:paraId="1662696A">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val="en-US" w:eastAsia="zh-CN" w:bidi="ar"/>
              </w:rPr>
              <w:t>23</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44</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00</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04</w:t>
            </w:r>
          </w:p>
        </w:tc>
        <w:tc>
          <w:tcPr>
            <w:tcW w:w="716" w:type="pct"/>
            <w:noWrap w:val="0"/>
            <w:vAlign w:val="center"/>
          </w:tcPr>
          <w:p w14:paraId="469D4F8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w:t>
            </w:r>
          </w:p>
        </w:tc>
        <w:tc>
          <w:tcPr>
            <w:tcW w:w="476" w:type="pct"/>
            <w:noWrap w:val="0"/>
            <w:vAlign w:val="center"/>
          </w:tcPr>
          <w:p w14:paraId="04BCC65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476" w:type="pct"/>
            <w:noWrap w:val="0"/>
            <w:vAlign w:val="center"/>
          </w:tcPr>
          <w:p w14:paraId="7E6B613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21949F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2E9EE1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12530D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2D54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3E07E26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vMerge w:val="continue"/>
            <w:noWrap w:val="0"/>
            <w:vAlign w:val="center"/>
          </w:tcPr>
          <w:p w14:paraId="3FB9E32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3" w:type="pct"/>
            <w:noWrap w:val="0"/>
            <w:vAlign w:val="center"/>
          </w:tcPr>
          <w:p w14:paraId="17EAAEE8">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bidi="ar"/>
              </w:rPr>
              <w:t>1</w:t>
            </w:r>
            <w:r>
              <w:rPr>
                <w:rFonts w:hint="eastAsia"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28</w:t>
            </w:r>
            <w:r>
              <w:rPr>
                <w:rFonts w:hint="default" w:ascii="Times New Roman" w:hAnsi="Times New Roman" w:eastAsia="宋体" w:cs="Times New Roman"/>
                <w:color w:val="auto"/>
                <w:kern w:val="0"/>
                <w:sz w:val="21"/>
                <w:szCs w:val="21"/>
                <w:lang w:bidi="ar"/>
              </w:rPr>
              <w:t>-1</w:t>
            </w:r>
            <w:r>
              <w:rPr>
                <w:rFonts w:hint="eastAsia" w:cs="Times New Roman"/>
                <w:color w:val="auto"/>
                <w:kern w:val="0"/>
                <w:sz w:val="21"/>
                <w:szCs w:val="21"/>
                <w:lang w:val="en-US" w:eastAsia="zh-CN" w:bidi="ar"/>
              </w:rPr>
              <w:t>3</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48</w:t>
            </w:r>
          </w:p>
        </w:tc>
        <w:tc>
          <w:tcPr>
            <w:tcW w:w="716" w:type="pct"/>
            <w:noWrap w:val="0"/>
            <w:vAlign w:val="center"/>
          </w:tcPr>
          <w:p w14:paraId="766AB0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53</w:t>
            </w:r>
          </w:p>
        </w:tc>
        <w:tc>
          <w:tcPr>
            <w:tcW w:w="476" w:type="pct"/>
            <w:noWrap w:val="0"/>
            <w:vAlign w:val="center"/>
          </w:tcPr>
          <w:p w14:paraId="66CC35C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476" w:type="pct"/>
            <w:noWrap w:val="0"/>
            <w:vAlign w:val="center"/>
          </w:tcPr>
          <w:p w14:paraId="1D5842E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320D23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1893CA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7E5EBB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r w14:paraId="42B05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595" w:type="pct"/>
            <w:vMerge w:val="continue"/>
            <w:noWrap w:val="0"/>
            <w:vAlign w:val="center"/>
          </w:tcPr>
          <w:p w14:paraId="10F6630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619" w:type="pct"/>
            <w:noWrap w:val="0"/>
            <w:vAlign w:val="center"/>
          </w:tcPr>
          <w:p w14:paraId="419640F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202</w:t>
            </w:r>
            <w:r>
              <w:rPr>
                <w:rFonts w:hint="eastAsia" w:cs="Times New Roman"/>
                <w:color w:val="auto"/>
                <w:kern w:val="0"/>
                <w:sz w:val="21"/>
                <w:szCs w:val="21"/>
                <w:lang w:val="en-US" w:eastAsia="zh-CN" w:bidi="ar"/>
              </w:rPr>
              <w:t>6</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11</w:t>
            </w:r>
          </w:p>
        </w:tc>
        <w:tc>
          <w:tcPr>
            <w:tcW w:w="773" w:type="pct"/>
            <w:noWrap w:val="0"/>
            <w:vAlign w:val="center"/>
          </w:tcPr>
          <w:p w14:paraId="26B4D213">
            <w:pPr>
              <w:widowControl/>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0</w:t>
            </w:r>
            <w:r>
              <w:rPr>
                <w:rFonts w:hint="eastAsia"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36</w:t>
            </w:r>
            <w:r>
              <w:rPr>
                <w:rFonts w:hint="default" w:ascii="Times New Roman" w:hAnsi="Times New Roman" w:eastAsia="宋体" w:cs="Times New Roman"/>
                <w:color w:val="auto"/>
                <w:kern w:val="0"/>
                <w:sz w:val="21"/>
                <w:szCs w:val="21"/>
                <w:lang w:bidi="ar"/>
              </w:rPr>
              <w:t>-</w:t>
            </w:r>
            <w:r>
              <w:rPr>
                <w:rFonts w:hint="default" w:ascii="Times New Roman" w:hAnsi="Times New Roman" w:eastAsia="宋体" w:cs="Times New Roman"/>
                <w:color w:val="auto"/>
                <w:kern w:val="0"/>
                <w:sz w:val="21"/>
                <w:szCs w:val="21"/>
                <w:lang w:val="en-US" w:eastAsia="zh-CN" w:bidi="ar"/>
              </w:rPr>
              <w:t>0</w:t>
            </w:r>
            <w:r>
              <w:rPr>
                <w:rFonts w:hint="eastAsia" w:cs="Times New Roman"/>
                <w:color w:val="auto"/>
                <w:kern w:val="0"/>
                <w:sz w:val="21"/>
                <w:szCs w:val="21"/>
                <w:lang w:val="en-US" w:eastAsia="zh-CN" w:bidi="ar"/>
              </w:rPr>
              <w:t>1</w:t>
            </w:r>
            <w:r>
              <w:rPr>
                <w:rFonts w:hint="default" w:ascii="Times New Roman" w:hAnsi="Times New Roman" w:eastAsia="宋体" w:cs="Times New Roman"/>
                <w:color w:val="auto"/>
                <w:kern w:val="0"/>
                <w:sz w:val="21"/>
                <w:szCs w:val="21"/>
                <w:lang w:bidi="ar"/>
              </w:rPr>
              <w:t>:</w:t>
            </w:r>
            <w:r>
              <w:rPr>
                <w:rFonts w:hint="eastAsia" w:cs="Times New Roman"/>
                <w:color w:val="auto"/>
                <w:kern w:val="0"/>
                <w:sz w:val="21"/>
                <w:szCs w:val="21"/>
                <w:lang w:val="en-US" w:eastAsia="zh-CN" w:bidi="ar"/>
              </w:rPr>
              <w:t>56</w:t>
            </w:r>
          </w:p>
        </w:tc>
        <w:tc>
          <w:tcPr>
            <w:tcW w:w="716" w:type="pct"/>
            <w:noWrap w:val="0"/>
            <w:vAlign w:val="center"/>
          </w:tcPr>
          <w:p w14:paraId="458515BC">
            <w:pPr>
              <w:widowControl/>
              <w:adjustRightInd w:val="0"/>
              <w:snapToGrid w:val="0"/>
              <w:spacing w:line="240" w:lineRule="auto"/>
              <w:ind w:firstLine="0" w:firstLineChars="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4</w:t>
            </w:r>
            <w:r>
              <w:rPr>
                <w:rFonts w:hint="eastAsia" w:cs="Times New Roman"/>
                <w:color w:val="auto"/>
                <w:sz w:val="21"/>
                <w:szCs w:val="21"/>
                <w:lang w:val="en-US" w:eastAsia="zh-CN"/>
              </w:rPr>
              <w:t>3</w:t>
            </w:r>
          </w:p>
        </w:tc>
        <w:tc>
          <w:tcPr>
            <w:tcW w:w="476" w:type="pct"/>
            <w:noWrap w:val="0"/>
            <w:vAlign w:val="center"/>
          </w:tcPr>
          <w:p w14:paraId="267CFFC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476" w:type="pct"/>
            <w:noWrap w:val="0"/>
            <w:vAlign w:val="center"/>
          </w:tcPr>
          <w:p w14:paraId="43C687A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c>
          <w:tcPr>
            <w:tcW w:w="477" w:type="pct"/>
            <w:noWrap w:val="0"/>
            <w:vAlign w:val="center"/>
          </w:tcPr>
          <w:p w14:paraId="4A2050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0" w:type="pct"/>
            <w:noWrap w:val="0"/>
            <w:vAlign w:val="center"/>
          </w:tcPr>
          <w:p w14:paraId="138891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13" w:type="pct"/>
            <w:noWrap w:val="0"/>
            <w:vAlign w:val="center"/>
          </w:tcPr>
          <w:p w14:paraId="09F575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r>
    </w:tbl>
    <w:p w14:paraId="0189C2E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根据表4.4-6分析，项目交通噪声声环境现状昼间、夜间均能满足《声环境质量标准》（GB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3096-2008）4a类标准。</w:t>
      </w:r>
    </w:p>
    <w:p w14:paraId="2DC253A9">
      <w:pPr>
        <w:pStyle w:val="5"/>
        <w:bidi w:val="0"/>
        <w:ind w:left="0" w:leftChars="0" w:firstLine="0" w:firstLineChars="0"/>
        <w:rPr>
          <w:rFonts w:hint="default" w:ascii="Times New Roman" w:hAnsi="Times New Roman" w:eastAsia="宋体" w:cs="Times New Roman"/>
          <w:color w:val="auto"/>
        </w:rPr>
      </w:pPr>
      <w:bookmarkStart w:id="95" w:name="_Toc21330"/>
      <w:r>
        <w:rPr>
          <w:rFonts w:hint="default" w:ascii="Times New Roman" w:hAnsi="Times New Roman" w:eastAsia="宋体" w:cs="Times New Roman"/>
          <w:color w:val="auto"/>
        </w:rPr>
        <w:t>4.2.3环境空气质量现状</w:t>
      </w:r>
      <w:bookmarkEnd w:id="95"/>
    </w:p>
    <w:p w14:paraId="644FDAD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根据《环境影响评价技术导则大气环境》（HJ</w:t>
      </w:r>
      <w:r>
        <w:rPr>
          <w:rFonts w:hint="eastAsia" w:cs="Times New Roman"/>
          <w:color w:val="auto"/>
          <w:lang w:val="en-US" w:eastAsia="zh-CN"/>
        </w:rPr>
        <w:t xml:space="preserve"> </w:t>
      </w:r>
      <w:r>
        <w:rPr>
          <w:rFonts w:hint="default" w:ascii="Times New Roman" w:hAnsi="Times New Roman" w:eastAsia="宋体" w:cs="Times New Roman"/>
          <w:color w:val="auto"/>
        </w:rPr>
        <w:t>2.2-2018）可知，城市环境空气质量达标情况评价指标为SO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、NO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10</w:t>
      </w:r>
      <w:r>
        <w:rPr>
          <w:rFonts w:hint="default" w:ascii="Times New Roman" w:hAnsi="Times New Roman" w:eastAsia="宋体" w:cs="Times New Roman"/>
          <w:color w:val="auto"/>
        </w:rPr>
        <w:t>、PM</w:t>
      </w:r>
      <w:r>
        <w:rPr>
          <w:rFonts w:hint="default" w:ascii="Times New Roman" w:hAnsi="Times New Roman" w:eastAsia="宋体" w:cs="Times New Roman"/>
          <w:color w:val="auto"/>
          <w:vertAlign w:val="subscript"/>
        </w:rPr>
        <w:t>2.5</w:t>
      </w:r>
      <w:r>
        <w:rPr>
          <w:rFonts w:hint="default" w:ascii="Times New Roman" w:hAnsi="Times New Roman" w:eastAsia="宋体" w:cs="Times New Roman"/>
          <w:color w:val="auto"/>
        </w:rPr>
        <w:t>、CO和O</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，六项污染物全部达标即为城市环境空气质量达标。</w:t>
      </w:r>
    </w:p>
    <w:p w14:paraId="68FD3A1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项目位于玉溪市元江县甘庄街道，根据2024年1月</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2024年12月元江县环境空气自动监测站空气可吸入颗粒物（PM</w:t>
      </w:r>
      <w:r>
        <w:rPr>
          <w:rFonts w:hint="default" w:ascii="Times New Roman" w:hAnsi="Times New Roman" w:eastAsia="宋体" w:cs="Times New Roman"/>
          <w:color w:val="auto"/>
          <w:vertAlign w:val="subscript"/>
        </w:rPr>
        <w:t>10</w:t>
      </w:r>
      <w:r>
        <w:rPr>
          <w:rFonts w:hint="default" w:ascii="Times New Roman" w:hAnsi="Times New Roman" w:eastAsia="宋体" w:cs="Times New Roman"/>
          <w:color w:val="auto"/>
        </w:rPr>
        <w:t>）、细颗粒物（PM</w:t>
      </w:r>
      <w:r>
        <w:rPr>
          <w:rFonts w:hint="default" w:ascii="Times New Roman" w:hAnsi="Times New Roman" w:eastAsia="宋体" w:cs="Times New Roman"/>
          <w:color w:val="auto"/>
          <w:vertAlign w:val="subscript"/>
        </w:rPr>
        <w:t>2.5</w:t>
      </w:r>
      <w:r>
        <w:rPr>
          <w:rFonts w:hint="default" w:ascii="Times New Roman" w:hAnsi="Times New Roman" w:eastAsia="宋体" w:cs="Times New Roman"/>
          <w:color w:val="auto"/>
        </w:rPr>
        <w:t>）、二氧化硫（SO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）、二氧化氮（NO</w:t>
      </w:r>
      <w:r>
        <w:rPr>
          <w:rFonts w:hint="default" w:ascii="Times New Roman" w:hAnsi="Times New Roman" w:eastAsia="宋体" w:cs="Times New Roman"/>
          <w:color w:val="auto"/>
          <w:vertAlign w:val="subscript"/>
        </w:rPr>
        <w:t>2</w:t>
      </w:r>
      <w:r>
        <w:rPr>
          <w:rFonts w:hint="default" w:ascii="Times New Roman" w:hAnsi="Times New Roman" w:eastAsia="宋体" w:cs="Times New Roman"/>
          <w:color w:val="auto"/>
        </w:rPr>
        <w:t>）、一氧化碳（CO）、臭氧（O</w:t>
      </w:r>
      <w:r>
        <w:rPr>
          <w:rFonts w:hint="default" w:ascii="Times New Roman" w:hAnsi="Times New Roman" w:eastAsia="宋体" w:cs="Times New Roman"/>
          <w:color w:val="auto"/>
          <w:vertAlign w:val="subscript"/>
        </w:rPr>
        <w:t>3</w:t>
      </w:r>
      <w:r>
        <w:rPr>
          <w:rFonts w:hint="default" w:ascii="Times New Roman" w:hAnsi="Times New Roman" w:eastAsia="宋体" w:cs="Times New Roman"/>
          <w:color w:val="auto"/>
        </w:rPr>
        <w:t>）年平均浓度满足</w:t>
      </w:r>
      <w:r>
        <w:rPr>
          <w:rFonts w:hint="default" w:ascii="Times New Roman" w:hAnsi="Times New Roman" w:eastAsia="宋体" w:cs="Times New Roman"/>
          <w:color w:val="auto"/>
          <w:lang w:val="en-US" w:eastAsia="zh-CN"/>
        </w:rPr>
        <w:t>《环境空气质量标准》（GB3095-2026）过渡阶段浓度限值二级标准</w:t>
      </w:r>
      <w:r>
        <w:rPr>
          <w:rFonts w:hint="default" w:ascii="Times New Roman" w:hAnsi="Times New Roman" w:eastAsia="宋体" w:cs="Times New Roman"/>
          <w:color w:val="auto"/>
        </w:rPr>
        <w:t>。</w:t>
      </w:r>
      <w:r>
        <w:rPr>
          <w:rFonts w:hint="default" w:ascii="Times New Roman" w:hAnsi="Times New Roman" w:eastAsia="宋体" w:cs="Times New Roman"/>
          <w:color w:val="auto"/>
        </w:rPr>
        <w:t>元江县环境空气质量自动监测系统位于元江四小，与本项目直线距离约9.22km，位于本项目侧上风向。监测结果详见下表。</w:t>
      </w:r>
    </w:p>
    <w:p w14:paraId="6C2D177A">
      <w:pPr>
        <w:adjustRightInd w:val="0"/>
        <w:snapToGrid w:val="0"/>
        <w:spacing w:line="240" w:lineRule="auto"/>
        <w:ind w:firstLine="422"/>
        <w:jc w:val="center"/>
        <w:rPr>
          <w:rFonts w:hint="default" w:ascii="Times New Roman" w:hAnsi="Times New Roman" w:eastAsia="宋体" w:cs="Times New Roman"/>
          <w:b/>
          <w:color w:val="auto"/>
          <w:szCs w:val="32"/>
        </w:rPr>
      </w:pPr>
      <w:r>
        <w:rPr>
          <w:rFonts w:hint="default" w:ascii="Times New Roman" w:hAnsi="Times New Roman" w:eastAsia="宋体" w:cs="Times New Roman"/>
          <w:b/>
          <w:color w:val="auto"/>
          <w:sz w:val="21"/>
        </w:rPr>
        <w:t>表</w:t>
      </w:r>
      <w:r>
        <w:rPr>
          <w:rFonts w:hint="default" w:ascii="Times New Roman" w:hAnsi="Times New Roman" w:eastAsia="宋体" w:cs="Times New Roman"/>
          <w:b/>
          <w:color w:val="auto"/>
          <w:sz w:val="21"/>
          <w:lang w:val="en-US" w:eastAsia="zh-CN"/>
        </w:rPr>
        <w:t>4.2</w:t>
      </w:r>
      <w:r>
        <w:rPr>
          <w:rFonts w:hint="default" w:ascii="Times New Roman" w:hAnsi="Times New Roman" w:eastAsia="宋体" w:cs="Times New Roman"/>
          <w:b/>
          <w:color w:val="auto"/>
          <w:sz w:val="21"/>
        </w:rPr>
        <w:t>-</w:t>
      </w:r>
      <w:r>
        <w:rPr>
          <w:rFonts w:hint="default" w:ascii="Times New Roman" w:hAnsi="Times New Roman" w:eastAsia="宋体" w:cs="Times New Roman"/>
          <w:b/>
          <w:color w:val="auto"/>
          <w:sz w:val="21"/>
          <w:lang w:val="en-US" w:eastAsia="zh-CN"/>
        </w:rPr>
        <w:t>4</w:t>
      </w:r>
      <w:r>
        <w:rPr>
          <w:rFonts w:hint="default" w:ascii="Times New Roman" w:hAnsi="Times New Roman" w:eastAsia="宋体" w:cs="Times New Roman"/>
          <w:b/>
          <w:color w:val="auto"/>
          <w:sz w:val="21"/>
        </w:rPr>
        <w:t xml:space="preserve">   2024年元江县环境空气质量现状统计表</w:t>
      </w:r>
    </w:p>
    <w:tbl>
      <w:tblPr>
        <w:tblStyle w:val="5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487"/>
        <w:gridCol w:w="1357"/>
        <w:gridCol w:w="1482"/>
        <w:gridCol w:w="1256"/>
        <w:gridCol w:w="975"/>
      </w:tblGrid>
      <w:tr w14:paraId="15B77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noWrap w:val="0"/>
            <w:vAlign w:val="center"/>
          </w:tcPr>
          <w:p w14:paraId="611EA670">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w:t>
            </w:r>
          </w:p>
        </w:tc>
        <w:tc>
          <w:tcPr>
            <w:tcW w:w="1457" w:type="pct"/>
            <w:noWrap w:val="0"/>
            <w:vAlign w:val="center"/>
          </w:tcPr>
          <w:p w14:paraId="35702BAD">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年评价指标</w:t>
            </w:r>
          </w:p>
        </w:tc>
        <w:tc>
          <w:tcPr>
            <w:tcW w:w="795" w:type="pct"/>
            <w:noWrap w:val="0"/>
            <w:vAlign w:val="center"/>
          </w:tcPr>
          <w:p w14:paraId="7E6162B2">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现状浓度</w:t>
            </w:r>
          </w:p>
          <w:p w14:paraId="61000904">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（µg/m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868" w:type="pct"/>
            <w:noWrap w:val="0"/>
            <w:vAlign w:val="center"/>
          </w:tcPr>
          <w:p w14:paraId="5077886E">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标准值</w:t>
            </w:r>
          </w:p>
          <w:p w14:paraId="53571D2F">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（µg/m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735" w:type="pct"/>
            <w:noWrap w:val="0"/>
            <w:vAlign w:val="center"/>
          </w:tcPr>
          <w:p w14:paraId="1396CB13">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占标率/%</w:t>
            </w:r>
          </w:p>
        </w:tc>
        <w:tc>
          <w:tcPr>
            <w:tcW w:w="572" w:type="pct"/>
            <w:noWrap w:val="0"/>
            <w:vAlign w:val="center"/>
          </w:tcPr>
          <w:p w14:paraId="3EB68E52">
            <w:pPr>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达标情况</w:t>
            </w:r>
          </w:p>
        </w:tc>
      </w:tr>
      <w:tr w14:paraId="614D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restart"/>
            <w:noWrap w:val="0"/>
            <w:vAlign w:val="center"/>
          </w:tcPr>
          <w:p w14:paraId="671CBDC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SO</w:t>
            </w:r>
            <w:r>
              <w:rPr>
                <w:rFonts w:hint="default" w:ascii="Times New Roman" w:hAnsi="Times New Roman" w:eastAsia="宋体" w:cs="Times New Roman"/>
                <w:color w:val="auto"/>
                <w:sz w:val="21"/>
                <w:szCs w:val="21"/>
                <w:vertAlign w:val="subscript"/>
              </w:rPr>
              <w:t>2</w:t>
            </w:r>
          </w:p>
        </w:tc>
        <w:tc>
          <w:tcPr>
            <w:tcW w:w="1457" w:type="pct"/>
            <w:noWrap w:val="0"/>
            <w:vAlign w:val="center"/>
          </w:tcPr>
          <w:p w14:paraId="5DCEF2F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795" w:type="pct"/>
            <w:noWrap w:val="0"/>
            <w:vAlign w:val="center"/>
          </w:tcPr>
          <w:p w14:paraId="74337C5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6.06</w:t>
            </w:r>
          </w:p>
        </w:tc>
        <w:tc>
          <w:tcPr>
            <w:tcW w:w="868" w:type="pct"/>
            <w:noWrap w:val="0"/>
            <w:vAlign w:val="center"/>
          </w:tcPr>
          <w:p w14:paraId="16EAAA5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735" w:type="pct"/>
            <w:noWrap w:val="0"/>
            <w:vAlign w:val="center"/>
          </w:tcPr>
          <w:p w14:paraId="472C30A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w:t>
            </w:r>
          </w:p>
        </w:tc>
        <w:tc>
          <w:tcPr>
            <w:tcW w:w="572" w:type="pct"/>
            <w:noWrap w:val="0"/>
            <w:vAlign w:val="center"/>
          </w:tcPr>
          <w:p w14:paraId="4D41F65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69BB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continue"/>
            <w:noWrap w:val="0"/>
            <w:vAlign w:val="center"/>
          </w:tcPr>
          <w:p w14:paraId="1403BAC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457" w:type="pct"/>
            <w:noWrap w:val="0"/>
            <w:vAlign w:val="center"/>
          </w:tcPr>
          <w:p w14:paraId="142C8D7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98%日平均质量浓度</w:t>
            </w:r>
          </w:p>
        </w:tc>
        <w:tc>
          <w:tcPr>
            <w:tcW w:w="795" w:type="pct"/>
            <w:noWrap w:val="0"/>
            <w:vAlign w:val="center"/>
          </w:tcPr>
          <w:p w14:paraId="6D58D8C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868" w:type="pct"/>
            <w:noWrap w:val="0"/>
            <w:vAlign w:val="center"/>
          </w:tcPr>
          <w:p w14:paraId="0F7803B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735" w:type="pct"/>
            <w:noWrap w:val="0"/>
            <w:vAlign w:val="center"/>
          </w:tcPr>
          <w:p w14:paraId="374C70BC">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6.67</w:t>
            </w:r>
          </w:p>
        </w:tc>
        <w:tc>
          <w:tcPr>
            <w:tcW w:w="572" w:type="pct"/>
            <w:noWrap w:val="0"/>
            <w:vAlign w:val="center"/>
          </w:tcPr>
          <w:p w14:paraId="5F127AA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3323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restart"/>
            <w:noWrap w:val="0"/>
            <w:vAlign w:val="center"/>
          </w:tcPr>
          <w:p w14:paraId="515A9C6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2</w:t>
            </w:r>
          </w:p>
        </w:tc>
        <w:tc>
          <w:tcPr>
            <w:tcW w:w="1457" w:type="pct"/>
            <w:noWrap w:val="0"/>
            <w:vAlign w:val="center"/>
          </w:tcPr>
          <w:p w14:paraId="53C0451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795" w:type="pct"/>
            <w:noWrap w:val="0"/>
            <w:vAlign w:val="center"/>
          </w:tcPr>
          <w:p w14:paraId="6676308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11.83</w:t>
            </w:r>
          </w:p>
        </w:tc>
        <w:tc>
          <w:tcPr>
            <w:tcW w:w="868" w:type="pct"/>
            <w:noWrap w:val="0"/>
            <w:vAlign w:val="center"/>
          </w:tcPr>
          <w:p w14:paraId="205C1D9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735" w:type="pct"/>
            <w:noWrap w:val="0"/>
            <w:vAlign w:val="center"/>
          </w:tcPr>
          <w:p w14:paraId="09B660B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29.575</w:t>
            </w:r>
          </w:p>
        </w:tc>
        <w:tc>
          <w:tcPr>
            <w:tcW w:w="572" w:type="pct"/>
            <w:noWrap w:val="0"/>
            <w:vAlign w:val="center"/>
          </w:tcPr>
          <w:p w14:paraId="3F7FE6E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D7D6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continue"/>
            <w:noWrap w:val="0"/>
            <w:vAlign w:val="center"/>
          </w:tcPr>
          <w:p w14:paraId="614DFAA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457" w:type="pct"/>
            <w:noWrap w:val="0"/>
            <w:vAlign w:val="center"/>
          </w:tcPr>
          <w:p w14:paraId="2416610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98%日平均质量浓度</w:t>
            </w:r>
          </w:p>
        </w:tc>
        <w:tc>
          <w:tcPr>
            <w:tcW w:w="795" w:type="pct"/>
            <w:noWrap w:val="0"/>
            <w:vAlign w:val="center"/>
          </w:tcPr>
          <w:p w14:paraId="718FDCD8">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29.7</w:t>
            </w:r>
          </w:p>
        </w:tc>
        <w:tc>
          <w:tcPr>
            <w:tcW w:w="868" w:type="pct"/>
            <w:noWrap w:val="0"/>
            <w:vAlign w:val="center"/>
          </w:tcPr>
          <w:p w14:paraId="0B91715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735" w:type="pct"/>
            <w:noWrap w:val="0"/>
            <w:vAlign w:val="center"/>
          </w:tcPr>
          <w:p w14:paraId="2418550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37.125</w:t>
            </w:r>
          </w:p>
        </w:tc>
        <w:tc>
          <w:tcPr>
            <w:tcW w:w="572" w:type="pct"/>
            <w:noWrap w:val="0"/>
            <w:vAlign w:val="center"/>
          </w:tcPr>
          <w:p w14:paraId="12F549C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38527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restart"/>
            <w:noWrap w:val="0"/>
            <w:vAlign w:val="center"/>
          </w:tcPr>
          <w:p w14:paraId="15978A5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10</w:t>
            </w:r>
          </w:p>
        </w:tc>
        <w:tc>
          <w:tcPr>
            <w:tcW w:w="1457" w:type="pct"/>
            <w:noWrap w:val="0"/>
            <w:vAlign w:val="center"/>
          </w:tcPr>
          <w:p w14:paraId="48D19A8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795" w:type="pct"/>
            <w:noWrap w:val="0"/>
            <w:vAlign w:val="center"/>
          </w:tcPr>
          <w:p w14:paraId="47B9420E">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31.22</w:t>
            </w:r>
          </w:p>
        </w:tc>
        <w:tc>
          <w:tcPr>
            <w:tcW w:w="868" w:type="pct"/>
            <w:noWrap w:val="0"/>
            <w:vAlign w:val="center"/>
          </w:tcPr>
          <w:p w14:paraId="0EB4B7D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735" w:type="pct"/>
            <w:noWrap w:val="0"/>
            <w:vAlign w:val="center"/>
          </w:tcPr>
          <w:p w14:paraId="4595EAF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44.6</w:t>
            </w:r>
          </w:p>
        </w:tc>
        <w:tc>
          <w:tcPr>
            <w:tcW w:w="572" w:type="pct"/>
            <w:noWrap w:val="0"/>
            <w:vAlign w:val="center"/>
          </w:tcPr>
          <w:p w14:paraId="2EE21B3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696B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continue"/>
            <w:noWrap w:val="0"/>
            <w:vAlign w:val="center"/>
          </w:tcPr>
          <w:p w14:paraId="10248C37">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457" w:type="pct"/>
            <w:noWrap w:val="0"/>
            <w:vAlign w:val="center"/>
          </w:tcPr>
          <w:p w14:paraId="78BDC84D">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95%日平均质量浓度</w:t>
            </w:r>
          </w:p>
        </w:tc>
        <w:tc>
          <w:tcPr>
            <w:tcW w:w="795" w:type="pct"/>
            <w:noWrap w:val="0"/>
            <w:vAlign w:val="center"/>
          </w:tcPr>
          <w:p w14:paraId="582EBF9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w:t>
            </w:r>
          </w:p>
        </w:tc>
        <w:tc>
          <w:tcPr>
            <w:tcW w:w="868" w:type="pct"/>
            <w:noWrap w:val="0"/>
            <w:vAlign w:val="center"/>
          </w:tcPr>
          <w:p w14:paraId="0542B63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735" w:type="pct"/>
            <w:noWrap w:val="0"/>
            <w:vAlign w:val="center"/>
          </w:tcPr>
          <w:p w14:paraId="052F535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39.33</w:t>
            </w:r>
          </w:p>
        </w:tc>
        <w:tc>
          <w:tcPr>
            <w:tcW w:w="572" w:type="pct"/>
            <w:noWrap w:val="0"/>
            <w:vAlign w:val="center"/>
          </w:tcPr>
          <w:p w14:paraId="13784DD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9F4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restart"/>
            <w:noWrap w:val="0"/>
            <w:vAlign w:val="center"/>
          </w:tcPr>
          <w:p w14:paraId="5D4DF93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PM</w:t>
            </w:r>
            <w:r>
              <w:rPr>
                <w:rFonts w:hint="default" w:ascii="Times New Roman" w:hAnsi="Times New Roman" w:eastAsia="宋体" w:cs="Times New Roman"/>
                <w:color w:val="auto"/>
                <w:sz w:val="21"/>
                <w:szCs w:val="21"/>
                <w:vertAlign w:val="subscript"/>
              </w:rPr>
              <w:t>2.5</w:t>
            </w:r>
          </w:p>
        </w:tc>
        <w:tc>
          <w:tcPr>
            <w:tcW w:w="1457" w:type="pct"/>
            <w:noWrap w:val="0"/>
            <w:vAlign w:val="center"/>
          </w:tcPr>
          <w:p w14:paraId="44AD0EE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年平均质量浓度</w:t>
            </w:r>
          </w:p>
        </w:tc>
        <w:tc>
          <w:tcPr>
            <w:tcW w:w="795" w:type="pct"/>
            <w:noWrap w:val="0"/>
            <w:vAlign w:val="center"/>
          </w:tcPr>
          <w:p w14:paraId="19CAD23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23.22</w:t>
            </w:r>
          </w:p>
        </w:tc>
        <w:tc>
          <w:tcPr>
            <w:tcW w:w="868" w:type="pct"/>
            <w:noWrap w:val="0"/>
            <w:vAlign w:val="center"/>
          </w:tcPr>
          <w:p w14:paraId="57B6C1D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w:t>
            </w:r>
          </w:p>
        </w:tc>
        <w:tc>
          <w:tcPr>
            <w:tcW w:w="735" w:type="pct"/>
            <w:noWrap w:val="0"/>
            <w:vAlign w:val="center"/>
          </w:tcPr>
          <w:p w14:paraId="7136496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66.34</w:t>
            </w:r>
          </w:p>
        </w:tc>
        <w:tc>
          <w:tcPr>
            <w:tcW w:w="572" w:type="pct"/>
            <w:noWrap w:val="0"/>
            <w:vAlign w:val="center"/>
          </w:tcPr>
          <w:p w14:paraId="563FB0CA">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1FD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vMerge w:val="continue"/>
            <w:noWrap w:val="0"/>
            <w:vAlign w:val="center"/>
          </w:tcPr>
          <w:p w14:paraId="279B3191">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457" w:type="pct"/>
            <w:noWrap w:val="0"/>
            <w:vAlign w:val="center"/>
          </w:tcPr>
          <w:p w14:paraId="3108A3D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95%日平均质量浓度</w:t>
            </w:r>
          </w:p>
        </w:tc>
        <w:tc>
          <w:tcPr>
            <w:tcW w:w="795" w:type="pct"/>
            <w:noWrap w:val="0"/>
            <w:vAlign w:val="center"/>
          </w:tcPr>
          <w:p w14:paraId="240C07E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54.75</w:t>
            </w:r>
          </w:p>
        </w:tc>
        <w:tc>
          <w:tcPr>
            <w:tcW w:w="868" w:type="pct"/>
            <w:noWrap w:val="0"/>
            <w:vAlign w:val="center"/>
          </w:tcPr>
          <w:p w14:paraId="6454EC5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w:t>
            </w:r>
          </w:p>
        </w:tc>
        <w:tc>
          <w:tcPr>
            <w:tcW w:w="735" w:type="pct"/>
            <w:noWrap w:val="0"/>
            <w:vAlign w:val="center"/>
          </w:tcPr>
          <w:p w14:paraId="4846CA5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73</w:t>
            </w:r>
          </w:p>
        </w:tc>
        <w:tc>
          <w:tcPr>
            <w:tcW w:w="572" w:type="pct"/>
            <w:noWrap w:val="0"/>
            <w:vAlign w:val="center"/>
          </w:tcPr>
          <w:p w14:paraId="7FCCBE3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26C2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noWrap w:val="0"/>
            <w:vAlign w:val="center"/>
          </w:tcPr>
          <w:p w14:paraId="4764143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1457" w:type="pct"/>
            <w:noWrap w:val="0"/>
            <w:vAlign w:val="center"/>
          </w:tcPr>
          <w:p w14:paraId="2E861FF5">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95%日平均质量浓度</w:t>
            </w:r>
          </w:p>
        </w:tc>
        <w:tc>
          <w:tcPr>
            <w:tcW w:w="795" w:type="pct"/>
            <w:noWrap w:val="0"/>
            <w:vAlign w:val="center"/>
          </w:tcPr>
          <w:p w14:paraId="79CE3033">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868" w:type="pct"/>
            <w:noWrap w:val="0"/>
            <w:vAlign w:val="center"/>
          </w:tcPr>
          <w:p w14:paraId="0AA31A9B">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735" w:type="pct"/>
            <w:noWrap w:val="0"/>
            <w:vAlign w:val="center"/>
          </w:tcPr>
          <w:p w14:paraId="7EDA7100">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w:t>
            </w:r>
          </w:p>
        </w:tc>
        <w:tc>
          <w:tcPr>
            <w:tcW w:w="572" w:type="pct"/>
            <w:noWrap w:val="0"/>
            <w:vAlign w:val="center"/>
          </w:tcPr>
          <w:p w14:paraId="51B2E30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44C3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69" w:type="pct"/>
            <w:noWrap w:val="0"/>
            <w:vAlign w:val="center"/>
          </w:tcPr>
          <w:p w14:paraId="66C7FA52">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O</w:t>
            </w:r>
            <w:r>
              <w:rPr>
                <w:rFonts w:hint="default" w:ascii="Times New Roman" w:hAnsi="Times New Roman" w:eastAsia="宋体" w:cs="Times New Roman"/>
                <w:color w:val="auto"/>
                <w:sz w:val="21"/>
                <w:szCs w:val="21"/>
                <w:vertAlign w:val="subscript"/>
              </w:rPr>
              <w:t>3</w:t>
            </w:r>
          </w:p>
        </w:tc>
        <w:tc>
          <w:tcPr>
            <w:tcW w:w="1457" w:type="pct"/>
            <w:noWrap w:val="0"/>
            <w:vAlign w:val="center"/>
          </w:tcPr>
          <w:p w14:paraId="73A5EEEF">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90%日最大8小时平均质量浓度</w:t>
            </w:r>
          </w:p>
        </w:tc>
        <w:tc>
          <w:tcPr>
            <w:tcW w:w="795" w:type="pct"/>
            <w:noWrap w:val="0"/>
            <w:vAlign w:val="center"/>
          </w:tcPr>
          <w:p w14:paraId="2176B5E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119</w:t>
            </w:r>
          </w:p>
        </w:tc>
        <w:tc>
          <w:tcPr>
            <w:tcW w:w="868" w:type="pct"/>
            <w:noWrap w:val="0"/>
            <w:vAlign w:val="center"/>
          </w:tcPr>
          <w:p w14:paraId="7C7A4D69">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c>
          <w:tcPr>
            <w:tcW w:w="735" w:type="pct"/>
            <w:noWrap w:val="0"/>
            <w:vAlign w:val="center"/>
          </w:tcPr>
          <w:p w14:paraId="10A59AC4">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74.375</w:t>
            </w:r>
          </w:p>
        </w:tc>
        <w:tc>
          <w:tcPr>
            <w:tcW w:w="572" w:type="pct"/>
            <w:noWrap w:val="0"/>
            <w:vAlign w:val="center"/>
          </w:tcPr>
          <w:p w14:paraId="7C5E1316">
            <w:pPr>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0C4FB19A">
      <w:pPr>
        <w:widowControl/>
        <w:ind w:firstLine="480"/>
        <w:rPr>
          <w:rFonts w:hint="default" w:ascii="Times New Roman" w:hAnsi="Times New Roman" w:eastAsia="宋体" w:cs="Times New Roman"/>
          <w:color w:val="auto"/>
        </w:rPr>
      </w:pPr>
      <w:r>
        <w:rPr>
          <w:rFonts w:hint="default" w:ascii="Times New Roman" w:hAnsi="Times New Roman" w:eastAsia="宋体" w:cs="Times New Roman"/>
          <w:bCs/>
          <w:color w:val="auto"/>
        </w:rPr>
        <w:t>根据上表所示：2024年元江县环境空气PM</w:t>
      </w:r>
      <w:r>
        <w:rPr>
          <w:rFonts w:hint="default" w:ascii="Times New Roman" w:hAnsi="Times New Roman" w:eastAsia="宋体" w:cs="Times New Roman"/>
          <w:bCs/>
          <w:color w:val="auto"/>
          <w:vertAlign w:val="subscript"/>
        </w:rPr>
        <w:t>10</w:t>
      </w:r>
      <w:r>
        <w:rPr>
          <w:rFonts w:hint="default" w:ascii="Times New Roman" w:hAnsi="Times New Roman" w:eastAsia="宋体" w:cs="Times New Roman"/>
          <w:bCs/>
          <w:color w:val="auto"/>
        </w:rPr>
        <w:t>、PM</w:t>
      </w:r>
      <w:r>
        <w:rPr>
          <w:rFonts w:hint="default" w:ascii="Times New Roman" w:hAnsi="Times New Roman" w:eastAsia="宋体" w:cs="Times New Roman"/>
          <w:bCs/>
          <w:color w:val="auto"/>
          <w:vertAlign w:val="subscript"/>
        </w:rPr>
        <w:t>2.5</w:t>
      </w:r>
      <w:r>
        <w:rPr>
          <w:rFonts w:hint="default" w:ascii="Times New Roman" w:hAnsi="Times New Roman" w:eastAsia="宋体" w:cs="Times New Roman"/>
          <w:bCs/>
          <w:color w:val="auto"/>
        </w:rPr>
        <w:t>、SO</w:t>
      </w:r>
      <w:r>
        <w:rPr>
          <w:rFonts w:hint="default" w:ascii="Times New Roman" w:hAnsi="Times New Roman" w:eastAsia="宋体" w:cs="Times New Roman"/>
          <w:bCs/>
          <w:color w:val="auto"/>
          <w:vertAlign w:val="subscript"/>
        </w:rPr>
        <w:t>2</w:t>
      </w:r>
      <w:r>
        <w:rPr>
          <w:rFonts w:hint="default" w:ascii="Times New Roman" w:hAnsi="Times New Roman" w:eastAsia="宋体" w:cs="Times New Roman"/>
          <w:bCs/>
          <w:color w:val="auto"/>
        </w:rPr>
        <w:t>、NO</w:t>
      </w:r>
      <w:r>
        <w:rPr>
          <w:rFonts w:hint="default" w:ascii="Times New Roman" w:hAnsi="Times New Roman" w:eastAsia="宋体" w:cs="Times New Roman"/>
          <w:bCs/>
          <w:color w:val="auto"/>
          <w:vertAlign w:val="subscript"/>
        </w:rPr>
        <w:t>2</w:t>
      </w:r>
      <w:r>
        <w:rPr>
          <w:rFonts w:hint="default" w:ascii="Times New Roman" w:hAnsi="Times New Roman" w:eastAsia="宋体" w:cs="Times New Roman"/>
          <w:bCs/>
          <w:color w:val="auto"/>
        </w:rPr>
        <w:t>、CO、O</w:t>
      </w:r>
      <w:r>
        <w:rPr>
          <w:rFonts w:hint="default" w:ascii="Times New Roman" w:hAnsi="Times New Roman" w:eastAsia="宋体" w:cs="Times New Roman"/>
          <w:bCs/>
          <w:color w:val="auto"/>
          <w:vertAlign w:val="subscript"/>
        </w:rPr>
        <w:t>3</w:t>
      </w:r>
      <w:r>
        <w:rPr>
          <w:rFonts w:hint="default" w:ascii="Times New Roman" w:hAnsi="Times New Roman" w:eastAsia="宋体" w:cs="Times New Roman"/>
          <w:bCs/>
          <w:color w:val="auto"/>
        </w:rPr>
        <w:t>六项污染物均满足</w:t>
      </w:r>
      <w:r>
        <w:rPr>
          <w:rFonts w:hint="default" w:ascii="Times New Roman" w:hAnsi="Times New Roman" w:eastAsia="宋体" w:cs="Times New Roman"/>
          <w:bCs/>
          <w:color w:val="auto"/>
          <w:lang w:val="en-US" w:eastAsia="zh-CN"/>
        </w:rPr>
        <w:t>《环境空气质量标准》（GB3095-2026）过渡阶段浓度限值二级标准</w:t>
      </w:r>
      <w:r>
        <w:rPr>
          <w:rFonts w:hint="default" w:ascii="Times New Roman" w:hAnsi="Times New Roman" w:eastAsia="宋体" w:cs="Times New Roman"/>
          <w:bCs/>
          <w:color w:val="auto"/>
        </w:rPr>
        <w:t>。</w:t>
      </w:r>
      <w:r>
        <w:rPr>
          <w:rFonts w:hint="default" w:ascii="Times New Roman" w:hAnsi="Times New Roman" w:eastAsia="宋体" w:cs="Times New Roman"/>
          <w:bCs/>
          <w:color w:val="auto"/>
        </w:rPr>
        <w:t>因此，项目所在区域属于环境空气质量达标区。</w:t>
      </w:r>
    </w:p>
    <w:p w14:paraId="20C071D5">
      <w:pPr>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本项目特征污染物TSP的检测数据引用《</w:t>
      </w:r>
      <w:r>
        <w:rPr>
          <w:rFonts w:hint="default" w:ascii="Times New Roman" w:hAnsi="Times New Roman" w:cs="Times New Roman"/>
          <w:color w:val="auto"/>
          <w:sz w:val="24"/>
          <w:highlight w:val="none"/>
          <w:lang w:eastAsia="zh-CN"/>
        </w:rPr>
        <w:t>年产</w:t>
      </w:r>
      <w:r>
        <w:rPr>
          <w:rFonts w:hint="default" w:ascii="Times New Roman" w:hAnsi="Times New Roman" w:cs="Times New Roman"/>
          <w:color w:val="auto"/>
          <w:sz w:val="24"/>
          <w:highlight w:val="none"/>
          <w:lang w:val="en-US" w:eastAsia="zh-CN"/>
        </w:rPr>
        <w:t>50000立方建筑木模板和年产5000吨机制木炭改建项目</w:t>
      </w:r>
      <w:r>
        <w:rPr>
          <w:rFonts w:hint="default" w:ascii="Times New Roman" w:hAnsi="Times New Roman" w:eastAsia="宋体" w:cs="Times New Roman"/>
          <w:color w:val="auto"/>
        </w:rPr>
        <w:t>》中的现状监测数据，该项目委托</w:t>
      </w:r>
      <w:r>
        <w:rPr>
          <w:rFonts w:hint="default" w:ascii="Times New Roman" w:hAnsi="Times New Roman" w:eastAsia="宋体" w:cs="Times New Roman"/>
          <w:color w:val="auto"/>
          <w:lang w:val="en-US" w:eastAsia="zh-CN"/>
        </w:rPr>
        <w:t>云南天倪检测有限公司</w:t>
      </w:r>
      <w:r>
        <w:rPr>
          <w:rFonts w:hint="default" w:ascii="Times New Roman" w:hAnsi="Times New Roman" w:eastAsia="宋体" w:cs="Times New Roman"/>
          <w:color w:val="auto"/>
        </w:rPr>
        <w:t>于202</w:t>
      </w:r>
      <w:r>
        <w:rPr>
          <w:rFonts w:hint="eastAsia" w:cs="Times New Roman"/>
          <w:color w:val="auto"/>
          <w:lang w:val="en-US" w:eastAsia="zh-CN"/>
        </w:rPr>
        <w:t>5</w:t>
      </w:r>
      <w:r>
        <w:rPr>
          <w:rFonts w:hint="default" w:ascii="Times New Roman" w:hAnsi="Times New Roman" w:eastAsia="宋体" w:cs="Times New Roman"/>
          <w:color w:val="auto"/>
        </w:rPr>
        <w:t>年</w:t>
      </w:r>
      <w:r>
        <w:rPr>
          <w:rFonts w:hint="eastAsia" w:cs="Times New Roman"/>
          <w:color w:val="auto"/>
          <w:lang w:val="en-US" w:eastAsia="zh-CN"/>
        </w:rPr>
        <w:t>7</w:t>
      </w:r>
      <w:r>
        <w:rPr>
          <w:rFonts w:hint="default" w:ascii="Times New Roman" w:hAnsi="Times New Roman" w:eastAsia="宋体" w:cs="Times New Roman"/>
          <w:color w:val="auto"/>
        </w:rPr>
        <w:t>月</w:t>
      </w:r>
      <w:r>
        <w:rPr>
          <w:rFonts w:hint="eastAsia" w:cs="Times New Roman"/>
          <w:color w:val="auto"/>
          <w:lang w:val="en-US" w:eastAsia="zh-CN"/>
        </w:rPr>
        <w:t>3</w:t>
      </w:r>
      <w:r>
        <w:rPr>
          <w:rFonts w:hint="default" w:ascii="Times New Roman" w:hAnsi="Times New Roman" w:eastAsia="宋体" w:cs="Times New Roman"/>
          <w:color w:val="auto"/>
        </w:rPr>
        <w:t>日</w:t>
      </w:r>
      <w:r>
        <w:rPr>
          <w:rFonts w:hint="default" w:ascii="Times New Roman" w:hAnsi="Times New Roman" w:eastAsia="宋体" w:cs="Times New Roman"/>
          <w:color w:val="auto"/>
          <w:lang w:eastAsia="zh-CN"/>
        </w:rPr>
        <w:t>—</w:t>
      </w:r>
      <w:r>
        <w:rPr>
          <w:rFonts w:hint="eastAsia" w:cs="Times New Roman"/>
          <w:color w:val="auto"/>
          <w:lang w:val="en-US" w:eastAsia="zh-CN"/>
        </w:rPr>
        <w:t>7</w:t>
      </w:r>
      <w:r>
        <w:rPr>
          <w:rFonts w:hint="default" w:ascii="Times New Roman" w:hAnsi="Times New Roman" w:eastAsia="宋体" w:cs="Times New Roman"/>
          <w:color w:val="auto"/>
        </w:rPr>
        <w:t>月</w:t>
      </w:r>
      <w:r>
        <w:rPr>
          <w:rFonts w:hint="eastAsia" w:cs="Times New Roman"/>
          <w:color w:val="auto"/>
          <w:lang w:val="en-US" w:eastAsia="zh-CN"/>
        </w:rPr>
        <w:t>9</w:t>
      </w:r>
      <w:r>
        <w:rPr>
          <w:rFonts w:hint="default" w:ascii="Times New Roman" w:hAnsi="Times New Roman" w:eastAsia="宋体" w:cs="Times New Roman"/>
          <w:color w:val="auto"/>
        </w:rPr>
        <w:t>日对其项目</w:t>
      </w:r>
      <w:r>
        <w:rPr>
          <w:rFonts w:hint="eastAsia" w:cs="Times New Roman"/>
          <w:color w:val="auto"/>
          <w:lang w:val="en-US" w:eastAsia="zh-CN"/>
        </w:rPr>
        <w:t>厂界</w:t>
      </w:r>
      <w:r>
        <w:rPr>
          <w:rFonts w:hint="default" w:ascii="Times New Roman" w:hAnsi="Times New Roman" w:eastAsia="宋体" w:cs="Times New Roman"/>
          <w:color w:val="auto"/>
        </w:rPr>
        <w:t>下风向环境空气质量进行补充监测，监测点位位于本项目区西南侧约</w:t>
      </w:r>
      <w:r>
        <w:rPr>
          <w:rFonts w:hint="eastAsia" w:cs="Times New Roman"/>
          <w:color w:val="auto"/>
          <w:lang w:val="en-US" w:eastAsia="zh-CN"/>
        </w:rPr>
        <w:t>4</w:t>
      </w:r>
      <w:r>
        <w:rPr>
          <w:rFonts w:hint="default" w:ascii="Times New Roman" w:hAnsi="Times New Roman" w:eastAsia="宋体" w:cs="Times New Roman"/>
          <w:color w:val="auto"/>
        </w:rPr>
        <w:t>.</w:t>
      </w:r>
      <w:r>
        <w:rPr>
          <w:rFonts w:hint="eastAsia" w:cs="Times New Roman"/>
          <w:color w:val="auto"/>
          <w:lang w:val="en-US" w:eastAsia="zh-CN"/>
        </w:rPr>
        <w:t>1</w:t>
      </w:r>
      <w:r>
        <w:rPr>
          <w:rFonts w:hint="default" w:ascii="Times New Roman" w:hAnsi="Times New Roman" w:eastAsia="宋体" w:cs="Times New Roman"/>
          <w:color w:val="auto"/>
        </w:rPr>
        <w:t>km处，在本项目5km范围内，监测时间为近3年数据，因此监测数据为有效数据。监测结果如下：</w:t>
      </w:r>
    </w:p>
    <w:p w14:paraId="0DAE46E6">
      <w:pPr>
        <w:adjustRightInd w:val="0"/>
        <w:snapToGrid w:val="0"/>
        <w:spacing w:line="240" w:lineRule="auto"/>
        <w:ind w:firstLine="482"/>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4.2</w:t>
      </w:r>
      <w:r>
        <w:rPr>
          <w:rFonts w:hint="default" w:ascii="Times New Roman" w:hAnsi="Times New Roman" w:eastAsia="宋体" w:cs="Times New Roman"/>
          <w:b/>
          <w:bCs/>
          <w:color w:val="auto"/>
          <w:sz w:val="21"/>
          <w:szCs w:val="21"/>
        </w:rPr>
        <w:t>-</w:t>
      </w:r>
      <w:r>
        <w:rPr>
          <w:rFonts w:hint="default" w:ascii="Times New Roman" w:hAnsi="Times New Roman" w:eastAsia="宋体" w:cs="Times New Roman"/>
          <w:b/>
          <w:bCs/>
          <w:color w:val="auto"/>
          <w:sz w:val="21"/>
          <w:szCs w:val="21"/>
          <w:lang w:val="en-US" w:eastAsia="zh-CN"/>
        </w:rPr>
        <w:t>5</w:t>
      </w:r>
      <w:r>
        <w:rPr>
          <w:rFonts w:hint="default" w:ascii="Times New Roman" w:hAnsi="Times New Roman" w:eastAsia="宋体" w:cs="Times New Roman"/>
          <w:b/>
          <w:bCs/>
          <w:color w:val="auto"/>
          <w:sz w:val="21"/>
          <w:szCs w:val="21"/>
        </w:rPr>
        <w:t xml:space="preserve"> </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环境空气质量现状结果表</w:t>
      </w:r>
    </w:p>
    <w:tbl>
      <w:tblPr>
        <w:tblStyle w:val="58"/>
        <w:tblW w:w="49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2690"/>
        <w:gridCol w:w="1998"/>
        <w:gridCol w:w="1638"/>
        <w:gridCol w:w="924"/>
      </w:tblGrid>
      <w:tr w14:paraId="16CE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blHeader/>
          <w:jc w:val="center"/>
        </w:trPr>
        <w:tc>
          <w:tcPr>
            <w:tcW w:w="1341" w:type="dxa"/>
            <w:noWrap w:val="0"/>
            <w:vAlign w:val="center"/>
          </w:tcPr>
          <w:p w14:paraId="70BB9B0D">
            <w:pPr>
              <w:keepNext w:val="0"/>
              <w:keepLines w:val="0"/>
              <w:pageBreakBefore w:val="0"/>
              <w:widowControl w:val="0"/>
              <w:tabs>
                <w:tab w:val="left" w:pos="8460"/>
              </w:tabs>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采样点位</w:t>
            </w:r>
          </w:p>
        </w:tc>
        <w:tc>
          <w:tcPr>
            <w:tcW w:w="2966" w:type="dxa"/>
            <w:noWrap w:val="0"/>
            <w:vAlign w:val="center"/>
          </w:tcPr>
          <w:p w14:paraId="3B3AE580">
            <w:pPr>
              <w:keepNext w:val="0"/>
              <w:keepLines w:val="0"/>
              <w:pageBreakBefore w:val="0"/>
              <w:widowControl w:val="0"/>
              <w:tabs>
                <w:tab w:val="left" w:pos="8460"/>
              </w:tabs>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采样日期</w:t>
            </w:r>
          </w:p>
        </w:tc>
        <w:tc>
          <w:tcPr>
            <w:tcW w:w="2202" w:type="dxa"/>
            <w:noWrap w:val="0"/>
            <w:vAlign w:val="center"/>
          </w:tcPr>
          <w:p w14:paraId="7CC452FF">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bCs/>
                <w:color w:val="auto"/>
                <w:sz w:val="21"/>
                <w:szCs w:val="21"/>
              </w:rPr>
              <w:t>TSP（mg/m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806" w:type="dxa"/>
            <w:noWrap w:val="0"/>
            <w:vAlign w:val="center"/>
          </w:tcPr>
          <w:p w14:paraId="3161B6E0">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标准值</w:t>
            </w:r>
            <w:r>
              <w:rPr>
                <w:rFonts w:hint="default" w:ascii="Times New Roman" w:hAnsi="Times New Roman" w:eastAsia="宋体" w:cs="Times New Roman"/>
                <w:b/>
                <w:bCs/>
                <w:color w:val="auto"/>
                <w:sz w:val="21"/>
                <w:szCs w:val="21"/>
              </w:rPr>
              <w:t>（mg/m</w:t>
            </w:r>
            <w:r>
              <w:rPr>
                <w:rFonts w:hint="default" w:ascii="Times New Roman" w:hAnsi="Times New Roman" w:eastAsia="宋体" w:cs="Times New Roman"/>
                <w:b/>
                <w:bCs/>
                <w:color w:val="auto"/>
                <w:sz w:val="21"/>
                <w:szCs w:val="21"/>
                <w:vertAlign w:val="superscript"/>
              </w:rPr>
              <w:t>3</w:t>
            </w:r>
            <w:r>
              <w:rPr>
                <w:rFonts w:hint="default" w:ascii="Times New Roman" w:hAnsi="Times New Roman" w:eastAsia="宋体" w:cs="Times New Roman"/>
                <w:b/>
                <w:bCs/>
                <w:color w:val="auto"/>
                <w:sz w:val="21"/>
                <w:szCs w:val="21"/>
              </w:rPr>
              <w:t>）</w:t>
            </w:r>
          </w:p>
        </w:tc>
        <w:tc>
          <w:tcPr>
            <w:tcW w:w="1019" w:type="dxa"/>
            <w:noWrap w:val="0"/>
            <w:vAlign w:val="center"/>
          </w:tcPr>
          <w:p w14:paraId="6D64E24C">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达标情况</w:t>
            </w:r>
          </w:p>
        </w:tc>
      </w:tr>
      <w:tr w14:paraId="6726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341" w:type="dxa"/>
            <w:vMerge w:val="restart"/>
            <w:noWrap w:val="0"/>
            <w:vAlign w:val="center"/>
          </w:tcPr>
          <w:p w14:paraId="3090DCE0">
            <w:pPr>
              <w:pStyle w:val="433"/>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eastAsia="zh-CN"/>
              </w:rPr>
              <w:t>年产</w:t>
            </w:r>
            <w:r>
              <w:rPr>
                <w:rFonts w:hint="default" w:ascii="Times New Roman" w:hAnsi="Times New Roman" w:eastAsia="宋体" w:cs="Times New Roman"/>
                <w:color w:val="auto"/>
                <w:sz w:val="21"/>
                <w:szCs w:val="21"/>
                <w:lang w:val="en-US" w:eastAsia="zh-CN"/>
              </w:rPr>
              <w:t>50000立方建筑木模板和年产5000吨机制木炭改建</w:t>
            </w:r>
            <w:r>
              <w:rPr>
                <w:rFonts w:hint="default" w:ascii="Times New Roman" w:hAnsi="Times New Roman" w:eastAsia="宋体" w:cs="Times New Roman"/>
                <w:color w:val="auto"/>
                <w:sz w:val="21"/>
                <w:szCs w:val="21"/>
                <w:lang w:val="en-US" w:eastAsia="zh-CN"/>
              </w:rPr>
              <w:t>项目</w:t>
            </w:r>
            <w:r>
              <w:rPr>
                <w:rFonts w:hint="eastAsia" w:cs="Times New Roman"/>
                <w:color w:val="auto"/>
                <w:sz w:val="21"/>
                <w:szCs w:val="21"/>
                <w:lang w:val="en-US" w:eastAsia="zh-CN"/>
              </w:rPr>
              <w:t>厂界</w:t>
            </w:r>
            <w:r>
              <w:rPr>
                <w:rFonts w:hint="default" w:ascii="Times New Roman" w:hAnsi="Times New Roman" w:eastAsia="宋体" w:cs="Times New Roman"/>
                <w:color w:val="auto"/>
                <w:sz w:val="21"/>
                <w:szCs w:val="21"/>
              </w:rPr>
              <w:t>下风向A1</w:t>
            </w:r>
          </w:p>
        </w:tc>
        <w:tc>
          <w:tcPr>
            <w:tcW w:w="2966" w:type="dxa"/>
            <w:noWrap w:val="0"/>
            <w:vAlign w:val="center"/>
          </w:tcPr>
          <w:p w14:paraId="3A28883D">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3</w:t>
            </w:r>
          </w:p>
        </w:tc>
        <w:tc>
          <w:tcPr>
            <w:tcW w:w="2202" w:type="dxa"/>
            <w:noWrap w:val="0"/>
            <w:vAlign w:val="center"/>
          </w:tcPr>
          <w:p w14:paraId="14D83577">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0.137</w:t>
            </w:r>
          </w:p>
        </w:tc>
        <w:tc>
          <w:tcPr>
            <w:tcW w:w="1806" w:type="dxa"/>
            <w:noWrap w:val="0"/>
            <w:vAlign w:val="center"/>
          </w:tcPr>
          <w:p w14:paraId="372294F7">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2B0D9C07">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79B65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341" w:type="dxa"/>
            <w:vMerge w:val="continue"/>
            <w:noWrap w:val="0"/>
            <w:vAlign w:val="center"/>
          </w:tcPr>
          <w:p w14:paraId="4D5F972C">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1A2E47C4">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4</w:t>
            </w:r>
          </w:p>
        </w:tc>
        <w:tc>
          <w:tcPr>
            <w:tcW w:w="2202" w:type="dxa"/>
            <w:noWrap w:val="0"/>
            <w:vAlign w:val="center"/>
          </w:tcPr>
          <w:p w14:paraId="4299F069">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0.121</w:t>
            </w:r>
          </w:p>
        </w:tc>
        <w:tc>
          <w:tcPr>
            <w:tcW w:w="1806" w:type="dxa"/>
            <w:noWrap w:val="0"/>
            <w:vAlign w:val="center"/>
          </w:tcPr>
          <w:p w14:paraId="035075E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6E0F598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CC26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41" w:type="dxa"/>
            <w:vMerge w:val="continue"/>
            <w:noWrap w:val="0"/>
            <w:vAlign w:val="center"/>
          </w:tcPr>
          <w:p w14:paraId="666F8138">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0E1DE4E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5</w:t>
            </w:r>
          </w:p>
        </w:tc>
        <w:tc>
          <w:tcPr>
            <w:tcW w:w="2202" w:type="dxa"/>
            <w:noWrap w:val="0"/>
            <w:vAlign w:val="center"/>
          </w:tcPr>
          <w:p w14:paraId="0DAFF69F">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114</w:t>
            </w:r>
          </w:p>
        </w:tc>
        <w:tc>
          <w:tcPr>
            <w:tcW w:w="1806" w:type="dxa"/>
            <w:noWrap w:val="0"/>
            <w:vAlign w:val="center"/>
          </w:tcPr>
          <w:p w14:paraId="7F2001E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0F5FB91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6826C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41" w:type="dxa"/>
            <w:vMerge w:val="continue"/>
            <w:noWrap w:val="0"/>
            <w:vAlign w:val="center"/>
          </w:tcPr>
          <w:p w14:paraId="763B4A30">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13C6E8D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6</w:t>
            </w:r>
          </w:p>
        </w:tc>
        <w:tc>
          <w:tcPr>
            <w:tcW w:w="2202" w:type="dxa"/>
            <w:noWrap w:val="0"/>
            <w:vAlign w:val="center"/>
          </w:tcPr>
          <w:p w14:paraId="7AA2D930">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138</w:t>
            </w:r>
          </w:p>
        </w:tc>
        <w:tc>
          <w:tcPr>
            <w:tcW w:w="1806" w:type="dxa"/>
            <w:noWrap w:val="0"/>
            <w:vAlign w:val="center"/>
          </w:tcPr>
          <w:p w14:paraId="0666CC47">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3365D18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D10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41" w:type="dxa"/>
            <w:vMerge w:val="continue"/>
            <w:noWrap w:val="0"/>
            <w:vAlign w:val="center"/>
          </w:tcPr>
          <w:p w14:paraId="23B21B94">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636A55E8">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p>
        </w:tc>
        <w:tc>
          <w:tcPr>
            <w:tcW w:w="2202" w:type="dxa"/>
            <w:noWrap w:val="0"/>
            <w:vAlign w:val="center"/>
          </w:tcPr>
          <w:p w14:paraId="5CADFFED">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116</w:t>
            </w:r>
          </w:p>
        </w:tc>
        <w:tc>
          <w:tcPr>
            <w:tcW w:w="1806" w:type="dxa"/>
            <w:noWrap w:val="0"/>
            <w:vAlign w:val="center"/>
          </w:tcPr>
          <w:p w14:paraId="3E01D7ED">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6901667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DC8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41" w:type="dxa"/>
            <w:vMerge w:val="continue"/>
            <w:noWrap w:val="0"/>
            <w:vAlign w:val="center"/>
          </w:tcPr>
          <w:p w14:paraId="38D373BC">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04EBB97E">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8</w:t>
            </w:r>
          </w:p>
        </w:tc>
        <w:tc>
          <w:tcPr>
            <w:tcW w:w="2202" w:type="dxa"/>
            <w:noWrap w:val="0"/>
            <w:vAlign w:val="center"/>
          </w:tcPr>
          <w:p w14:paraId="4DAB8E0D">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lang w:val="en-US"/>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130</w:t>
            </w:r>
          </w:p>
        </w:tc>
        <w:tc>
          <w:tcPr>
            <w:tcW w:w="1806" w:type="dxa"/>
            <w:noWrap w:val="0"/>
            <w:vAlign w:val="center"/>
          </w:tcPr>
          <w:p w14:paraId="3E7B0DFB">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7C774C0F">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r w14:paraId="01A86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1341" w:type="dxa"/>
            <w:vMerge w:val="continue"/>
            <w:noWrap w:val="0"/>
            <w:vAlign w:val="center"/>
          </w:tcPr>
          <w:p w14:paraId="5CE99795">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66" w:type="dxa"/>
            <w:noWrap w:val="0"/>
            <w:vAlign w:val="center"/>
          </w:tcPr>
          <w:p w14:paraId="03D87CCA">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7</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9</w:t>
            </w:r>
          </w:p>
        </w:tc>
        <w:tc>
          <w:tcPr>
            <w:tcW w:w="2202" w:type="dxa"/>
            <w:noWrap w:val="0"/>
            <w:vAlign w:val="center"/>
          </w:tcPr>
          <w:p w14:paraId="0E3621EC">
            <w:pPr>
              <w:pStyle w:val="433"/>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r>
              <w:rPr>
                <w:rFonts w:hint="eastAsia" w:cs="Times New Roman"/>
                <w:color w:val="auto"/>
                <w:sz w:val="21"/>
                <w:szCs w:val="21"/>
                <w:lang w:val="en-US" w:eastAsia="zh-CN"/>
              </w:rPr>
              <w:t>111</w:t>
            </w:r>
          </w:p>
        </w:tc>
        <w:tc>
          <w:tcPr>
            <w:tcW w:w="1806" w:type="dxa"/>
            <w:noWrap w:val="0"/>
            <w:vAlign w:val="center"/>
          </w:tcPr>
          <w:p w14:paraId="1CDE8255">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1019" w:type="dxa"/>
            <w:noWrap w:val="0"/>
            <w:vAlign w:val="center"/>
          </w:tcPr>
          <w:p w14:paraId="1BB01C42">
            <w:pPr>
              <w:keepNext w:val="0"/>
              <w:keepLines w:val="0"/>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达标</w:t>
            </w:r>
          </w:p>
        </w:tc>
      </w:tr>
    </w:tbl>
    <w:p w14:paraId="1BEE4C4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根据监测结果，本项目所在区域TSP</w:t>
      </w:r>
      <w:r>
        <w:rPr>
          <w:rFonts w:hint="default" w:ascii="Times New Roman" w:hAnsi="Times New Roman" w:eastAsia="宋体" w:cs="Times New Roman"/>
          <w:color w:val="auto"/>
          <w:lang w:val="en-US" w:eastAsia="zh-CN"/>
        </w:rPr>
        <w:t>日均浓度</w:t>
      </w:r>
      <w:r>
        <w:rPr>
          <w:rFonts w:hint="default" w:ascii="Times New Roman" w:hAnsi="Times New Roman" w:eastAsia="宋体" w:cs="Times New Roman"/>
          <w:color w:val="auto"/>
        </w:rPr>
        <w:t>满足</w:t>
      </w:r>
      <w:r>
        <w:rPr>
          <w:rFonts w:hint="default" w:ascii="Times New Roman" w:hAnsi="Times New Roman" w:eastAsia="宋体" w:cs="Times New Roman"/>
          <w:color w:val="auto"/>
          <w:lang w:val="en-US" w:eastAsia="zh-CN"/>
        </w:rPr>
        <w:t>《环境空气质量标准》（GB3095-2026）</w:t>
      </w:r>
      <w:r>
        <w:rPr>
          <w:rFonts w:hint="eastAsia" w:cs="Times New Roman"/>
          <w:color w:val="auto"/>
          <w:lang w:val="en-US" w:eastAsia="zh-CN"/>
        </w:rPr>
        <w:t>中</w:t>
      </w:r>
      <w:r>
        <w:rPr>
          <w:rFonts w:hint="default" w:ascii="Times New Roman" w:hAnsi="Times New Roman" w:eastAsia="宋体" w:cs="Times New Roman"/>
          <w:color w:val="auto"/>
          <w:lang w:val="en-US" w:eastAsia="zh-CN"/>
        </w:rPr>
        <w:t>二级标准</w:t>
      </w:r>
      <w:r>
        <w:rPr>
          <w:rFonts w:hint="default" w:ascii="Times New Roman" w:hAnsi="Times New Roman" w:eastAsia="宋体" w:cs="Times New Roman"/>
          <w:color w:val="auto"/>
        </w:rPr>
        <w:t>。</w:t>
      </w:r>
    </w:p>
    <w:p w14:paraId="757CF42D">
      <w:pPr>
        <w:pStyle w:val="5"/>
        <w:bidi w:val="0"/>
        <w:ind w:left="0" w:leftChars="0" w:firstLine="0" w:firstLineChars="0"/>
        <w:rPr>
          <w:rFonts w:hint="default" w:ascii="Times New Roman" w:hAnsi="Times New Roman" w:eastAsia="宋体" w:cs="Times New Roman"/>
          <w:color w:val="auto"/>
        </w:rPr>
      </w:pPr>
      <w:bookmarkStart w:id="96" w:name="_Toc31819"/>
      <w:r>
        <w:rPr>
          <w:rFonts w:hint="default" w:ascii="Times New Roman" w:hAnsi="Times New Roman" w:eastAsia="宋体" w:cs="Times New Roman"/>
          <w:color w:val="auto"/>
        </w:rPr>
        <w:t>4.2.4地表水环境质量现状</w:t>
      </w:r>
      <w:bookmarkEnd w:id="96"/>
    </w:p>
    <w:p w14:paraId="4A0DD3C9">
      <w:pPr>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kern w:val="0"/>
        </w:rPr>
        <w:t>根据现场调查，项目区最近的地表水为项目区南侧345m处的</w:t>
      </w:r>
      <w:r>
        <w:rPr>
          <w:rFonts w:hint="default" w:ascii="Times New Roman" w:hAnsi="Times New Roman" w:eastAsia="宋体" w:cs="Times New Roman"/>
          <w:color w:val="auto"/>
        </w:rPr>
        <w:t>甘庄河，甘庄河为元江支流，根据《云南省水功能区划（2014年修订）》，属于元江红河巍山</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河口保留区，类别为III类，执行《地表水环境质量标准》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3838-2002）</w:t>
      </w:r>
      <w:r>
        <w:rPr>
          <w:rFonts w:hint="default" w:ascii="Times New Roman" w:hAnsi="Times New Roman" w:eastAsia="宋体" w:cs="Times New Roman"/>
          <w:color w:val="auto"/>
        </w:rPr>
        <w:t>Ⅲ类水质标准。</w:t>
      </w:r>
    </w:p>
    <w:p w14:paraId="0D1D4485">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根据《元江县2024年环境质量状况（简报）》（玉溪市生态环境局元江分局，</w:t>
      </w:r>
      <w:r>
        <w:rPr>
          <w:rFonts w:hint="default" w:ascii="Times New Roman" w:hAnsi="Times New Roman" w:eastAsia="宋体" w:cs="Times New Roman"/>
          <w:color w:val="auto"/>
        </w:rPr>
        <w:t>2025年1</w:t>
      </w:r>
      <w:r>
        <w:rPr>
          <w:rFonts w:hint="eastAsia" w:cs="Times New Roman"/>
          <w:color w:val="auto"/>
          <w:lang w:val="en-US" w:eastAsia="zh-CN"/>
        </w:rPr>
        <w:t>月</w:t>
      </w:r>
      <w:r>
        <w:rPr>
          <w:rFonts w:hint="default" w:ascii="Times New Roman" w:hAnsi="Times New Roman" w:eastAsia="宋体" w:cs="Times New Roman"/>
          <w:color w:val="auto"/>
        </w:rPr>
        <w:t>13日</w:t>
      </w:r>
      <w:r>
        <w:rPr>
          <w:rFonts w:hint="default" w:ascii="Times New Roman" w:hAnsi="Times New Roman" w:eastAsia="宋体" w:cs="Times New Roman"/>
          <w:color w:val="auto"/>
        </w:rPr>
        <w:t>），甘庄河箐门口断面：2024年水质综合评</w:t>
      </w:r>
      <w:r>
        <w:rPr>
          <w:rFonts w:hint="default" w:ascii="Times New Roman" w:hAnsi="Times New Roman" w:eastAsia="宋体" w:cs="Times New Roman"/>
          <w:color w:val="auto"/>
          <w:lang w:eastAsia="zh-CN"/>
        </w:rPr>
        <w:t>价为</w:t>
      </w:r>
      <w:r>
        <w:rPr>
          <w:rFonts w:hint="default" w:ascii="Times New Roman" w:hAnsi="Times New Roman" w:eastAsia="宋体" w:cs="Times New Roman"/>
          <w:color w:val="auto"/>
        </w:rPr>
        <w:t>Ⅱ类，水质符合功能区划要求；甘庄河收费站断面（甘庄立交）：2024年水质综合评价为Ⅴ类，超标因子氨氮（0.7倍），水质不符合功能区划要求</w:t>
      </w:r>
      <w:r>
        <w:rPr>
          <w:rFonts w:hint="eastAsia" w:cs="Times New Roman"/>
          <w:color w:val="auto"/>
          <w:lang w:eastAsia="zh-CN"/>
        </w:rPr>
        <w:t>（</w:t>
      </w:r>
      <w:r>
        <w:rPr>
          <w:rFonts w:hint="eastAsia" w:ascii="宋体" w:hAnsi="宋体" w:eastAsia="宋体" w:cs="宋体"/>
          <w:color w:val="auto"/>
          <w:kern w:val="0"/>
          <w:sz w:val="24"/>
          <w:szCs w:val="24"/>
          <w:lang w:val="en-US" w:eastAsia="zh-CN" w:bidi="ar"/>
        </w:rPr>
        <w:t>超标原因主要是河流沿线有大量农田及村民住宅，农业面源污染及居民生活污水的排放造成甘庄河水质超标，项目运行对甘庄河有潜在影响，后文已提出防控措施及应急预案</w:t>
      </w:r>
      <w:r>
        <w:rPr>
          <w:rFonts w:hint="eastAsia" w:cs="Times New Roman"/>
          <w:color w:val="auto"/>
          <w:lang w:eastAsia="zh-CN"/>
        </w:rPr>
        <w:t>）</w:t>
      </w:r>
      <w:r>
        <w:rPr>
          <w:rFonts w:hint="default" w:ascii="Times New Roman" w:hAnsi="Times New Roman" w:eastAsia="宋体" w:cs="Times New Roman"/>
          <w:color w:val="auto"/>
        </w:rPr>
        <w:t>；甘庄河二塘桥断面：2024年水质综合评价Ⅲ类，水质符合功能区划要求；2024年甘庄河河流整体评价Ⅲ类，水质状况良好，水质符合功能区划要求。</w:t>
      </w:r>
    </w:p>
    <w:p w14:paraId="06FB3B95">
      <w:pPr>
        <w:pStyle w:val="5"/>
        <w:bidi w:val="0"/>
        <w:ind w:left="0" w:leftChars="0" w:firstLine="0" w:firstLineChars="0"/>
        <w:rPr>
          <w:rFonts w:hint="default" w:ascii="Times New Roman" w:hAnsi="Times New Roman" w:eastAsia="宋体" w:cs="Times New Roman"/>
          <w:color w:val="auto"/>
        </w:rPr>
      </w:pPr>
      <w:bookmarkStart w:id="97" w:name="_Toc11523"/>
      <w:r>
        <w:rPr>
          <w:rFonts w:hint="default" w:ascii="Times New Roman" w:hAnsi="Times New Roman" w:eastAsia="宋体" w:cs="Times New Roman"/>
          <w:color w:val="auto"/>
        </w:rPr>
        <w:t>4.2.5其他质量现状评价</w:t>
      </w:r>
      <w:bookmarkEnd w:id="97"/>
    </w:p>
    <w:p w14:paraId="281D1265">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w:t>
      </w:r>
      <w:r>
        <w:rPr>
          <w:rFonts w:hint="default" w:ascii="Times New Roman" w:hAnsi="Times New Roman" w:eastAsia="宋体" w:cs="Times New Roman"/>
          <w:color w:val="auto"/>
          <w:kern w:val="0"/>
          <w:lang w:bidi="ar"/>
        </w:rPr>
        <w:t>，本项目不包含加油站，周边无地下水饮用水源保护区，饮用取水井（泉）等地下水保护目标，不开展地下水环境影响评价；项目属于Ⅳ类建设项目，不开展土壤环境影响评价。</w:t>
      </w:r>
    </w:p>
    <w:p w14:paraId="12000373">
      <w:pPr>
        <w:widowControl/>
        <w:ind w:left="0" w:leftChars="0" w:firstLine="0" w:firstLineChars="0"/>
        <w:jc w:val="left"/>
        <w:rPr>
          <w:rFonts w:hint="default" w:ascii="Times New Roman" w:hAnsi="Times New Roman" w:eastAsia="宋体" w:cs="Times New Roman"/>
          <w:color w:val="auto"/>
          <w:kern w:val="0"/>
          <w:lang w:bidi="ar"/>
        </w:rPr>
      </w:pPr>
    </w:p>
    <w:p w14:paraId="1FD420E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br w:type="page"/>
      </w:r>
    </w:p>
    <w:p w14:paraId="051ECF8E">
      <w:pPr>
        <w:pStyle w:val="2"/>
        <w:rPr>
          <w:rFonts w:hint="default" w:ascii="Times New Roman" w:hAnsi="Times New Roman" w:eastAsia="宋体" w:cs="Times New Roman"/>
          <w:color w:val="auto"/>
        </w:rPr>
      </w:pPr>
      <w:bookmarkStart w:id="98" w:name="_Toc367844672"/>
      <w:bookmarkStart w:id="99" w:name="_Toc27558"/>
      <w:r>
        <w:rPr>
          <w:rFonts w:hint="default" w:ascii="Times New Roman" w:hAnsi="Times New Roman" w:eastAsia="宋体" w:cs="Times New Roman"/>
          <w:color w:val="auto"/>
          <w:lang w:val="en-US" w:eastAsia="zh-CN"/>
        </w:rPr>
        <w:t xml:space="preserve">5 </w:t>
      </w:r>
      <w:r>
        <w:rPr>
          <w:rFonts w:hint="default" w:ascii="Times New Roman" w:hAnsi="Times New Roman" w:eastAsia="宋体" w:cs="Times New Roman"/>
          <w:color w:val="auto"/>
        </w:rPr>
        <w:t>环境影响</w:t>
      </w:r>
      <w:bookmarkEnd w:id="98"/>
      <w:r>
        <w:rPr>
          <w:rFonts w:hint="default" w:ascii="Times New Roman" w:hAnsi="Times New Roman" w:eastAsia="宋体" w:cs="Times New Roman"/>
          <w:color w:val="auto"/>
        </w:rPr>
        <w:t>分析与预测</w:t>
      </w:r>
      <w:bookmarkEnd w:id="99"/>
    </w:p>
    <w:p w14:paraId="481126CA">
      <w:pPr>
        <w:pStyle w:val="3"/>
        <w:numPr>
          <w:ilvl w:val="0"/>
          <w:numId w:val="0"/>
        </w:numPr>
        <w:rPr>
          <w:rFonts w:hint="default" w:ascii="Times New Roman" w:hAnsi="Times New Roman" w:eastAsia="宋体" w:cs="Times New Roman"/>
          <w:color w:val="auto"/>
        </w:rPr>
      </w:pPr>
      <w:bookmarkStart w:id="100" w:name="_Toc583"/>
      <w:r>
        <w:rPr>
          <w:rFonts w:hint="default" w:ascii="Times New Roman" w:hAnsi="Times New Roman" w:eastAsia="宋体" w:cs="Times New Roman"/>
          <w:color w:val="auto"/>
        </w:rPr>
        <w:t>5.1施工期环境影响评价</w:t>
      </w:r>
      <w:bookmarkEnd w:id="100"/>
    </w:p>
    <w:p w14:paraId="7C245493">
      <w:pPr>
        <w:pStyle w:val="5"/>
        <w:ind w:left="0" w:leftChars="0" w:firstLine="0" w:firstLineChars="0"/>
        <w:rPr>
          <w:rFonts w:hint="default" w:ascii="Times New Roman" w:hAnsi="Times New Roman" w:eastAsia="宋体" w:cs="Times New Roman"/>
          <w:color w:val="auto"/>
        </w:rPr>
      </w:pPr>
      <w:bookmarkStart w:id="101" w:name="_Toc14324"/>
      <w:r>
        <w:rPr>
          <w:rFonts w:hint="default" w:ascii="Times New Roman" w:hAnsi="Times New Roman" w:eastAsia="宋体" w:cs="Times New Roman"/>
          <w:color w:val="auto"/>
        </w:rPr>
        <w:t>5.1.1施工期大气环境影响分析</w:t>
      </w:r>
      <w:bookmarkEnd w:id="101"/>
    </w:p>
    <w:p w14:paraId="419C5F8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5.1.1.1扬尘影响分析</w:t>
      </w:r>
    </w:p>
    <w:p w14:paraId="3C8BD53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项目施工期路基和施工场地平整、铺浇路面、材料运输、装卸等环节都有扬尘发生，其中最主要的是施工作业扬尘、物料堆存扬尘和运输车辆道路扬尘。</w:t>
      </w:r>
    </w:p>
    <w:p w14:paraId="3F71EB1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w:t>
      </w:r>
      <w:r>
        <w:rPr>
          <w:rFonts w:hint="default" w:ascii="Times New Roman" w:hAnsi="Times New Roman" w:eastAsia="宋体" w:cs="Times New Roman"/>
          <w:color w:val="auto"/>
          <w:kern w:val="0"/>
          <w:lang w:val="en-US" w:eastAsia="zh-CN" w:bidi="ar"/>
        </w:rPr>
        <w:t>建筑物</w:t>
      </w:r>
      <w:r>
        <w:rPr>
          <w:rFonts w:hint="default" w:ascii="Times New Roman" w:hAnsi="Times New Roman" w:eastAsia="宋体" w:cs="Times New Roman"/>
          <w:color w:val="auto"/>
          <w:kern w:val="0"/>
          <w:lang w:bidi="ar"/>
        </w:rPr>
        <w:t>拆迁扬尘</w:t>
      </w:r>
    </w:p>
    <w:p w14:paraId="16F2458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前期动拆迁中，推倒、敲击、清运等过程中都会产生动拆迁扬尘。本工程在拆迁过程中，通过加强管理，规范施工，并采取必要的洒水等环保措施，可有效减少拆迁扬尘对周边的影响。拆迁时要避免对周边居民区、学校等敏感点的影响，合理选择拆迁时间。</w:t>
      </w:r>
    </w:p>
    <w:p w14:paraId="42CF613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（2）施工扬尘</w:t>
      </w:r>
    </w:p>
    <w:p w14:paraId="0E09520F">
      <w:pPr>
        <w:widowControl/>
        <w:ind w:firstLine="48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路基开挖、回填产生的扬尘强弱与施工现场条件、施工方式、施工设备及施工季节、气象条件以及建设地区土质等诸多因素有关。根据工程分析结果，项目施工扬尘颗粒物排放源强为0.009t/a、0.0005kg/h。本次评价采用类比的方法，根据同类项目施工扬尘监测数据类比分析本项目施工过程中的扬尘影响情况。有关研究单位对多个施工工地的扬尘进行现场监测的结果，见表5.</w:t>
      </w:r>
      <w:r>
        <w:rPr>
          <w:rFonts w:hint="default" w:ascii="Times New Roman" w:hAnsi="Times New Roman" w:eastAsia="宋体" w:cs="Times New Roman"/>
          <w:color w:val="auto"/>
          <w:kern w:val="0"/>
          <w:lang w:val="en-US" w:eastAsia="zh-CN" w:bidi="ar"/>
        </w:rPr>
        <w:t>1</w:t>
      </w:r>
      <w:r>
        <w:rPr>
          <w:rFonts w:hint="default" w:ascii="Times New Roman" w:hAnsi="Times New Roman" w:eastAsia="宋体" w:cs="Times New Roman"/>
          <w:color w:val="auto"/>
          <w:kern w:val="0"/>
          <w:lang w:bidi="ar"/>
        </w:rPr>
        <w:t>-1</w:t>
      </w:r>
      <w:r>
        <w:rPr>
          <w:rFonts w:hint="default" w:ascii="Times New Roman" w:hAnsi="Times New Roman" w:eastAsia="宋体" w:cs="Times New Roman"/>
          <w:color w:val="auto"/>
          <w:kern w:val="0"/>
          <w:lang w:eastAsia="zh-CN" w:bidi="ar"/>
        </w:rPr>
        <w:t>。</w:t>
      </w:r>
    </w:p>
    <w:p w14:paraId="0E8255E3">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表5.1-1 建筑施工工地扬尘污染监测结果 单位：mg/m</w:t>
      </w:r>
      <w:r>
        <w:rPr>
          <w:rFonts w:hint="default" w:ascii="Times New Roman" w:hAnsi="Times New Roman" w:eastAsia="宋体" w:cs="Times New Roman"/>
          <w:b/>
          <w:bCs/>
          <w:color w:val="auto"/>
          <w:kern w:val="0"/>
          <w:sz w:val="21"/>
          <w:szCs w:val="21"/>
          <w:vertAlign w:val="superscript"/>
          <w:lang w:bidi="ar"/>
        </w:rPr>
        <w:t>3</w:t>
      </w:r>
    </w:p>
    <w:tbl>
      <w:tblPr>
        <w:tblStyle w:val="5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396"/>
        <w:gridCol w:w="1056"/>
        <w:gridCol w:w="741"/>
        <w:gridCol w:w="741"/>
        <w:gridCol w:w="741"/>
        <w:gridCol w:w="741"/>
        <w:gridCol w:w="748"/>
        <w:gridCol w:w="1259"/>
      </w:tblGrid>
      <w:tr w14:paraId="4F3B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667" w:type="pct"/>
            <w:vMerge w:val="restart"/>
            <w:noWrap w:val="0"/>
            <w:vAlign w:val="center"/>
          </w:tcPr>
          <w:p w14:paraId="0895A1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工程名称</w:t>
            </w:r>
          </w:p>
        </w:tc>
        <w:tc>
          <w:tcPr>
            <w:tcW w:w="839" w:type="pct"/>
            <w:vMerge w:val="restart"/>
            <w:noWrap w:val="0"/>
            <w:vAlign w:val="center"/>
          </w:tcPr>
          <w:p w14:paraId="7617E44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围栏情况</w:t>
            </w:r>
          </w:p>
        </w:tc>
        <w:tc>
          <w:tcPr>
            <w:tcW w:w="2734" w:type="pct"/>
            <w:gridSpan w:val="6"/>
            <w:noWrap w:val="0"/>
            <w:vAlign w:val="center"/>
          </w:tcPr>
          <w:p w14:paraId="617A46F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TSP浓度</w:t>
            </w:r>
          </w:p>
        </w:tc>
        <w:tc>
          <w:tcPr>
            <w:tcW w:w="758" w:type="pct"/>
            <w:vMerge w:val="restart"/>
            <w:noWrap w:val="0"/>
            <w:vAlign w:val="center"/>
          </w:tcPr>
          <w:p w14:paraId="12D6370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上风向</w:t>
            </w:r>
          </w:p>
          <w:p w14:paraId="36DBD23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对照点</w:t>
            </w:r>
          </w:p>
        </w:tc>
      </w:tr>
      <w:tr w14:paraId="79C51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667" w:type="pct"/>
            <w:vMerge w:val="continue"/>
            <w:noWrap w:val="0"/>
            <w:vAlign w:val="center"/>
          </w:tcPr>
          <w:p w14:paraId="12FE20D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39" w:type="pct"/>
            <w:vMerge w:val="continue"/>
            <w:noWrap w:val="0"/>
            <w:vAlign w:val="center"/>
          </w:tcPr>
          <w:p w14:paraId="6EFD066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2734" w:type="pct"/>
            <w:gridSpan w:val="6"/>
            <w:noWrap w:val="0"/>
            <w:vAlign w:val="center"/>
          </w:tcPr>
          <w:p w14:paraId="7998912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工地下风向距离</w:t>
            </w:r>
          </w:p>
        </w:tc>
        <w:tc>
          <w:tcPr>
            <w:tcW w:w="758" w:type="pct"/>
            <w:vMerge w:val="continue"/>
            <w:noWrap w:val="0"/>
            <w:vAlign w:val="center"/>
          </w:tcPr>
          <w:p w14:paraId="35D08C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70D94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667" w:type="pct"/>
            <w:vMerge w:val="continue"/>
            <w:noWrap w:val="0"/>
            <w:vAlign w:val="center"/>
          </w:tcPr>
          <w:p w14:paraId="2840A0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39" w:type="pct"/>
            <w:vMerge w:val="continue"/>
            <w:noWrap w:val="0"/>
            <w:vAlign w:val="center"/>
          </w:tcPr>
          <w:p w14:paraId="661635C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55" w:type="pct"/>
            <w:noWrap w:val="0"/>
            <w:vAlign w:val="center"/>
          </w:tcPr>
          <w:p w14:paraId="30B1FEF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20m</w:t>
            </w:r>
          </w:p>
        </w:tc>
        <w:tc>
          <w:tcPr>
            <w:tcW w:w="455" w:type="pct"/>
            <w:noWrap w:val="0"/>
            <w:vAlign w:val="center"/>
          </w:tcPr>
          <w:p w14:paraId="54D59E3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50m</w:t>
            </w:r>
          </w:p>
        </w:tc>
        <w:tc>
          <w:tcPr>
            <w:tcW w:w="455" w:type="pct"/>
            <w:noWrap w:val="0"/>
            <w:vAlign w:val="center"/>
          </w:tcPr>
          <w:p w14:paraId="6BD3B75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100m</w:t>
            </w:r>
          </w:p>
        </w:tc>
        <w:tc>
          <w:tcPr>
            <w:tcW w:w="455" w:type="pct"/>
            <w:noWrap w:val="0"/>
            <w:vAlign w:val="center"/>
          </w:tcPr>
          <w:p w14:paraId="7F5A0B3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150m</w:t>
            </w:r>
          </w:p>
        </w:tc>
        <w:tc>
          <w:tcPr>
            <w:tcW w:w="455" w:type="pct"/>
            <w:noWrap w:val="0"/>
            <w:vAlign w:val="center"/>
          </w:tcPr>
          <w:p w14:paraId="45F3C5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200m</w:t>
            </w:r>
          </w:p>
        </w:tc>
        <w:tc>
          <w:tcPr>
            <w:tcW w:w="457" w:type="pct"/>
            <w:noWrap w:val="0"/>
            <w:vAlign w:val="center"/>
          </w:tcPr>
          <w:p w14:paraId="1858087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250m</w:t>
            </w:r>
          </w:p>
        </w:tc>
        <w:tc>
          <w:tcPr>
            <w:tcW w:w="758" w:type="pct"/>
            <w:vMerge w:val="continue"/>
            <w:noWrap w:val="0"/>
            <w:vAlign w:val="center"/>
          </w:tcPr>
          <w:p w14:paraId="45FC8DF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5284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08E93AF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1#现场</w:t>
            </w:r>
          </w:p>
        </w:tc>
        <w:tc>
          <w:tcPr>
            <w:tcW w:w="839" w:type="pct"/>
            <w:noWrap w:val="0"/>
            <w:vAlign w:val="center"/>
          </w:tcPr>
          <w:p w14:paraId="1A99122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w:t>
            </w:r>
          </w:p>
        </w:tc>
        <w:tc>
          <w:tcPr>
            <w:tcW w:w="455" w:type="pct"/>
            <w:noWrap w:val="0"/>
            <w:vAlign w:val="center"/>
          </w:tcPr>
          <w:p w14:paraId="79851CA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1.54</w:t>
            </w:r>
          </w:p>
        </w:tc>
        <w:tc>
          <w:tcPr>
            <w:tcW w:w="455" w:type="pct"/>
            <w:noWrap w:val="0"/>
            <w:vAlign w:val="center"/>
          </w:tcPr>
          <w:p w14:paraId="0FDEA7E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0.99</w:t>
            </w:r>
          </w:p>
        </w:tc>
        <w:tc>
          <w:tcPr>
            <w:tcW w:w="455" w:type="pct"/>
            <w:noWrap w:val="0"/>
            <w:vAlign w:val="center"/>
          </w:tcPr>
          <w:p w14:paraId="3983507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0.54</w:t>
            </w:r>
          </w:p>
        </w:tc>
        <w:tc>
          <w:tcPr>
            <w:tcW w:w="455" w:type="pct"/>
            <w:noWrap w:val="0"/>
            <w:vAlign w:val="center"/>
          </w:tcPr>
          <w:p w14:paraId="3E8B0EE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0.61</w:t>
            </w:r>
          </w:p>
        </w:tc>
        <w:tc>
          <w:tcPr>
            <w:tcW w:w="455" w:type="pct"/>
            <w:noWrap w:val="0"/>
            <w:vAlign w:val="center"/>
          </w:tcPr>
          <w:p w14:paraId="699FD54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0.50</w:t>
            </w:r>
          </w:p>
        </w:tc>
        <w:tc>
          <w:tcPr>
            <w:tcW w:w="457" w:type="pct"/>
            <w:noWrap w:val="0"/>
            <w:vAlign w:val="center"/>
          </w:tcPr>
          <w:p w14:paraId="644A0BE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0.40</w:t>
            </w:r>
          </w:p>
        </w:tc>
        <w:tc>
          <w:tcPr>
            <w:tcW w:w="758" w:type="pct"/>
            <w:vMerge w:val="restart"/>
            <w:noWrap w:val="0"/>
            <w:vAlign w:val="center"/>
          </w:tcPr>
          <w:p w14:paraId="62CC48D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0.41</w:t>
            </w:r>
          </w:p>
        </w:tc>
      </w:tr>
      <w:tr w14:paraId="337E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47F6D5A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2#现场</w:t>
            </w:r>
          </w:p>
        </w:tc>
        <w:tc>
          <w:tcPr>
            <w:tcW w:w="839" w:type="pct"/>
            <w:noWrap w:val="0"/>
            <w:vAlign w:val="center"/>
          </w:tcPr>
          <w:p w14:paraId="01716A9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无</w:t>
            </w:r>
          </w:p>
        </w:tc>
        <w:tc>
          <w:tcPr>
            <w:tcW w:w="455" w:type="pct"/>
            <w:noWrap w:val="0"/>
            <w:vAlign w:val="center"/>
          </w:tcPr>
          <w:p w14:paraId="2D990B4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w:t>
            </w:r>
          </w:p>
        </w:tc>
        <w:tc>
          <w:tcPr>
            <w:tcW w:w="455" w:type="pct"/>
            <w:noWrap w:val="0"/>
            <w:vAlign w:val="center"/>
          </w:tcPr>
          <w:p w14:paraId="7118D1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0.96</w:t>
            </w:r>
          </w:p>
        </w:tc>
        <w:tc>
          <w:tcPr>
            <w:tcW w:w="455" w:type="pct"/>
            <w:noWrap w:val="0"/>
            <w:vAlign w:val="center"/>
          </w:tcPr>
          <w:p w14:paraId="6BB36A6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0.57</w:t>
            </w:r>
          </w:p>
        </w:tc>
        <w:tc>
          <w:tcPr>
            <w:tcW w:w="455" w:type="pct"/>
            <w:noWrap w:val="0"/>
            <w:vAlign w:val="center"/>
          </w:tcPr>
          <w:p w14:paraId="16AB813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0.57</w:t>
            </w:r>
          </w:p>
        </w:tc>
        <w:tc>
          <w:tcPr>
            <w:tcW w:w="455" w:type="pct"/>
            <w:noWrap w:val="0"/>
            <w:vAlign w:val="center"/>
          </w:tcPr>
          <w:p w14:paraId="77DB7CC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0.52</w:t>
            </w:r>
          </w:p>
        </w:tc>
        <w:tc>
          <w:tcPr>
            <w:tcW w:w="457" w:type="pct"/>
            <w:noWrap w:val="0"/>
            <w:vAlign w:val="center"/>
          </w:tcPr>
          <w:p w14:paraId="6C1B96B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0.41</w:t>
            </w:r>
          </w:p>
        </w:tc>
        <w:tc>
          <w:tcPr>
            <w:tcW w:w="758" w:type="pct"/>
            <w:vMerge w:val="continue"/>
            <w:noWrap w:val="0"/>
            <w:vAlign w:val="center"/>
          </w:tcPr>
          <w:p w14:paraId="58F6D00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4DFF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0D13606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平均</w:t>
            </w:r>
          </w:p>
        </w:tc>
        <w:tc>
          <w:tcPr>
            <w:tcW w:w="839" w:type="pct"/>
            <w:noWrap w:val="0"/>
            <w:vAlign w:val="center"/>
          </w:tcPr>
          <w:p w14:paraId="69241DA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5" w:type="pct"/>
            <w:noWrap w:val="0"/>
            <w:vAlign w:val="center"/>
          </w:tcPr>
          <w:p w14:paraId="5AB93B2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455" w:type="pct"/>
            <w:noWrap w:val="0"/>
            <w:vAlign w:val="center"/>
          </w:tcPr>
          <w:p w14:paraId="7999A9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0.92</w:t>
            </w:r>
          </w:p>
        </w:tc>
        <w:tc>
          <w:tcPr>
            <w:tcW w:w="455" w:type="pct"/>
            <w:noWrap w:val="0"/>
            <w:vAlign w:val="center"/>
          </w:tcPr>
          <w:p w14:paraId="6F1D742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0.60</w:t>
            </w:r>
          </w:p>
        </w:tc>
        <w:tc>
          <w:tcPr>
            <w:tcW w:w="455" w:type="pct"/>
            <w:noWrap w:val="0"/>
            <w:vAlign w:val="center"/>
          </w:tcPr>
          <w:p w14:paraId="6CF746A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0.59</w:t>
            </w:r>
          </w:p>
        </w:tc>
        <w:tc>
          <w:tcPr>
            <w:tcW w:w="455" w:type="pct"/>
            <w:noWrap w:val="0"/>
            <w:vAlign w:val="center"/>
          </w:tcPr>
          <w:p w14:paraId="68CF48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0.51</w:t>
            </w:r>
          </w:p>
        </w:tc>
        <w:tc>
          <w:tcPr>
            <w:tcW w:w="457" w:type="pct"/>
            <w:noWrap w:val="0"/>
            <w:vAlign w:val="center"/>
          </w:tcPr>
          <w:p w14:paraId="38BB962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0.41</w:t>
            </w:r>
          </w:p>
        </w:tc>
        <w:tc>
          <w:tcPr>
            <w:tcW w:w="758" w:type="pct"/>
            <w:vMerge w:val="continue"/>
            <w:noWrap w:val="0"/>
            <w:vAlign w:val="center"/>
          </w:tcPr>
          <w:p w14:paraId="3049710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7683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431D384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3#现场</w:t>
            </w:r>
          </w:p>
        </w:tc>
        <w:tc>
          <w:tcPr>
            <w:tcW w:w="839" w:type="pct"/>
            <w:noWrap w:val="0"/>
            <w:vAlign w:val="center"/>
          </w:tcPr>
          <w:p w14:paraId="2253CB6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围金属板</w:t>
            </w:r>
          </w:p>
        </w:tc>
        <w:tc>
          <w:tcPr>
            <w:tcW w:w="455" w:type="pct"/>
            <w:noWrap w:val="0"/>
            <w:vAlign w:val="center"/>
          </w:tcPr>
          <w:p w14:paraId="7D02674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0.94</w:t>
            </w:r>
          </w:p>
        </w:tc>
        <w:tc>
          <w:tcPr>
            <w:tcW w:w="455" w:type="pct"/>
            <w:noWrap w:val="0"/>
            <w:vAlign w:val="center"/>
          </w:tcPr>
          <w:p w14:paraId="016986F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0.58</w:t>
            </w:r>
          </w:p>
        </w:tc>
        <w:tc>
          <w:tcPr>
            <w:tcW w:w="455" w:type="pct"/>
            <w:noWrap w:val="0"/>
            <w:vAlign w:val="center"/>
          </w:tcPr>
          <w:p w14:paraId="47A2BDD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5" w:type="pct"/>
            <w:noWrap w:val="0"/>
            <w:vAlign w:val="center"/>
          </w:tcPr>
          <w:p w14:paraId="31AC5D3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5" w:type="pct"/>
            <w:noWrap w:val="0"/>
            <w:vAlign w:val="center"/>
          </w:tcPr>
          <w:p w14:paraId="59E26BB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7" w:type="pct"/>
            <w:noWrap w:val="0"/>
            <w:vAlign w:val="center"/>
          </w:tcPr>
          <w:p w14:paraId="25F303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758" w:type="pct"/>
            <w:vMerge w:val="restart"/>
            <w:noWrap w:val="0"/>
            <w:vAlign w:val="center"/>
          </w:tcPr>
          <w:p w14:paraId="7CA7F3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r>
      <w:tr w14:paraId="5BDC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52F4423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4#现场</w:t>
            </w:r>
          </w:p>
        </w:tc>
        <w:tc>
          <w:tcPr>
            <w:tcW w:w="839" w:type="pct"/>
            <w:noWrap w:val="0"/>
            <w:vAlign w:val="center"/>
          </w:tcPr>
          <w:p w14:paraId="223B470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围彩条布</w:t>
            </w:r>
          </w:p>
        </w:tc>
        <w:tc>
          <w:tcPr>
            <w:tcW w:w="455" w:type="pct"/>
            <w:noWrap w:val="0"/>
            <w:vAlign w:val="center"/>
          </w:tcPr>
          <w:p w14:paraId="61354F5C">
            <w:pPr>
              <w:pStyle w:val="57"/>
              <w:adjustRightInd w:val="0"/>
              <w:snapToGrid w:val="0"/>
              <w:spacing w:before="0" w:beforeAutospacing="0" w:after="0" w:afterAutospacing="0"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w:t>
            </w:r>
          </w:p>
        </w:tc>
        <w:tc>
          <w:tcPr>
            <w:tcW w:w="455" w:type="pct"/>
            <w:noWrap w:val="0"/>
            <w:vAlign w:val="center"/>
          </w:tcPr>
          <w:p w14:paraId="7D9BC0E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0.67</w:t>
            </w:r>
          </w:p>
        </w:tc>
        <w:tc>
          <w:tcPr>
            <w:tcW w:w="455" w:type="pct"/>
            <w:noWrap w:val="0"/>
            <w:vAlign w:val="center"/>
          </w:tcPr>
          <w:p w14:paraId="082BF5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0.45</w:t>
            </w:r>
          </w:p>
        </w:tc>
        <w:tc>
          <w:tcPr>
            <w:tcW w:w="455" w:type="pct"/>
            <w:noWrap w:val="0"/>
            <w:vAlign w:val="center"/>
          </w:tcPr>
          <w:p w14:paraId="6DCFB13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5" w:type="pct"/>
            <w:noWrap w:val="0"/>
            <w:vAlign w:val="center"/>
          </w:tcPr>
          <w:p w14:paraId="758A8B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7" w:type="pct"/>
            <w:noWrap w:val="0"/>
            <w:vAlign w:val="center"/>
          </w:tcPr>
          <w:p w14:paraId="52D7742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758" w:type="pct"/>
            <w:vMerge w:val="continue"/>
            <w:noWrap w:val="0"/>
            <w:vAlign w:val="center"/>
          </w:tcPr>
          <w:p w14:paraId="7BE220A7">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74685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7" w:type="pct"/>
            <w:noWrap w:val="0"/>
            <w:vAlign w:val="center"/>
          </w:tcPr>
          <w:p w14:paraId="5E29145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平均</w:t>
            </w:r>
          </w:p>
        </w:tc>
        <w:tc>
          <w:tcPr>
            <w:tcW w:w="839" w:type="pct"/>
            <w:noWrap w:val="0"/>
            <w:vAlign w:val="center"/>
          </w:tcPr>
          <w:p w14:paraId="0214BC2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w:t>
            </w:r>
          </w:p>
        </w:tc>
        <w:tc>
          <w:tcPr>
            <w:tcW w:w="455" w:type="pct"/>
            <w:noWrap w:val="0"/>
            <w:vAlign w:val="center"/>
          </w:tcPr>
          <w:p w14:paraId="55C8563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1.02</w:t>
            </w:r>
          </w:p>
        </w:tc>
        <w:tc>
          <w:tcPr>
            <w:tcW w:w="455" w:type="pct"/>
            <w:noWrap w:val="0"/>
            <w:vAlign w:val="center"/>
          </w:tcPr>
          <w:p w14:paraId="78048D3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0.63</w:t>
            </w:r>
          </w:p>
        </w:tc>
        <w:tc>
          <w:tcPr>
            <w:tcW w:w="455" w:type="pct"/>
            <w:noWrap w:val="0"/>
            <w:vAlign w:val="center"/>
          </w:tcPr>
          <w:p w14:paraId="0C3EC83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0.44</w:t>
            </w:r>
          </w:p>
        </w:tc>
        <w:tc>
          <w:tcPr>
            <w:tcW w:w="455" w:type="pct"/>
            <w:noWrap w:val="0"/>
            <w:vAlign w:val="center"/>
          </w:tcPr>
          <w:p w14:paraId="19EF3B1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5" w:type="pct"/>
            <w:noWrap w:val="0"/>
            <w:vAlign w:val="center"/>
          </w:tcPr>
          <w:p w14:paraId="281D525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457" w:type="pct"/>
            <w:noWrap w:val="0"/>
            <w:vAlign w:val="center"/>
          </w:tcPr>
          <w:p w14:paraId="2891FE0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c>
          <w:tcPr>
            <w:tcW w:w="758" w:type="pct"/>
            <w:vMerge w:val="continue"/>
            <w:noWrap w:val="0"/>
            <w:vAlign w:val="center"/>
          </w:tcPr>
          <w:p w14:paraId="6707044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bl>
    <w:p w14:paraId="544B250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由上表可以看出：在无围栏施工时，工地下风向距离20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200m范围内，大气中TSP为0.51</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1.50mg/m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，是对照点1.27~3.72倍；工地下风向距离大于250m距离后，大气中TSP为0.41mg/m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，接近对照点；在有围栏施工时，工地下风向距离20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50m时，大气中TSP为0.63</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1.02mg/m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，是对照点的1.49~2.44倍；工地下风向距离100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250m时，大气中TSP为0.42</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0.44mg/m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，接近对照点。</w:t>
      </w:r>
    </w:p>
    <w:p w14:paraId="2D22410D">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从总体上看，无施工围挡时扬尘影响距离约为下风向250m，施工现场有施工围挡时，其扬尘影响范围可缩短至下风向150m左右。由于本工程部分路段距离沿线村庄较近，施工扬尘对居民点影响较大，因此本环评要求在通过村庄路段设置清洁有效的施工围挡，同时对施工现场定时洒水抑尘。</w:t>
      </w:r>
    </w:p>
    <w:p w14:paraId="4848762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（3）堆存扬尘</w:t>
      </w:r>
    </w:p>
    <w:p w14:paraId="2BDA403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裸露地表及砂石料和粉状物料堆存过程中在大风天气下极易起尘，使得堆存场所下风向环境空气中悬浮颗粒物浓度增加，从而对堆存场所下风向环境空气质量造成一定的影响。起尘风速与尘粒和含水量有关，因此，减少露天堆放和保证一定的含水量及减少裸露地面是减少风力起尘的有效手段。粉尘在空气中的扩散稀释与风速等气象条件有关，也与粉尘本身的沉降速度有关。</w:t>
      </w:r>
    </w:p>
    <w:p w14:paraId="1036BC3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不同尘粒粉尘的沉降速度见表5.1-2</w:t>
      </w:r>
    </w:p>
    <w:p w14:paraId="6867BC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表5.1-2  不同粒径尘粒的沉降速度</w:t>
      </w:r>
    </w:p>
    <w:tbl>
      <w:tblPr>
        <w:tblStyle w:val="5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0"/>
        <w:gridCol w:w="1037"/>
        <w:gridCol w:w="1038"/>
        <w:gridCol w:w="1038"/>
        <w:gridCol w:w="1038"/>
        <w:gridCol w:w="1038"/>
        <w:gridCol w:w="1038"/>
        <w:gridCol w:w="1039"/>
      </w:tblGrid>
      <w:tr w14:paraId="42867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317FC8F9">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粒径（μm）</w:t>
            </w:r>
          </w:p>
        </w:tc>
        <w:tc>
          <w:tcPr>
            <w:tcW w:w="608" w:type="pct"/>
            <w:noWrap w:val="0"/>
            <w:vAlign w:val="center"/>
          </w:tcPr>
          <w:p w14:paraId="2127272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608" w:type="pct"/>
            <w:noWrap w:val="0"/>
            <w:vAlign w:val="center"/>
          </w:tcPr>
          <w:p w14:paraId="2D014AA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608" w:type="pct"/>
            <w:noWrap w:val="0"/>
            <w:vAlign w:val="center"/>
          </w:tcPr>
          <w:p w14:paraId="79BA451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608" w:type="pct"/>
            <w:noWrap w:val="0"/>
            <w:vAlign w:val="center"/>
          </w:tcPr>
          <w:p w14:paraId="583E82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w:t>
            </w:r>
          </w:p>
        </w:tc>
        <w:tc>
          <w:tcPr>
            <w:tcW w:w="608" w:type="pct"/>
            <w:noWrap w:val="0"/>
            <w:vAlign w:val="center"/>
          </w:tcPr>
          <w:p w14:paraId="3EB6537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608" w:type="pct"/>
            <w:noWrap w:val="0"/>
            <w:vAlign w:val="center"/>
          </w:tcPr>
          <w:p w14:paraId="3E75271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60</w:t>
            </w:r>
          </w:p>
        </w:tc>
        <w:tc>
          <w:tcPr>
            <w:tcW w:w="609" w:type="pct"/>
            <w:noWrap w:val="0"/>
            <w:vAlign w:val="center"/>
          </w:tcPr>
          <w:p w14:paraId="7DC061B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r>
      <w:tr w14:paraId="74A1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23391026">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沉降速度（m/s）</w:t>
            </w:r>
          </w:p>
        </w:tc>
        <w:tc>
          <w:tcPr>
            <w:tcW w:w="608" w:type="pct"/>
            <w:noWrap w:val="0"/>
            <w:vAlign w:val="center"/>
          </w:tcPr>
          <w:p w14:paraId="2565A0D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608" w:type="pct"/>
            <w:noWrap w:val="0"/>
            <w:vAlign w:val="center"/>
          </w:tcPr>
          <w:p w14:paraId="0D6131B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0.012</w:t>
            </w:r>
          </w:p>
        </w:tc>
        <w:tc>
          <w:tcPr>
            <w:tcW w:w="608" w:type="pct"/>
            <w:noWrap w:val="0"/>
            <w:vAlign w:val="center"/>
          </w:tcPr>
          <w:p w14:paraId="56A9948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0.027</w:t>
            </w:r>
          </w:p>
        </w:tc>
        <w:tc>
          <w:tcPr>
            <w:tcW w:w="608" w:type="pct"/>
            <w:noWrap w:val="0"/>
            <w:vAlign w:val="center"/>
          </w:tcPr>
          <w:p w14:paraId="58BDD8F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0.048</w:t>
            </w:r>
          </w:p>
        </w:tc>
        <w:tc>
          <w:tcPr>
            <w:tcW w:w="608" w:type="pct"/>
            <w:noWrap w:val="0"/>
            <w:vAlign w:val="center"/>
          </w:tcPr>
          <w:p w14:paraId="6FA9608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0.075</w:t>
            </w:r>
          </w:p>
        </w:tc>
        <w:tc>
          <w:tcPr>
            <w:tcW w:w="608" w:type="pct"/>
            <w:noWrap w:val="0"/>
            <w:vAlign w:val="center"/>
          </w:tcPr>
          <w:p w14:paraId="369DBB9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0.108</w:t>
            </w:r>
          </w:p>
        </w:tc>
        <w:tc>
          <w:tcPr>
            <w:tcW w:w="609" w:type="pct"/>
            <w:noWrap w:val="0"/>
            <w:vAlign w:val="center"/>
          </w:tcPr>
          <w:p w14:paraId="7A1BA92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0.147</w:t>
            </w:r>
          </w:p>
        </w:tc>
      </w:tr>
      <w:tr w14:paraId="60F25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2E324F79">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粒径（μm）</w:t>
            </w:r>
          </w:p>
        </w:tc>
        <w:tc>
          <w:tcPr>
            <w:tcW w:w="608" w:type="pct"/>
            <w:noWrap w:val="0"/>
            <w:vAlign w:val="center"/>
          </w:tcPr>
          <w:p w14:paraId="51D5A9E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608" w:type="pct"/>
            <w:noWrap w:val="0"/>
            <w:vAlign w:val="center"/>
          </w:tcPr>
          <w:p w14:paraId="5E163A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w:t>
            </w:r>
          </w:p>
        </w:tc>
        <w:tc>
          <w:tcPr>
            <w:tcW w:w="608" w:type="pct"/>
            <w:noWrap w:val="0"/>
            <w:vAlign w:val="center"/>
          </w:tcPr>
          <w:p w14:paraId="5633D6B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608" w:type="pct"/>
            <w:noWrap w:val="0"/>
            <w:vAlign w:val="center"/>
          </w:tcPr>
          <w:p w14:paraId="14AF737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608" w:type="pct"/>
            <w:noWrap w:val="0"/>
            <w:vAlign w:val="center"/>
          </w:tcPr>
          <w:p w14:paraId="5C4FF68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w:t>
            </w:r>
          </w:p>
        </w:tc>
        <w:tc>
          <w:tcPr>
            <w:tcW w:w="608" w:type="pct"/>
            <w:noWrap w:val="0"/>
            <w:vAlign w:val="center"/>
          </w:tcPr>
          <w:p w14:paraId="55B95D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609" w:type="pct"/>
            <w:noWrap w:val="0"/>
            <w:vAlign w:val="center"/>
          </w:tcPr>
          <w:p w14:paraId="6FED298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r>
      <w:tr w14:paraId="2AE4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10AE26F9">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沉降速度（m/s）</w:t>
            </w:r>
          </w:p>
        </w:tc>
        <w:tc>
          <w:tcPr>
            <w:tcW w:w="608" w:type="pct"/>
            <w:noWrap w:val="0"/>
            <w:vAlign w:val="center"/>
          </w:tcPr>
          <w:p w14:paraId="0F5D217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0.158</w:t>
            </w:r>
          </w:p>
        </w:tc>
        <w:tc>
          <w:tcPr>
            <w:tcW w:w="608" w:type="pct"/>
            <w:noWrap w:val="0"/>
            <w:vAlign w:val="center"/>
          </w:tcPr>
          <w:p w14:paraId="61DCBDF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0.170</w:t>
            </w:r>
          </w:p>
        </w:tc>
        <w:tc>
          <w:tcPr>
            <w:tcW w:w="608" w:type="pct"/>
            <w:noWrap w:val="0"/>
            <w:vAlign w:val="center"/>
          </w:tcPr>
          <w:p w14:paraId="5146443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0.182</w:t>
            </w:r>
          </w:p>
        </w:tc>
        <w:tc>
          <w:tcPr>
            <w:tcW w:w="608" w:type="pct"/>
            <w:noWrap w:val="0"/>
            <w:vAlign w:val="center"/>
          </w:tcPr>
          <w:p w14:paraId="075B60A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0.239</w:t>
            </w:r>
          </w:p>
        </w:tc>
        <w:tc>
          <w:tcPr>
            <w:tcW w:w="608" w:type="pct"/>
            <w:noWrap w:val="0"/>
            <w:vAlign w:val="center"/>
          </w:tcPr>
          <w:p w14:paraId="345DD9F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0.804</w:t>
            </w:r>
          </w:p>
        </w:tc>
        <w:tc>
          <w:tcPr>
            <w:tcW w:w="608" w:type="pct"/>
            <w:noWrap w:val="0"/>
            <w:vAlign w:val="center"/>
          </w:tcPr>
          <w:p w14:paraId="5659DC4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1.005</w:t>
            </w:r>
          </w:p>
        </w:tc>
        <w:tc>
          <w:tcPr>
            <w:tcW w:w="609" w:type="pct"/>
            <w:noWrap w:val="0"/>
            <w:vAlign w:val="center"/>
          </w:tcPr>
          <w:p w14:paraId="1408B7C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1.829</w:t>
            </w:r>
          </w:p>
        </w:tc>
      </w:tr>
      <w:tr w14:paraId="1CE5A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61F6D76D">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粒径（μm）</w:t>
            </w:r>
          </w:p>
        </w:tc>
        <w:tc>
          <w:tcPr>
            <w:tcW w:w="608" w:type="pct"/>
            <w:noWrap w:val="0"/>
            <w:vAlign w:val="center"/>
          </w:tcPr>
          <w:p w14:paraId="7FBEFD9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450</w:t>
            </w:r>
          </w:p>
        </w:tc>
        <w:tc>
          <w:tcPr>
            <w:tcW w:w="608" w:type="pct"/>
            <w:noWrap w:val="0"/>
            <w:vAlign w:val="center"/>
          </w:tcPr>
          <w:p w14:paraId="3E25C31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550</w:t>
            </w:r>
          </w:p>
        </w:tc>
        <w:tc>
          <w:tcPr>
            <w:tcW w:w="608" w:type="pct"/>
            <w:noWrap w:val="0"/>
            <w:vAlign w:val="center"/>
          </w:tcPr>
          <w:p w14:paraId="50B2C47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650</w:t>
            </w:r>
          </w:p>
        </w:tc>
        <w:tc>
          <w:tcPr>
            <w:tcW w:w="608" w:type="pct"/>
            <w:noWrap w:val="0"/>
            <w:vAlign w:val="center"/>
          </w:tcPr>
          <w:p w14:paraId="62C7AA9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750</w:t>
            </w:r>
          </w:p>
        </w:tc>
        <w:tc>
          <w:tcPr>
            <w:tcW w:w="608" w:type="pct"/>
            <w:noWrap w:val="0"/>
            <w:vAlign w:val="center"/>
          </w:tcPr>
          <w:p w14:paraId="6F1A57B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850</w:t>
            </w:r>
          </w:p>
        </w:tc>
        <w:tc>
          <w:tcPr>
            <w:tcW w:w="608" w:type="pct"/>
            <w:noWrap w:val="0"/>
            <w:vAlign w:val="center"/>
          </w:tcPr>
          <w:p w14:paraId="07E8B05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950</w:t>
            </w:r>
          </w:p>
        </w:tc>
        <w:tc>
          <w:tcPr>
            <w:tcW w:w="609" w:type="pct"/>
            <w:noWrap w:val="0"/>
            <w:vAlign w:val="center"/>
          </w:tcPr>
          <w:p w14:paraId="0119872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1050</w:t>
            </w:r>
          </w:p>
        </w:tc>
      </w:tr>
      <w:tr w14:paraId="30B9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9" w:type="pct"/>
            <w:noWrap w:val="0"/>
            <w:vAlign w:val="center"/>
          </w:tcPr>
          <w:p w14:paraId="3B254E9B">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沉降速度（m/s）</w:t>
            </w:r>
          </w:p>
        </w:tc>
        <w:tc>
          <w:tcPr>
            <w:tcW w:w="608" w:type="pct"/>
            <w:noWrap w:val="0"/>
            <w:vAlign w:val="center"/>
          </w:tcPr>
          <w:p w14:paraId="2F10ECF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2.211</w:t>
            </w:r>
          </w:p>
        </w:tc>
        <w:tc>
          <w:tcPr>
            <w:tcW w:w="608" w:type="pct"/>
            <w:noWrap w:val="0"/>
            <w:vAlign w:val="center"/>
          </w:tcPr>
          <w:p w14:paraId="6122CF10">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2.614</w:t>
            </w:r>
          </w:p>
        </w:tc>
        <w:tc>
          <w:tcPr>
            <w:tcW w:w="608" w:type="pct"/>
            <w:noWrap w:val="0"/>
            <w:vAlign w:val="center"/>
          </w:tcPr>
          <w:p w14:paraId="3996795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3.016</w:t>
            </w:r>
          </w:p>
        </w:tc>
        <w:tc>
          <w:tcPr>
            <w:tcW w:w="608" w:type="pct"/>
            <w:noWrap w:val="0"/>
            <w:vAlign w:val="center"/>
          </w:tcPr>
          <w:p w14:paraId="2461BD0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3.418</w:t>
            </w:r>
          </w:p>
        </w:tc>
        <w:tc>
          <w:tcPr>
            <w:tcW w:w="608" w:type="pct"/>
            <w:noWrap w:val="0"/>
            <w:vAlign w:val="center"/>
          </w:tcPr>
          <w:p w14:paraId="0D8E1AE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3.820</w:t>
            </w:r>
          </w:p>
        </w:tc>
        <w:tc>
          <w:tcPr>
            <w:tcW w:w="608" w:type="pct"/>
            <w:noWrap w:val="0"/>
            <w:vAlign w:val="center"/>
          </w:tcPr>
          <w:p w14:paraId="183901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4.222</w:t>
            </w:r>
          </w:p>
        </w:tc>
        <w:tc>
          <w:tcPr>
            <w:tcW w:w="609" w:type="pct"/>
            <w:noWrap w:val="0"/>
            <w:vAlign w:val="center"/>
          </w:tcPr>
          <w:p w14:paraId="70F4CD0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4.624</w:t>
            </w:r>
          </w:p>
        </w:tc>
      </w:tr>
    </w:tbl>
    <w:p w14:paraId="290F246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由上表可知，粉尘的沉降速度随粒径的增大而迅速增大。当粒径为250μm</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时，沉降速度为1.005m/s，因此可以认为当尘粒大于250μm时，主要影响范围在扬尘点下风向近距离范围内，而真正对外环境产生影响的是一些微小粒径的粉尘。为了避免堆场扬尘对周围大气环境造成较大的影响，施工期对堆存物料应采用苫布覆盖，减少材料裸露的时间，同时对易产尘物料定时洒水。</w:t>
      </w:r>
    </w:p>
    <w:p w14:paraId="7CC62C1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（4）道路扬尘</w:t>
      </w:r>
    </w:p>
    <w:p w14:paraId="458F1C5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所需土方、石料、沙料、水泥均采用汽车运输，主要通过现有道路进行施工材料运输。由于乡村道路等级不高，路面含尘量较高，尤其遇到干旱少雨季节，道路运输扬尘污染更为严重。根据工程分析结果，项目施工期道路扬尘颗粒物排放源强为0.894kg/h。未完工路段的路面积尘数量与湿度、施工机械和运输车辆行驶速度、近地面风速是影响道路扬尘污染强度的最主要因素，此外风速和风向还直接影响道路扬尘的污染范围。另外，筑路材料尤其是粉状材料若是遮盖不严，在运输过程中也会随风起尘，对运输道路两侧的居民产生影响，尤其是大风天气，影响将更为严重。</w:t>
      </w:r>
    </w:p>
    <w:p w14:paraId="2390AEA3">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表5.1-3  京津塘高速公路施工期车辆扬尘监测结果</w:t>
      </w:r>
    </w:p>
    <w:tbl>
      <w:tblPr>
        <w:tblStyle w:val="5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1"/>
        <w:gridCol w:w="1894"/>
        <w:gridCol w:w="1431"/>
        <w:gridCol w:w="1513"/>
        <w:gridCol w:w="1247"/>
        <w:gridCol w:w="1249"/>
      </w:tblGrid>
      <w:tr w14:paraId="4C07A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98" w:type="pct"/>
            <w:vMerge w:val="restart"/>
            <w:noWrap w:val="0"/>
            <w:vAlign w:val="center"/>
          </w:tcPr>
          <w:p w14:paraId="2EFCAEF1">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监测地点</w:t>
            </w:r>
          </w:p>
        </w:tc>
        <w:tc>
          <w:tcPr>
            <w:tcW w:w="1110" w:type="pct"/>
            <w:vMerge w:val="restart"/>
            <w:noWrap w:val="0"/>
            <w:vAlign w:val="center"/>
          </w:tcPr>
          <w:p w14:paraId="14DB938B">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扬尘污染源</w:t>
            </w:r>
          </w:p>
        </w:tc>
        <w:tc>
          <w:tcPr>
            <w:tcW w:w="839" w:type="pct"/>
            <w:vMerge w:val="restart"/>
            <w:noWrap w:val="0"/>
            <w:vAlign w:val="center"/>
          </w:tcPr>
          <w:p w14:paraId="322C070A">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采样点距离 （m）</w:t>
            </w:r>
          </w:p>
        </w:tc>
        <w:tc>
          <w:tcPr>
            <w:tcW w:w="887" w:type="pct"/>
            <w:vMerge w:val="restart"/>
            <w:noWrap w:val="0"/>
            <w:vAlign w:val="center"/>
          </w:tcPr>
          <w:p w14:paraId="6D57E9FC">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监测结果</w:t>
            </w:r>
          </w:p>
          <w:p w14:paraId="550F221B">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（mg/m</w:t>
            </w:r>
            <w:r>
              <w:rPr>
                <w:rFonts w:hint="default" w:ascii="Times New Roman" w:hAnsi="Times New Roman" w:eastAsia="宋体" w:cs="Times New Roman"/>
                <w:b/>
                <w:bCs/>
                <w:color w:val="auto"/>
                <w:kern w:val="0"/>
                <w:sz w:val="21"/>
                <w:szCs w:val="21"/>
                <w:vertAlign w:val="superscript"/>
                <w:lang w:bidi="ar"/>
              </w:rPr>
              <w:t>3</w:t>
            </w:r>
            <w:r>
              <w:rPr>
                <w:rFonts w:hint="default" w:ascii="Times New Roman" w:hAnsi="Times New Roman" w:eastAsia="宋体" w:cs="Times New Roman"/>
                <w:b/>
                <w:bCs/>
                <w:color w:val="auto"/>
                <w:kern w:val="0"/>
                <w:sz w:val="21"/>
                <w:szCs w:val="21"/>
                <w:lang w:bidi="ar"/>
              </w:rPr>
              <w:t>）</w:t>
            </w:r>
          </w:p>
        </w:tc>
        <w:tc>
          <w:tcPr>
            <w:tcW w:w="1463" w:type="pct"/>
            <w:gridSpan w:val="2"/>
            <w:noWrap w:val="0"/>
            <w:vAlign w:val="center"/>
          </w:tcPr>
          <w:p w14:paraId="7916F265">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超标倍数</w:t>
            </w:r>
          </w:p>
        </w:tc>
      </w:tr>
      <w:tr w14:paraId="2332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98" w:type="pct"/>
            <w:vMerge w:val="continue"/>
            <w:noWrap w:val="0"/>
            <w:vAlign w:val="center"/>
          </w:tcPr>
          <w:p w14:paraId="22AF9277">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1110" w:type="pct"/>
            <w:vMerge w:val="continue"/>
            <w:noWrap w:val="0"/>
            <w:vAlign w:val="center"/>
          </w:tcPr>
          <w:p w14:paraId="248DA97B">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839" w:type="pct"/>
            <w:vMerge w:val="continue"/>
            <w:noWrap w:val="0"/>
            <w:vAlign w:val="center"/>
          </w:tcPr>
          <w:p w14:paraId="5B3CE762">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887" w:type="pct"/>
            <w:vMerge w:val="continue"/>
            <w:noWrap w:val="0"/>
            <w:vAlign w:val="center"/>
          </w:tcPr>
          <w:p w14:paraId="6B9063F8">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731" w:type="pct"/>
            <w:noWrap w:val="0"/>
            <w:vAlign w:val="center"/>
          </w:tcPr>
          <w:p w14:paraId="60B9FFEF">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超二级标准</w:t>
            </w:r>
          </w:p>
        </w:tc>
        <w:tc>
          <w:tcPr>
            <w:tcW w:w="732" w:type="pct"/>
            <w:noWrap w:val="0"/>
            <w:vAlign w:val="center"/>
          </w:tcPr>
          <w:p w14:paraId="688C4300">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TSP二级标准限值</w:t>
            </w:r>
          </w:p>
        </w:tc>
      </w:tr>
      <w:tr w14:paraId="148B5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pct"/>
            <w:vMerge w:val="restart"/>
            <w:noWrap w:val="0"/>
            <w:vAlign w:val="center"/>
          </w:tcPr>
          <w:p w14:paraId="20F5B07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施工路边</w:t>
            </w:r>
          </w:p>
        </w:tc>
        <w:tc>
          <w:tcPr>
            <w:tcW w:w="1110" w:type="pct"/>
            <w:vMerge w:val="restart"/>
            <w:noWrap w:val="0"/>
            <w:vAlign w:val="center"/>
          </w:tcPr>
          <w:p w14:paraId="1D206B7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铺设水泥稳定类路顶基层时运输车辆扬尘</w:t>
            </w:r>
          </w:p>
        </w:tc>
        <w:tc>
          <w:tcPr>
            <w:tcW w:w="839" w:type="pct"/>
            <w:noWrap w:val="0"/>
            <w:vAlign w:val="center"/>
          </w:tcPr>
          <w:p w14:paraId="0042917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50</w:t>
            </w:r>
          </w:p>
        </w:tc>
        <w:tc>
          <w:tcPr>
            <w:tcW w:w="887" w:type="pct"/>
            <w:noWrap w:val="0"/>
            <w:vAlign w:val="center"/>
          </w:tcPr>
          <w:p w14:paraId="2C29228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11.652</w:t>
            </w:r>
          </w:p>
        </w:tc>
        <w:tc>
          <w:tcPr>
            <w:tcW w:w="731" w:type="pct"/>
            <w:noWrap w:val="0"/>
            <w:vAlign w:val="center"/>
          </w:tcPr>
          <w:p w14:paraId="29AA78B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38.8</w:t>
            </w:r>
          </w:p>
        </w:tc>
        <w:tc>
          <w:tcPr>
            <w:tcW w:w="732" w:type="pct"/>
            <w:vMerge w:val="restart"/>
            <w:noWrap w:val="0"/>
            <w:vAlign w:val="center"/>
          </w:tcPr>
          <w:p w14:paraId="346C3BD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r>
      <w:tr w14:paraId="27CF0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pct"/>
            <w:vMerge w:val="continue"/>
            <w:noWrap w:val="0"/>
            <w:vAlign w:val="center"/>
          </w:tcPr>
          <w:p w14:paraId="17DFA91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10" w:type="pct"/>
            <w:vMerge w:val="continue"/>
            <w:noWrap w:val="0"/>
            <w:vAlign w:val="center"/>
          </w:tcPr>
          <w:p w14:paraId="5046645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39" w:type="pct"/>
            <w:noWrap w:val="0"/>
            <w:vAlign w:val="center"/>
          </w:tcPr>
          <w:p w14:paraId="4C557C5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w:t>
            </w:r>
          </w:p>
        </w:tc>
        <w:tc>
          <w:tcPr>
            <w:tcW w:w="887" w:type="pct"/>
            <w:noWrap w:val="0"/>
            <w:vAlign w:val="center"/>
          </w:tcPr>
          <w:p w14:paraId="7351BD8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10.694</w:t>
            </w:r>
          </w:p>
        </w:tc>
        <w:tc>
          <w:tcPr>
            <w:tcW w:w="731" w:type="pct"/>
            <w:noWrap w:val="0"/>
            <w:vAlign w:val="center"/>
          </w:tcPr>
          <w:p w14:paraId="014F666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35.6</w:t>
            </w:r>
          </w:p>
        </w:tc>
        <w:tc>
          <w:tcPr>
            <w:tcW w:w="732" w:type="pct"/>
            <w:vMerge w:val="continue"/>
            <w:noWrap w:val="0"/>
            <w:vAlign w:val="center"/>
          </w:tcPr>
          <w:p w14:paraId="3267A7D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0C98B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pct"/>
            <w:vMerge w:val="continue"/>
            <w:noWrap w:val="0"/>
            <w:vAlign w:val="center"/>
          </w:tcPr>
          <w:p w14:paraId="722837BA">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10" w:type="pct"/>
            <w:vMerge w:val="continue"/>
            <w:noWrap w:val="0"/>
            <w:vAlign w:val="center"/>
          </w:tcPr>
          <w:p w14:paraId="55C7692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39" w:type="pct"/>
            <w:noWrap w:val="0"/>
            <w:vAlign w:val="center"/>
          </w:tcPr>
          <w:p w14:paraId="667C608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887" w:type="pct"/>
            <w:noWrap w:val="0"/>
            <w:vAlign w:val="center"/>
          </w:tcPr>
          <w:p w14:paraId="5BD15F5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5.093</w:t>
            </w:r>
          </w:p>
        </w:tc>
        <w:tc>
          <w:tcPr>
            <w:tcW w:w="731" w:type="pct"/>
            <w:noWrap w:val="0"/>
            <w:vAlign w:val="center"/>
          </w:tcPr>
          <w:p w14:paraId="782872B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17.0</w:t>
            </w:r>
          </w:p>
        </w:tc>
        <w:tc>
          <w:tcPr>
            <w:tcW w:w="732" w:type="pct"/>
            <w:vMerge w:val="continue"/>
            <w:noWrap w:val="0"/>
            <w:vAlign w:val="center"/>
          </w:tcPr>
          <w:p w14:paraId="4FABDE93">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bl>
    <w:p w14:paraId="77C77DC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根据交通运输部公路科学研究所对京津塘高速公路施工期车辆扬尘的监测（见表5.3-3），对于不同路段，运输道路扬尘的影响程度有一定差异：</w:t>
      </w:r>
    </w:p>
    <w:p w14:paraId="42B25D0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对于一般路段，在距离施工路边50m处TSP浓度超标约38.8倍，150m处也超标约17.0倍。因此，道路运输扬尘对环境空气的影响较大。目前，对运输道路扬尘污染主要是通过洒水来控制。根据京津唐高速施工路段洒水降尘实验结果（见表5.</w:t>
      </w:r>
      <w:r>
        <w:rPr>
          <w:rFonts w:hint="default" w:ascii="Times New Roman" w:hAnsi="Times New Roman" w:eastAsia="宋体" w:cs="Times New Roman"/>
          <w:color w:val="auto"/>
          <w:kern w:val="0"/>
          <w:lang w:val="en-US" w:eastAsia="zh-CN" w:bidi="ar"/>
        </w:rPr>
        <w:t>1</w:t>
      </w:r>
      <w:r>
        <w:rPr>
          <w:rFonts w:hint="default" w:ascii="Times New Roman" w:hAnsi="Times New Roman" w:eastAsia="宋体" w:cs="Times New Roman"/>
          <w:color w:val="auto"/>
          <w:kern w:val="0"/>
          <w:lang w:bidi="ar"/>
        </w:rPr>
        <w:t>-4），对施工道路适时洒水，对减少空气中的TSP浓度非常有效，在离路边0~200m范围之内，洒水降尘可达到</w:t>
      </w:r>
      <w:r>
        <w:rPr>
          <w:rFonts w:hint="default" w:ascii="Times New Roman" w:hAnsi="Times New Roman" w:eastAsia="宋体" w:cs="Times New Roman"/>
          <w:color w:val="auto"/>
          <w:kern w:val="0"/>
          <w:lang w:eastAsia="zh-CN" w:bidi="ar"/>
        </w:rPr>
        <w:t>52%～81%</w:t>
      </w:r>
      <w:r>
        <w:rPr>
          <w:rFonts w:hint="default" w:ascii="Times New Roman" w:hAnsi="Times New Roman" w:eastAsia="宋体" w:cs="Times New Roman"/>
          <w:color w:val="auto"/>
          <w:kern w:val="0"/>
          <w:lang w:bidi="ar"/>
        </w:rPr>
        <w:t>，且离路边越近，洒水的降尘效果越好。因此，通过对路面定时洒水，可有效抑制扬尘。</w:t>
      </w:r>
    </w:p>
    <w:p w14:paraId="410CDB9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表5.1-4  京津塘高速公路施工期洒水降尘实验结果</w:t>
      </w:r>
    </w:p>
    <w:tbl>
      <w:tblPr>
        <w:tblStyle w:val="5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gridCol w:w="1030"/>
        <w:gridCol w:w="1122"/>
        <w:gridCol w:w="1122"/>
        <w:gridCol w:w="1122"/>
        <w:gridCol w:w="1122"/>
        <w:gridCol w:w="1123"/>
      </w:tblGrid>
      <w:tr w14:paraId="65C1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pct"/>
            <w:gridSpan w:val="2"/>
            <w:noWrap w:val="0"/>
            <w:vAlign w:val="center"/>
          </w:tcPr>
          <w:p w14:paraId="101B3261">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距路边距离</w:t>
            </w:r>
          </w:p>
        </w:tc>
        <w:tc>
          <w:tcPr>
            <w:tcW w:w="658" w:type="pct"/>
            <w:noWrap w:val="0"/>
            <w:vAlign w:val="center"/>
          </w:tcPr>
          <w:p w14:paraId="306063F6">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0m</w:t>
            </w:r>
          </w:p>
        </w:tc>
        <w:tc>
          <w:tcPr>
            <w:tcW w:w="658" w:type="pct"/>
            <w:noWrap w:val="0"/>
            <w:vAlign w:val="center"/>
          </w:tcPr>
          <w:p w14:paraId="361E878B">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20m</w:t>
            </w:r>
          </w:p>
        </w:tc>
        <w:tc>
          <w:tcPr>
            <w:tcW w:w="658" w:type="pct"/>
            <w:noWrap w:val="0"/>
            <w:vAlign w:val="center"/>
          </w:tcPr>
          <w:p w14:paraId="142D6303">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50m</w:t>
            </w:r>
          </w:p>
        </w:tc>
        <w:tc>
          <w:tcPr>
            <w:tcW w:w="658" w:type="pct"/>
            <w:noWrap w:val="0"/>
            <w:vAlign w:val="center"/>
          </w:tcPr>
          <w:p w14:paraId="6A6E8E93">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100m</w:t>
            </w:r>
          </w:p>
        </w:tc>
        <w:tc>
          <w:tcPr>
            <w:tcW w:w="658" w:type="pct"/>
            <w:noWrap w:val="0"/>
            <w:vAlign w:val="center"/>
          </w:tcPr>
          <w:p w14:paraId="39DF2479">
            <w:pPr>
              <w:widowControl/>
              <w:adjustRightInd w:val="0"/>
              <w:snapToGrid w:val="0"/>
              <w:spacing w:line="240" w:lineRule="auto"/>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0"/>
                <w:szCs w:val="20"/>
                <w:lang w:bidi="ar"/>
              </w:rPr>
              <w:t>200m</w:t>
            </w:r>
          </w:p>
        </w:tc>
      </w:tr>
      <w:tr w14:paraId="564E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restart"/>
            <w:noWrap w:val="0"/>
            <w:vAlign w:val="center"/>
          </w:tcPr>
          <w:p w14:paraId="62CB2D05">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TSP（mg/m</w:t>
            </w:r>
            <w:r>
              <w:rPr>
                <w:rFonts w:hint="default" w:ascii="Times New Roman" w:hAnsi="Times New Roman" w:eastAsia="宋体" w:cs="Times New Roman"/>
                <w:color w:val="auto"/>
                <w:kern w:val="0"/>
                <w:sz w:val="20"/>
                <w:szCs w:val="20"/>
                <w:vertAlign w:val="superscript"/>
                <w:lang w:bidi="ar"/>
              </w:rPr>
              <w:t>3</w:t>
            </w:r>
            <w:r>
              <w:rPr>
                <w:rFonts w:hint="default" w:ascii="Times New Roman" w:hAnsi="Times New Roman" w:eastAsia="宋体" w:cs="Times New Roman"/>
                <w:color w:val="auto"/>
                <w:kern w:val="0"/>
                <w:sz w:val="20"/>
                <w:szCs w:val="20"/>
                <w:lang w:bidi="ar"/>
              </w:rPr>
              <w:t>）</w:t>
            </w:r>
          </w:p>
        </w:tc>
        <w:tc>
          <w:tcPr>
            <w:tcW w:w="603" w:type="pct"/>
            <w:noWrap w:val="0"/>
            <w:vAlign w:val="center"/>
          </w:tcPr>
          <w:p w14:paraId="48F9959A">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不洒水</w:t>
            </w:r>
          </w:p>
        </w:tc>
        <w:tc>
          <w:tcPr>
            <w:tcW w:w="658" w:type="pct"/>
            <w:noWrap w:val="0"/>
            <w:vAlign w:val="center"/>
          </w:tcPr>
          <w:p w14:paraId="7B0AA0F4">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11.03</w:t>
            </w:r>
          </w:p>
        </w:tc>
        <w:tc>
          <w:tcPr>
            <w:tcW w:w="658" w:type="pct"/>
            <w:noWrap w:val="0"/>
            <w:vAlign w:val="center"/>
          </w:tcPr>
          <w:p w14:paraId="52A160B3">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2.89</w:t>
            </w:r>
          </w:p>
        </w:tc>
        <w:tc>
          <w:tcPr>
            <w:tcW w:w="658" w:type="pct"/>
            <w:noWrap w:val="0"/>
            <w:vAlign w:val="center"/>
          </w:tcPr>
          <w:p w14:paraId="3C86C671">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1.15</w:t>
            </w:r>
          </w:p>
        </w:tc>
        <w:tc>
          <w:tcPr>
            <w:tcW w:w="658" w:type="pct"/>
            <w:noWrap w:val="0"/>
            <w:vAlign w:val="center"/>
          </w:tcPr>
          <w:p w14:paraId="4EDA85BF">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0.86</w:t>
            </w:r>
          </w:p>
        </w:tc>
        <w:tc>
          <w:tcPr>
            <w:tcW w:w="658" w:type="pct"/>
            <w:noWrap w:val="0"/>
            <w:vAlign w:val="center"/>
          </w:tcPr>
          <w:p w14:paraId="11220EA0">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0.56</w:t>
            </w:r>
          </w:p>
        </w:tc>
      </w:tr>
      <w:tr w14:paraId="22F7F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vMerge w:val="continue"/>
            <w:noWrap w:val="0"/>
            <w:vAlign w:val="center"/>
          </w:tcPr>
          <w:p w14:paraId="5A211E59">
            <w:pPr>
              <w:widowControl/>
              <w:adjustRightInd w:val="0"/>
              <w:snapToGrid w:val="0"/>
              <w:spacing w:line="240" w:lineRule="auto"/>
              <w:ind w:firstLine="0" w:firstLineChars="0"/>
              <w:jc w:val="center"/>
              <w:rPr>
                <w:rFonts w:hint="default" w:ascii="Times New Roman" w:hAnsi="Times New Roman" w:eastAsia="宋体" w:cs="Times New Roman"/>
                <w:color w:val="auto"/>
              </w:rPr>
            </w:pPr>
          </w:p>
        </w:tc>
        <w:tc>
          <w:tcPr>
            <w:tcW w:w="603" w:type="pct"/>
            <w:noWrap w:val="0"/>
            <w:vAlign w:val="center"/>
          </w:tcPr>
          <w:p w14:paraId="78560027">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洒水</w:t>
            </w:r>
          </w:p>
        </w:tc>
        <w:tc>
          <w:tcPr>
            <w:tcW w:w="658" w:type="pct"/>
            <w:noWrap w:val="0"/>
            <w:vAlign w:val="center"/>
          </w:tcPr>
          <w:p w14:paraId="7510A352">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2.11</w:t>
            </w:r>
          </w:p>
        </w:tc>
        <w:tc>
          <w:tcPr>
            <w:tcW w:w="658" w:type="pct"/>
            <w:noWrap w:val="0"/>
            <w:vAlign w:val="center"/>
          </w:tcPr>
          <w:p w14:paraId="54F27790">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1.40</w:t>
            </w:r>
          </w:p>
        </w:tc>
        <w:tc>
          <w:tcPr>
            <w:tcW w:w="658" w:type="pct"/>
            <w:noWrap w:val="0"/>
            <w:vAlign w:val="center"/>
          </w:tcPr>
          <w:p w14:paraId="6FFFFF08">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0.68</w:t>
            </w:r>
          </w:p>
        </w:tc>
        <w:tc>
          <w:tcPr>
            <w:tcW w:w="658" w:type="pct"/>
            <w:noWrap w:val="0"/>
            <w:vAlign w:val="center"/>
          </w:tcPr>
          <w:p w14:paraId="2626A2C7">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0.60</w:t>
            </w:r>
          </w:p>
        </w:tc>
        <w:tc>
          <w:tcPr>
            <w:tcW w:w="658" w:type="pct"/>
            <w:noWrap w:val="0"/>
            <w:vAlign w:val="center"/>
          </w:tcPr>
          <w:p w14:paraId="6C6DE9BA">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0.29</w:t>
            </w:r>
          </w:p>
        </w:tc>
      </w:tr>
      <w:tr w14:paraId="25664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5" w:type="pct"/>
            <w:noWrap w:val="0"/>
            <w:vAlign w:val="center"/>
          </w:tcPr>
          <w:p w14:paraId="42E96DBE">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降尘率（%）</w:t>
            </w:r>
          </w:p>
        </w:tc>
        <w:tc>
          <w:tcPr>
            <w:tcW w:w="603" w:type="pct"/>
            <w:noWrap w:val="0"/>
            <w:vAlign w:val="center"/>
          </w:tcPr>
          <w:p w14:paraId="5E0C55B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t>—</w:t>
            </w:r>
          </w:p>
        </w:tc>
        <w:tc>
          <w:tcPr>
            <w:tcW w:w="658" w:type="pct"/>
            <w:noWrap w:val="0"/>
            <w:vAlign w:val="center"/>
          </w:tcPr>
          <w:p w14:paraId="47F150A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81</w:t>
            </w:r>
          </w:p>
        </w:tc>
        <w:tc>
          <w:tcPr>
            <w:tcW w:w="658" w:type="pct"/>
            <w:noWrap w:val="0"/>
            <w:vAlign w:val="center"/>
          </w:tcPr>
          <w:p w14:paraId="6647D6D7">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52</w:t>
            </w:r>
          </w:p>
        </w:tc>
        <w:tc>
          <w:tcPr>
            <w:tcW w:w="658" w:type="pct"/>
            <w:noWrap w:val="0"/>
            <w:vAlign w:val="center"/>
          </w:tcPr>
          <w:p w14:paraId="34EF4229">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41</w:t>
            </w:r>
          </w:p>
        </w:tc>
        <w:tc>
          <w:tcPr>
            <w:tcW w:w="658" w:type="pct"/>
            <w:noWrap w:val="0"/>
            <w:vAlign w:val="center"/>
          </w:tcPr>
          <w:p w14:paraId="53824B05">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30</w:t>
            </w:r>
          </w:p>
        </w:tc>
        <w:tc>
          <w:tcPr>
            <w:tcW w:w="658" w:type="pct"/>
            <w:noWrap w:val="0"/>
            <w:vAlign w:val="center"/>
          </w:tcPr>
          <w:p w14:paraId="5DF3CBD6">
            <w:pPr>
              <w:widowControl/>
              <w:adjustRightInd w:val="0"/>
              <w:snapToGrid w:val="0"/>
              <w:spacing w:line="240" w:lineRule="auto"/>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sz w:val="20"/>
                <w:szCs w:val="20"/>
                <w:lang w:bidi="ar"/>
              </w:rPr>
              <w:t>48</w:t>
            </w:r>
          </w:p>
        </w:tc>
      </w:tr>
    </w:tbl>
    <w:p w14:paraId="0B8FD54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上表可知，通过采取适时洒水措施后运输道路扬尘在距路200m处基本可以满足环境空气质量二级标准的要求。因此要求建设单位配备洒水车，全线定期洒水抑尘。在起始点居民区附近、终点甘庄中学附近、靠近甘庄集镇处等敏感点段施工场地设置高度不低于2.5m的硬质施工围挡，应加强路面洒水抑尘和规范运输方式，采取措施后，运输扬尘对沿线敏感点的影响较小。</w:t>
      </w:r>
    </w:p>
    <w:p w14:paraId="14A4FCF5">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5.1.1.2铺路废气影响分析</w:t>
      </w:r>
    </w:p>
    <w:p w14:paraId="6180DED2">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施工阶段对大气的污染除扬尘外，沥青烟是另一主要污染源，主要出现在沥青路面铺设过程中。本工程沥青混凝土全部采用商品沥青混凝土，成品沥青混凝土采用无热源或高温容器将沥青运至铺浇路段，采用机械摊铺。沥青摊铺过程中会释放少量的沥青烟及微量颗粒物、苯并[a]芘，由于路面采用沥青混凝土摊铺机机械化施工，摊铺机移动进行，摊铺过程历时较短，沥青烟、颗粒物、苯并[a]芘排放浓度较低，沥青摊铺过程中污染物浓度一般在下风向50m外苯并（a）芘低于0.00001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，酚在下风向60m外低于0.01mg/m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，THC在下风向60m外低于0.16mg/m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。沥青烟、颗粒物、苯并[a]芘满足《大气污染物综合排放标准》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16297-1996）</w:t>
      </w:r>
      <w:r>
        <w:rPr>
          <w:rFonts w:hint="default" w:ascii="Times New Roman" w:hAnsi="Times New Roman" w:eastAsia="宋体" w:cs="Times New Roman"/>
          <w:color w:val="auto"/>
          <w:kern w:val="0"/>
          <w:lang w:bidi="ar"/>
        </w:rPr>
        <w:t>表2中的无组织排放监控浓度限值要求，对周围环境影响较小，且只是暂时的，随着摊铺过程的结束，影响随之消失。</w:t>
      </w:r>
    </w:p>
    <w:p w14:paraId="26EBF963">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5.1.1.3车辆和机械尾气影响分析</w:t>
      </w:r>
    </w:p>
    <w:p w14:paraId="09F95D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期运输车辆和施工机械会产生尾气，其污染物主要包括CO、NOx、HC等，项目施工期间通过采取采用尾气达标排放的运输车辆和施工机械，燃油车辆、机械使用优质燃料，加强对施工机械维护管理，运输车辆统一调度、避免出现拥挤尾气排放增加等措施，可有效降低尾气的排放，同时项目沿线较为空旷，扩散条件较好，项目建设不会对周围环境空气产生明显影响，且影响是短暂的，随着施工期的结束而结束。</w:t>
      </w:r>
    </w:p>
    <w:p w14:paraId="7ACC677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综上，由于项目施工期、施工范围相对较长，为减小施工扬尘对</w:t>
      </w:r>
      <w:r>
        <w:rPr>
          <w:rFonts w:hint="eastAsia" w:cs="Times New Roman"/>
          <w:color w:val="auto"/>
          <w:kern w:val="0"/>
          <w:lang w:val="en-US" w:eastAsia="zh-CN" w:bidi="ar"/>
        </w:rPr>
        <w:t>临近村庄、学校</w:t>
      </w:r>
      <w:r>
        <w:rPr>
          <w:rFonts w:hint="default" w:ascii="Times New Roman" w:hAnsi="Times New Roman" w:eastAsia="宋体" w:cs="Times New Roman"/>
          <w:color w:val="auto"/>
          <w:kern w:val="0"/>
          <w:lang w:bidi="ar"/>
        </w:rPr>
        <w:t>和周边环境的大气影响，评价根据相关法律法规及地方管理要求提出的大气污染防治措施如下：</w:t>
      </w:r>
    </w:p>
    <w:p w14:paraId="0516065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①施工期间对易起尘物料堆放应当采取密闭、围挡、遮盖、清扫、洒水等措施，减少内部物料的堆存、传输、装卸等环节产生的粉尘和气态污染物的排放。</w:t>
      </w:r>
    </w:p>
    <w:p w14:paraId="29EDA27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②施工应特别注意在人口集中地区和其他依法需要特殊保护的区域内，禁止焚烧沥青。</w:t>
      </w:r>
    </w:p>
    <w:p w14:paraId="26D036D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③运输、装卸、贮存能够散发粉尘物质的，必须采取密闭措施；装卸物料应当采取密闭或者喷淋等方式防治扬尘污染。</w:t>
      </w:r>
    </w:p>
    <w:p w14:paraId="7CA9DCC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④施工期间应采取加强施工环境管理工作、控制渣土堆放和清洁运输等措施，尽量减少施工场地裸露地面，土石方开挖回填尽量边挖边填、就近回填。</w:t>
      </w:r>
    </w:p>
    <w:p w14:paraId="6123525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⑤建设单位应当将防治扬尘污染的费用列入工程造价，并在施工承包合同中明确施工单位扬尘污染防治责任；施工单位应当制定具体的施工扬尘污染防治实施方案，建立扬尘控制责任制度。</w:t>
      </w:r>
    </w:p>
    <w:p w14:paraId="304A50E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⑥施工单位应当在施工工地设置硬质围挡，并采取覆盖、分段作业、择时施工、洒水抑尘等有效防尘降尘措施。建筑土方、工程渣土、建筑垃圾应当及时清运；在场地内堆存的，应当采用密闭式防尘网遮盖。施工单位应当在施工工地公示扬尘污染防治措施、负责人、扬尘监督管理主管部门等信息。</w:t>
      </w:r>
    </w:p>
    <w:p w14:paraId="432F61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⑦暂时不能开工的建设用地，建设单位应当对裸露地面进行覆盖；超过三个月的，应当进行绿化、铺装或者遮盖。</w:t>
      </w:r>
    </w:p>
    <w:p w14:paraId="707EBC1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⑧运输渣土、砂石、土方、灰浆等散装、流体物料的车辆应当采取密闭措施防止物料遗撒造成扬尘污染，并按照规定路线行驶。贮存水泥、砂土等易产生扬尘的物料应当密闭；不能密闭的，应当设置不低于堆放物高度的严密围挡，并采取有效覆盖措施防治扬尘污染。</w:t>
      </w:r>
    </w:p>
    <w:p w14:paraId="06BF74D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⑨施工单位应增加工地洒水抑尘频次，至少每4小时洒水1次，每天至少洒水6次，全天保持裸露地面湿润，不能因刮风、上料、运输等原因产生扬尘污染，停止土方施工作业，料堆、土堆增加防尘措施或覆盖；增加工地上裸露地面的洒水压尘频次；加强施工扬尘环境监理。加强对物料及施工运输车辆的环境管理监督与管理，防止出现车辆物料装载超高、无遮挡措施和超速行驶等行为，减少交通扬尘污染。</w:t>
      </w:r>
    </w:p>
    <w:p w14:paraId="0419BAB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经采取以上措施后，项目施工扬尘和堆料扬尘能得到有效控制，项目施工建设对周边大气敏感点环境影响可接受。</w:t>
      </w:r>
    </w:p>
    <w:p w14:paraId="6FA7E0E6">
      <w:pPr>
        <w:pStyle w:val="5"/>
        <w:ind w:left="0" w:leftChars="0" w:firstLine="0" w:firstLineChars="0"/>
        <w:rPr>
          <w:rFonts w:hint="default" w:ascii="Times New Roman" w:hAnsi="Times New Roman" w:eastAsia="宋体" w:cs="Times New Roman"/>
          <w:color w:val="auto"/>
        </w:rPr>
      </w:pPr>
      <w:bookmarkStart w:id="102" w:name="_Toc5804"/>
      <w:r>
        <w:rPr>
          <w:rFonts w:hint="default" w:ascii="Times New Roman" w:hAnsi="Times New Roman" w:eastAsia="宋体" w:cs="Times New Roman"/>
          <w:color w:val="auto"/>
        </w:rPr>
        <w:t>5.1.2施工期水环境影响分析</w:t>
      </w:r>
      <w:bookmarkEnd w:id="102"/>
    </w:p>
    <w:p w14:paraId="4D5556A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本工程施工期不可避免地会对水环境产生一定的影响，污染源主要包括施工人员生活污水、施工废水和地表径流。</w:t>
      </w:r>
    </w:p>
    <w:p w14:paraId="12FFF61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（1）施工人员生活污水影响分析 </w:t>
      </w:r>
    </w:p>
    <w:p w14:paraId="2AB3F37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施工期生活污水来自项目部和施工生活区施工人员盥洗产生的废水，主要污染物为COD、NH</w:t>
      </w:r>
      <w:r>
        <w:rPr>
          <w:rFonts w:hint="default" w:ascii="Times New Roman" w:hAnsi="Times New Roman" w:eastAsia="宋体" w:cs="Times New Roman"/>
          <w:color w:val="auto"/>
          <w:kern w:val="0"/>
          <w:vertAlign w:val="subscript"/>
          <w:lang w:bidi="ar"/>
        </w:rPr>
        <w:t>3</w:t>
      </w:r>
      <w:r>
        <w:rPr>
          <w:rFonts w:hint="default" w:ascii="Times New Roman" w:hAnsi="Times New Roman" w:eastAsia="宋体" w:cs="Times New Roman"/>
          <w:color w:val="auto"/>
          <w:kern w:val="0"/>
          <w:lang w:bidi="ar"/>
        </w:rPr>
        <w:t>-N、SS、动植物油等。本项目施工期高峰期施工人员约100人，生活用水量按20L/d·人计，生活污水按照用水量80%计算，施工人员生活污水总产生量为2m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/d。</w:t>
      </w:r>
    </w:p>
    <w:p w14:paraId="333A899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施工生活污水主要污染物及其浓度分别为COD</w:t>
      </w:r>
      <w:r>
        <w:rPr>
          <w:rFonts w:hint="default" w:ascii="Times New Roman" w:hAnsi="Times New Roman" w:eastAsia="宋体" w:cs="Times New Roman"/>
          <w:color w:val="auto"/>
          <w:kern w:val="0"/>
          <w:vertAlign w:val="subscript"/>
          <w:lang w:bidi="ar"/>
        </w:rPr>
        <w:t>Cr</w:t>
      </w:r>
      <w:r>
        <w:rPr>
          <w:rFonts w:hint="default" w:ascii="Times New Roman" w:hAnsi="Times New Roman" w:eastAsia="宋体" w:cs="Times New Roman"/>
          <w:color w:val="auto"/>
          <w:kern w:val="0"/>
          <w:lang w:bidi="ar"/>
        </w:rPr>
        <w:t>300mg/L、BOD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150mg/L、SS200mg/L、NH</w:t>
      </w:r>
      <w:r>
        <w:rPr>
          <w:rFonts w:hint="default" w:ascii="Times New Roman" w:hAnsi="Times New Roman" w:eastAsia="宋体" w:cs="Times New Roman"/>
          <w:color w:val="auto"/>
          <w:kern w:val="0"/>
          <w:vertAlign w:val="subscript"/>
          <w:lang w:bidi="ar"/>
        </w:rPr>
        <w:t>3</w:t>
      </w:r>
      <w:r>
        <w:rPr>
          <w:rFonts w:hint="default" w:ascii="Times New Roman" w:hAnsi="Times New Roman" w:eastAsia="宋体" w:cs="Times New Roman"/>
          <w:color w:val="auto"/>
          <w:kern w:val="0"/>
          <w:lang w:bidi="ar"/>
        </w:rPr>
        <w:t>-N 30mg/L、TP 5mg/L。项目施工期间不设施工营地，施工人员就近租住当地的民房，产生的生活污水依托租住居民住宅的化粪池，经化粪池处理后作为农田菜地施肥，不外排，另外，对生活垃圾严格管理，将生活垃圾集中堆存、及时清理，减少降雨冲刷、淋溶产生的污水径流，避免对地表水环境产生污染影响。</w:t>
      </w:r>
    </w:p>
    <w:p w14:paraId="09939B4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经采取上述措施后，施工生活废水完全回用不外排，对途经的地表水环境影响较小。</w:t>
      </w:r>
    </w:p>
    <w:p w14:paraId="0EC5545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（2）施工废水影响分析 </w:t>
      </w:r>
    </w:p>
    <w:p w14:paraId="5B157E7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本项目施工现场不设置沥青拌合站和混凝土拌合站，项目车辆、机械设备冲洗，施工机械跑、冒、滴、漏的污油及露天机械受雨水冲刷等将产生少量含油污水。</w:t>
      </w:r>
    </w:p>
    <w:p w14:paraId="7E76D73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本项目施工机械冲洗废水产生量为10m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/d，整个施工期12个月产生总量为3600m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。参照《公路建设项目环境影响评价规范（试行）》（JTJ005-96）附录C</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表C4冲洗汽车污水成分参考值，施工机械冲洗废水的主要污染物浓度为 COD 200mg/L、SS 4000mg/L、石油类30mg/L。采用隔油池、沉淀池处理施工机械冲洗废水，处理水储存于清水池中回用于再次机械冲洗，不外排。</w:t>
      </w:r>
    </w:p>
    <w:p w14:paraId="2A47620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生产废水不得直接排入河流，应对生产废水由沉淀池收集，经酸碱中和沉淀、隔油除渣等简单处理。本环评要求应在施工场地周边</w:t>
      </w:r>
      <w:r>
        <w:rPr>
          <w:rFonts w:hint="default" w:ascii="Times New Roman" w:hAnsi="Times New Roman" w:eastAsia="宋体" w:cs="Times New Roman"/>
          <w:color w:val="auto"/>
          <w:kern w:val="0"/>
          <w:lang w:eastAsia="zh-CN" w:bidi="ar"/>
        </w:rPr>
        <w:t>设置</w:t>
      </w:r>
      <w:r>
        <w:rPr>
          <w:rFonts w:hint="default" w:ascii="Times New Roman" w:hAnsi="Times New Roman" w:eastAsia="宋体" w:cs="Times New Roman"/>
          <w:color w:val="auto"/>
          <w:kern w:val="0"/>
          <w:lang w:bidi="ar"/>
        </w:rPr>
        <w:t>截水沟，施工生产废水采用沉淀池沉淀处理后储存于清水池中回用于再次机械冲洗，不外排，禁止将未经处理的生产废水排入地表水体。沉淀池沉泥作为路基填料或运至弃渣场。建设期对于施工材料（如沥青、油料、化学品等）应远离水域，并设置</w:t>
      </w:r>
      <w:r>
        <w:rPr>
          <w:rFonts w:hint="default" w:ascii="Times New Roman" w:hAnsi="Times New Roman" w:eastAsia="宋体" w:cs="Times New Roman"/>
          <w:color w:val="auto"/>
          <w:kern w:val="0"/>
          <w:lang w:eastAsia="zh-CN" w:bidi="ar"/>
        </w:rPr>
        <w:t>环形</w:t>
      </w:r>
      <w:r>
        <w:rPr>
          <w:rFonts w:hint="default" w:ascii="Times New Roman" w:hAnsi="Times New Roman" w:eastAsia="宋体" w:cs="Times New Roman"/>
          <w:color w:val="auto"/>
          <w:kern w:val="0"/>
          <w:lang w:bidi="ar"/>
        </w:rPr>
        <w:t>排水沟和渗水坑，以防意外溢出污染地面水。在严格落实各种管理及防护措施后，施工期生产废水不会对项目区地表水环境带来明显影响。</w:t>
      </w:r>
    </w:p>
    <w:p w14:paraId="18F0F65C">
      <w:pPr>
        <w:widowControl/>
        <w:ind w:firstLine="480"/>
        <w:jc w:val="left"/>
        <w:rPr>
          <w:rFonts w:hint="default" w:ascii="Times New Roman" w:hAnsi="Times New Roman" w:eastAsia="宋体" w:cs="Times New Roman"/>
          <w:color w:val="auto"/>
          <w:kern w:val="0"/>
          <w:lang w:val="en-US" w:eastAsia="zh-CN" w:bidi="ar"/>
        </w:rPr>
      </w:pPr>
      <w:r>
        <w:rPr>
          <w:rFonts w:hint="eastAsia" w:cs="Times New Roman"/>
          <w:color w:val="auto"/>
          <w:kern w:val="0"/>
          <w:lang w:val="en-US" w:eastAsia="zh-CN" w:bidi="ar"/>
        </w:rPr>
        <w:t>根据施工设计图，施工期设置有排水沟，与甘庄集镇</w:t>
      </w:r>
      <w:r>
        <w:rPr>
          <w:rFonts w:hint="eastAsia"/>
          <w:color w:val="auto"/>
          <w:vertAlign w:val="baseline"/>
          <w:lang w:val="en-US" w:eastAsia="zh-CN"/>
        </w:rPr>
        <w:t>雨污管网能够相衔接。</w:t>
      </w:r>
    </w:p>
    <w:p w14:paraId="0AEC3411">
      <w:pPr>
        <w:widowControl/>
        <w:ind w:firstLine="480"/>
        <w:jc w:val="left"/>
        <w:rPr>
          <w:rFonts w:hint="eastAsia" w:ascii="Times New Roman" w:hAnsi="Times New Roman" w:eastAsia="宋体" w:cs="Times New Roman"/>
          <w:color w:val="auto"/>
          <w:kern w:val="0"/>
          <w:lang w:eastAsia="zh-CN" w:bidi="ar"/>
        </w:rPr>
      </w:pPr>
      <w:r>
        <w:rPr>
          <w:rFonts w:hint="eastAsia" w:ascii="Times New Roman" w:hAnsi="Times New Roman" w:eastAsia="宋体" w:cs="Times New Roman"/>
          <w:color w:val="auto"/>
          <w:kern w:val="0"/>
          <w:lang w:eastAsia="zh-CN" w:bidi="ar"/>
        </w:rPr>
        <w:drawing>
          <wp:inline distT="0" distB="0" distL="114300" distR="114300">
            <wp:extent cx="4784090" cy="3500755"/>
            <wp:effectExtent l="9525" t="9525" r="26035" b="13970"/>
            <wp:docPr id="5" name="图片 5" descr="aee3e2d3-d68a-4534-a150-0c6f97ecd8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ee3e2d3-d68a-4534-a150-0c6f97ecd83b"/>
                    <pic:cNvPicPr>
                      <a:picLocks noChangeAspect="1"/>
                    </pic:cNvPicPr>
                  </pic:nvPicPr>
                  <pic:blipFill>
                    <a:blip r:embed="rId65"/>
                    <a:stretch>
                      <a:fillRect/>
                    </a:stretch>
                  </pic:blipFill>
                  <pic:spPr>
                    <a:xfrm>
                      <a:off x="0" y="0"/>
                      <a:ext cx="4784090" cy="3500755"/>
                    </a:xfrm>
                    <a:prstGeom prst="rect">
                      <a:avLst/>
                    </a:prstGeom>
                    <a:ln>
                      <a:solidFill>
                        <a:schemeClr val="tx1"/>
                      </a:solidFill>
                    </a:ln>
                  </pic:spPr>
                </pic:pic>
              </a:graphicData>
            </a:graphic>
          </wp:inline>
        </w:drawing>
      </w:r>
    </w:p>
    <w:p w14:paraId="01452ABE">
      <w:pPr>
        <w:widowControl/>
        <w:ind w:firstLine="480"/>
        <w:jc w:val="center"/>
        <w:rPr>
          <w:rFonts w:hint="default" w:ascii="Times New Roman" w:hAnsi="Times New Roman" w:eastAsia="宋体" w:cs="Times New Roman"/>
          <w:b/>
          <w:bCs/>
          <w:color w:val="auto"/>
          <w:kern w:val="0"/>
          <w:sz w:val="21"/>
          <w:szCs w:val="21"/>
          <w:lang w:val="en-US" w:eastAsia="zh-CN" w:bidi="ar"/>
        </w:rPr>
      </w:pPr>
      <w:r>
        <w:rPr>
          <w:rFonts w:hint="eastAsia" w:cs="Times New Roman"/>
          <w:b/>
          <w:bCs/>
          <w:color w:val="auto"/>
          <w:kern w:val="0"/>
          <w:sz w:val="21"/>
          <w:szCs w:val="21"/>
          <w:lang w:val="en-US" w:eastAsia="zh-CN" w:bidi="ar"/>
        </w:rPr>
        <w:t>图5.1-1  项目排水工程总平面布置图</w:t>
      </w:r>
    </w:p>
    <w:p w14:paraId="6A599EB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（3）弃渣场对地表水的影响</w:t>
      </w:r>
    </w:p>
    <w:p w14:paraId="4DBE38E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弃渣场对项目公路沿线路基等工程开挖产生的废土、废石进行堆存，弃渣场对地表水的影响主要为弃渣场淋滤水外排对环境造成的影响。根据类似弃渣场淋滤水污染物监测情况，污染物主要是SS等，无有害污染物，淋滤水污染物经简单沉淀后一般不会超出</w:t>
      </w:r>
      <w:r>
        <w:rPr>
          <w:rFonts w:hint="default" w:ascii="Times New Roman" w:hAnsi="Times New Roman" w:eastAsia="宋体" w:cs="Times New Roman"/>
          <w:color w:val="auto"/>
          <w:kern w:val="0"/>
          <w:lang w:bidi="ar"/>
        </w:rPr>
        <w:t>《污水综合排放标准》（GB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8978-1996）</w:t>
      </w:r>
      <w:r>
        <w:rPr>
          <w:rFonts w:hint="default" w:ascii="Times New Roman" w:hAnsi="Times New Roman" w:eastAsia="宋体" w:cs="Times New Roman"/>
          <w:color w:val="auto"/>
          <w:kern w:val="0"/>
          <w:lang w:bidi="ar"/>
        </w:rPr>
        <w:t>一级标准限值要求。弃渣场排水沟末端将建设沉淀池，淋滤水经沉淀后再外排。根据调查，弃渣场未建设在饮用水源保护区范围内，不会对饮用水源造成影响。采取上述措施后，对地表水环境影响较小。</w:t>
      </w:r>
    </w:p>
    <w:p w14:paraId="4957475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（4）施工期含油污水</w:t>
      </w:r>
    </w:p>
    <w:p w14:paraId="106773D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施工期间施工机械的修理、维护过程及作业过</w:t>
      </w:r>
      <w:r>
        <w:rPr>
          <w:rFonts w:hint="default" w:ascii="Times New Roman" w:hAnsi="Times New Roman" w:eastAsia="宋体" w:cs="Times New Roman"/>
          <w:color w:val="auto"/>
          <w:kern w:val="0"/>
          <w:lang w:eastAsia="zh-CN" w:bidi="ar"/>
        </w:rPr>
        <w:t>程中</w:t>
      </w:r>
      <w:r>
        <w:rPr>
          <w:rFonts w:hint="default" w:ascii="Times New Roman" w:hAnsi="Times New Roman" w:eastAsia="宋体" w:cs="Times New Roman"/>
          <w:color w:val="auto"/>
          <w:kern w:val="0"/>
          <w:lang w:bidi="ar"/>
        </w:rPr>
        <w:t>可能产生跑、冒、滴、漏情况，如直接进入水体将对河流水质造成不良影响。主要表现为油污水进入水体后浮于水面，阻碍油水界面的物质交换，使水体溶解氧得不到及时补给，给水生生物生命活动造成威胁。</w:t>
      </w:r>
    </w:p>
    <w:p w14:paraId="25D037B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因此，施工场地和机械设备堆放场内，机械日常维修保养区域应防渗处理，定期检修杜绝事故跑、冒、滴、漏现象。对集中更换机油、设备维护保养等可能产生较多废油的工作必须在设定的维护场地进行，不得在施工现场操作。雨天应对燃油机械遮盖防雨，防止雨水冲刷机械设备造成的含油废水。维修场地修建截排水沟，排水沟末端设置隔油沉淀池。隔油沉淀池浮油应委托资质单位定期清掏，收集于专用的危险废物收集桶内，其他废矿物油一并交资质单位处置；废水可回用场地洒水降尘。</w:t>
      </w:r>
    </w:p>
    <w:p w14:paraId="7CB5870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通过采取上述措施后，施工期含油废水能得到有效收集处置，对附近地表水环境影响较小。</w:t>
      </w:r>
    </w:p>
    <w:p w14:paraId="35C9F59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（5）建筑材料运输与堆放对附近水体的影响</w:t>
      </w:r>
    </w:p>
    <w:p w14:paraId="5C67F22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路基的填筑以及各种筑路材料的运输等，均会引起扬尘，这些尘埃会随风飘落到路侧的水体中，尤其是靠路较近的水体，将会对水体产生一定的影响。</w:t>
      </w:r>
    </w:p>
    <w:p w14:paraId="15F9EC4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此外，各类建筑材料在堆放过程中若堆存不当，在雨季可能会有部分的建筑材料被雨水冲刷进入水体，可能会造成较为严重的水污染，尤其是上述距离水体较近的路段，各类建筑材料如管理不善，极易被降雨产生的径流携带冲入河道中，从而对地表水体的水质造成影响。因此施工阶段应妥善保管各类建筑材料，使其远离河岸，并在原料临时堆存场地设置临时遮挡的帆布，避免被暴雨冲刷进入水体而污染水质。减轻对水生生物、下游灌溉等产生影响。</w:t>
      </w:r>
    </w:p>
    <w:p w14:paraId="0F03C11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（6）地表径流对水环境的影响分析</w:t>
      </w:r>
    </w:p>
    <w:p w14:paraId="6AAF6BB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施工期间，裸露地表开挖、填筑边坡在降雨量较大时将产生大量的水土流失而进入周围水体，会对汇水区下游水环境造成较大的影响；路基的填筑以及各种筑路材料的运输等，均会引起扬尘，所以施工产生的粉尘影响是难免的。而这些尘埃会随风飘落到路侧的水体中，尤其是靠路较近的水体，将会对水体产生一定的影响。</w:t>
      </w:r>
    </w:p>
    <w:p w14:paraId="0019D56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设计单位和水保单位已针对施工可能引发的水土流失提出设置截排水沟、防护边坡、挡墙等防治措施，其中施工材料拟用塑料薄膜对开挖和填筑区未采取防护措施的边坡、堆料场等进行覆盖，在临时堆土场周围设置截排水沟，在路基两侧周围设置截排水沟，并在截排水沟末端设置沉淀池等措施，减少表土裸露及被雨水冲刷。</w:t>
      </w:r>
    </w:p>
    <w:p w14:paraId="7E82077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此外，施工区各类建筑材料（如沥青、油料等）在堆放过程中若保管不善，被雨水冲刷而进入水体可能会造成较为严重的水污染。因此对各类有害建筑材料（如沥青、油料等）应设</w:t>
      </w:r>
      <w:r>
        <w:rPr>
          <w:rFonts w:hint="default" w:ascii="Times New Roman" w:hAnsi="Times New Roman" w:eastAsia="宋体" w:cs="Times New Roman"/>
          <w:color w:val="auto"/>
          <w:kern w:val="0"/>
          <w:lang w:eastAsia="zh-CN" w:bidi="ar"/>
        </w:rPr>
        <w:t>篷盖</w:t>
      </w:r>
      <w:r>
        <w:rPr>
          <w:rFonts w:hint="default" w:ascii="Times New Roman" w:hAnsi="Times New Roman" w:eastAsia="宋体" w:cs="Times New Roman"/>
          <w:color w:val="auto"/>
          <w:kern w:val="0"/>
          <w:lang w:bidi="ar"/>
        </w:rPr>
        <w:t>，避免雨水冲刷造成污染。工程固废如果处理不当，经雨水冲刷、淋溶、浸泡，随地表径流进入水体，将使地表水中悬浮物等污染物浓度明显增加，造成对水环境的影响。本项目施工临时场站砂石物料入棚；施工现场若堆放砂石料时，应采取苫盖措施，并于场界设置临时围挡并设临时排水设施，雨水经简易隔砂池沉淀后再排出，同时废弃的施工物料及时清运。</w:t>
      </w:r>
    </w:p>
    <w:p w14:paraId="55A28E7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评价认为上述措施能满足施工期水土流失防治和环境保护需求，经采取上述防治措施后，可以将地表径流对水环境产生的影响降至最低。</w:t>
      </w:r>
    </w:p>
    <w:p w14:paraId="59750BA8">
      <w:pPr>
        <w:pStyle w:val="5"/>
        <w:ind w:left="0" w:leftChars="0" w:firstLine="0" w:firstLineChars="0"/>
        <w:rPr>
          <w:rFonts w:hint="default" w:ascii="Times New Roman" w:hAnsi="Times New Roman" w:eastAsia="宋体" w:cs="Times New Roman"/>
          <w:color w:val="auto"/>
        </w:rPr>
      </w:pPr>
      <w:bookmarkStart w:id="103" w:name="_Toc30201"/>
      <w:bookmarkStart w:id="104" w:name="_Toc367844675"/>
      <w:r>
        <w:rPr>
          <w:rFonts w:hint="default" w:ascii="Times New Roman" w:hAnsi="Times New Roman" w:eastAsia="宋体" w:cs="Times New Roman"/>
          <w:color w:val="auto"/>
        </w:rPr>
        <w:t>5.1.3施工期噪声环境影响分析</w:t>
      </w:r>
      <w:bookmarkEnd w:id="103"/>
      <w:bookmarkEnd w:id="104"/>
    </w:p>
    <w:p w14:paraId="3936777D">
      <w:pPr>
        <w:ind w:firstLine="480"/>
        <w:rPr>
          <w:rFonts w:hint="default" w:ascii="Times New Roman" w:hAnsi="Times New Roman" w:eastAsia="宋体" w:cs="Times New Roman"/>
          <w:b/>
          <w:color w:val="auto"/>
        </w:rPr>
      </w:pPr>
      <w:bookmarkStart w:id="105" w:name="_Toc129071089"/>
      <w:bookmarkStart w:id="106" w:name="_Toc367844676"/>
      <w:r>
        <w:rPr>
          <w:rFonts w:hint="default" w:ascii="Times New Roman" w:hAnsi="Times New Roman" w:eastAsia="宋体" w:cs="Times New Roman"/>
          <w:snapToGrid w:val="0"/>
          <w:color w:val="auto"/>
          <w:kern w:val="0"/>
        </w:rPr>
        <w:t>施工期噪声主要包括主体工程施工噪声和临时工程施工噪声</w:t>
      </w:r>
      <w:r>
        <w:rPr>
          <w:rFonts w:hint="eastAsia" w:cs="Times New Roman"/>
          <w:snapToGrid w:val="0"/>
          <w:color w:val="auto"/>
          <w:kern w:val="0"/>
          <w:lang w:eastAsia="zh-CN"/>
        </w:rPr>
        <w:t>，</w:t>
      </w:r>
      <w:r>
        <w:rPr>
          <w:rFonts w:hint="default" w:ascii="Times New Roman" w:hAnsi="Times New Roman" w:eastAsia="宋体" w:cs="Times New Roman"/>
          <w:snapToGrid w:val="0"/>
          <w:color w:val="auto"/>
          <w:kern w:val="0"/>
        </w:rPr>
        <w:t>拟建项目临时工程主要包括施工营场地、弃渣场，其中施工营场地主要包括</w:t>
      </w:r>
      <w:r>
        <w:rPr>
          <w:rFonts w:hint="default" w:ascii="Times New Roman" w:hAnsi="Times New Roman" w:eastAsia="宋体" w:cs="Times New Roman"/>
          <w:color w:val="auto"/>
        </w:rPr>
        <w:t>施工营地、预制场、拌合场等设施，对声环境的影响主要表现在施工营地生活噪声，预制场和拌合站搅拌机等的机械噪声；弃渣场主要是运输渣土车辆噪声和推土机机械噪声。</w:t>
      </w:r>
    </w:p>
    <w:p w14:paraId="4F07DD98">
      <w:pPr>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1</w:t>
      </w:r>
      <w:bookmarkEnd w:id="105"/>
      <w:r>
        <w:rPr>
          <w:rFonts w:hint="default" w:ascii="Times New Roman" w:hAnsi="Times New Roman" w:eastAsia="宋体" w:cs="Times New Roman"/>
          <w:b/>
          <w:color w:val="auto"/>
        </w:rPr>
        <w:t>.预测模式</w:t>
      </w:r>
    </w:p>
    <w:p w14:paraId="7424CA5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施工噪声可按点声源处理，根据合成声源、点声源噪声衰减模式，估算出离声源不同距离处的噪声值，预测模式如下：</w:t>
      </w:r>
    </w:p>
    <w:p w14:paraId="535B98B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合成声源计算模式：</w:t>
      </w:r>
    </w:p>
    <w:p w14:paraId="074E4116">
      <w:pPr>
        <w:tabs>
          <w:tab w:val="left" w:pos="1620"/>
        </w:tabs>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vertAlign w:val="subscript"/>
        </w:rPr>
        <w:object>
          <v:shape id="_x0000_i1029" o:spt="75" type="#_x0000_t75" style="height:36pt;width:105pt;" o:ole="t" filled="f" o:preferrelative="t" stroked="f" coordsize="21600,21600">
            <v:path/>
            <v:fill on="f" focussize="0,0"/>
            <v:stroke on="f"/>
            <v:imagedata r:id="rId67" o:title=""/>
            <o:lock v:ext="edit" grouping="f" rotation="f" text="f" aspectratio="t"/>
            <w10:wrap type="none"/>
            <w10:anchorlock/>
          </v:shape>
          <o:OLEObject Type="Embed" ProgID="Equation.3" ShapeID="_x0000_i1029" DrawAspect="Content" ObjectID="_1468075729" r:id="rId66">
            <o:LockedField>false</o:LockedField>
          </o:OLEObject>
        </w:object>
      </w:r>
    </w:p>
    <w:p w14:paraId="04F97F81">
      <w:pPr>
        <w:tabs>
          <w:tab w:val="center" w:pos="2520"/>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式中：L</w:t>
      </w:r>
      <w:r>
        <w:rPr>
          <w:rFonts w:hint="default" w:ascii="Times New Roman" w:hAnsi="Times New Roman" w:eastAsia="宋体" w:cs="Times New Roman"/>
          <w:color w:val="auto"/>
          <w:vertAlign w:val="subscript"/>
        </w:rPr>
        <w:t>A</w:t>
      </w:r>
      <w:r>
        <w:rPr>
          <w:rFonts w:hint="default" w:ascii="Times New Roman" w:hAnsi="Times New Roman" w:eastAsia="宋体" w:cs="Times New Roman"/>
          <w:color w:val="auto"/>
        </w:rPr>
        <w:t>：合成声源声级，dB（A）；</w:t>
      </w:r>
    </w:p>
    <w:p w14:paraId="358DD6C0">
      <w:pPr>
        <w:tabs>
          <w:tab w:val="center" w:pos="2520"/>
        </w:tabs>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color w:val="auto"/>
        </w:rPr>
        <w:t>n：声源个数；</w:t>
      </w:r>
    </w:p>
    <w:p w14:paraId="1CD42313">
      <w:pPr>
        <w:tabs>
          <w:tab w:val="center" w:pos="2520"/>
        </w:tabs>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color w:val="auto"/>
        </w:rPr>
        <w:t>L</w:t>
      </w:r>
      <w:r>
        <w:rPr>
          <w:rFonts w:hint="default" w:ascii="Times New Roman" w:hAnsi="Times New Roman" w:eastAsia="宋体" w:cs="Times New Roman"/>
          <w:color w:val="auto"/>
          <w:vertAlign w:val="subscript"/>
        </w:rPr>
        <w:t>i</w:t>
      </w:r>
      <w:r>
        <w:rPr>
          <w:rFonts w:hint="default" w:ascii="Times New Roman" w:hAnsi="Times New Roman" w:eastAsia="宋体" w:cs="Times New Roman"/>
          <w:color w:val="auto"/>
        </w:rPr>
        <w:t>：某声源的噪声值，dB（A）。</w:t>
      </w:r>
    </w:p>
    <w:p w14:paraId="6A637DB5">
      <w:pPr>
        <w:tabs>
          <w:tab w:val="center" w:pos="2520"/>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点声源衰减模式：</w:t>
      </w:r>
    </w:p>
    <w:p w14:paraId="6A9D0F76">
      <w:pPr>
        <w:tabs>
          <w:tab w:val="left" w:pos="1620"/>
        </w:tabs>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position w:val="-30"/>
          <w:vertAlign w:val="subscript"/>
        </w:rPr>
        <w:object>
          <v:shape id="_x0000_i1030" o:spt="75" type="#_x0000_t75" style="height:35pt;width:114pt;" o:ole="t" filled="f" o:preferrelative="t" stroked="f" coordsize="21600,21600">
            <v:path/>
            <v:fill on="f" alignshape="1" focussize="0,0"/>
            <v:stroke on="f"/>
            <v:imagedata r:id="rId69" o:title=""/>
            <o:lock v:ext="edit" aspectratio="t"/>
            <w10:wrap type="none"/>
            <w10:anchorlock/>
          </v:shape>
          <o:OLEObject Type="Embed" ProgID="Equation.3" ShapeID="_x0000_i1030" DrawAspect="Content" ObjectID="_1468075730" r:id="rId68">
            <o:LockedField>false</o:LockedField>
          </o:OLEObject>
        </w:object>
      </w:r>
    </w:p>
    <w:p w14:paraId="3A24E5CC">
      <w:pPr>
        <w:tabs>
          <w:tab w:val="left" w:pos="1620"/>
        </w:tabs>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式中：L</w:t>
      </w:r>
      <w:r>
        <w:rPr>
          <w:rFonts w:hint="default" w:ascii="Times New Roman" w:hAnsi="Times New Roman" w:eastAsia="宋体" w:cs="Times New Roman"/>
          <w:color w:val="auto"/>
          <w:vertAlign w:val="subscript"/>
        </w:rPr>
        <w:t>i</w:t>
      </w:r>
      <w:r>
        <w:rPr>
          <w:rFonts w:hint="default" w:ascii="Times New Roman" w:hAnsi="Times New Roman" w:eastAsia="宋体" w:cs="Times New Roman"/>
          <w:color w:val="auto"/>
        </w:rPr>
        <w:t>：距声源r</w:t>
      </w:r>
      <w:r>
        <w:rPr>
          <w:rFonts w:hint="default" w:ascii="Times New Roman" w:hAnsi="Times New Roman" w:eastAsia="宋体" w:cs="Times New Roman"/>
          <w:color w:val="auto"/>
          <w:vertAlign w:val="subscript"/>
        </w:rPr>
        <w:t>i</w:t>
      </w:r>
      <w:r>
        <w:rPr>
          <w:rFonts w:hint="default" w:ascii="Times New Roman" w:hAnsi="Times New Roman" w:eastAsia="宋体" w:cs="Times New Roman"/>
          <w:color w:val="auto"/>
        </w:rPr>
        <w:t>处的声级，dB（A）；</w:t>
      </w:r>
    </w:p>
    <w:p w14:paraId="78C82907">
      <w:pPr>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color w:val="auto"/>
        </w:rPr>
        <w:t>L</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：距声源r</w:t>
      </w:r>
      <w:r>
        <w:rPr>
          <w:rFonts w:hint="default" w:ascii="Times New Roman" w:hAnsi="Times New Roman" w:eastAsia="宋体" w:cs="Times New Roman"/>
          <w:color w:val="auto"/>
          <w:vertAlign w:val="subscript"/>
        </w:rPr>
        <w:t>0</w:t>
      </w:r>
      <w:r>
        <w:rPr>
          <w:rFonts w:hint="default" w:ascii="Times New Roman" w:hAnsi="Times New Roman" w:eastAsia="宋体" w:cs="Times New Roman"/>
          <w:color w:val="auto"/>
        </w:rPr>
        <w:t>处的声级，dB（A）。</w:t>
      </w:r>
    </w:p>
    <w:p w14:paraId="6366C38C">
      <w:pPr>
        <w:ind w:firstLine="1200" w:firstLineChars="500"/>
        <w:rPr>
          <w:rFonts w:hint="default" w:ascii="Times New Roman" w:hAnsi="Times New Roman" w:eastAsia="宋体" w:cs="Times New Roman"/>
          <w:color w:val="auto"/>
        </w:rPr>
      </w:pPr>
      <w:r>
        <w:rPr>
          <w:rFonts w:hint="default" w:ascii="Times New Roman" w:hAnsi="Times New Roman" w:eastAsia="宋体" w:cs="Times New Roman"/>
          <w:color w:val="auto"/>
        </w:rPr>
        <w:t>△L ：其它因素引起的噪声衰减量，dB(A)。</w:t>
      </w:r>
    </w:p>
    <w:p w14:paraId="7304653A">
      <w:pPr>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2.预测结果</w:t>
      </w:r>
    </w:p>
    <w:p w14:paraId="7E663C31">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施工期噪声污染源主要由施工作业机械产生，根据常用机械的实测资料，其污染源强分别见表5.1-</w:t>
      </w:r>
      <w:r>
        <w:rPr>
          <w:rFonts w:hint="default" w:ascii="Times New Roman" w:hAnsi="Times New Roman" w:eastAsia="宋体" w:cs="Times New Roman"/>
          <w:snapToGrid w:val="0"/>
          <w:color w:val="auto"/>
          <w:kern w:val="0"/>
          <w:lang w:val="en-US" w:eastAsia="zh-CN"/>
        </w:rPr>
        <w:t>5</w:t>
      </w:r>
      <w:r>
        <w:rPr>
          <w:rFonts w:hint="default" w:ascii="Times New Roman" w:hAnsi="Times New Roman" w:eastAsia="宋体" w:cs="Times New Roman"/>
          <w:snapToGrid w:val="0"/>
          <w:color w:val="auto"/>
          <w:kern w:val="0"/>
        </w:rPr>
        <w:t>。</w:t>
      </w:r>
    </w:p>
    <w:p w14:paraId="03FA7FB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表5.1-</w:t>
      </w:r>
      <w:r>
        <w:rPr>
          <w:rFonts w:hint="default" w:ascii="Times New Roman" w:hAnsi="Times New Roman" w:eastAsia="宋体" w:cs="Times New Roman"/>
          <w:b/>
          <w:bCs/>
          <w:color w:val="auto"/>
          <w:kern w:val="0"/>
          <w:sz w:val="21"/>
          <w:szCs w:val="21"/>
          <w:lang w:val="en-US" w:eastAsia="zh-CN" w:bidi="ar"/>
        </w:rPr>
        <w:t>5</w:t>
      </w:r>
      <w:r>
        <w:rPr>
          <w:rFonts w:hint="default" w:ascii="Times New Roman" w:hAnsi="Times New Roman" w:eastAsia="宋体" w:cs="Times New Roman"/>
          <w:b/>
          <w:bCs/>
          <w:color w:val="auto"/>
          <w:kern w:val="0"/>
          <w:sz w:val="21"/>
          <w:szCs w:val="21"/>
          <w:lang w:bidi="ar"/>
        </w:rPr>
        <w:t xml:space="preserve">   道路工程施工机械噪声值</w:t>
      </w:r>
    </w:p>
    <w:tbl>
      <w:tblPr>
        <w:tblStyle w:val="58"/>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45"/>
        <w:gridCol w:w="2569"/>
        <w:gridCol w:w="1327"/>
        <w:gridCol w:w="2269"/>
        <w:gridCol w:w="1716"/>
      </w:tblGrid>
      <w:tr w14:paraId="0DA9EA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323" w:type="pct"/>
            <w:noWrap w:val="0"/>
            <w:vAlign w:val="center"/>
          </w:tcPr>
          <w:p w14:paraId="552BBC0A">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序号</w:t>
            </w:r>
          </w:p>
        </w:tc>
        <w:tc>
          <w:tcPr>
            <w:tcW w:w="1524" w:type="pct"/>
            <w:noWrap w:val="0"/>
            <w:vAlign w:val="center"/>
          </w:tcPr>
          <w:p w14:paraId="690B0A9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机械类型</w:t>
            </w:r>
          </w:p>
        </w:tc>
        <w:tc>
          <w:tcPr>
            <w:tcW w:w="787" w:type="pct"/>
            <w:noWrap w:val="0"/>
            <w:vAlign w:val="center"/>
          </w:tcPr>
          <w:p w14:paraId="3E16F38A">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型  号</w:t>
            </w:r>
          </w:p>
        </w:tc>
        <w:tc>
          <w:tcPr>
            <w:tcW w:w="1346" w:type="pct"/>
            <w:noWrap w:val="0"/>
            <w:vAlign w:val="center"/>
          </w:tcPr>
          <w:p w14:paraId="7983B0D0">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测点距施工机械</w:t>
            </w:r>
          </w:p>
          <w:p w14:paraId="0E18DC3C">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距离(m)</w:t>
            </w:r>
          </w:p>
        </w:tc>
        <w:tc>
          <w:tcPr>
            <w:tcW w:w="1018" w:type="pct"/>
            <w:noWrap w:val="0"/>
            <w:vAlign w:val="center"/>
          </w:tcPr>
          <w:p w14:paraId="7E12AC02">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最大声级</w:t>
            </w:r>
          </w:p>
          <w:p w14:paraId="10AD3079">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Lmax[dB（A）]</w:t>
            </w:r>
          </w:p>
        </w:tc>
      </w:tr>
      <w:tr w14:paraId="3CE7BFB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1F53F757">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524" w:type="pct"/>
            <w:noWrap w:val="0"/>
            <w:vAlign w:val="center"/>
          </w:tcPr>
          <w:p w14:paraId="41CE19BC">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轮式装载机</w:t>
            </w:r>
          </w:p>
        </w:tc>
        <w:tc>
          <w:tcPr>
            <w:tcW w:w="787" w:type="pct"/>
            <w:noWrap w:val="0"/>
            <w:vAlign w:val="center"/>
          </w:tcPr>
          <w:p w14:paraId="18892D8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ZL40型</w:t>
            </w:r>
          </w:p>
        </w:tc>
        <w:tc>
          <w:tcPr>
            <w:tcW w:w="1346" w:type="pct"/>
            <w:noWrap w:val="0"/>
            <w:vAlign w:val="center"/>
          </w:tcPr>
          <w:p w14:paraId="019CC7A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5A27232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90</w:t>
            </w:r>
          </w:p>
        </w:tc>
      </w:tr>
      <w:tr w14:paraId="582F92F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323" w:type="pct"/>
            <w:noWrap w:val="0"/>
            <w:vAlign w:val="center"/>
          </w:tcPr>
          <w:p w14:paraId="1D1D105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w:t>
            </w:r>
          </w:p>
        </w:tc>
        <w:tc>
          <w:tcPr>
            <w:tcW w:w="1524" w:type="pct"/>
            <w:noWrap w:val="0"/>
            <w:vAlign w:val="center"/>
          </w:tcPr>
          <w:p w14:paraId="5346D49E">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轮式装载机</w:t>
            </w:r>
          </w:p>
        </w:tc>
        <w:tc>
          <w:tcPr>
            <w:tcW w:w="787" w:type="pct"/>
            <w:noWrap w:val="0"/>
            <w:vAlign w:val="center"/>
          </w:tcPr>
          <w:p w14:paraId="0205B952">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ZL50型</w:t>
            </w:r>
          </w:p>
        </w:tc>
        <w:tc>
          <w:tcPr>
            <w:tcW w:w="1346" w:type="pct"/>
            <w:noWrap w:val="0"/>
            <w:vAlign w:val="center"/>
          </w:tcPr>
          <w:p w14:paraId="15579C0C">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385B32AD">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90</w:t>
            </w:r>
          </w:p>
        </w:tc>
      </w:tr>
      <w:tr w14:paraId="08E11F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514BAEF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3</w:t>
            </w:r>
          </w:p>
        </w:tc>
        <w:tc>
          <w:tcPr>
            <w:tcW w:w="1524" w:type="pct"/>
            <w:noWrap w:val="0"/>
            <w:vAlign w:val="center"/>
          </w:tcPr>
          <w:p w14:paraId="7CEB011A">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平地机</w:t>
            </w:r>
          </w:p>
        </w:tc>
        <w:tc>
          <w:tcPr>
            <w:tcW w:w="787" w:type="pct"/>
            <w:noWrap w:val="0"/>
            <w:vAlign w:val="center"/>
          </w:tcPr>
          <w:p w14:paraId="47A97236">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PY16A型</w:t>
            </w:r>
          </w:p>
        </w:tc>
        <w:tc>
          <w:tcPr>
            <w:tcW w:w="1346" w:type="pct"/>
            <w:noWrap w:val="0"/>
            <w:vAlign w:val="center"/>
          </w:tcPr>
          <w:p w14:paraId="09B3645A">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43D8FDF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90</w:t>
            </w:r>
          </w:p>
        </w:tc>
      </w:tr>
      <w:tr w14:paraId="3B98B6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493E154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4</w:t>
            </w:r>
          </w:p>
        </w:tc>
        <w:tc>
          <w:tcPr>
            <w:tcW w:w="1524" w:type="pct"/>
            <w:noWrap w:val="0"/>
            <w:vAlign w:val="center"/>
          </w:tcPr>
          <w:p w14:paraId="16189DC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振动式压路机</w:t>
            </w:r>
          </w:p>
        </w:tc>
        <w:tc>
          <w:tcPr>
            <w:tcW w:w="787" w:type="pct"/>
            <w:noWrap w:val="0"/>
            <w:vAlign w:val="center"/>
          </w:tcPr>
          <w:p w14:paraId="79DB565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YZJ10B型</w:t>
            </w:r>
          </w:p>
        </w:tc>
        <w:tc>
          <w:tcPr>
            <w:tcW w:w="1346" w:type="pct"/>
            <w:noWrap w:val="0"/>
            <w:vAlign w:val="center"/>
          </w:tcPr>
          <w:p w14:paraId="2C6CFD25">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3ABA3D6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86</w:t>
            </w:r>
          </w:p>
        </w:tc>
      </w:tr>
      <w:tr w14:paraId="6A60FCD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2A591928">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524" w:type="pct"/>
            <w:noWrap w:val="0"/>
            <w:vAlign w:val="center"/>
          </w:tcPr>
          <w:p w14:paraId="03BC9A83">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双轮双振压路机</w:t>
            </w:r>
          </w:p>
        </w:tc>
        <w:tc>
          <w:tcPr>
            <w:tcW w:w="787" w:type="pct"/>
            <w:noWrap w:val="0"/>
            <w:vAlign w:val="center"/>
          </w:tcPr>
          <w:p w14:paraId="379AB225">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CC21型</w:t>
            </w:r>
          </w:p>
        </w:tc>
        <w:tc>
          <w:tcPr>
            <w:tcW w:w="1346" w:type="pct"/>
            <w:noWrap w:val="0"/>
            <w:vAlign w:val="center"/>
          </w:tcPr>
          <w:p w14:paraId="113B21FB">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54E4F44E">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81</w:t>
            </w:r>
          </w:p>
        </w:tc>
      </w:tr>
      <w:tr w14:paraId="58E9F5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72F25F3B">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6</w:t>
            </w:r>
          </w:p>
        </w:tc>
        <w:tc>
          <w:tcPr>
            <w:tcW w:w="1524" w:type="pct"/>
            <w:noWrap w:val="0"/>
            <w:vAlign w:val="center"/>
          </w:tcPr>
          <w:p w14:paraId="705C64B8">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三轮压路机</w:t>
            </w:r>
          </w:p>
        </w:tc>
        <w:tc>
          <w:tcPr>
            <w:tcW w:w="787" w:type="pct"/>
            <w:noWrap w:val="0"/>
            <w:vAlign w:val="center"/>
          </w:tcPr>
          <w:p w14:paraId="0D966E59">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w:t>
            </w:r>
          </w:p>
        </w:tc>
        <w:tc>
          <w:tcPr>
            <w:tcW w:w="1346" w:type="pct"/>
            <w:noWrap w:val="0"/>
            <w:vAlign w:val="center"/>
          </w:tcPr>
          <w:p w14:paraId="349B72F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09F13ECC">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81</w:t>
            </w:r>
          </w:p>
        </w:tc>
      </w:tr>
      <w:tr w14:paraId="6D3EBCB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7AE1D9C3">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7</w:t>
            </w:r>
          </w:p>
        </w:tc>
        <w:tc>
          <w:tcPr>
            <w:tcW w:w="1524" w:type="pct"/>
            <w:noWrap w:val="0"/>
            <w:vAlign w:val="center"/>
          </w:tcPr>
          <w:p w14:paraId="6FBC194E">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轮胎压路机</w:t>
            </w:r>
          </w:p>
        </w:tc>
        <w:tc>
          <w:tcPr>
            <w:tcW w:w="787" w:type="pct"/>
            <w:noWrap w:val="0"/>
            <w:vAlign w:val="center"/>
          </w:tcPr>
          <w:p w14:paraId="628E3402">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ZL16型</w:t>
            </w:r>
          </w:p>
        </w:tc>
        <w:tc>
          <w:tcPr>
            <w:tcW w:w="1346" w:type="pct"/>
            <w:noWrap w:val="0"/>
            <w:vAlign w:val="center"/>
          </w:tcPr>
          <w:p w14:paraId="35D52631">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50284303">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76</w:t>
            </w:r>
          </w:p>
        </w:tc>
      </w:tr>
      <w:tr w14:paraId="41D5CB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3949AF3D">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w:t>
            </w:r>
          </w:p>
        </w:tc>
        <w:tc>
          <w:tcPr>
            <w:tcW w:w="1524" w:type="pct"/>
            <w:noWrap w:val="0"/>
            <w:vAlign w:val="center"/>
          </w:tcPr>
          <w:p w14:paraId="5825CC11">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推土机</w:t>
            </w:r>
          </w:p>
        </w:tc>
        <w:tc>
          <w:tcPr>
            <w:tcW w:w="787" w:type="pct"/>
            <w:noWrap w:val="0"/>
            <w:vAlign w:val="center"/>
          </w:tcPr>
          <w:p w14:paraId="191F59C9">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T140型</w:t>
            </w:r>
          </w:p>
        </w:tc>
        <w:tc>
          <w:tcPr>
            <w:tcW w:w="1346" w:type="pct"/>
            <w:noWrap w:val="0"/>
            <w:vAlign w:val="center"/>
          </w:tcPr>
          <w:p w14:paraId="3D350479">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3AFD8B61">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86</w:t>
            </w:r>
          </w:p>
        </w:tc>
      </w:tr>
      <w:tr w14:paraId="6578C23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20589481">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9</w:t>
            </w:r>
          </w:p>
        </w:tc>
        <w:tc>
          <w:tcPr>
            <w:tcW w:w="1524" w:type="pct"/>
            <w:noWrap w:val="0"/>
            <w:vAlign w:val="center"/>
          </w:tcPr>
          <w:p w14:paraId="23635E06">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轮胎式液压挖掘机</w:t>
            </w:r>
          </w:p>
        </w:tc>
        <w:tc>
          <w:tcPr>
            <w:tcW w:w="787" w:type="pct"/>
            <w:noWrap w:val="0"/>
            <w:vAlign w:val="center"/>
          </w:tcPr>
          <w:p w14:paraId="336D045A">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W4-60C型</w:t>
            </w:r>
          </w:p>
        </w:tc>
        <w:tc>
          <w:tcPr>
            <w:tcW w:w="1346" w:type="pct"/>
            <w:noWrap w:val="0"/>
            <w:vAlign w:val="center"/>
          </w:tcPr>
          <w:p w14:paraId="52A67F7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72015D75">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84</w:t>
            </w:r>
          </w:p>
        </w:tc>
      </w:tr>
      <w:tr w14:paraId="20ADEE2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03729BE5">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10</w:t>
            </w:r>
          </w:p>
        </w:tc>
        <w:tc>
          <w:tcPr>
            <w:tcW w:w="1524" w:type="pct"/>
            <w:noWrap w:val="0"/>
            <w:vAlign w:val="center"/>
          </w:tcPr>
          <w:p w14:paraId="58F5ED4D">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发电机组</w:t>
            </w:r>
            <w:r>
              <w:rPr>
                <w:rFonts w:hint="eastAsia" w:cs="Times New Roman"/>
                <w:b w:val="0"/>
                <w:bCs w:val="0"/>
                <w:color w:val="auto"/>
                <w:kern w:val="0"/>
                <w:sz w:val="21"/>
                <w:szCs w:val="21"/>
                <w:lang w:eastAsia="zh-CN" w:bidi="ar"/>
              </w:rPr>
              <w:t>（</w:t>
            </w:r>
            <w:r>
              <w:rPr>
                <w:rFonts w:hint="default" w:ascii="Times New Roman" w:hAnsi="Times New Roman" w:eastAsia="宋体" w:cs="Times New Roman"/>
                <w:b w:val="0"/>
                <w:bCs w:val="0"/>
                <w:color w:val="auto"/>
                <w:kern w:val="0"/>
                <w:sz w:val="21"/>
                <w:szCs w:val="21"/>
                <w:lang w:bidi="ar"/>
              </w:rPr>
              <w:t>2台</w:t>
            </w:r>
            <w:r>
              <w:rPr>
                <w:rFonts w:hint="eastAsia" w:cs="Times New Roman"/>
                <w:b w:val="0"/>
                <w:bCs w:val="0"/>
                <w:color w:val="auto"/>
                <w:kern w:val="0"/>
                <w:sz w:val="21"/>
                <w:szCs w:val="21"/>
                <w:lang w:eastAsia="zh-CN" w:bidi="ar"/>
              </w:rPr>
              <w:t>）</w:t>
            </w:r>
          </w:p>
        </w:tc>
        <w:tc>
          <w:tcPr>
            <w:tcW w:w="787" w:type="pct"/>
            <w:noWrap w:val="0"/>
            <w:vAlign w:val="center"/>
          </w:tcPr>
          <w:p w14:paraId="1A71280B">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FKV-75</w:t>
            </w:r>
          </w:p>
        </w:tc>
        <w:tc>
          <w:tcPr>
            <w:tcW w:w="1346" w:type="pct"/>
            <w:noWrap w:val="0"/>
            <w:vAlign w:val="center"/>
          </w:tcPr>
          <w:p w14:paraId="77C098B5">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018" w:type="pct"/>
            <w:noWrap w:val="0"/>
            <w:vAlign w:val="center"/>
          </w:tcPr>
          <w:p w14:paraId="19911F8A">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98</w:t>
            </w:r>
          </w:p>
        </w:tc>
      </w:tr>
      <w:tr w14:paraId="7B22439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1594EDE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11</w:t>
            </w:r>
          </w:p>
        </w:tc>
        <w:tc>
          <w:tcPr>
            <w:tcW w:w="1524" w:type="pct"/>
            <w:noWrap w:val="0"/>
            <w:vAlign w:val="center"/>
          </w:tcPr>
          <w:p w14:paraId="20E67E08">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铺滩机</w:t>
            </w:r>
          </w:p>
        </w:tc>
        <w:tc>
          <w:tcPr>
            <w:tcW w:w="787" w:type="pct"/>
            <w:noWrap w:val="0"/>
            <w:vAlign w:val="center"/>
          </w:tcPr>
          <w:p w14:paraId="59F8AA92">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w:t>
            </w:r>
          </w:p>
        </w:tc>
        <w:tc>
          <w:tcPr>
            <w:tcW w:w="1346" w:type="pct"/>
            <w:noWrap w:val="0"/>
            <w:vAlign w:val="center"/>
          </w:tcPr>
          <w:p w14:paraId="2C13A0BF">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w:t>
            </w:r>
          </w:p>
        </w:tc>
        <w:tc>
          <w:tcPr>
            <w:tcW w:w="1018" w:type="pct"/>
            <w:noWrap w:val="0"/>
            <w:vAlign w:val="center"/>
          </w:tcPr>
          <w:p w14:paraId="79EDFC9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81</w:t>
            </w:r>
          </w:p>
        </w:tc>
      </w:tr>
      <w:tr w14:paraId="488A5CE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13E5642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12</w:t>
            </w:r>
          </w:p>
        </w:tc>
        <w:tc>
          <w:tcPr>
            <w:tcW w:w="1524" w:type="pct"/>
            <w:noWrap w:val="0"/>
            <w:vAlign w:val="center"/>
          </w:tcPr>
          <w:p w14:paraId="5B7ED68B">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冲击式钻井机</w:t>
            </w:r>
          </w:p>
        </w:tc>
        <w:tc>
          <w:tcPr>
            <w:tcW w:w="787" w:type="pct"/>
            <w:noWrap w:val="0"/>
            <w:vAlign w:val="center"/>
          </w:tcPr>
          <w:p w14:paraId="62076A92">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22型</w:t>
            </w:r>
          </w:p>
        </w:tc>
        <w:tc>
          <w:tcPr>
            <w:tcW w:w="1346" w:type="pct"/>
            <w:noWrap w:val="0"/>
            <w:vAlign w:val="center"/>
          </w:tcPr>
          <w:p w14:paraId="19D8C63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018" w:type="pct"/>
            <w:noWrap w:val="0"/>
            <w:vAlign w:val="center"/>
          </w:tcPr>
          <w:p w14:paraId="00B17E7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87</w:t>
            </w:r>
          </w:p>
        </w:tc>
      </w:tr>
      <w:tr w14:paraId="1BBD873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jc w:val="center"/>
        </w:trPr>
        <w:tc>
          <w:tcPr>
            <w:tcW w:w="323" w:type="pct"/>
            <w:noWrap w:val="0"/>
            <w:vAlign w:val="center"/>
          </w:tcPr>
          <w:p w14:paraId="64A882C3">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13</w:t>
            </w:r>
          </w:p>
        </w:tc>
        <w:tc>
          <w:tcPr>
            <w:tcW w:w="1524" w:type="pct"/>
            <w:noWrap w:val="0"/>
            <w:vAlign w:val="center"/>
          </w:tcPr>
          <w:p w14:paraId="06B6E224">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混凝土搅拌机</w:t>
            </w:r>
          </w:p>
        </w:tc>
        <w:tc>
          <w:tcPr>
            <w:tcW w:w="787" w:type="pct"/>
            <w:noWrap w:val="0"/>
            <w:vAlign w:val="center"/>
          </w:tcPr>
          <w:p w14:paraId="19F19172">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JZC350型</w:t>
            </w:r>
          </w:p>
        </w:tc>
        <w:tc>
          <w:tcPr>
            <w:tcW w:w="1346" w:type="pct"/>
            <w:noWrap w:val="0"/>
            <w:vAlign w:val="center"/>
          </w:tcPr>
          <w:p w14:paraId="2AAC1850">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w:t>
            </w:r>
          </w:p>
        </w:tc>
        <w:tc>
          <w:tcPr>
            <w:tcW w:w="1018" w:type="pct"/>
            <w:noWrap w:val="0"/>
            <w:vAlign w:val="center"/>
          </w:tcPr>
          <w:p w14:paraId="27A4E96A">
            <w:pPr>
              <w:widowControl/>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79</w:t>
            </w:r>
          </w:p>
        </w:tc>
      </w:tr>
    </w:tbl>
    <w:p w14:paraId="2ACE8795">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b w:val="0"/>
          <w:bCs w:val="0"/>
          <w:snapToGrid w:val="0"/>
          <w:color w:val="auto"/>
          <w:kern w:val="0"/>
        </w:rPr>
        <w:t>根据表5</w:t>
      </w:r>
      <w:r>
        <w:rPr>
          <w:rFonts w:hint="default" w:ascii="Times New Roman" w:hAnsi="Times New Roman" w:eastAsia="宋体" w:cs="Times New Roman"/>
          <w:b w:val="0"/>
          <w:bCs w:val="0"/>
          <w:snapToGrid w:val="0"/>
          <w:color w:val="auto"/>
          <w:kern w:val="0"/>
          <w:lang w:val="en-US" w:eastAsia="zh-CN"/>
        </w:rPr>
        <w:t>.1</w:t>
      </w:r>
      <w:r>
        <w:rPr>
          <w:rFonts w:hint="default" w:ascii="Times New Roman" w:hAnsi="Times New Roman" w:eastAsia="宋体" w:cs="Times New Roman"/>
          <w:b w:val="0"/>
          <w:bCs w:val="0"/>
          <w:snapToGrid w:val="0"/>
          <w:color w:val="auto"/>
          <w:kern w:val="0"/>
        </w:rPr>
        <w:t>-</w:t>
      </w:r>
      <w:r>
        <w:rPr>
          <w:rFonts w:hint="eastAsia" w:cs="Times New Roman"/>
          <w:b w:val="0"/>
          <w:bCs w:val="0"/>
          <w:snapToGrid w:val="0"/>
          <w:color w:val="auto"/>
          <w:kern w:val="0"/>
          <w:lang w:val="en-US" w:eastAsia="zh-CN"/>
        </w:rPr>
        <w:t>5</w:t>
      </w:r>
      <w:r>
        <w:rPr>
          <w:rFonts w:hint="default" w:ascii="Times New Roman" w:hAnsi="Times New Roman" w:eastAsia="宋体" w:cs="Times New Roman"/>
          <w:b w:val="0"/>
          <w:bCs w:val="0"/>
          <w:snapToGrid w:val="0"/>
          <w:color w:val="auto"/>
          <w:kern w:val="0"/>
        </w:rPr>
        <w:t>中施工机械满负荷运行单机噪声值，采用上述公式，计算得到施</w:t>
      </w:r>
      <w:r>
        <w:rPr>
          <w:rFonts w:hint="default" w:ascii="Times New Roman" w:hAnsi="Times New Roman" w:eastAsia="宋体" w:cs="Times New Roman"/>
          <w:snapToGrid w:val="0"/>
          <w:color w:val="auto"/>
          <w:kern w:val="0"/>
        </w:rPr>
        <w:t>工期主要施工机械满负荷运行时不同距离处的噪声预测结果见表5</w:t>
      </w:r>
      <w:r>
        <w:rPr>
          <w:rFonts w:hint="default" w:ascii="Times New Roman" w:hAnsi="Times New Roman" w:eastAsia="宋体" w:cs="Times New Roman"/>
          <w:snapToGrid w:val="0"/>
          <w:color w:val="auto"/>
          <w:kern w:val="0"/>
          <w:lang w:val="en-US" w:eastAsia="zh-CN"/>
        </w:rPr>
        <w:t>.1</w:t>
      </w:r>
      <w:r>
        <w:rPr>
          <w:rFonts w:hint="default" w:ascii="Times New Roman" w:hAnsi="Times New Roman" w:eastAsia="宋体" w:cs="Times New Roman"/>
          <w:snapToGrid w:val="0"/>
          <w:color w:val="auto"/>
          <w:kern w:val="0"/>
        </w:rPr>
        <w:t>-</w:t>
      </w:r>
      <w:r>
        <w:rPr>
          <w:rFonts w:hint="eastAsia" w:cs="Times New Roman"/>
          <w:snapToGrid w:val="0"/>
          <w:color w:val="auto"/>
          <w:kern w:val="0"/>
          <w:lang w:val="en-US" w:eastAsia="zh-CN"/>
        </w:rPr>
        <w:t>6</w:t>
      </w:r>
      <w:r>
        <w:rPr>
          <w:rFonts w:hint="default" w:ascii="Times New Roman" w:hAnsi="Times New Roman" w:eastAsia="宋体" w:cs="Times New Roman"/>
          <w:snapToGrid w:val="0"/>
          <w:color w:val="auto"/>
          <w:kern w:val="0"/>
        </w:rPr>
        <w:t>。</w:t>
      </w:r>
    </w:p>
    <w:p w14:paraId="68E596F2">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施工期间，不同施工阶段使用的施工机械的组合形式是不同的。其中路基施工期间施工噪声的影响范围相对较大，按路基施工期间，1台挖掘机、1台推土机、2台装载机组合施工考虑，不同距离处的噪声预测结果见表5.1-</w:t>
      </w:r>
      <w:r>
        <w:rPr>
          <w:rFonts w:hint="default" w:ascii="Times New Roman" w:hAnsi="Times New Roman" w:eastAsia="宋体" w:cs="Times New Roman"/>
          <w:snapToGrid w:val="0"/>
          <w:color w:val="auto"/>
          <w:kern w:val="0"/>
          <w:lang w:val="en-US" w:eastAsia="zh-CN"/>
        </w:rPr>
        <w:t>6</w:t>
      </w:r>
      <w:r>
        <w:rPr>
          <w:rFonts w:hint="default" w:ascii="Times New Roman" w:hAnsi="Times New Roman" w:eastAsia="宋体" w:cs="Times New Roman"/>
          <w:snapToGrid w:val="0"/>
          <w:color w:val="auto"/>
          <w:kern w:val="0"/>
        </w:rPr>
        <w:t>。</w:t>
      </w:r>
    </w:p>
    <w:p w14:paraId="4D33996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p w14:paraId="1789A739">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表5.1-</w:t>
      </w:r>
      <w:r>
        <w:rPr>
          <w:rFonts w:hint="default" w:ascii="Times New Roman" w:hAnsi="Times New Roman" w:eastAsia="宋体" w:cs="Times New Roman"/>
          <w:b/>
          <w:bCs/>
          <w:color w:val="auto"/>
          <w:kern w:val="0"/>
          <w:sz w:val="21"/>
          <w:szCs w:val="21"/>
          <w:lang w:val="en-US" w:eastAsia="zh-CN" w:bidi="ar"/>
        </w:rPr>
        <w:t>6</w:t>
      </w:r>
      <w:r>
        <w:rPr>
          <w:rFonts w:hint="default" w:ascii="Times New Roman" w:hAnsi="Times New Roman" w:eastAsia="宋体" w:cs="Times New Roman"/>
          <w:b/>
          <w:bCs/>
          <w:color w:val="auto"/>
          <w:kern w:val="0"/>
          <w:sz w:val="21"/>
          <w:szCs w:val="21"/>
          <w:lang w:bidi="ar"/>
        </w:rPr>
        <w:t xml:space="preserve">  路基施工期间机械噪声预测结果      单位：Leq[dB(A)]</w:t>
      </w:r>
    </w:p>
    <w:tbl>
      <w:tblPr>
        <w:tblStyle w:val="58"/>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220"/>
        <w:gridCol w:w="663"/>
        <w:gridCol w:w="665"/>
        <w:gridCol w:w="665"/>
        <w:gridCol w:w="663"/>
        <w:gridCol w:w="665"/>
        <w:gridCol w:w="665"/>
        <w:gridCol w:w="665"/>
        <w:gridCol w:w="663"/>
        <w:gridCol w:w="665"/>
        <w:gridCol w:w="666"/>
        <w:gridCol w:w="663"/>
      </w:tblGrid>
      <w:tr w14:paraId="559F86B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15" w:type="pct"/>
            <w:vMerge w:val="restart"/>
            <w:noWrap w:val="0"/>
            <w:vAlign w:val="center"/>
          </w:tcPr>
          <w:p w14:paraId="135BA98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施工形式</w:t>
            </w:r>
          </w:p>
        </w:tc>
        <w:tc>
          <w:tcPr>
            <w:tcW w:w="4285" w:type="pct"/>
            <w:gridSpan w:val="11"/>
            <w:noWrap w:val="0"/>
            <w:vAlign w:val="center"/>
          </w:tcPr>
          <w:p w14:paraId="4A9D206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距施工点距离</w:t>
            </w:r>
            <w:r>
              <w:rPr>
                <w:rFonts w:hint="default" w:ascii="Times New Roman" w:hAnsi="Times New Roman" w:eastAsia="宋体" w:cs="Times New Roman"/>
                <w:b/>
                <w:bCs/>
                <w:color w:val="auto"/>
                <w:kern w:val="0"/>
                <w:sz w:val="21"/>
                <w:szCs w:val="21"/>
                <w:lang w:eastAsia="zh-CN" w:bidi="ar"/>
              </w:rPr>
              <w:t>（</w:t>
            </w:r>
            <w:r>
              <w:rPr>
                <w:rFonts w:hint="default" w:ascii="Times New Roman" w:hAnsi="Times New Roman" w:eastAsia="宋体" w:cs="Times New Roman"/>
                <w:b/>
                <w:bCs/>
                <w:color w:val="auto"/>
                <w:kern w:val="0"/>
                <w:sz w:val="21"/>
                <w:szCs w:val="21"/>
                <w:lang w:bidi="ar"/>
              </w:rPr>
              <w:t>m</w:t>
            </w:r>
            <w:r>
              <w:rPr>
                <w:rFonts w:hint="default" w:ascii="Times New Roman" w:hAnsi="Times New Roman" w:eastAsia="宋体" w:cs="Times New Roman"/>
                <w:b/>
                <w:bCs/>
                <w:color w:val="auto"/>
                <w:kern w:val="0"/>
                <w:sz w:val="21"/>
                <w:szCs w:val="21"/>
                <w:lang w:eastAsia="zh-CN" w:bidi="ar"/>
              </w:rPr>
              <w:t>）</w:t>
            </w:r>
          </w:p>
        </w:tc>
      </w:tr>
      <w:tr w14:paraId="71FE37A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15" w:type="pct"/>
            <w:vMerge w:val="continue"/>
            <w:noWrap w:val="0"/>
            <w:vAlign w:val="center"/>
          </w:tcPr>
          <w:p w14:paraId="760AA086">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389" w:type="pct"/>
            <w:noWrap w:val="0"/>
            <w:vAlign w:val="center"/>
          </w:tcPr>
          <w:p w14:paraId="2E4EA602">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5</w:t>
            </w:r>
          </w:p>
        </w:tc>
        <w:tc>
          <w:tcPr>
            <w:tcW w:w="390" w:type="pct"/>
            <w:noWrap w:val="0"/>
            <w:vAlign w:val="center"/>
          </w:tcPr>
          <w:p w14:paraId="504A8DD0">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10</w:t>
            </w:r>
          </w:p>
        </w:tc>
        <w:tc>
          <w:tcPr>
            <w:tcW w:w="390" w:type="pct"/>
            <w:noWrap w:val="0"/>
            <w:vAlign w:val="center"/>
          </w:tcPr>
          <w:p w14:paraId="01C1560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20</w:t>
            </w:r>
          </w:p>
        </w:tc>
        <w:tc>
          <w:tcPr>
            <w:tcW w:w="389" w:type="pct"/>
            <w:noWrap w:val="0"/>
            <w:vAlign w:val="center"/>
          </w:tcPr>
          <w:p w14:paraId="79009F6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40</w:t>
            </w:r>
          </w:p>
        </w:tc>
        <w:tc>
          <w:tcPr>
            <w:tcW w:w="390" w:type="pct"/>
            <w:noWrap w:val="0"/>
            <w:vAlign w:val="center"/>
          </w:tcPr>
          <w:p w14:paraId="71F412D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60</w:t>
            </w:r>
          </w:p>
        </w:tc>
        <w:tc>
          <w:tcPr>
            <w:tcW w:w="390" w:type="pct"/>
            <w:noWrap w:val="0"/>
            <w:vAlign w:val="center"/>
          </w:tcPr>
          <w:p w14:paraId="095443DE">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80</w:t>
            </w:r>
          </w:p>
        </w:tc>
        <w:tc>
          <w:tcPr>
            <w:tcW w:w="390" w:type="pct"/>
            <w:noWrap w:val="0"/>
            <w:vAlign w:val="center"/>
          </w:tcPr>
          <w:p w14:paraId="18B2AB5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100</w:t>
            </w:r>
          </w:p>
        </w:tc>
        <w:tc>
          <w:tcPr>
            <w:tcW w:w="389" w:type="pct"/>
            <w:noWrap w:val="0"/>
            <w:vAlign w:val="center"/>
          </w:tcPr>
          <w:p w14:paraId="54DADA1F">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150</w:t>
            </w:r>
          </w:p>
        </w:tc>
        <w:tc>
          <w:tcPr>
            <w:tcW w:w="390" w:type="pct"/>
            <w:noWrap w:val="0"/>
            <w:vAlign w:val="center"/>
          </w:tcPr>
          <w:p w14:paraId="63E230B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200</w:t>
            </w:r>
          </w:p>
        </w:tc>
        <w:tc>
          <w:tcPr>
            <w:tcW w:w="390" w:type="pct"/>
            <w:noWrap w:val="0"/>
            <w:vAlign w:val="center"/>
          </w:tcPr>
          <w:p w14:paraId="1AF813C5">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300</w:t>
            </w:r>
          </w:p>
        </w:tc>
        <w:tc>
          <w:tcPr>
            <w:tcW w:w="390" w:type="pct"/>
            <w:noWrap w:val="0"/>
            <w:vAlign w:val="center"/>
          </w:tcPr>
          <w:p w14:paraId="2B1F52CA">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350</w:t>
            </w:r>
          </w:p>
        </w:tc>
      </w:tr>
      <w:tr w14:paraId="40F65A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15" w:type="pct"/>
            <w:noWrap w:val="0"/>
            <w:vAlign w:val="center"/>
          </w:tcPr>
          <w:p w14:paraId="681E1A3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3台机械</w:t>
            </w:r>
          </w:p>
          <w:p w14:paraId="01120C0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同时施工</w:t>
            </w:r>
          </w:p>
        </w:tc>
        <w:tc>
          <w:tcPr>
            <w:tcW w:w="389" w:type="pct"/>
            <w:noWrap w:val="0"/>
            <w:vAlign w:val="center"/>
          </w:tcPr>
          <w:p w14:paraId="71BB1B9A">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94.2</w:t>
            </w:r>
          </w:p>
        </w:tc>
        <w:tc>
          <w:tcPr>
            <w:tcW w:w="390" w:type="pct"/>
            <w:noWrap w:val="0"/>
            <w:vAlign w:val="center"/>
          </w:tcPr>
          <w:p w14:paraId="24C01EA4">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86.7</w:t>
            </w:r>
          </w:p>
        </w:tc>
        <w:tc>
          <w:tcPr>
            <w:tcW w:w="390" w:type="pct"/>
            <w:noWrap w:val="0"/>
            <w:vAlign w:val="center"/>
          </w:tcPr>
          <w:p w14:paraId="0ED25D07">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79.2</w:t>
            </w:r>
          </w:p>
        </w:tc>
        <w:tc>
          <w:tcPr>
            <w:tcW w:w="389" w:type="pct"/>
            <w:noWrap w:val="0"/>
            <w:vAlign w:val="center"/>
          </w:tcPr>
          <w:p w14:paraId="4A53DB53">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71.7</w:t>
            </w:r>
          </w:p>
        </w:tc>
        <w:tc>
          <w:tcPr>
            <w:tcW w:w="390" w:type="pct"/>
            <w:noWrap w:val="0"/>
            <w:vAlign w:val="center"/>
          </w:tcPr>
          <w:p w14:paraId="2783516F">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67.3</w:t>
            </w:r>
          </w:p>
        </w:tc>
        <w:tc>
          <w:tcPr>
            <w:tcW w:w="390" w:type="pct"/>
            <w:noWrap w:val="0"/>
            <w:vAlign w:val="center"/>
          </w:tcPr>
          <w:p w14:paraId="24DD7F38">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64.1</w:t>
            </w:r>
          </w:p>
        </w:tc>
        <w:tc>
          <w:tcPr>
            <w:tcW w:w="390" w:type="pct"/>
            <w:noWrap w:val="0"/>
            <w:vAlign w:val="center"/>
          </w:tcPr>
          <w:p w14:paraId="2CB005E9">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61.7</w:t>
            </w:r>
          </w:p>
        </w:tc>
        <w:tc>
          <w:tcPr>
            <w:tcW w:w="389" w:type="pct"/>
            <w:noWrap w:val="0"/>
            <w:vAlign w:val="center"/>
          </w:tcPr>
          <w:p w14:paraId="0337BEEA">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57.3</w:t>
            </w:r>
          </w:p>
        </w:tc>
        <w:tc>
          <w:tcPr>
            <w:tcW w:w="390" w:type="pct"/>
            <w:noWrap w:val="0"/>
            <w:vAlign w:val="center"/>
          </w:tcPr>
          <w:p w14:paraId="783BA6B0">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54.2</w:t>
            </w:r>
          </w:p>
        </w:tc>
        <w:tc>
          <w:tcPr>
            <w:tcW w:w="390" w:type="pct"/>
            <w:noWrap w:val="0"/>
            <w:vAlign w:val="center"/>
          </w:tcPr>
          <w:p w14:paraId="282199DB">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51.8</w:t>
            </w:r>
          </w:p>
        </w:tc>
        <w:tc>
          <w:tcPr>
            <w:tcW w:w="390" w:type="pct"/>
            <w:noWrap w:val="0"/>
            <w:vAlign w:val="center"/>
          </w:tcPr>
          <w:p w14:paraId="2C58B9F3">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49.8</w:t>
            </w:r>
          </w:p>
        </w:tc>
      </w:tr>
    </w:tbl>
    <w:p w14:paraId="47C9A558">
      <w:pPr>
        <w:spacing w:line="240" w:lineRule="atLeast"/>
        <w:jc w:val="center"/>
        <w:rPr>
          <w:rFonts w:hint="default" w:ascii="Times New Roman" w:hAnsi="Times New Roman" w:eastAsia="宋体" w:cs="Times New Roman"/>
          <w:color w:val="auto"/>
          <w:sz w:val="21"/>
          <w:szCs w:val="21"/>
        </w:rPr>
      </w:pPr>
    </w:p>
    <w:p w14:paraId="35773476">
      <w:pPr>
        <w:pStyle w:val="240"/>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表5.1-</w:t>
      </w:r>
      <w:r>
        <w:rPr>
          <w:rFonts w:hint="default" w:ascii="Times New Roman" w:hAnsi="Times New Roman" w:eastAsia="宋体" w:cs="Times New Roman"/>
          <w:color w:val="auto"/>
          <w:sz w:val="21"/>
          <w:szCs w:val="21"/>
          <w:lang w:val="en-US" w:eastAsia="zh-CN"/>
        </w:rPr>
        <w:t>7</w:t>
      </w:r>
      <w:r>
        <w:rPr>
          <w:rFonts w:hint="default" w:ascii="Times New Roman" w:hAnsi="Times New Roman" w:eastAsia="宋体" w:cs="Times New Roman"/>
          <w:color w:val="auto"/>
          <w:sz w:val="21"/>
          <w:szCs w:val="21"/>
        </w:rPr>
        <w:t xml:space="preserve">  主要施工机械噪声预测结果      单位：Leq[dB(A)]</w:t>
      </w:r>
    </w:p>
    <w:tbl>
      <w:tblPr>
        <w:tblStyle w:val="58"/>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707"/>
        <w:gridCol w:w="1894"/>
        <w:gridCol w:w="592"/>
        <w:gridCol w:w="592"/>
        <w:gridCol w:w="592"/>
        <w:gridCol w:w="592"/>
        <w:gridCol w:w="592"/>
        <w:gridCol w:w="592"/>
        <w:gridCol w:w="592"/>
        <w:gridCol w:w="592"/>
        <w:gridCol w:w="592"/>
        <w:gridCol w:w="599"/>
      </w:tblGrid>
      <w:tr w14:paraId="2B46C7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vMerge w:val="restart"/>
            <w:noWrap w:val="0"/>
            <w:vAlign w:val="center"/>
          </w:tcPr>
          <w:p w14:paraId="3C6FB3A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序号</w:t>
            </w:r>
          </w:p>
        </w:tc>
        <w:tc>
          <w:tcPr>
            <w:tcW w:w="1111" w:type="pct"/>
            <w:vMerge w:val="restart"/>
            <w:noWrap w:val="0"/>
            <w:vAlign w:val="center"/>
          </w:tcPr>
          <w:p w14:paraId="4D7623B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机械类型</w:t>
            </w:r>
          </w:p>
        </w:tc>
        <w:tc>
          <w:tcPr>
            <w:tcW w:w="3474" w:type="pct"/>
            <w:gridSpan w:val="10"/>
            <w:noWrap w:val="0"/>
            <w:vAlign w:val="center"/>
          </w:tcPr>
          <w:p w14:paraId="37B37BF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距施工点距离</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m</w:t>
            </w:r>
            <w:r>
              <w:rPr>
                <w:rFonts w:hint="default" w:ascii="Times New Roman" w:hAnsi="Times New Roman" w:eastAsia="宋体" w:cs="Times New Roman"/>
                <w:b w:val="0"/>
                <w:bCs w:val="0"/>
                <w:color w:val="auto"/>
                <w:sz w:val="21"/>
                <w:szCs w:val="21"/>
                <w:lang w:eastAsia="zh-CN"/>
              </w:rPr>
              <w:t>）</w:t>
            </w:r>
          </w:p>
        </w:tc>
      </w:tr>
      <w:tr w14:paraId="75E3E7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vMerge w:val="continue"/>
            <w:noWrap w:val="0"/>
            <w:vAlign w:val="center"/>
          </w:tcPr>
          <w:p w14:paraId="42CC2A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1111" w:type="pct"/>
            <w:vMerge w:val="continue"/>
            <w:noWrap w:val="0"/>
            <w:vAlign w:val="center"/>
          </w:tcPr>
          <w:p w14:paraId="305F21A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p>
        </w:tc>
        <w:tc>
          <w:tcPr>
            <w:tcW w:w="347" w:type="pct"/>
            <w:noWrap w:val="0"/>
            <w:vAlign w:val="center"/>
          </w:tcPr>
          <w:p w14:paraId="6724DB0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347" w:type="pct"/>
            <w:noWrap w:val="0"/>
            <w:vAlign w:val="center"/>
          </w:tcPr>
          <w:p w14:paraId="2F65B9C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w:t>
            </w:r>
          </w:p>
        </w:tc>
        <w:tc>
          <w:tcPr>
            <w:tcW w:w="347" w:type="pct"/>
            <w:noWrap w:val="0"/>
            <w:vAlign w:val="center"/>
          </w:tcPr>
          <w:p w14:paraId="64A0950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w:t>
            </w:r>
          </w:p>
        </w:tc>
        <w:tc>
          <w:tcPr>
            <w:tcW w:w="347" w:type="pct"/>
            <w:noWrap w:val="0"/>
            <w:vAlign w:val="center"/>
          </w:tcPr>
          <w:p w14:paraId="2FDA087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w:t>
            </w:r>
          </w:p>
        </w:tc>
        <w:tc>
          <w:tcPr>
            <w:tcW w:w="347" w:type="pct"/>
            <w:noWrap w:val="0"/>
            <w:vAlign w:val="center"/>
          </w:tcPr>
          <w:p w14:paraId="786CB17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w:t>
            </w:r>
          </w:p>
        </w:tc>
        <w:tc>
          <w:tcPr>
            <w:tcW w:w="347" w:type="pct"/>
            <w:noWrap w:val="0"/>
            <w:vAlign w:val="center"/>
          </w:tcPr>
          <w:p w14:paraId="5BEA5A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80</w:t>
            </w:r>
          </w:p>
        </w:tc>
        <w:tc>
          <w:tcPr>
            <w:tcW w:w="347" w:type="pct"/>
            <w:noWrap w:val="0"/>
            <w:vAlign w:val="center"/>
          </w:tcPr>
          <w:p w14:paraId="0A78475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100</w:t>
            </w:r>
          </w:p>
        </w:tc>
        <w:tc>
          <w:tcPr>
            <w:tcW w:w="347" w:type="pct"/>
            <w:noWrap w:val="0"/>
            <w:vAlign w:val="center"/>
          </w:tcPr>
          <w:p w14:paraId="514E6D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150</w:t>
            </w:r>
          </w:p>
        </w:tc>
        <w:tc>
          <w:tcPr>
            <w:tcW w:w="347" w:type="pct"/>
            <w:noWrap w:val="0"/>
            <w:vAlign w:val="center"/>
          </w:tcPr>
          <w:p w14:paraId="2323113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200</w:t>
            </w:r>
          </w:p>
        </w:tc>
        <w:tc>
          <w:tcPr>
            <w:tcW w:w="347" w:type="pct"/>
            <w:noWrap w:val="0"/>
            <w:vAlign w:val="center"/>
          </w:tcPr>
          <w:p w14:paraId="6C17DC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300</w:t>
            </w:r>
          </w:p>
        </w:tc>
      </w:tr>
      <w:tr w14:paraId="24F3D5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jc w:val="center"/>
        </w:trPr>
        <w:tc>
          <w:tcPr>
            <w:tcW w:w="415" w:type="pct"/>
            <w:noWrap w:val="0"/>
            <w:vAlign w:val="center"/>
          </w:tcPr>
          <w:p w14:paraId="37581A9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w:t>
            </w:r>
          </w:p>
        </w:tc>
        <w:tc>
          <w:tcPr>
            <w:tcW w:w="1111" w:type="pct"/>
            <w:noWrap w:val="0"/>
            <w:vAlign w:val="center"/>
          </w:tcPr>
          <w:p w14:paraId="0BA67E2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轮式装载机</w:t>
            </w:r>
          </w:p>
        </w:tc>
        <w:tc>
          <w:tcPr>
            <w:tcW w:w="347" w:type="pct"/>
            <w:noWrap w:val="0"/>
            <w:vAlign w:val="center"/>
          </w:tcPr>
          <w:p w14:paraId="3AF43ED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90.0</w:t>
            </w:r>
          </w:p>
        </w:tc>
        <w:tc>
          <w:tcPr>
            <w:tcW w:w="347" w:type="pct"/>
            <w:noWrap w:val="0"/>
            <w:vAlign w:val="center"/>
          </w:tcPr>
          <w:p w14:paraId="0379014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82.5</w:t>
            </w:r>
          </w:p>
        </w:tc>
        <w:tc>
          <w:tcPr>
            <w:tcW w:w="347" w:type="pct"/>
            <w:noWrap w:val="0"/>
            <w:vAlign w:val="center"/>
          </w:tcPr>
          <w:p w14:paraId="22057ED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74.9</w:t>
            </w:r>
          </w:p>
        </w:tc>
        <w:tc>
          <w:tcPr>
            <w:tcW w:w="347" w:type="pct"/>
            <w:noWrap w:val="0"/>
            <w:vAlign w:val="center"/>
          </w:tcPr>
          <w:p w14:paraId="3E4E184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67.4</w:t>
            </w:r>
          </w:p>
        </w:tc>
        <w:tc>
          <w:tcPr>
            <w:tcW w:w="347" w:type="pct"/>
            <w:noWrap w:val="0"/>
            <w:vAlign w:val="center"/>
          </w:tcPr>
          <w:p w14:paraId="18625E5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63.0</w:t>
            </w:r>
          </w:p>
        </w:tc>
        <w:tc>
          <w:tcPr>
            <w:tcW w:w="347" w:type="pct"/>
            <w:noWrap w:val="0"/>
            <w:vAlign w:val="center"/>
          </w:tcPr>
          <w:p w14:paraId="6B5D51F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59.9</w:t>
            </w:r>
          </w:p>
        </w:tc>
        <w:tc>
          <w:tcPr>
            <w:tcW w:w="347" w:type="pct"/>
            <w:noWrap w:val="0"/>
            <w:vAlign w:val="center"/>
          </w:tcPr>
          <w:p w14:paraId="61E84B1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57.5</w:t>
            </w:r>
          </w:p>
        </w:tc>
        <w:tc>
          <w:tcPr>
            <w:tcW w:w="347" w:type="pct"/>
            <w:noWrap w:val="0"/>
            <w:vAlign w:val="center"/>
          </w:tcPr>
          <w:p w14:paraId="337FA46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53.1</w:t>
            </w:r>
          </w:p>
        </w:tc>
        <w:tc>
          <w:tcPr>
            <w:tcW w:w="347" w:type="pct"/>
            <w:noWrap w:val="0"/>
            <w:vAlign w:val="center"/>
          </w:tcPr>
          <w:p w14:paraId="05632F6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49.9</w:t>
            </w:r>
          </w:p>
        </w:tc>
        <w:tc>
          <w:tcPr>
            <w:tcW w:w="347" w:type="pct"/>
            <w:noWrap w:val="0"/>
            <w:vAlign w:val="center"/>
          </w:tcPr>
          <w:p w14:paraId="3EE9A03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45.5</w:t>
            </w:r>
          </w:p>
        </w:tc>
      </w:tr>
      <w:tr w14:paraId="3E0532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0EF798A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w:t>
            </w:r>
          </w:p>
        </w:tc>
        <w:tc>
          <w:tcPr>
            <w:tcW w:w="1111" w:type="pct"/>
            <w:noWrap w:val="0"/>
            <w:vAlign w:val="center"/>
          </w:tcPr>
          <w:p w14:paraId="064084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轮式装载机</w:t>
            </w:r>
          </w:p>
        </w:tc>
        <w:tc>
          <w:tcPr>
            <w:tcW w:w="347" w:type="pct"/>
            <w:noWrap w:val="0"/>
            <w:vAlign w:val="center"/>
          </w:tcPr>
          <w:p w14:paraId="1544409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90.0</w:t>
            </w:r>
          </w:p>
        </w:tc>
        <w:tc>
          <w:tcPr>
            <w:tcW w:w="347" w:type="pct"/>
            <w:noWrap w:val="0"/>
            <w:vAlign w:val="center"/>
          </w:tcPr>
          <w:p w14:paraId="3FB73E6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82.5</w:t>
            </w:r>
          </w:p>
        </w:tc>
        <w:tc>
          <w:tcPr>
            <w:tcW w:w="347" w:type="pct"/>
            <w:noWrap w:val="0"/>
            <w:vAlign w:val="center"/>
          </w:tcPr>
          <w:p w14:paraId="405E15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74.9</w:t>
            </w:r>
          </w:p>
        </w:tc>
        <w:tc>
          <w:tcPr>
            <w:tcW w:w="347" w:type="pct"/>
            <w:noWrap w:val="0"/>
            <w:vAlign w:val="center"/>
          </w:tcPr>
          <w:p w14:paraId="0E23CDC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67.4</w:t>
            </w:r>
          </w:p>
        </w:tc>
        <w:tc>
          <w:tcPr>
            <w:tcW w:w="347" w:type="pct"/>
            <w:noWrap w:val="0"/>
            <w:vAlign w:val="center"/>
          </w:tcPr>
          <w:p w14:paraId="5F2F59D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63.0</w:t>
            </w:r>
          </w:p>
        </w:tc>
        <w:tc>
          <w:tcPr>
            <w:tcW w:w="347" w:type="pct"/>
            <w:noWrap w:val="0"/>
            <w:vAlign w:val="center"/>
          </w:tcPr>
          <w:p w14:paraId="44DB882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59.9</w:t>
            </w:r>
          </w:p>
        </w:tc>
        <w:tc>
          <w:tcPr>
            <w:tcW w:w="347" w:type="pct"/>
            <w:noWrap w:val="0"/>
            <w:vAlign w:val="center"/>
          </w:tcPr>
          <w:p w14:paraId="19428BE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57.5</w:t>
            </w:r>
          </w:p>
        </w:tc>
        <w:tc>
          <w:tcPr>
            <w:tcW w:w="347" w:type="pct"/>
            <w:noWrap w:val="0"/>
            <w:vAlign w:val="center"/>
          </w:tcPr>
          <w:p w14:paraId="632F2DC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53.1</w:t>
            </w:r>
          </w:p>
        </w:tc>
        <w:tc>
          <w:tcPr>
            <w:tcW w:w="347" w:type="pct"/>
            <w:noWrap w:val="0"/>
            <w:vAlign w:val="center"/>
          </w:tcPr>
          <w:p w14:paraId="279FA4E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49.9</w:t>
            </w:r>
          </w:p>
        </w:tc>
        <w:tc>
          <w:tcPr>
            <w:tcW w:w="347" w:type="pct"/>
            <w:noWrap w:val="0"/>
            <w:vAlign w:val="center"/>
          </w:tcPr>
          <w:p w14:paraId="1B40C7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45.5</w:t>
            </w:r>
          </w:p>
        </w:tc>
      </w:tr>
      <w:tr w14:paraId="541F770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46964DE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w:t>
            </w:r>
          </w:p>
        </w:tc>
        <w:tc>
          <w:tcPr>
            <w:tcW w:w="1111" w:type="pct"/>
            <w:noWrap w:val="0"/>
            <w:vAlign w:val="center"/>
          </w:tcPr>
          <w:p w14:paraId="69B2E40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平地机</w:t>
            </w:r>
          </w:p>
        </w:tc>
        <w:tc>
          <w:tcPr>
            <w:tcW w:w="347" w:type="pct"/>
            <w:noWrap w:val="0"/>
            <w:vAlign w:val="center"/>
          </w:tcPr>
          <w:p w14:paraId="1E195A5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90.0</w:t>
            </w:r>
          </w:p>
        </w:tc>
        <w:tc>
          <w:tcPr>
            <w:tcW w:w="347" w:type="pct"/>
            <w:noWrap w:val="0"/>
            <w:vAlign w:val="center"/>
          </w:tcPr>
          <w:p w14:paraId="5C590B0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82.5</w:t>
            </w:r>
          </w:p>
        </w:tc>
        <w:tc>
          <w:tcPr>
            <w:tcW w:w="347" w:type="pct"/>
            <w:noWrap w:val="0"/>
            <w:vAlign w:val="center"/>
          </w:tcPr>
          <w:p w14:paraId="0754F19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74.9</w:t>
            </w:r>
          </w:p>
        </w:tc>
        <w:tc>
          <w:tcPr>
            <w:tcW w:w="347" w:type="pct"/>
            <w:noWrap w:val="0"/>
            <w:vAlign w:val="center"/>
          </w:tcPr>
          <w:p w14:paraId="38B0519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67.4</w:t>
            </w:r>
          </w:p>
        </w:tc>
        <w:tc>
          <w:tcPr>
            <w:tcW w:w="347" w:type="pct"/>
            <w:noWrap w:val="0"/>
            <w:vAlign w:val="center"/>
          </w:tcPr>
          <w:p w14:paraId="0F73906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63.0</w:t>
            </w:r>
          </w:p>
        </w:tc>
        <w:tc>
          <w:tcPr>
            <w:tcW w:w="347" w:type="pct"/>
            <w:noWrap w:val="0"/>
            <w:vAlign w:val="center"/>
          </w:tcPr>
          <w:p w14:paraId="5667710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59.9</w:t>
            </w:r>
          </w:p>
        </w:tc>
        <w:tc>
          <w:tcPr>
            <w:tcW w:w="347" w:type="pct"/>
            <w:noWrap w:val="0"/>
            <w:vAlign w:val="center"/>
          </w:tcPr>
          <w:p w14:paraId="49E8DA6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57.5</w:t>
            </w:r>
          </w:p>
        </w:tc>
        <w:tc>
          <w:tcPr>
            <w:tcW w:w="347" w:type="pct"/>
            <w:noWrap w:val="0"/>
            <w:vAlign w:val="center"/>
          </w:tcPr>
          <w:p w14:paraId="55B94D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53.1</w:t>
            </w:r>
          </w:p>
        </w:tc>
        <w:tc>
          <w:tcPr>
            <w:tcW w:w="347" w:type="pct"/>
            <w:noWrap w:val="0"/>
            <w:vAlign w:val="center"/>
          </w:tcPr>
          <w:p w14:paraId="145F697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49.9</w:t>
            </w:r>
          </w:p>
        </w:tc>
        <w:tc>
          <w:tcPr>
            <w:tcW w:w="347" w:type="pct"/>
            <w:noWrap w:val="0"/>
            <w:vAlign w:val="center"/>
          </w:tcPr>
          <w:p w14:paraId="675475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45.5</w:t>
            </w:r>
          </w:p>
        </w:tc>
      </w:tr>
      <w:tr w14:paraId="738F2B8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613280C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w:t>
            </w:r>
          </w:p>
        </w:tc>
        <w:tc>
          <w:tcPr>
            <w:tcW w:w="1111" w:type="pct"/>
            <w:noWrap w:val="0"/>
            <w:vAlign w:val="center"/>
          </w:tcPr>
          <w:p w14:paraId="1C71300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振动式压路机</w:t>
            </w:r>
          </w:p>
        </w:tc>
        <w:tc>
          <w:tcPr>
            <w:tcW w:w="347" w:type="pct"/>
            <w:noWrap w:val="0"/>
            <w:vAlign w:val="center"/>
          </w:tcPr>
          <w:p w14:paraId="3EF0BE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86.0</w:t>
            </w:r>
          </w:p>
        </w:tc>
        <w:tc>
          <w:tcPr>
            <w:tcW w:w="347" w:type="pct"/>
            <w:noWrap w:val="0"/>
            <w:vAlign w:val="center"/>
          </w:tcPr>
          <w:p w14:paraId="12B0E38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78.5</w:t>
            </w:r>
          </w:p>
        </w:tc>
        <w:tc>
          <w:tcPr>
            <w:tcW w:w="347" w:type="pct"/>
            <w:noWrap w:val="0"/>
            <w:vAlign w:val="center"/>
          </w:tcPr>
          <w:p w14:paraId="0467B3E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70.9</w:t>
            </w:r>
          </w:p>
        </w:tc>
        <w:tc>
          <w:tcPr>
            <w:tcW w:w="347" w:type="pct"/>
            <w:noWrap w:val="0"/>
            <w:vAlign w:val="center"/>
          </w:tcPr>
          <w:p w14:paraId="767A2D4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63.4</w:t>
            </w:r>
          </w:p>
        </w:tc>
        <w:tc>
          <w:tcPr>
            <w:tcW w:w="347" w:type="pct"/>
            <w:noWrap w:val="0"/>
            <w:vAlign w:val="center"/>
          </w:tcPr>
          <w:p w14:paraId="7505BB9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59.0</w:t>
            </w:r>
          </w:p>
        </w:tc>
        <w:tc>
          <w:tcPr>
            <w:tcW w:w="347" w:type="pct"/>
            <w:noWrap w:val="0"/>
            <w:vAlign w:val="center"/>
          </w:tcPr>
          <w:p w14:paraId="20602F7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55.9</w:t>
            </w:r>
          </w:p>
        </w:tc>
        <w:tc>
          <w:tcPr>
            <w:tcW w:w="347" w:type="pct"/>
            <w:noWrap w:val="0"/>
            <w:vAlign w:val="center"/>
          </w:tcPr>
          <w:p w14:paraId="3E42D50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53.5</w:t>
            </w:r>
          </w:p>
        </w:tc>
        <w:tc>
          <w:tcPr>
            <w:tcW w:w="347" w:type="pct"/>
            <w:noWrap w:val="0"/>
            <w:vAlign w:val="center"/>
          </w:tcPr>
          <w:p w14:paraId="1804DA0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49.1</w:t>
            </w:r>
          </w:p>
        </w:tc>
        <w:tc>
          <w:tcPr>
            <w:tcW w:w="347" w:type="pct"/>
            <w:noWrap w:val="0"/>
            <w:vAlign w:val="center"/>
          </w:tcPr>
          <w:p w14:paraId="45BEA09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45.9</w:t>
            </w:r>
          </w:p>
        </w:tc>
        <w:tc>
          <w:tcPr>
            <w:tcW w:w="347" w:type="pct"/>
            <w:noWrap w:val="0"/>
            <w:vAlign w:val="center"/>
          </w:tcPr>
          <w:p w14:paraId="09237A3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41.5</w:t>
            </w:r>
          </w:p>
        </w:tc>
      </w:tr>
      <w:tr w14:paraId="33F8AD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5381040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w:t>
            </w:r>
          </w:p>
        </w:tc>
        <w:tc>
          <w:tcPr>
            <w:tcW w:w="1111" w:type="pct"/>
            <w:noWrap w:val="0"/>
            <w:vAlign w:val="center"/>
          </w:tcPr>
          <w:p w14:paraId="6DF0D37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双轮双振压路机</w:t>
            </w:r>
          </w:p>
        </w:tc>
        <w:tc>
          <w:tcPr>
            <w:tcW w:w="347" w:type="pct"/>
            <w:noWrap w:val="0"/>
            <w:vAlign w:val="center"/>
          </w:tcPr>
          <w:p w14:paraId="1397577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81.0</w:t>
            </w:r>
          </w:p>
        </w:tc>
        <w:tc>
          <w:tcPr>
            <w:tcW w:w="347" w:type="pct"/>
            <w:noWrap w:val="0"/>
            <w:vAlign w:val="center"/>
          </w:tcPr>
          <w:p w14:paraId="45DE211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73.5</w:t>
            </w:r>
          </w:p>
        </w:tc>
        <w:tc>
          <w:tcPr>
            <w:tcW w:w="347" w:type="pct"/>
            <w:noWrap w:val="0"/>
            <w:vAlign w:val="center"/>
          </w:tcPr>
          <w:p w14:paraId="42870C4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65.9</w:t>
            </w:r>
          </w:p>
        </w:tc>
        <w:tc>
          <w:tcPr>
            <w:tcW w:w="347" w:type="pct"/>
            <w:noWrap w:val="0"/>
            <w:vAlign w:val="center"/>
          </w:tcPr>
          <w:p w14:paraId="5FF45FF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58.1</w:t>
            </w:r>
          </w:p>
        </w:tc>
        <w:tc>
          <w:tcPr>
            <w:tcW w:w="347" w:type="pct"/>
            <w:noWrap w:val="0"/>
            <w:vAlign w:val="center"/>
          </w:tcPr>
          <w:p w14:paraId="6D1BF9C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54.0</w:t>
            </w:r>
          </w:p>
        </w:tc>
        <w:tc>
          <w:tcPr>
            <w:tcW w:w="347" w:type="pct"/>
            <w:noWrap w:val="0"/>
            <w:vAlign w:val="center"/>
          </w:tcPr>
          <w:p w14:paraId="702187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50.9</w:t>
            </w:r>
          </w:p>
        </w:tc>
        <w:tc>
          <w:tcPr>
            <w:tcW w:w="347" w:type="pct"/>
            <w:noWrap w:val="0"/>
            <w:vAlign w:val="center"/>
          </w:tcPr>
          <w:p w14:paraId="2C1429D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48.5</w:t>
            </w:r>
          </w:p>
        </w:tc>
        <w:tc>
          <w:tcPr>
            <w:tcW w:w="347" w:type="pct"/>
            <w:noWrap w:val="0"/>
            <w:vAlign w:val="center"/>
          </w:tcPr>
          <w:p w14:paraId="0730D87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44.1</w:t>
            </w:r>
          </w:p>
        </w:tc>
        <w:tc>
          <w:tcPr>
            <w:tcW w:w="347" w:type="pct"/>
            <w:noWrap w:val="0"/>
            <w:vAlign w:val="center"/>
          </w:tcPr>
          <w:p w14:paraId="48DE55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40.9</w:t>
            </w:r>
          </w:p>
        </w:tc>
        <w:tc>
          <w:tcPr>
            <w:tcW w:w="347" w:type="pct"/>
            <w:noWrap w:val="0"/>
            <w:vAlign w:val="center"/>
          </w:tcPr>
          <w:p w14:paraId="31522E8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36.5</w:t>
            </w:r>
          </w:p>
        </w:tc>
      </w:tr>
      <w:tr w14:paraId="09A6CE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0B37651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w:t>
            </w:r>
          </w:p>
        </w:tc>
        <w:tc>
          <w:tcPr>
            <w:tcW w:w="1111" w:type="pct"/>
            <w:noWrap w:val="0"/>
            <w:vAlign w:val="center"/>
          </w:tcPr>
          <w:p w14:paraId="081B7BF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三轮压路机</w:t>
            </w:r>
          </w:p>
        </w:tc>
        <w:tc>
          <w:tcPr>
            <w:tcW w:w="347" w:type="pct"/>
            <w:noWrap w:val="0"/>
            <w:vAlign w:val="center"/>
          </w:tcPr>
          <w:p w14:paraId="5ABCA91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81.0</w:t>
            </w:r>
          </w:p>
        </w:tc>
        <w:tc>
          <w:tcPr>
            <w:tcW w:w="347" w:type="pct"/>
            <w:noWrap w:val="0"/>
            <w:vAlign w:val="center"/>
          </w:tcPr>
          <w:p w14:paraId="0FF5776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73.5</w:t>
            </w:r>
          </w:p>
        </w:tc>
        <w:tc>
          <w:tcPr>
            <w:tcW w:w="347" w:type="pct"/>
            <w:noWrap w:val="0"/>
            <w:vAlign w:val="center"/>
          </w:tcPr>
          <w:p w14:paraId="34F4138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65.9</w:t>
            </w:r>
          </w:p>
        </w:tc>
        <w:tc>
          <w:tcPr>
            <w:tcW w:w="347" w:type="pct"/>
            <w:noWrap w:val="0"/>
            <w:vAlign w:val="center"/>
          </w:tcPr>
          <w:p w14:paraId="5ED1EE8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58.1</w:t>
            </w:r>
          </w:p>
        </w:tc>
        <w:tc>
          <w:tcPr>
            <w:tcW w:w="347" w:type="pct"/>
            <w:noWrap w:val="0"/>
            <w:vAlign w:val="center"/>
          </w:tcPr>
          <w:p w14:paraId="5A7F509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54.0</w:t>
            </w:r>
          </w:p>
        </w:tc>
        <w:tc>
          <w:tcPr>
            <w:tcW w:w="347" w:type="pct"/>
            <w:noWrap w:val="0"/>
            <w:vAlign w:val="center"/>
          </w:tcPr>
          <w:p w14:paraId="2CBBA40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50.9</w:t>
            </w:r>
          </w:p>
        </w:tc>
        <w:tc>
          <w:tcPr>
            <w:tcW w:w="347" w:type="pct"/>
            <w:noWrap w:val="0"/>
            <w:vAlign w:val="center"/>
          </w:tcPr>
          <w:p w14:paraId="1D2F313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48.5</w:t>
            </w:r>
          </w:p>
        </w:tc>
        <w:tc>
          <w:tcPr>
            <w:tcW w:w="347" w:type="pct"/>
            <w:noWrap w:val="0"/>
            <w:vAlign w:val="center"/>
          </w:tcPr>
          <w:p w14:paraId="0CB59DF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44.1</w:t>
            </w:r>
          </w:p>
        </w:tc>
        <w:tc>
          <w:tcPr>
            <w:tcW w:w="347" w:type="pct"/>
            <w:noWrap w:val="0"/>
            <w:vAlign w:val="center"/>
          </w:tcPr>
          <w:p w14:paraId="690BD63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40.9</w:t>
            </w:r>
          </w:p>
        </w:tc>
        <w:tc>
          <w:tcPr>
            <w:tcW w:w="347" w:type="pct"/>
            <w:noWrap w:val="0"/>
            <w:vAlign w:val="center"/>
          </w:tcPr>
          <w:p w14:paraId="368C348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36.5</w:t>
            </w:r>
          </w:p>
        </w:tc>
      </w:tr>
      <w:tr w14:paraId="344D30C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5540DAD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w:t>
            </w:r>
          </w:p>
        </w:tc>
        <w:tc>
          <w:tcPr>
            <w:tcW w:w="1111" w:type="pct"/>
            <w:noWrap w:val="0"/>
            <w:vAlign w:val="center"/>
          </w:tcPr>
          <w:p w14:paraId="04C357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轮胎压路机</w:t>
            </w:r>
          </w:p>
        </w:tc>
        <w:tc>
          <w:tcPr>
            <w:tcW w:w="347" w:type="pct"/>
            <w:noWrap w:val="0"/>
            <w:vAlign w:val="center"/>
          </w:tcPr>
          <w:p w14:paraId="7BDC385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76.0</w:t>
            </w:r>
          </w:p>
        </w:tc>
        <w:tc>
          <w:tcPr>
            <w:tcW w:w="347" w:type="pct"/>
            <w:noWrap w:val="0"/>
            <w:vAlign w:val="center"/>
          </w:tcPr>
          <w:p w14:paraId="135C31C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68.5</w:t>
            </w:r>
          </w:p>
        </w:tc>
        <w:tc>
          <w:tcPr>
            <w:tcW w:w="347" w:type="pct"/>
            <w:noWrap w:val="0"/>
            <w:vAlign w:val="center"/>
          </w:tcPr>
          <w:p w14:paraId="15C6F36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60.9</w:t>
            </w:r>
          </w:p>
        </w:tc>
        <w:tc>
          <w:tcPr>
            <w:tcW w:w="347" w:type="pct"/>
            <w:noWrap w:val="0"/>
            <w:vAlign w:val="center"/>
          </w:tcPr>
          <w:p w14:paraId="6BFFAB4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53.4</w:t>
            </w:r>
          </w:p>
        </w:tc>
        <w:tc>
          <w:tcPr>
            <w:tcW w:w="347" w:type="pct"/>
            <w:noWrap w:val="0"/>
            <w:vAlign w:val="center"/>
          </w:tcPr>
          <w:p w14:paraId="5270FF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49.0</w:t>
            </w:r>
          </w:p>
        </w:tc>
        <w:tc>
          <w:tcPr>
            <w:tcW w:w="347" w:type="pct"/>
            <w:noWrap w:val="0"/>
            <w:vAlign w:val="center"/>
          </w:tcPr>
          <w:p w14:paraId="170E51D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45.9</w:t>
            </w:r>
          </w:p>
        </w:tc>
        <w:tc>
          <w:tcPr>
            <w:tcW w:w="347" w:type="pct"/>
            <w:noWrap w:val="0"/>
            <w:vAlign w:val="center"/>
          </w:tcPr>
          <w:p w14:paraId="023865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43.5</w:t>
            </w:r>
          </w:p>
        </w:tc>
        <w:tc>
          <w:tcPr>
            <w:tcW w:w="347" w:type="pct"/>
            <w:noWrap w:val="0"/>
            <w:vAlign w:val="center"/>
          </w:tcPr>
          <w:p w14:paraId="44A9FFC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39.1</w:t>
            </w:r>
          </w:p>
        </w:tc>
        <w:tc>
          <w:tcPr>
            <w:tcW w:w="347" w:type="pct"/>
            <w:noWrap w:val="0"/>
            <w:vAlign w:val="center"/>
          </w:tcPr>
          <w:p w14:paraId="27D066A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35.9</w:t>
            </w:r>
          </w:p>
        </w:tc>
        <w:tc>
          <w:tcPr>
            <w:tcW w:w="347" w:type="pct"/>
            <w:noWrap w:val="0"/>
            <w:vAlign w:val="center"/>
          </w:tcPr>
          <w:p w14:paraId="76343C0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31.5</w:t>
            </w:r>
          </w:p>
        </w:tc>
      </w:tr>
      <w:tr w14:paraId="21EB26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64F200C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w:t>
            </w:r>
          </w:p>
        </w:tc>
        <w:tc>
          <w:tcPr>
            <w:tcW w:w="1111" w:type="pct"/>
            <w:noWrap w:val="0"/>
            <w:vAlign w:val="center"/>
          </w:tcPr>
          <w:p w14:paraId="7BC18D1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推土机</w:t>
            </w:r>
          </w:p>
        </w:tc>
        <w:tc>
          <w:tcPr>
            <w:tcW w:w="347" w:type="pct"/>
            <w:noWrap w:val="0"/>
            <w:vAlign w:val="center"/>
          </w:tcPr>
          <w:p w14:paraId="2198435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86.0</w:t>
            </w:r>
          </w:p>
        </w:tc>
        <w:tc>
          <w:tcPr>
            <w:tcW w:w="347" w:type="pct"/>
            <w:noWrap w:val="0"/>
            <w:vAlign w:val="center"/>
          </w:tcPr>
          <w:p w14:paraId="2E2E82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78.5</w:t>
            </w:r>
          </w:p>
        </w:tc>
        <w:tc>
          <w:tcPr>
            <w:tcW w:w="347" w:type="pct"/>
            <w:noWrap w:val="0"/>
            <w:vAlign w:val="center"/>
          </w:tcPr>
          <w:p w14:paraId="62B8062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70.9</w:t>
            </w:r>
          </w:p>
        </w:tc>
        <w:tc>
          <w:tcPr>
            <w:tcW w:w="347" w:type="pct"/>
            <w:noWrap w:val="0"/>
            <w:vAlign w:val="center"/>
          </w:tcPr>
          <w:p w14:paraId="19410D2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63.4</w:t>
            </w:r>
          </w:p>
        </w:tc>
        <w:tc>
          <w:tcPr>
            <w:tcW w:w="347" w:type="pct"/>
            <w:noWrap w:val="0"/>
            <w:vAlign w:val="center"/>
          </w:tcPr>
          <w:p w14:paraId="5736EF7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59.0</w:t>
            </w:r>
          </w:p>
        </w:tc>
        <w:tc>
          <w:tcPr>
            <w:tcW w:w="347" w:type="pct"/>
            <w:noWrap w:val="0"/>
            <w:vAlign w:val="center"/>
          </w:tcPr>
          <w:p w14:paraId="699AB4E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55.9</w:t>
            </w:r>
          </w:p>
        </w:tc>
        <w:tc>
          <w:tcPr>
            <w:tcW w:w="347" w:type="pct"/>
            <w:noWrap w:val="0"/>
            <w:vAlign w:val="center"/>
          </w:tcPr>
          <w:p w14:paraId="2CC5D2B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53.5</w:t>
            </w:r>
          </w:p>
        </w:tc>
        <w:tc>
          <w:tcPr>
            <w:tcW w:w="347" w:type="pct"/>
            <w:noWrap w:val="0"/>
            <w:vAlign w:val="center"/>
          </w:tcPr>
          <w:p w14:paraId="207918A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49.1</w:t>
            </w:r>
          </w:p>
        </w:tc>
        <w:tc>
          <w:tcPr>
            <w:tcW w:w="347" w:type="pct"/>
            <w:noWrap w:val="0"/>
            <w:vAlign w:val="center"/>
          </w:tcPr>
          <w:p w14:paraId="2F9AAD7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45.9</w:t>
            </w:r>
          </w:p>
        </w:tc>
        <w:tc>
          <w:tcPr>
            <w:tcW w:w="347" w:type="pct"/>
            <w:noWrap w:val="0"/>
            <w:vAlign w:val="center"/>
          </w:tcPr>
          <w:p w14:paraId="29B7155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41.5</w:t>
            </w:r>
          </w:p>
        </w:tc>
      </w:tr>
      <w:tr w14:paraId="0940FF9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4D2B95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9</w:t>
            </w:r>
          </w:p>
        </w:tc>
        <w:tc>
          <w:tcPr>
            <w:tcW w:w="1111" w:type="pct"/>
            <w:noWrap w:val="0"/>
            <w:vAlign w:val="center"/>
          </w:tcPr>
          <w:p w14:paraId="7A4391B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轮胎式液压挖掘机</w:t>
            </w:r>
          </w:p>
        </w:tc>
        <w:tc>
          <w:tcPr>
            <w:tcW w:w="347" w:type="pct"/>
            <w:noWrap w:val="0"/>
            <w:vAlign w:val="center"/>
          </w:tcPr>
          <w:p w14:paraId="43F195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84.0</w:t>
            </w:r>
          </w:p>
        </w:tc>
        <w:tc>
          <w:tcPr>
            <w:tcW w:w="347" w:type="pct"/>
            <w:noWrap w:val="0"/>
            <w:vAlign w:val="center"/>
          </w:tcPr>
          <w:p w14:paraId="1D531D4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76.5</w:t>
            </w:r>
          </w:p>
        </w:tc>
        <w:tc>
          <w:tcPr>
            <w:tcW w:w="347" w:type="pct"/>
            <w:noWrap w:val="0"/>
            <w:vAlign w:val="center"/>
          </w:tcPr>
          <w:p w14:paraId="79FC315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68.9</w:t>
            </w:r>
          </w:p>
        </w:tc>
        <w:tc>
          <w:tcPr>
            <w:tcW w:w="347" w:type="pct"/>
            <w:noWrap w:val="0"/>
            <w:vAlign w:val="center"/>
          </w:tcPr>
          <w:p w14:paraId="3072514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61.4</w:t>
            </w:r>
          </w:p>
        </w:tc>
        <w:tc>
          <w:tcPr>
            <w:tcW w:w="347" w:type="pct"/>
            <w:noWrap w:val="0"/>
            <w:vAlign w:val="center"/>
          </w:tcPr>
          <w:p w14:paraId="1E9971D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57.0</w:t>
            </w:r>
          </w:p>
        </w:tc>
        <w:tc>
          <w:tcPr>
            <w:tcW w:w="347" w:type="pct"/>
            <w:noWrap w:val="0"/>
            <w:vAlign w:val="center"/>
          </w:tcPr>
          <w:p w14:paraId="7ED397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53.9</w:t>
            </w:r>
          </w:p>
        </w:tc>
        <w:tc>
          <w:tcPr>
            <w:tcW w:w="347" w:type="pct"/>
            <w:noWrap w:val="0"/>
            <w:vAlign w:val="center"/>
          </w:tcPr>
          <w:p w14:paraId="3A89207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51.5</w:t>
            </w:r>
          </w:p>
        </w:tc>
        <w:tc>
          <w:tcPr>
            <w:tcW w:w="347" w:type="pct"/>
            <w:noWrap w:val="0"/>
            <w:vAlign w:val="center"/>
          </w:tcPr>
          <w:p w14:paraId="1654ADB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47.1</w:t>
            </w:r>
          </w:p>
        </w:tc>
        <w:tc>
          <w:tcPr>
            <w:tcW w:w="347" w:type="pct"/>
            <w:noWrap w:val="0"/>
            <w:vAlign w:val="center"/>
          </w:tcPr>
          <w:p w14:paraId="19E8711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43.9</w:t>
            </w:r>
          </w:p>
        </w:tc>
        <w:tc>
          <w:tcPr>
            <w:tcW w:w="347" w:type="pct"/>
            <w:noWrap w:val="0"/>
            <w:vAlign w:val="center"/>
          </w:tcPr>
          <w:p w14:paraId="7A0D273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41.5</w:t>
            </w:r>
          </w:p>
        </w:tc>
      </w:tr>
      <w:tr w14:paraId="3BEF2C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415" w:type="pct"/>
            <w:noWrap w:val="0"/>
            <w:vAlign w:val="center"/>
          </w:tcPr>
          <w:p w14:paraId="36B3A12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10</w:t>
            </w:r>
          </w:p>
        </w:tc>
        <w:tc>
          <w:tcPr>
            <w:tcW w:w="1111" w:type="pct"/>
            <w:noWrap w:val="0"/>
            <w:vAlign w:val="center"/>
          </w:tcPr>
          <w:p w14:paraId="02EF19A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发电机组</w:t>
            </w:r>
            <w:r>
              <w:rPr>
                <w:rFonts w:hint="default" w:ascii="Times New Roman" w:hAnsi="Times New Roman" w:eastAsia="宋体" w:cs="Times New Roman"/>
                <w:b w:val="0"/>
                <w:bCs w:val="0"/>
                <w:color w:val="auto"/>
                <w:sz w:val="21"/>
                <w:szCs w:val="21"/>
                <w:lang w:eastAsia="zh-CN"/>
              </w:rPr>
              <w:t>（</w:t>
            </w:r>
            <w:r>
              <w:rPr>
                <w:rFonts w:hint="default" w:ascii="Times New Roman" w:hAnsi="Times New Roman" w:eastAsia="宋体" w:cs="Times New Roman"/>
                <w:b w:val="0"/>
                <w:bCs w:val="0"/>
                <w:color w:val="auto"/>
                <w:sz w:val="21"/>
                <w:szCs w:val="21"/>
              </w:rPr>
              <w:t>2台</w:t>
            </w:r>
            <w:r>
              <w:rPr>
                <w:rFonts w:hint="default" w:ascii="Times New Roman" w:hAnsi="Times New Roman" w:eastAsia="宋体" w:cs="Times New Roman"/>
                <w:b w:val="0"/>
                <w:bCs w:val="0"/>
                <w:color w:val="auto"/>
                <w:sz w:val="21"/>
                <w:szCs w:val="21"/>
                <w:lang w:eastAsia="zh-CN"/>
              </w:rPr>
              <w:t>）</w:t>
            </w:r>
          </w:p>
        </w:tc>
        <w:tc>
          <w:tcPr>
            <w:tcW w:w="347" w:type="pct"/>
            <w:noWrap w:val="0"/>
            <w:vAlign w:val="center"/>
          </w:tcPr>
          <w:p w14:paraId="58557D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84.0</w:t>
            </w:r>
          </w:p>
        </w:tc>
        <w:tc>
          <w:tcPr>
            <w:tcW w:w="347" w:type="pct"/>
            <w:noWrap w:val="0"/>
            <w:vAlign w:val="center"/>
          </w:tcPr>
          <w:p w14:paraId="26EF06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76.5</w:t>
            </w:r>
          </w:p>
        </w:tc>
        <w:tc>
          <w:tcPr>
            <w:tcW w:w="347" w:type="pct"/>
            <w:noWrap w:val="0"/>
            <w:vAlign w:val="center"/>
          </w:tcPr>
          <w:p w14:paraId="07763C8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68.9</w:t>
            </w:r>
          </w:p>
        </w:tc>
        <w:tc>
          <w:tcPr>
            <w:tcW w:w="347" w:type="pct"/>
            <w:noWrap w:val="0"/>
            <w:vAlign w:val="center"/>
          </w:tcPr>
          <w:p w14:paraId="19800C1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61.4</w:t>
            </w:r>
          </w:p>
        </w:tc>
        <w:tc>
          <w:tcPr>
            <w:tcW w:w="347" w:type="pct"/>
            <w:noWrap w:val="0"/>
            <w:vAlign w:val="center"/>
          </w:tcPr>
          <w:p w14:paraId="1605C5A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57.0</w:t>
            </w:r>
          </w:p>
        </w:tc>
        <w:tc>
          <w:tcPr>
            <w:tcW w:w="347" w:type="pct"/>
            <w:noWrap w:val="0"/>
            <w:vAlign w:val="center"/>
          </w:tcPr>
          <w:p w14:paraId="2E600F8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53.9</w:t>
            </w:r>
          </w:p>
        </w:tc>
        <w:tc>
          <w:tcPr>
            <w:tcW w:w="347" w:type="pct"/>
            <w:noWrap w:val="0"/>
            <w:vAlign w:val="center"/>
          </w:tcPr>
          <w:p w14:paraId="7B39D5B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51.5</w:t>
            </w:r>
          </w:p>
        </w:tc>
        <w:tc>
          <w:tcPr>
            <w:tcW w:w="347" w:type="pct"/>
            <w:noWrap w:val="0"/>
            <w:vAlign w:val="center"/>
          </w:tcPr>
          <w:p w14:paraId="020DF29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47.1</w:t>
            </w:r>
          </w:p>
        </w:tc>
        <w:tc>
          <w:tcPr>
            <w:tcW w:w="347" w:type="pct"/>
            <w:noWrap w:val="0"/>
            <w:vAlign w:val="center"/>
          </w:tcPr>
          <w:p w14:paraId="1ACF7A0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43.9</w:t>
            </w:r>
          </w:p>
        </w:tc>
        <w:tc>
          <w:tcPr>
            <w:tcW w:w="347" w:type="pct"/>
            <w:noWrap w:val="0"/>
            <w:vAlign w:val="center"/>
          </w:tcPr>
          <w:p w14:paraId="1DA6B1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41.5</w:t>
            </w:r>
          </w:p>
        </w:tc>
      </w:tr>
      <w:tr w14:paraId="62AB934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80" w:type="dxa"/>
            <w:noWrap w:val="0"/>
            <w:vAlign w:val="center"/>
          </w:tcPr>
          <w:p w14:paraId="7D86A912">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11</w:t>
            </w:r>
          </w:p>
        </w:tc>
        <w:tc>
          <w:tcPr>
            <w:tcW w:w="1111" w:type="pct"/>
            <w:noWrap w:val="0"/>
            <w:vAlign w:val="center"/>
          </w:tcPr>
          <w:p w14:paraId="35CE9C0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铺滩机</w:t>
            </w:r>
          </w:p>
        </w:tc>
        <w:tc>
          <w:tcPr>
            <w:tcW w:w="592" w:type="dxa"/>
            <w:noWrap w:val="0"/>
            <w:vAlign w:val="center"/>
          </w:tcPr>
          <w:p w14:paraId="610296D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81.0</w:t>
            </w:r>
          </w:p>
        </w:tc>
        <w:tc>
          <w:tcPr>
            <w:tcW w:w="592" w:type="dxa"/>
            <w:noWrap w:val="0"/>
            <w:vAlign w:val="center"/>
          </w:tcPr>
          <w:p w14:paraId="2A65F8F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73.5</w:t>
            </w:r>
          </w:p>
        </w:tc>
        <w:tc>
          <w:tcPr>
            <w:tcW w:w="592" w:type="dxa"/>
            <w:noWrap w:val="0"/>
            <w:vAlign w:val="center"/>
          </w:tcPr>
          <w:p w14:paraId="078864F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65.9</w:t>
            </w:r>
          </w:p>
        </w:tc>
        <w:tc>
          <w:tcPr>
            <w:tcW w:w="592" w:type="dxa"/>
            <w:noWrap w:val="0"/>
            <w:vAlign w:val="center"/>
          </w:tcPr>
          <w:p w14:paraId="36683A0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58.1</w:t>
            </w:r>
          </w:p>
        </w:tc>
        <w:tc>
          <w:tcPr>
            <w:tcW w:w="592" w:type="dxa"/>
            <w:noWrap w:val="0"/>
            <w:vAlign w:val="center"/>
          </w:tcPr>
          <w:p w14:paraId="27C9879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54.0</w:t>
            </w:r>
          </w:p>
        </w:tc>
        <w:tc>
          <w:tcPr>
            <w:tcW w:w="592" w:type="dxa"/>
            <w:noWrap w:val="0"/>
            <w:vAlign w:val="center"/>
          </w:tcPr>
          <w:p w14:paraId="128D0E2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50.9</w:t>
            </w:r>
          </w:p>
        </w:tc>
        <w:tc>
          <w:tcPr>
            <w:tcW w:w="592" w:type="dxa"/>
            <w:noWrap w:val="0"/>
            <w:vAlign w:val="center"/>
          </w:tcPr>
          <w:p w14:paraId="43EFDE8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48.5</w:t>
            </w:r>
          </w:p>
        </w:tc>
        <w:tc>
          <w:tcPr>
            <w:tcW w:w="592" w:type="dxa"/>
            <w:noWrap w:val="0"/>
            <w:vAlign w:val="center"/>
          </w:tcPr>
          <w:p w14:paraId="5AC4953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44.1</w:t>
            </w:r>
          </w:p>
        </w:tc>
        <w:tc>
          <w:tcPr>
            <w:tcW w:w="592" w:type="dxa"/>
            <w:noWrap w:val="0"/>
            <w:vAlign w:val="center"/>
          </w:tcPr>
          <w:p w14:paraId="4C51FFB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40.9</w:t>
            </w:r>
          </w:p>
        </w:tc>
        <w:tc>
          <w:tcPr>
            <w:tcW w:w="599" w:type="dxa"/>
            <w:noWrap w:val="0"/>
            <w:vAlign w:val="center"/>
          </w:tcPr>
          <w:p w14:paraId="7DFB4AD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36.5</w:t>
            </w:r>
          </w:p>
        </w:tc>
      </w:tr>
      <w:tr w14:paraId="1183333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80" w:type="dxa"/>
            <w:noWrap w:val="0"/>
            <w:vAlign w:val="center"/>
          </w:tcPr>
          <w:p w14:paraId="52322268">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12</w:t>
            </w:r>
          </w:p>
        </w:tc>
        <w:tc>
          <w:tcPr>
            <w:tcW w:w="1111" w:type="pct"/>
            <w:noWrap w:val="0"/>
            <w:vAlign w:val="center"/>
          </w:tcPr>
          <w:p w14:paraId="134B468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冲击式钻井机</w:t>
            </w:r>
          </w:p>
        </w:tc>
        <w:tc>
          <w:tcPr>
            <w:tcW w:w="347" w:type="pct"/>
            <w:noWrap w:val="0"/>
            <w:vAlign w:val="center"/>
          </w:tcPr>
          <w:p w14:paraId="68EE423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73.0</w:t>
            </w:r>
          </w:p>
        </w:tc>
        <w:tc>
          <w:tcPr>
            <w:tcW w:w="347" w:type="pct"/>
            <w:noWrap w:val="0"/>
            <w:vAlign w:val="center"/>
          </w:tcPr>
          <w:p w14:paraId="22DDE52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65.5</w:t>
            </w:r>
          </w:p>
        </w:tc>
        <w:tc>
          <w:tcPr>
            <w:tcW w:w="347" w:type="pct"/>
            <w:noWrap w:val="0"/>
            <w:vAlign w:val="center"/>
          </w:tcPr>
          <w:p w14:paraId="67A38CD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57.9</w:t>
            </w:r>
          </w:p>
        </w:tc>
        <w:tc>
          <w:tcPr>
            <w:tcW w:w="347" w:type="pct"/>
            <w:noWrap w:val="0"/>
            <w:vAlign w:val="center"/>
          </w:tcPr>
          <w:p w14:paraId="0518C9E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50.4</w:t>
            </w:r>
          </w:p>
        </w:tc>
        <w:tc>
          <w:tcPr>
            <w:tcW w:w="347" w:type="pct"/>
            <w:noWrap w:val="0"/>
            <w:vAlign w:val="center"/>
          </w:tcPr>
          <w:p w14:paraId="012CD3D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46.0</w:t>
            </w:r>
          </w:p>
        </w:tc>
        <w:tc>
          <w:tcPr>
            <w:tcW w:w="347" w:type="pct"/>
            <w:noWrap w:val="0"/>
            <w:vAlign w:val="center"/>
          </w:tcPr>
          <w:p w14:paraId="7926374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42.9</w:t>
            </w:r>
          </w:p>
        </w:tc>
        <w:tc>
          <w:tcPr>
            <w:tcW w:w="347" w:type="pct"/>
            <w:noWrap w:val="0"/>
            <w:vAlign w:val="center"/>
          </w:tcPr>
          <w:p w14:paraId="794F1CB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40.5</w:t>
            </w:r>
          </w:p>
        </w:tc>
        <w:tc>
          <w:tcPr>
            <w:tcW w:w="347" w:type="pct"/>
            <w:noWrap w:val="0"/>
            <w:vAlign w:val="center"/>
          </w:tcPr>
          <w:p w14:paraId="5E03D79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36.1</w:t>
            </w:r>
          </w:p>
        </w:tc>
        <w:tc>
          <w:tcPr>
            <w:tcW w:w="347" w:type="pct"/>
            <w:noWrap w:val="0"/>
            <w:vAlign w:val="center"/>
          </w:tcPr>
          <w:p w14:paraId="4746710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32.9</w:t>
            </w:r>
          </w:p>
        </w:tc>
        <w:tc>
          <w:tcPr>
            <w:tcW w:w="347" w:type="pct"/>
            <w:noWrap w:val="0"/>
            <w:vAlign w:val="center"/>
          </w:tcPr>
          <w:p w14:paraId="0B9BC1F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30.5</w:t>
            </w:r>
          </w:p>
        </w:tc>
      </w:tr>
      <w:tr w14:paraId="5344ACF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780" w:type="dxa"/>
            <w:noWrap w:val="0"/>
            <w:vAlign w:val="center"/>
          </w:tcPr>
          <w:p w14:paraId="04299A5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eastAsia"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1</w:t>
            </w:r>
            <w:r>
              <w:rPr>
                <w:rFonts w:hint="eastAsia" w:ascii="Times New Roman" w:hAnsi="Times New Roman" w:eastAsia="宋体" w:cs="Times New Roman"/>
                <w:b w:val="0"/>
                <w:bCs w:val="0"/>
                <w:color w:val="auto"/>
                <w:sz w:val="21"/>
                <w:szCs w:val="21"/>
                <w:lang w:val="en-US" w:eastAsia="zh-CN"/>
              </w:rPr>
              <w:t>3</w:t>
            </w:r>
          </w:p>
        </w:tc>
        <w:tc>
          <w:tcPr>
            <w:tcW w:w="1111" w:type="pct"/>
            <w:noWrap w:val="0"/>
            <w:vAlign w:val="center"/>
          </w:tcPr>
          <w:p w14:paraId="018D719D">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搅拌机</w:t>
            </w:r>
          </w:p>
        </w:tc>
        <w:tc>
          <w:tcPr>
            <w:tcW w:w="347" w:type="pct"/>
            <w:noWrap w:val="0"/>
            <w:vAlign w:val="center"/>
          </w:tcPr>
          <w:p w14:paraId="77B0F6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82.0</w:t>
            </w:r>
          </w:p>
        </w:tc>
        <w:tc>
          <w:tcPr>
            <w:tcW w:w="347" w:type="pct"/>
            <w:noWrap w:val="0"/>
            <w:vAlign w:val="center"/>
          </w:tcPr>
          <w:p w14:paraId="5BD8091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74.5</w:t>
            </w:r>
          </w:p>
        </w:tc>
        <w:tc>
          <w:tcPr>
            <w:tcW w:w="347" w:type="pct"/>
            <w:noWrap w:val="0"/>
            <w:vAlign w:val="center"/>
          </w:tcPr>
          <w:p w14:paraId="09A82CE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66.9</w:t>
            </w:r>
          </w:p>
        </w:tc>
        <w:tc>
          <w:tcPr>
            <w:tcW w:w="347" w:type="pct"/>
            <w:noWrap w:val="0"/>
            <w:vAlign w:val="center"/>
          </w:tcPr>
          <w:p w14:paraId="564A3DC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59.4</w:t>
            </w:r>
          </w:p>
        </w:tc>
        <w:tc>
          <w:tcPr>
            <w:tcW w:w="347" w:type="pct"/>
            <w:noWrap w:val="0"/>
            <w:vAlign w:val="center"/>
          </w:tcPr>
          <w:p w14:paraId="41C5FD0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55.0</w:t>
            </w:r>
          </w:p>
        </w:tc>
        <w:tc>
          <w:tcPr>
            <w:tcW w:w="347" w:type="pct"/>
            <w:noWrap w:val="0"/>
            <w:vAlign w:val="center"/>
          </w:tcPr>
          <w:p w14:paraId="6D24B4F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51.9</w:t>
            </w:r>
          </w:p>
        </w:tc>
        <w:tc>
          <w:tcPr>
            <w:tcW w:w="347" w:type="pct"/>
            <w:noWrap w:val="0"/>
            <w:vAlign w:val="center"/>
          </w:tcPr>
          <w:p w14:paraId="050D67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49.5</w:t>
            </w:r>
          </w:p>
        </w:tc>
        <w:tc>
          <w:tcPr>
            <w:tcW w:w="347" w:type="pct"/>
            <w:noWrap w:val="0"/>
            <w:vAlign w:val="center"/>
          </w:tcPr>
          <w:p w14:paraId="6F421E3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45.1</w:t>
            </w:r>
          </w:p>
        </w:tc>
        <w:tc>
          <w:tcPr>
            <w:tcW w:w="347" w:type="pct"/>
            <w:noWrap w:val="0"/>
            <w:vAlign w:val="center"/>
          </w:tcPr>
          <w:p w14:paraId="6CE63827">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41.9</w:t>
            </w:r>
          </w:p>
        </w:tc>
        <w:tc>
          <w:tcPr>
            <w:tcW w:w="347" w:type="pct"/>
            <w:noWrap w:val="0"/>
            <w:vAlign w:val="center"/>
          </w:tcPr>
          <w:p w14:paraId="30B11BA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39.5</w:t>
            </w:r>
          </w:p>
        </w:tc>
      </w:tr>
    </w:tbl>
    <w:p w14:paraId="2460F844">
      <w:pPr>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3.影响分析</w:t>
      </w:r>
    </w:p>
    <w:p w14:paraId="7DE80764">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（1）单机施工机械噪声昼间最大在距源20m以外可符合标准要求；夜间最大在150m以外可符合标准要求。</w:t>
      </w:r>
    </w:p>
    <w:p w14:paraId="2AE344E9">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（2）昼间多种施工机械同时作业，噪声在距源50m以外可符合标准要求；夜间在200m以外可符合标准要求。根据实际调查资料，</w:t>
      </w:r>
      <w:r>
        <w:rPr>
          <w:rFonts w:hint="eastAsia" w:cs="Times New Roman"/>
          <w:snapToGrid w:val="0"/>
          <w:color w:val="auto"/>
          <w:kern w:val="0"/>
          <w:lang w:val="en-US" w:eastAsia="zh-CN"/>
        </w:rPr>
        <w:t>项目</w:t>
      </w:r>
      <w:r>
        <w:rPr>
          <w:rFonts w:hint="default" w:ascii="Times New Roman" w:hAnsi="Times New Roman" w:eastAsia="宋体" w:cs="Times New Roman"/>
          <w:snapToGrid w:val="0"/>
          <w:color w:val="auto"/>
          <w:kern w:val="0"/>
        </w:rPr>
        <w:t>公路施工主要集中在昼间，夜间不施工，因此夜间施工噪声影响有限。</w:t>
      </w:r>
    </w:p>
    <w:p w14:paraId="0B4DE2C4">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（3）公路昼间施工将对居民点的正常生活、休息会造成一定程度的干扰。</w:t>
      </w:r>
    </w:p>
    <w:p w14:paraId="3B617003">
      <w:pPr>
        <w:ind w:firstLine="480"/>
        <w:rPr>
          <w:rFonts w:hint="default" w:ascii="Times New Roman" w:hAnsi="Times New Roman" w:eastAsia="宋体" w:cs="Times New Roman"/>
          <w:snapToGrid w:val="0"/>
          <w:color w:val="auto"/>
          <w:kern w:val="0"/>
        </w:rPr>
      </w:pPr>
      <w:r>
        <w:rPr>
          <w:rFonts w:hint="default" w:ascii="Times New Roman" w:hAnsi="Times New Roman" w:eastAsia="宋体" w:cs="Times New Roman"/>
          <w:snapToGrid w:val="0"/>
          <w:color w:val="auto"/>
          <w:kern w:val="0"/>
        </w:rPr>
        <w:t>（4）公路施工噪声是社会发展过程中的短期污染行为，一般的居民均能理解。但是作为建设施工单位为保护沿线居民的正常生活和休息，应合理地安排施工进度和时间，文明施工、环保施工，并采取必要的噪声控制措施降低施工噪声对环境的影响。</w:t>
      </w:r>
    </w:p>
    <w:p w14:paraId="2C80B354">
      <w:pPr>
        <w:pStyle w:val="5"/>
        <w:ind w:left="0" w:leftChars="0" w:firstLine="0" w:firstLineChars="0"/>
        <w:rPr>
          <w:rFonts w:hint="default" w:ascii="Times New Roman" w:hAnsi="Times New Roman" w:eastAsia="宋体" w:cs="Times New Roman"/>
          <w:color w:val="auto"/>
        </w:rPr>
      </w:pPr>
      <w:bookmarkStart w:id="107" w:name="_Toc13736"/>
      <w:r>
        <w:rPr>
          <w:rFonts w:hint="default" w:ascii="Times New Roman" w:hAnsi="Times New Roman" w:eastAsia="宋体" w:cs="Times New Roman"/>
          <w:color w:val="auto"/>
        </w:rPr>
        <w:t>5.1.4施工期固体废物环境影响分析</w:t>
      </w:r>
      <w:bookmarkEnd w:id="106"/>
      <w:bookmarkEnd w:id="107"/>
    </w:p>
    <w:p w14:paraId="6ACC026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本项目施工期将产生大量的固体废物，主要包括土石方、施工人员生活垃圾。</w:t>
      </w:r>
    </w:p>
    <w:p w14:paraId="08FC7395">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1、土石方</w:t>
      </w:r>
    </w:p>
    <w:p w14:paraId="099CE37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工程建设期间，土石方平衡分析主要为以下</w:t>
      </w:r>
      <w:r>
        <w:rPr>
          <w:rFonts w:hint="default" w:ascii="Times New Roman" w:hAnsi="Times New Roman" w:eastAsia="宋体" w:cs="Times New Roman"/>
          <w:color w:val="auto"/>
          <w:lang w:eastAsia="zh-CN"/>
        </w:rPr>
        <w:t>几部分</w:t>
      </w:r>
      <w:r>
        <w:rPr>
          <w:rFonts w:hint="default" w:ascii="Times New Roman" w:hAnsi="Times New Roman" w:eastAsia="宋体" w:cs="Times New Roman"/>
          <w:color w:val="auto"/>
        </w:rPr>
        <w:t>：</w:t>
      </w:r>
    </w:p>
    <w:p w14:paraId="6EA1BAF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①拆迁后建筑垃圾：拟建道路将经过一些建筑物占地，</w:t>
      </w:r>
      <w:r>
        <w:rPr>
          <w:rFonts w:hint="default" w:ascii="Times New Roman" w:hAnsi="Times New Roman" w:eastAsia="宋体" w:cs="Times New Roman"/>
          <w:color w:val="auto"/>
          <w:kern w:val="0"/>
          <w:sz w:val="24"/>
          <w:szCs w:val="24"/>
          <w:lang w:bidi="ar"/>
        </w:rPr>
        <w:t>项目</w:t>
      </w:r>
      <w:r>
        <w:rPr>
          <w:rFonts w:hint="default" w:ascii="Times New Roman" w:hAnsi="Times New Roman" w:eastAsia="宋体" w:cs="Times New Roman"/>
          <w:color w:val="auto"/>
          <w:sz w:val="24"/>
          <w:szCs w:val="24"/>
        </w:rPr>
        <w:t>拆迁建筑物共计</w:t>
      </w:r>
      <w:r>
        <w:rPr>
          <w:rFonts w:hint="eastAsia" w:cs="Times New Roman"/>
          <w:color w:val="auto"/>
          <w:sz w:val="24"/>
          <w:szCs w:val="24"/>
          <w:lang w:val="en-US" w:eastAsia="zh-CN"/>
        </w:rPr>
        <w:t>774.75</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kern w:val="0"/>
          <w:sz w:val="24"/>
          <w:szCs w:val="24"/>
          <w:lang w:bidi="ar"/>
        </w:rPr>
        <w:t>，</w:t>
      </w:r>
      <w:r>
        <w:rPr>
          <w:rFonts w:hint="eastAsia" w:cs="Times New Roman"/>
          <w:color w:val="auto"/>
          <w:kern w:val="0"/>
          <w:sz w:val="24"/>
          <w:szCs w:val="24"/>
          <w:lang w:val="en-US" w:eastAsia="zh-CN" w:bidi="ar"/>
        </w:rPr>
        <w:t>其中房屋207.31</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2</w:t>
      </w:r>
      <w:r>
        <w:rPr>
          <w:rFonts w:hint="default" w:ascii="Times New Roman" w:hAnsi="Times New Roman" w:eastAsia="宋体" w:cs="Times New Roman"/>
          <w:color w:val="auto"/>
          <w:kern w:val="0"/>
          <w:sz w:val="24"/>
          <w:szCs w:val="24"/>
          <w:lang w:bidi="ar"/>
        </w:rPr>
        <w:t>，围墙102.4m（砖墙），砼地板1465.04m</w:t>
      </w:r>
      <w:r>
        <w:rPr>
          <w:rFonts w:hint="default" w:ascii="Times New Roman" w:hAnsi="Times New Roman" w:eastAsia="宋体" w:cs="Times New Roman"/>
          <w:color w:val="auto"/>
          <w:kern w:val="0"/>
          <w:sz w:val="24"/>
          <w:szCs w:val="24"/>
          <w:vertAlign w:val="superscript"/>
          <w:lang w:bidi="ar"/>
        </w:rPr>
        <w:t>2</w:t>
      </w:r>
      <w:r>
        <w:rPr>
          <w:rFonts w:hint="default" w:ascii="Times New Roman" w:hAnsi="Times New Roman" w:eastAsia="宋体" w:cs="Times New Roman"/>
          <w:color w:val="auto"/>
          <w:kern w:val="0"/>
          <w:sz w:val="24"/>
          <w:szCs w:val="24"/>
          <w:lang w:bidi="ar"/>
        </w:rPr>
        <w:t>。项目共拆迁电信设施6根，电杆5根，电压线705m，电缆897m</w:t>
      </w:r>
      <w:r>
        <w:rPr>
          <w:rFonts w:hint="eastAsia" w:cs="Times New Roman"/>
          <w:color w:val="auto"/>
          <w:kern w:val="0"/>
          <w:sz w:val="24"/>
          <w:szCs w:val="24"/>
          <w:lang w:val="en-US" w:eastAsia="zh-CN" w:bidi="ar"/>
        </w:rPr>
        <w:t>等</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rPr>
        <w:t>建筑垃圾充分回收利用，不能利用的用于临时占地中场地平整。</w:t>
      </w:r>
    </w:p>
    <w:p w14:paraId="360DC2E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②土石方平衡总计</w:t>
      </w:r>
    </w:p>
    <w:p w14:paraId="0E402F1F">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本工程</w:t>
      </w:r>
      <w:r>
        <w:rPr>
          <w:rFonts w:hint="eastAsia" w:cs="Times New Roman"/>
          <w:color w:val="auto"/>
          <w:kern w:val="0"/>
          <w:lang w:eastAsia="zh-CN" w:bidi="ar"/>
        </w:rPr>
        <w:t>（</w:t>
      </w:r>
      <w:r>
        <w:rPr>
          <w:rFonts w:hint="eastAsia" w:cs="Times New Roman"/>
          <w:color w:val="auto"/>
          <w:kern w:val="0"/>
          <w:lang w:val="en-US" w:eastAsia="zh-CN" w:bidi="ar"/>
        </w:rPr>
        <w:t>包括道路工程区弃渣场区</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共计产生土石方开挖71.76万m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（其中，表土剥离3.39万m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），土石方回填利用9.81万m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（其中，表土回覆3.39万m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，一般土石方回填6.42万m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，无外借土石方。本工程产生的弃渣运至项目规划的弃渣场堆放。</w:t>
      </w:r>
    </w:p>
    <w:p w14:paraId="3C02D866">
      <w:pPr>
        <w:pStyle w:val="496"/>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2、施工人员生活垃圾</w:t>
      </w:r>
    </w:p>
    <w:p w14:paraId="50D375AF">
      <w:pPr>
        <w:ind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项目施工人员高峰期约100人，生活垃圾产生量按0.5kg/人·d计，因此在建设期施工人员产生的生活垃圾总量为50kg/d，施工期内（12个月）共产生生活垃圾约18t，垃圾统一收集后，委托相关人员运送至环卫部门指定的堆存场所</w:t>
      </w:r>
      <w:r>
        <w:rPr>
          <w:rFonts w:hint="eastAsia" w:cs="Times New Roman"/>
          <w:color w:val="auto"/>
          <w:lang w:eastAsia="zh-CN"/>
        </w:rPr>
        <w:t>。</w:t>
      </w:r>
    </w:p>
    <w:p w14:paraId="00099F3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根据以上分析，施工期固废能够得到妥善处置，施工期固废对环境影响小。</w:t>
      </w:r>
    </w:p>
    <w:p w14:paraId="717D0A37">
      <w:pPr>
        <w:pStyle w:val="5"/>
        <w:ind w:left="0" w:leftChars="0" w:firstLine="0" w:firstLineChars="0"/>
        <w:rPr>
          <w:rFonts w:hint="default" w:ascii="Times New Roman" w:hAnsi="Times New Roman" w:eastAsia="宋体" w:cs="Times New Roman"/>
          <w:color w:val="auto"/>
        </w:rPr>
      </w:pPr>
      <w:bookmarkStart w:id="108" w:name="_Toc11783"/>
      <w:r>
        <w:rPr>
          <w:rFonts w:hint="default" w:ascii="Times New Roman" w:hAnsi="Times New Roman" w:eastAsia="宋体" w:cs="Times New Roman"/>
          <w:color w:val="auto"/>
        </w:rPr>
        <w:t>5.1.5生态环境影响分析</w:t>
      </w:r>
      <w:bookmarkEnd w:id="108"/>
    </w:p>
    <w:p w14:paraId="184B6E0D">
      <w:pPr>
        <w:pStyle w:val="458"/>
        <w:spacing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公路建设对生态环境的影响大部分发生在施工期。施工期对生态环境影响和破坏的途径主要是工程占用土地，改变土地利用性质，破坏土壤结构和肥力，使沿线耕地减少；改变地形地貌，破坏植被，使植被覆盖率降低，对沿线生物的生存产生影响；扰动地表，产生水土流失；工程活动分割原有生态系统，扰动自然的生态平衡等。</w:t>
      </w:r>
    </w:p>
    <w:p w14:paraId="645BE4CD">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5.1.5.1对土地利用的影响分析</w:t>
      </w:r>
    </w:p>
    <w:p w14:paraId="60A18266">
      <w:pPr>
        <w:shd w:val="clear" w:color="auto" w:fill="FFFFFF"/>
        <w:snapToGrid w:val="0"/>
        <w:ind w:left="0" w:leftChars="0" w:firstLine="480" w:firstLineChars="200"/>
        <w:rPr>
          <w:rFonts w:hint="default" w:ascii="Times New Roman" w:hAnsi="Times New Roman" w:eastAsia="宋体" w:cs="Times New Roman"/>
          <w:b/>
          <w:bCs/>
          <w:color w:val="auto"/>
          <w:kern w:val="0"/>
          <w:sz w:val="21"/>
          <w:szCs w:val="21"/>
          <w:lang w:bidi="ar"/>
        </w:rPr>
      </w:pPr>
      <w:r>
        <w:rPr>
          <w:rFonts w:hint="eastAsia" w:ascii="Times New Roman" w:hAnsi="Times New Roman" w:eastAsia="宋体" w:cs="Times New Roman"/>
          <w:color w:val="auto"/>
          <w:kern w:val="0"/>
          <w:lang w:eastAsia="zh-CN"/>
        </w:rPr>
        <w:t>（</w:t>
      </w:r>
      <w:r>
        <w:rPr>
          <w:rFonts w:hint="eastAsia" w:ascii="Times New Roman" w:hAnsi="Times New Roman" w:eastAsia="宋体" w:cs="Times New Roman"/>
          <w:color w:val="auto"/>
          <w:kern w:val="0"/>
          <w:lang w:val="en-US" w:eastAsia="zh-CN"/>
        </w:rPr>
        <w:t>1</w:t>
      </w:r>
      <w:r>
        <w:rPr>
          <w:rFonts w:hint="eastAsia" w:ascii="Times New Roman" w:hAnsi="Times New Roman" w:eastAsia="宋体" w:cs="Times New Roman"/>
          <w:color w:val="auto"/>
          <w:kern w:val="0"/>
          <w:lang w:eastAsia="zh-CN"/>
        </w:rPr>
        <w:t>）</w:t>
      </w:r>
      <w:r>
        <w:rPr>
          <w:rFonts w:hint="eastAsia" w:ascii="Times New Roman" w:hAnsi="Times New Roman" w:eastAsia="宋体" w:cs="Times New Roman"/>
          <w:color w:val="auto"/>
          <w:kern w:val="0"/>
          <w:lang w:val="en-US" w:eastAsia="zh-CN"/>
        </w:rPr>
        <w:t>永久</w:t>
      </w:r>
      <w:r>
        <w:rPr>
          <w:rFonts w:hint="default" w:ascii="Times New Roman" w:hAnsi="Times New Roman" w:eastAsia="宋体" w:cs="Times New Roman"/>
          <w:color w:val="auto"/>
          <w:kern w:val="0"/>
        </w:rPr>
        <w:t>占地</w:t>
      </w:r>
    </w:p>
    <w:p w14:paraId="0BBB294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表5.1-</w:t>
      </w:r>
      <w:r>
        <w:rPr>
          <w:rFonts w:hint="default" w:ascii="Times New Roman" w:hAnsi="Times New Roman" w:eastAsia="宋体" w:cs="Times New Roman"/>
          <w:b/>
          <w:bCs/>
          <w:color w:val="auto"/>
          <w:kern w:val="0"/>
          <w:sz w:val="21"/>
          <w:szCs w:val="21"/>
          <w:lang w:val="en-US" w:eastAsia="zh-CN" w:bidi="ar"/>
        </w:rPr>
        <w:t>8</w:t>
      </w:r>
      <w:r>
        <w:rPr>
          <w:rFonts w:hint="default" w:ascii="Times New Roman" w:hAnsi="Times New Roman" w:eastAsia="宋体" w:cs="Times New Roman"/>
          <w:b/>
          <w:bCs/>
          <w:color w:val="auto"/>
          <w:kern w:val="0"/>
          <w:sz w:val="21"/>
          <w:szCs w:val="21"/>
          <w:lang w:bidi="ar"/>
        </w:rPr>
        <w:t xml:space="preserve">  工程永久占地统计表</w:t>
      </w:r>
    </w:p>
    <w:tbl>
      <w:tblPr>
        <w:tblStyle w:val="58"/>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2"/>
        <w:gridCol w:w="1320"/>
        <w:gridCol w:w="767"/>
        <w:gridCol w:w="953"/>
        <w:gridCol w:w="1297"/>
        <w:gridCol w:w="721"/>
        <w:gridCol w:w="1890"/>
        <w:gridCol w:w="538"/>
      </w:tblGrid>
      <w:tr w14:paraId="5C4F2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381" w:type="pct"/>
            <w:gridSpan w:val="2"/>
            <w:vMerge w:val="restart"/>
            <w:noWrap w:val="0"/>
            <w:vAlign w:val="center"/>
          </w:tcPr>
          <w:p w14:paraId="7FE6629D">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分区</w:t>
            </w:r>
          </w:p>
        </w:tc>
        <w:tc>
          <w:tcPr>
            <w:tcW w:w="3302" w:type="pct"/>
            <w:gridSpan w:val="5"/>
            <w:noWrap w:val="0"/>
            <w:vAlign w:val="center"/>
          </w:tcPr>
          <w:p w14:paraId="19D54E8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占地类型及面积</w:t>
            </w:r>
          </w:p>
        </w:tc>
        <w:tc>
          <w:tcPr>
            <w:tcW w:w="315" w:type="pct"/>
            <w:vMerge w:val="restart"/>
            <w:noWrap w:val="0"/>
            <w:vAlign w:val="center"/>
          </w:tcPr>
          <w:p w14:paraId="7B0E34A1">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备注</w:t>
            </w:r>
          </w:p>
        </w:tc>
      </w:tr>
      <w:tr w14:paraId="2E98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381" w:type="pct"/>
            <w:gridSpan w:val="2"/>
            <w:vMerge w:val="continue"/>
            <w:noWrap w:val="0"/>
            <w:vAlign w:val="center"/>
          </w:tcPr>
          <w:p w14:paraId="6A95D9FE">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c>
          <w:tcPr>
            <w:tcW w:w="450" w:type="pct"/>
            <w:noWrap w:val="0"/>
            <w:vAlign w:val="center"/>
          </w:tcPr>
          <w:p w14:paraId="6F87F091">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园地</w:t>
            </w:r>
          </w:p>
        </w:tc>
        <w:tc>
          <w:tcPr>
            <w:tcW w:w="559" w:type="pct"/>
            <w:noWrap w:val="0"/>
            <w:vAlign w:val="center"/>
          </w:tcPr>
          <w:p w14:paraId="6244933B">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交通运输用地</w:t>
            </w:r>
          </w:p>
        </w:tc>
        <w:tc>
          <w:tcPr>
            <w:tcW w:w="761" w:type="pct"/>
            <w:noWrap w:val="0"/>
            <w:vAlign w:val="center"/>
          </w:tcPr>
          <w:p w14:paraId="38EC709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水域及水利设施用地</w:t>
            </w:r>
          </w:p>
        </w:tc>
        <w:tc>
          <w:tcPr>
            <w:tcW w:w="423" w:type="pct"/>
            <w:noWrap w:val="0"/>
            <w:vAlign w:val="center"/>
          </w:tcPr>
          <w:p w14:paraId="69E2B60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住宅用地</w:t>
            </w:r>
          </w:p>
        </w:tc>
        <w:tc>
          <w:tcPr>
            <w:tcW w:w="1108" w:type="pct"/>
            <w:noWrap w:val="0"/>
            <w:vAlign w:val="center"/>
          </w:tcPr>
          <w:p w14:paraId="37F49E13">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其他</w:t>
            </w:r>
          </w:p>
          <w:p w14:paraId="3FEB3726">
            <w:pPr>
              <w:pStyle w:val="4"/>
              <w:adjustRightInd w:val="0"/>
              <w:snapToGrid w:val="0"/>
              <w:spacing w:line="240" w:lineRule="auto"/>
              <w:ind w:firstLine="0" w:firstLineChars="0"/>
              <w:jc w:val="center"/>
              <w:rPr>
                <w:rFonts w:hint="eastAsia" w:ascii="Times New Roman" w:hAnsi="Times New Roman" w:eastAsia="宋体" w:cs="Times New Roman"/>
                <w:b/>
                <w:bCs/>
                <w:color w:val="auto"/>
                <w:sz w:val="21"/>
                <w:szCs w:val="21"/>
                <w:lang w:eastAsia="zh-CN"/>
              </w:rPr>
            </w:pPr>
            <w:r>
              <w:rPr>
                <w:rFonts w:hint="default" w:ascii="Times New Roman" w:hAnsi="Times New Roman" w:eastAsia="宋体" w:cs="Times New Roman"/>
                <w:b/>
                <w:bCs/>
                <w:color w:val="auto"/>
                <w:sz w:val="21"/>
                <w:szCs w:val="21"/>
              </w:rPr>
              <w:t>土地</w:t>
            </w:r>
            <w:r>
              <w:rPr>
                <w:rFonts w:hint="eastAsia" w:cs="Times New Roman"/>
                <w:b/>
                <w:bCs/>
                <w:color w:val="auto"/>
                <w:sz w:val="21"/>
                <w:szCs w:val="21"/>
                <w:lang w:eastAsia="zh-CN"/>
              </w:rPr>
              <w:t>（</w:t>
            </w:r>
            <w:r>
              <w:rPr>
                <w:rFonts w:hint="eastAsia" w:cs="Times New Roman"/>
                <w:b/>
                <w:bCs/>
                <w:color w:val="auto"/>
                <w:sz w:val="21"/>
                <w:szCs w:val="21"/>
                <w:lang w:val="en-US" w:eastAsia="zh-CN"/>
              </w:rPr>
              <w:t>荒地、草地</w:t>
            </w:r>
            <w:r>
              <w:rPr>
                <w:rFonts w:hint="eastAsia" w:cs="Times New Roman"/>
                <w:b/>
                <w:bCs/>
                <w:color w:val="auto"/>
                <w:sz w:val="21"/>
                <w:szCs w:val="21"/>
                <w:lang w:eastAsia="zh-CN"/>
              </w:rPr>
              <w:t>）</w:t>
            </w:r>
          </w:p>
        </w:tc>
        <w:tc>
          <w:tcPr>
            <w:tcW w:w="315" w:type="pct"/>
            <w:vMerge w:val="continue"/>
            <w:noWrap w:val="0"/>
            <w:vAlign w:val="center"/>
          </w:tcPr>
          <w:p w14:paraId="2CB07EA5">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p>
        </w:tc>
      </w:tr>
      <w:tr w14:paraId="2A4A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restart"/>
            <w:noWrap w:val="0"/>
            <w:vAlign w:val="center"/>
          </w:tcPr>
          <w:p w14:paraId="3B8A2A42">
            <w:pPr>
              <w:widowControl/>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道路工程区</w:t>
            </w:r>
          </w:p>
        </w:tc>
        <w:tc>
          <w:tcPr>
            <w:tcW w:w="775" w:type="pct"/>
            <w:noWrap w:val="0"/>
            <w:vAlign w:val="center"/>
          </w:tcPr>
          <w:p w14:paraId="3A68AB97">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路基路面区</w:t>
            </w:r>
          </w:p>
        </w:tc>
        <w:tc>
          <w:tcPr>
            <w:tcW w:w="450" w:type="pct"/>
            <w:noWrap w:val="0"/>
            <w:vAlign w:val="center"/>
          </w:tcPr>
          <w:p w14:paraId="666056E7">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2.31</w:t>
            </w:r>
          </w:p>
        </w:tc>
        <w:tc>
          <w:tcPr>
            <w:tcW w:w="559" w:type="pct"/>
            <w:noWrap w:val="0"/>
            <w:vAlign w:val="center"/>
          </w:tcPr>
          <w:p w14:paraId="11C0DB1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761" w:type="pct"/>
            <w:noWrap w:val="0"/>
            <w:vAlign w:val="center"/>
          </w:tcPr>
          <w:p w14:paraId="50B9E5B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423" w:type="pct"/>
            <w:noWrap w:val="0"/>
            <w:vAlign w:val="center"/>
          </w:tcPr>
          <w:p w14:paraId="2430A65B">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c>
          <w:tcPr>
            <w:tcW w:w="1108" w:type="pct"/>
            <w:noWrap w:val="0"/>
            <w:vAlign w:val="center"/>
          </w:tcPr>
          <w:p w14:paraId="20F18E2D">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0.66</w:t>
            </w:r>
          </w:p>
        </w:tc>
        <w:tc>
          <w:tcPr>
            <w:tcW w:w="315" w:type="pct"/>
            <w:vMerge w:val="restart"/>
            <w:noWrap w:val="0"/>
            <w:vAlign w:val="center"/>
          </w:tcPr>
          <w:p w14:paraId="6A9633E7">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永久占地</w:t>
            </w:r>
          </w:p>
        </w:tc>
      </w:tr>
      <w:tr w14:paraId="40523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center"/>
          </w:tcPr>
          <w:p w14:paraId="2D827AF8">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775" w:type="pct"/>
            <w:noWrap w:val="0"/>
            <w:vAlign w:val="center"/>
          </w:tcPr>
          <w:p w14:paraId="29C0CFB1">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道路绿化区</w:t>
            </w:r>
          </w:p>
        </w:tc>
        <w:tc>
          <w:tcPr>
            <w:tcW w:w="450" w:type="pct"/>
            <w:noWrap w:val="0"/>
            <w:vAlign w:val="center"/>
          </w:tcPr>
          <w:p w14:paraId="12D6C35A">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0.31</w:t>
            </w:r>
          </w:p>
        </w:tc>
        <w:tc>
          <w:tcPr>
            <w:tcW w:w="559" w:type="pct"/>
            <w:noWrap w:val="0"/>
            <w:vAlign w:val="center"/>
          </w:tcPr>
          <w:p w14:paraId="05E4A25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0.01</w:t>
            </w:r>
          </w:p>
        </w:tc>
        <w:tc>
          <w:tcPr>
            <w:tcW w:w="761" w:type="pct"/>
            <w:noWrap w:val="0"/>
            <w:vAlign w:val="center"/>
          </w:tcPr>
          <w:p w14:paraId="2A628BF6">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23" w:type="pct"/>
            <w:noWrap w:val="0"/>
            <w:vAlign w:val="center"/>
          </w:tcPr>
          <w:p w14:paraId="7BA40F7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0.02</w:t>
            </w:r>
          </w:p>
        </w:tc>
        <w:tc>
          <w:tcPr>
            <w:tcW w:w="1108" w:type="pct"/>
            <w:noWrap w:val="0"/>
            <w:vAlign w:val="center"/>
          </w:tcPr>
          <w:p w14:paraId="2800C33D">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0.29</w:t>
            </w:r>
          </w:p>
        </w:tc>
        <w:tc>
          <w:tcPr>
            <w:tcW w:w="315" w:type="pct"/>
            <w:vMerge w:val="continue"/>
            <w:noWrap w:val="0"/>
            <w:vAlign w:val="center"/>
          </w:tcPr>
          <w:p w14:paraId="2A965B88">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7A2C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center"/>
          </w:tcPr>
          <w:p w14:paraId="699E3F4C">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775" w:type="pct"/>
            <w:noWrap w:val="0"/>
            <w:vAlign w:val="center"/>
          </w:tcPr>
          <w:p w14:paraId="32F846A8">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边坡工程区</w:t>
            </w:r>
          </w:p>
        </w:tc>
        <w:tc>
          <w:tcPr>
            <w:tcW w:w="450" w:type="pct"/>
            <w:noWrap w:val="0"/>
            <w:vAlign w:val="center"/>
          </w:tcPr>
          <w:p w14:paraId="08B87A32">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4.66</w:t>
            </w:r>
          </w:p>
        </w:tc>
        <w:tc>
          <w:tcPr>
            <w:tcW w:w="559" w:type="pct"/>
            <w:noWrap w:val="0"/>
            <w:vAlign w:val="center"/>
          </w:tcPr>
          <w:p w14:paraId="5C575B85">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761" w:type="pct"/>
            <w:noWrap w:val="0"/>
            <w:vAlign w:val="center"/>
          </w:tcPr>
          <w:p w14:paraId="1B340C91">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423" w:type="pct"/>
            <w:noWrap w:val="0"/>
            <w:vAlign w:val="center"/>
          </w:tcPr>
          <w:p w14:paraId="3F431E0C">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1108" w:type="pct"/>
            <w:noWrap w:val="0"/>
            <w:vAlign w:val="center"/>
          </w:tcPr>
          <w:p w14:paraId="1BC48EF8">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0.89</w:t>
            </w:r>
          </w:p>
        </w:tc>
        <w:tc>
          <w:tcPr>
            <w:tcW w:w="315" w:type="pct"/>
            <w:vMerge w:val="continue"/>
            <w:noWrap w:val="0"/>
            <w:vAlign w:val="center"/>
          </w:tcPr>
          <w:p w14:paraId="75439C83">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23DB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vMerge w:val="continue"/>
            <w:noWrap w:val="0"/>
            <w:vAlign w:val="center"/>
          </w:tcPr>
          <w:p w14:paraId="62552EEF">
            <w:pPr>
              <w:widowControl/>
              <w:adjustRightInd w:val="0"/>
              <w:snapToGrid w:val="0"/>
              <w:spacing w:line="240" w:lineRule="auto"/>
              <w:ind w:firstLine="0" w:firstLineChars="0"/>
              <w:jc w:val="center"/>
              <w:rPr>
                <w:rFonts w:hint="default" w:ascii="Times New Roman" w:hAnsi="Times New Roman" w:eastAsia="宋体" w:cs="Times New Roman"/>
                <w:b/>
                <w:bCs/>
                <w:color w:val="auto"/>
                <w:kern w:val="0"/>
                <w:sz w:val="21"/>
                <w:szCs w:val="21"/>
                <w:lang w:bidi="ar"/>
              </w:rPr>
            </w:pPr>
          </w:p>
        </w:tc>
        <w:tc>
          <w:tcPr>
            <w:tcW w:w="775" w:type="pct"/>
            <w:noWrap w:val="0"/>
            <w:vAlign w:val="center"/>
          </w:tcPr>
          <w:p w14:paraId="2646FCD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小计</w:t>
            </w:r>
          </w:p>
        </w:tc>
        <w:tc>
          <w:tcPr>
            <w:tcW w:w="450" w:type="pct"/>
            <w:noWrap w:val="0"/>
            <w:vAlign w:val="center"/>
          </w:tcPr>
          <w:p w14:paraId="757BB998">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7.28</w:t>
            </w:r>
          </w:p>
        </w:tc>
        <w:tc>
          <w:tcPr>
            <w:tcW w:w="559" w:type="pct"/>
            <w:noWrap w:val="0"/>
            <w:vAlign w:val="center"/>
          </w:tcPr>
          <w:p w14:paraId="536371B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0.09</w:t>
            </w:r>
          </w:p>
        </w:tc>
        <w:tc>
          <w:tcPr>
            <w:tcW w:w="761" w:type="pct"/>
            <w:noWrap w:val="0"/>
            <w:vAlign w:val="center"/>
          </w:tcPr>
          <w:p w14:paraId="7BBDFC39">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423" w:type="pct"/>
            <w:noWrap w:val="0"/>
            <w:vAlign w:val="center"/>
          </w:tcPr>
          <w:p w14:paraId="024EC0B5">
            <w:pPr>
              <w:pStyle w:val="4"/>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0.07</w:t>
            </w:r>
          </w:p>
        </w:tc>
        <w:tc>
          <w:tcPr>
            <w:tcW w:w="1108" w:type="pct"/>
            <w:noWrap w:val="0"/>
            <w:vAlign w:val="center"/>
          </w:tcPr>
          <w:p w14:paraId="0E90B476">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1.84</w:t>
            </w:r>
          </w:p>
        </w:tc>
        <w:tc>
          <w:tcPr>
            <w:tcW w:w="315" w:type="pct"/>
            <w:vMerge w:val="continue"/>
            <w:noWrap w:val="0"/>
            <w:vAlign w:val="center"/>
          </w:tcPr>
          <w:p w14:paraId="3A4BC2AF">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p>
        </w:tc>
      </w:tr>
      <w:tr w14:paraId="5573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1" w:type="pct"/>
            <w:gridSpan w:val="2"/>
            <w:noWrap w:val="0"/>
            <w:vAlign w:val="center"/>
          </w:tcPr>
          <w:p w14:paraId="4E37D056">
            <w:pPr>
              <w:pStyle w:val="4"/>
              <w:adjustRightInd w:val="0"/>
              <w:snapToGrid w:val="0"/>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合计</w:t>
            </w:r>
          </w:p>
        </w:tc>
        <w:tc>
          <w:tcPr>
            <w:tcW w:w="3618" w:type="pct"/>
            <w:gridSpan w:val="6"/>
            <w:noWrap w:val="0"/>
            <w:vAlign w:val="center"/>
          </w:tcPr>
          <w:p w14:paraId="1CF835DE">
            <w:pPr>
              <w:pStyle w:val="4"/>
              <w:adjustRightInd w:val="0"/>
              <w:snapToGrid w:val="0"/>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9.31</w:t>
            </w:r>
          </w:p>
        </w:tc>
      </w:tr>
    </w:tbl>
    <w:p w14:paraId="088D9EE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公路永久占地将使评价区内被占用的土地利用性质、功能发生改变。被占用的土地利用性质将改变为交通用地，这种改变是永久性的，是不可逆的。</w:t>
      </w:r>
    </w:p>
    <w:p w14:paraId="361C31B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公路对土地的永久占用将使被占地范围内的土壤理化性质发生改变，破坏原来宜农、宜林土壤的结构和肥力，导致该范围内不能或不宜作为耕作、种植土壤。</w:t>
      </w:r>
    </w:p>
    <w:p w14:paraId="7877930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公路对土地的永久占用将使评价区的土地利用格局发生改变。由于公路永久占用，将使构成评价区原有土地利用格局的部分地类斑块（园地、荒地等）连通起来共同改变为道路用地。</w:t>
      </w:r>
    </w:p>
    <w:p w14:paraId="17EB8C9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占地类型中，以园地、荒地为主，宅基地和老路用地占用较少。项目占地现状对生态</w:t>
      </w:r>
      <w:r>
        <w:rPr>
          <w:rFonts w:hint="default" w:ascii="Times New Roman" w:hAnsi="Times New Roman" w:eastAsia="宋体" w:cs="Times New Roman"/>
          <w:color w:val="auto"/>
          <w:lang w:eastAsia="zh-CN"/>
        </w:rPr>
        <w:t>环境</w:t>
      </w:r>
      <w:r>
        <w:rPr>
          <w:rFonts w:hint="default" w:ascii="Times New Roman" w:hAnsi="Times New Roman" w:eastAsia="宋体" w:cs="Times New Roman"/>
          <w:color w:val="auto"/>
        </w:rPr>
        <w:t>有一定影响，但通过合理补偿农户因土地占用而受到的损失及建成后的道路绿化措施可得到一定缓解，从整个评价区的总体情况来看，公路占地不会对评价区内的土地利用格局造成显著影响。</w:t>
      </w:r>
    </w:p>
    <w:p w14:paraId="6A5A7F26">
      <w:pPr>
        <w:shd w:val="clear" w:color="auto" w:fill="FFFFFF"/>
        <w:snapToGrid w:val="0"/>
        <w:ind w:firstLine="480"/>
        <w:rPr>
          <w:rFonts w:hint="default" w:ascii="Times New Roman" w:hAnsi="Times New Roman" w:eastAsia="宋体" w:cs="Times New Roman"/>
          <w:color w:val="auto"/>
          <w:kern w:val="0"/>
        </w:rPr>
      </w:pPr>
      <w:r>
        <w:rPr>
          <w:rFonts w:hint="eastAsia" w:cs="Times New Roman"/>
          <w:color w:val="auto"/>
          <w:kern w:val="0"/>
          <w:lang w:eastAsia="zh-CN"/>
        </w:rPr>
        <w:t>（</w:t>
      </w:r>
      <w:r>
        <w:rPr>
          <w:rFonts w:hint="eastAsia" w:cs="Times New Roman"/>
          <w:color w:val="auto"/>
          <w:kern w:val="0"/>
          <w:lang w:val="en-US" w:eastAsia="zh-CN"/>
        </w:rPr>
        <w:t>2</w:t>
      </w:r>
      <w:r>
        <w:rPr>
          <w:rFonts w:hint="eastAsia" w:cs="Times New Roman"/>
          <w:color w:val="auto"/>
          <w:kern w:val="0"/>
          <w:lang w:eastAsia="zh-CN"/>
        </w:rPr>
        <w:t>）</w:t>
      </w:r>
      <w:r>
        <w:rPr>
          <w:rFonts w:hint="default" w:ascii="Times New Roman" w:hAnsi="Times New Roman" w:eastAsia="宋体" w:cs="Times New Roman"/>
          <w:color w:val="auto"/>
          <w:kern w:val="0"/>
        </w:rPr>
        <w:t>临时占地</w:t>
      </w:r>
    </w:p>
    <w:p w14:paraId="1B8F76A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临时占用土地主要用于施工临时场地、弃渣场的布置。</w:t>
      </w:r>
    </w:p>
    <w:p w14:paraId="6BDC5DB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道路临时占地在工程施工结束后，可通过采取适合的</w:t>
      </w:r>
      <w:r>
        <w:rPr>
          <w:rFonts w:hint="default" w:ascii="Times New Roman" w:hAnsi="Times New Roman" w:eastAsia="宋体" w:cs="Times New Roman"/>
          <w:color w:val="auto"/>
          <w:lang w:eastAsia="zh-CN"/>
        </w:rPr>
        <w:t>覆</w:t>
      </w:r>
      <w:r>
        <w:rPr>
          <w:rFonts w:hint="default" w:ascii="Times New Roman" w:hAnsi="Times New Roman" w:eastAsia="宋体" w:cs="Times New Roman"/>
          <w:color w:val="auto"/>
        </w:rPr>
        <w:t>土、恢复植被等工程、植物措施进行恢复，临时占地在实施合理措施的前提下，均可恢复到原来水平。因此，临时占地所造成的影响是短期的、局部的，不会对评价区内的土地利用性质和功能、土壤的理化性质、土地利用格局等造成显著影响。</w:t>
      </w:r>
    </w:p>
    <w:p w14:paraId="5F4B2CB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总的来看，道路建设占地对于评价区内土地利用格局的影响较小，仅对土地利用性质和功能，以及土壤理化性质变化造成一定程度的影响，这也是道路建设不能避免的。但从整个评价区域来看，道路占地对土地利用格局的影响并不显著。</w:t>
      </w:r>
    </w:p>
    <w:p w14:paraId="1A6763B4">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t>5.1.5.2水土流失影响分析</w:t>
      </w:r>
    </w:p>
    <w:p w14:paraId="5A3B857E">
      <w:pPr>
        <w:pStyle w:val="35"/>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（1）本项目公路建设将会产生土石方作业</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在建设过程中将破坏原地貌状态和自然侵蚀状态下的水文网络系统，植被也受到破坏，极易诱发水土流失</w:t>
      </w:r>
      <w:r>
        <w:rPr>
          <w:rFonts w:hint="default" w:ascii="Times New Roman" w:hAnsi="Times New Roman" w:eastAsia="宋体" w:cs="Times New Roman"/>
          <w:color w:val="auto"/>
          <w:sz w:val="24"/>
          <w:szCs w:val="24"/>
          <w:lang w:eastAsia="zh-CN"/>
        </w:rPr>
        <w:t>；</w:t>
      </w:r>
    </w:p>
    <w:p w14:paraId="1C811DA8">
      <w:pPr>
        <w:pStyle w:val="35"/>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项目边坡开挖、回填、碾压等建设活动，对原有坡面排水沟渠造成不同程度的破坏，同时施工裸地面积增加，扰动了原土层和岩层，为溅蚀、面蚀、细沟侵蚀等土壤侵蚀的产生创造了条件。施工中包括挖填方边坡等若得不到及时有效的防护治理，在降雨及人为因素作用下产生大量泥沙，泥沙随着水流入下游河道，在流速小的地方，特别是河口和港湾处进行沉积。因此，造成淤积河床，增加</w:t>
      </w:r>
      <w:r>
        <w:rPr>
          <w:rFonts w:hint="default" w:ascii="Times New Roman" w:hAnsi="Times New Roman" w:eastAsia="宋体" w:cs="Times New Roman"/>
          <w:color w:val="auto"/>
          <w:sz w:val="24"/>
          <w:szCs w:val="24"/>
          <w:lang w:eastAsia="zh-CN"/>
        </w:rPr>
        <w:t>河水</w:t>
      </w:r>
      <w:r>
        <w:rPr>
          <w:rFonts w:hint="default" w:ascii="Times New Roman" w:hAnsi="Times New Roman" w:eastAsia="宋体" w:cs="Times New Roman"/>
          <w:color w:val="auto"/>
          <w:sz w:val="24"/>
          <w:szCs w:val="24"/>
        </w:rPr>
        <w:t>含沙量，污染水质等。</w:t>
      </w:r>
    </w:p>
    <w:p w14:paraId="42016323">
      <w:pPr>
        <w:pStyle w:val="35"/>
        <w:ind w:firstLine="480"/>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rPr>
        <w:t>（3）本项目临时便道若不采取相应的水土保持措施</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遇到暴雨或大风都会造成一定的水土流失。</w:t>
      </w:r>
    </w:p>
    <w:p w14:paraId="40BC9209">
      <w:pPr>
        <w:widowControl/>
        <w:ind w:firstLine="480"/>
        <w:jc w:val="left"/>
        <w:rPr>
          <w:rFonts w:hint="default" w:ascii="Times New Roman" w:hAnsi="Times New Roman" w:eastAsia="宋体" w:cs="Times New Roman"/>
          <w:color w:val="auto"/>
        </w:rPr>
      </w:pPr>
      <w:bookmarkStart w:id="109" w:name="_Toc367844678"/>
      <w:r>
        <w:rPr>
          <w:rFonts w:hint="default" w:ascii="Times New Roman" w:hAnsi="Times New Roman" w:eastAsia="宋体" w:cs="Times New Roman"/>
          <w:color w:val="auto"/>
          <w:kern w:val="0"/>
          <w:lang w:bidi="ar"/>
        </w:rPr>
        <w:t>施工过程中对生态环境的影响见表5.1-</w:t>
      </w:r>
      <w:r>
        <w:rPr>
          <w:rFonts w:hint="default" w:ascii="Times New Roman" w:hAnsi="Times New Roman" w:eastAsia="宋体" w:cs="Times New Roman"/>
          <w:color w:val="auto"/>
          <w:kern w:val="0"/>
          <w:lang w:val="en-US" w:eastAsia="zh-CN" w:bidi="ar"/>
        </w:rPr>
        <w:t>9</w:t>
      </w:r>
      <w:r>
        <w:rPr>
          <w:rFonts w:hint="default" w:ascii="Times New Roman" w:hAnsi="Times New Roman" w:eastAsia="宋体" w:cs="Times New Roman"/>
          <w:color w:val="auto"/>
          <w:kern w:val="0"/>
          <w:lang w:bidi="ar"/>
        </w:rPr>
        <w:t>。</w:t>
      </w:r>
    </w:p>
    <w:bookmarkEnd w:id="109"/>
    <w:p w14:paraId="479755E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表5.1-</w:t>
      </w:r>
      <w:r>
        <w:rPr>
          <w:rFonts w:hint="default" w:ascii="Times New Roman" w:hAnsi="Times New Roman" w:eastAsia="宋体" w:cs="Times New Roman"/>
          <w:b/>
          <w:bCs/>
          <w:color w:val="auto"/>
          <w:kern w:val="0"/>
          <w:sz w:val="21"/>
          <w:szCs w:val="21"/>
          <w:lang w:val="en-US" w:eastAsia="zh-CN" w:bidi="ar"/>
        </w:rPr>
        <w:t>9</w:t>
      </w:r>
      <w:r>
        <w:rPr>
          <w:rFonts w:hint="default" w:ascii="Times New Roman" w:hAnsi="Times New Roman" w:eastAsia="宋体" w:cs="Times New Roman"/>
          <w:b/>
          <w:bCs/>
          <w:color w:val="auto"/>
          <w:kern w:val="0"/>
          <w:sz w:val="21"/>
          <w:szCs w:val="21"/>
          <w:lang w:bidi="ar"/>
        </w:rPr>
        <w:t xml:space="preserve">  施工过程生态环境的影响分析</w:t>
      </w:r>
    </w:p>
    <w:tbl>
      <w:tblPr>
        <w:tblStyle w:val="5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735"/>
        <w:gridCol w:w="585"/>
        <w:gridCol w:w="667"/>
        <w:gridCol w:w="655"/>
        <w:gridCol w:w="5007"/>
      </w:tblGrid>
      <w:tr w14:paraId="0F08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vMerge w:val="restart"/>
            <w:noWrap w:val="0"/>
            <w:vAlign w:val="center"/>
          </w:tcPr>
          <w:p w14:paraId="5305B2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项目</w:t>
            </w:r>
          </w:p>
        </w:tc>
        <w:tc>
          <w:tcPr>
            <w:tcW w:w="431" w:type="pct"/>
            <w:vMerge w:val="restart"/>
            <w:noWrap w:val="0"/>
            <w:vAlign w:val="center"/>
          </w:tcPr>
          <w:p w14:paraId="1666A5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影响</w:t>
            </w:r>
          </w:p>
          <w:p w14:paraId="418825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特征</w:t>
            </w:r>
          </w:p>
        </w:tc>
        <w:tc>
          <w:tcPr>
            <w:tcW w:w="1118" w:type="pct"/>
            <w:gridSpan w:val="3"/>
            <w:noWrap w:val="0"/>
            <w:vAlign w:val="center"/>
          </w:tcPr>
          <w:p w14:paraId="07B516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影响程度</w:t>
            </w:r>
          </w:p>
        </w:tc>
        <w:tc>
          <w:tcPr>
            <w:tcW w:w="2937" w:type="pct"/>
            <w:vMerge w:val="restart"/>
            <w:noWrap w:val="0"/>
            <w:vAlign w:val="center"/>
          </w:tcPr>
          <w:p w14:paraId="7016E1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影响分析</w:t>
            </w:r>
          </w:p>
        </w:tc>
      </w:tr>
      <w:tr w14:paraId="787B6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vMerge w:val="continue"/>
            <w:noWrap w:val="0"/>
            <w:vAlign w:val="center"/>
          </w:tcPr>
          <w:p w14:paraId="2A86C4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431" w:type="pct"/>
            <w:vMerge w:val="continue"/>
            <w:noWrap w:val="0"/>
            <w:vAlign w:val="center"/>
          </w:tcPr>
          <w:p w14:paraId="086ABC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43" w:type="pct"/>
            <w:noWrap w:val="0"/>
            <w:vAlign w:val="center"/>
          </w:tcPr>
          <w:p w14:paraId="6E564E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w:t>
            </w:r>
          </w:p>
        </w:tc>
        <w:tc>
          <w:tcPr>
            <w:tcW w:w="391" w:type="pct"/>
            <w:noWrap w:val="0"/>
            <w:vAlign w:val="center"/>
          </w:tcPr>
          <w:p w14:paraId="511BB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中</w:t>
            </w:r>
          </w:p>
        </w:tc>
        <w:tc>
          <w:tcPr>
            <w:tcW w:w="384" w:type="pct"/>
            <w:noWrap w:val="0"/>
            <w:vAlign w:val="center"/>
          </w:tcPr>
          <w:p w14:paraId="0AA1DA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小</w:t>
            </w:r>
          </w:p>
        </w:tc>
        <w:tc>
          <w:tcPr>
            <w:tcW w:w="2937" w:type="pct"/>
            <w:vMerge w:val="continue"/>
            <w:noWrap w:val="0"/>
            <w:vAlign w:val="center"/>
          </w:tcPr>
          <w:p w14:paraId="4F8F14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r>
      <w:tr w14:paraId="1A90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noWrap w:val="0"/>
            <w:vAlign w:val="center"/>
          </w:tcPr>
          <w:p w14:paraId="19BB6F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路基工</w:t>
            </w:r>
          </w:p>
          <w:p w14:paraId="512C10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程</w:t>
            </w:r>
          </w:p>
        </w:tc>
        <w:tc>
          <w:tcPr>
            <w:tcW w:w="431" w:type="pct"/>
            <w:noWrap w:val="0"/>
            <w:vAlign w:val="center"/>
          </w:tcPr>
          <w:p w14:paraId="5E763C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线状</w:t>
            </w:r>
          </w:p>
          <w:p w14:paraId="6E2C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切割</w:t>
            </w:r>
          </w:p>
        </w:tc>
        <w:tc>
          <w:tcPr>
            <w:tcW w:w="343" w:type="pct"/>
            <w:noWrap w:val="0"/>
            <w:vAlign w:val="center"/>
          </w:tcPr>
          <w:p w14:paraId="66E552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c>
          <w:tcPr>
            <w:tcW w:w="391" w:type="pct"/>
            <w:noWrap w:val="0"/>
            <w:vAlign w:val="center"/>
          </w:tcPr>
          <w:p w14:paraId="724F10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84" w:type="pct"/>
            <w:noWrap w:val="0"/>
            <w:vAlign w:val="center"/>
          </w:tcPr>
          <w:p w14:paraId="7B3409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37" w:type="pct"/>
            <w:noWrap w:val="0"/>
            <w:vAlign w:val="center"/>
          </w:tcPr>
          <w:p w14:paraId="7BA081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①路基开挖、填筑，边坡防护建设对沿线植被造成破坏，直接破坏地表植被和植物种类，使影响区域植被分布面积减少、植物群落盖度和植物物种多样性下降；且在雨季容易形成水土流失；②路基工程建设可改变地表径流方向，导致生态系统退化萎缩或退化等；③路基工程占地对沿线土地利用格局的变化，将对区域景观环境产生一定的影响。</w:t>
            </w:r>
          </w:p>
        </w:tc>
      </w:tr>
      <w:tr w14:paraId="7EE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noWrap w:val="0"/>
            <w:vAlign w:val="center"/>
          </w:tcPr>
          <w:p w14:paraId="069A22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涵洞工</w:t>
            </w:r>
          </w:p>
          <w:p w14:paraId="044476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程</w:t>
            </w:r>
          </w:p>
        </w:tc>
        <w:tc>
          <w:tcPr>
            <w:tcW w:w="431" w:type="pct"/>
            <w:noWrap w:val="0"/>
            <w:vAlign w:val="center"/>
          </w:tcPr>
          <w:p w14:paraId="634DC5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斑块</w:t>
            </w:r>
          </w:p>
          <w:p w14:paraId="5C55C4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扩散</w:t>
            </w:r>
          </w:p>
        </w:tc>
        <w:tc>
          <w:tcPr>
            <w:tcW w:w="343" w:type="pct"/>
            <w:noWrap w:val="0"/>
            <w:vAlign w:val="center"/>
          </w:tcPr>
          <w:p w14:paraId="3271C1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c>
          <w:tcPr>
            <w:tcW w:w="391" w:type="pct"/>
            <w:noWrap w:val="0"/>
            <w:vAlign w:val="center"/>
          </w:tcPr>
          <w:p w14:paraId="6E7273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84" w:type="pct"/>
            <w:noWrap w:val="0"/>
            <w:vAlign w:val="center"/>
          </w:tcPr>
          <w:p w14:paraId="4D75BB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37" w:type="pct"/>
            <w:noWrap w:val="0"/>
            <w:vAlign w:val="center"/>
          </w:tcPr>
          <w:p w14:paraId="34EDD4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涵洞工程改变地形地貌、水文过程和地表植被，影响生态系统结构和功能。可在一定程度上加剧水土流失等生态问题。影响对象主要是自然景观、地形地貌、水文过程及地表植被等。</w:t>
            </w:r>
          </w:p>
        </w:tc>
      </w:tr>
      <w:tr w14:paraId="10CE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noWrap w:val="0"/>
            <w:vAlign w:val="center"/>
          </w:tcPr>
          <w:p w14:paraId="6F6BC5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kern w:val="0"/>
                <w:sz w:val="21"/>
                <w:szCs w:val="21"/>
                <w:lang w:val="en-US" w:eastAsia="zh-CN" w:bidi="ar"/>
              </w:rPr>
              <w:t>弃渣</w:t>
            </w:r>
            <w:r>
              <w:rPr>
                <w:rFonts w:hint="default" w:ascii="Times New Roman" w:hAnsi="Times New Roman" w:eastAsia="宋体" w:cs="Times New Roman"/>
                <w:color w:val="auto"/>
                <w:kern w:val="0"/>
                <w:sz w:val="21"/>
                <w:szCs w:val="21"/>
                <w:lang w:bidi="ar"/>
              </w:rPr>
              <w:t>场</w:t>
            </w:r>
          </w:p>
        </w:tc>
        <w:tc>
          <w:tcPr>
            <w:tcW w:w="431" w:type="pct"/>
            <w:noWrap w:val="0"/>
            <w:vAlign w:val="center"/>
          </w:tcPr>
          <w:p w14:paraId="37FE0E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斑块</w:t>
            </w:r>
          </w:p>
          <w:p w14:paraId="2C3590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扩散</w:t>
            </w:r>
          </w:p>
        </w:tc>
        <w:tc>
          <w:tcPr>
            <w:tcW w:w="343" w:type="pct"/>
            <w:noWrap w:val="0"/>
            <w:vAlign w:val="center"/>
          </w:tcPr>
          <w:p w14:paraId="0EF8E6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c>
          <w:tcPr>
            <w:tcW w:w="391" w:type="pct"/>
            <w:noWrap w:val="0"/>
            <w:vAlign w:val="center"/>
          </w:tcPr>
          <w:p w14:paraId="1B4A1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84" w:type="pct"/>
            <w:noWrap w:val="0"/>
            <w:vAlign w:val="center"/>
          </w:tcPr>
          <w:p w14:paraId="12CFEE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37" w:type="pct"/>
            <w:noWrap w:val="0"/>
            <w:vAlign w:val="center"/>
          </w:tcPr>
          <w:p w14:paraId="2626C3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通过地表弃渣，破坏地表植被和土壤结构，改变地形地貌以及自然景观，使部分地段植被覆盖和植物多样性下降，自然景观破碎化，影响生态系统的结构和功能。弃渣场在一定程度上加剧水土流失等生态问题。影响对象主要是地表植被、土壤结构及自然景观。</w:t>
            </w:r>
          </w:p>
        </w:tc>
      </w:tr>
      <w:tr w14:paraId="097F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12" w:type="pct"/>
            <w:noWrap w:val="0"/>
            <w:vAlign w:val="center"/>
          </w:tcPr>
          <w:p w14:paraId="5EED6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施</w:t>
            </w:r>
            <w:r>
              <w:rPr>
                <w:rFonts w:hint="default" w:ascii="Times New Roman" w:hAnsi="Times New Roman" w:eastAsia="宋体" w:cs="Times New Roman"/>
                <w:color w:val="auto"/>
                <w:kern w:val="0"/>
                <w:sz w:val="21"/>
                <w:szCs w:val="21"/>
                <w:lang w:eastAsia="zh-CN" w:bidi="ar"/>
              </w:rPr>
              <w:t>工现</w:t>
            </w:r>
            <w:r>
              <w:rPr>
                <w:rFonts w:hint="default" w:ascii="Times New Roman" w:hAnsi="Times New Roman" w:eastAsia="宋体" w:cs="Times New Roman"/>
                <w:color w:val="auto"/>
                <w:kern w:val="0"/>
                <w:sz w:val="21"/>
                <w:szCs w:val="21"/>
                <w:lang w:bidi="ar"/>
              </w:rPr>
              <w:t>场</w:t>
            </w:r>
          </w:p>
        </w:tc>
        <w:tc>
          <w:tcPr>
            <w:tcW w:w="431" w:type="pct"/>
            <w:noWrap w:val="0"/>
            <w:vAlign w:val="center"/>
          </w:tcPr>
          <w:p w14:paraId="7C5977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斑块</w:t>
            </w:r>
          </w:p>
          <w:p w14:paraId="2CB7BF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扩散</w:t>
            </w:r>
          </w:p>
        </w:tc>
        <w:tc>
          <w:tcPr>
            <w:tcW w:w="343" w:type="pct"/>
            <w:noWrap w:val="0"/>
            <w:vAlign w:val="center"/>
          </w:tcPr>
          <w:p w14:paraId="26D18F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391" w:type="pct"/>
            <w:noWrap w:val="0"/>
            <w:vAlign w:val="center"/>
          </w:tcPr>
          <w:p w14:paraId="3EB616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w:t>
            </w:r>
          </w:p>
        </w:tc>
        <w:tc>
          <w:tcPr>
            <w:tcW w:w="384" w:type="pct"/>
            <w:noWrap w:val="0"/>
            <w:vAlign w:val="center"/>
          </w:tcPr>
          <w:p w14:paraId="567126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p>
        </w:tc>
        <w:tc>
          <w:tcPr>
            <w:tcW w:w="2937" w:type="pct"/>
            <w:noWrap w:val="0"/>
            <w:vAlign w:val="center"/>
          </w:tcPr>
          <w:p w14:paraId="1BDF2A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通过场地占用、机械碾压以及人员活动等，可破坏地表植被和土壤结构，降低生态系统功能。其影响范围和程度与站场规模、人员数量以及施工时间长短有密切关系。同时产生生活垃圾等环境问题。</w:t>
            </w:r>
          </w:p>
        </w:tc>
      </w:tr>
    </w:tbl>
    <w:p w14:paraId="5B9FAFF8">
      <w:pPr>
        <w:widowControl/>
        <w:ind w:firstLine="480"/>
        <w:jc w:val="left"/>
        <w:rPr>
          <w:rFonts w:hint="default" w:ascii="Times New Roman" w:hAnsi="Times New Roman" w:eastAsia="宋体" w:cs="Times New Roman"/>
          <w:color w:val="auto"/>
          <w:kern w:val="0"/>
          <w:lang w:bidi="ar"/>
        </w:rPr>
      </w:pPr>
      <w:r>
        <w:rPr>
          <w:rFonts w:hint="eastAsia" w:cs="Times New Roman"/>
          <w:color w:val="auto"/>
          <w:lang w:eastAsia="zh-CN"/>
        </w:rPr>
        <w:t>（</w:t>
      </w:r>
      <w:r>
        <w:rPr>
          <w:rFonts w:hint="eastAsia" w:cs="Times New Roman"/>
          <w:color w:val="auto"/>
          <w:lang w:val="en-US" w:eastAsia="zh-CN"/>
        </w:rPr>
        <w:t>1</w:t>
      </w:r>
      <w:r>
        <w:rPr>
          <w:rFonts w:hint="eastAsia" w:cs="Times New Roman"/>
          <w:color w:val="auto"/>
          <w:lang w:eastAsia="zh-CN"/>
        </w:rPr>
        <w:t>）</w:t>
      </w:r>
      <w:r>
        <w:rPr>
          <w:rFonts w:hint="default" w:ascii="Times New Roman" w:hAnsi="Times New Roman" w:eastAsia="宋体" w:cs="Times New Roman"/>
          <w:color w:val="auto"/>
          <w:kern w:val="0"/>
          <w:lang w:bidi="ar"/>
        </w:rPr>
        <w:t>对陆生生态的影响</w:t>
      </w:r>
    </w:p>
    <w:p w14:paraId="0B479654">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1）对植物资源的影响</w:t>
      </w:r>
    </w:p>
    <w:p w14:paraId="278BE355">
      <w:pPr>
        <w:widowControl/>
        <w:adjustRightInd w:val="0"/>
        <w:snapToGrid w:val="0"/>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项目的建设将会对生物群落形态方面的结构造成影响，一方面将改变生物群落的水平结构，同时对局部地段的群落垂直结构（群落恢复后的种类组成和结构变化）造成影响。该建设项目将占用的生物群落面积和范围均较小，仅在极小范围改变了生物群落结构，但不会导致群落结构的简化，总体上看，对整个评价区域生物群落结构造成的影响较小。</w:t>
      </w:r>
    </w:p>
    <w:p w14:paraId="4309CB4B">
      <w:pPr>
        <w:widowControl/>
        <w:adjustRightInd w:val="0"/>
        <w:snapToGrid w:val="0"/>
        <w:ind w:firstLine="720" w:firstLineChars="3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2）对植物生物多样性的影响</w:t>
      </w:r>
    </w:p>
    <w:p w14:paraId="12DC9E48">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拟建项目的建设首先造成永久占地范围用地性质的改变，部分植被将永久性消失。这种占用是无法恢复的，会直接导致物种的损失。根据现场调查结果，永久占地范围内的植物物种都是当地普通的、周边常见的植物，无重点保护物种，因此项目的建设对区域植物多样性的影响甚微。施工结束后，沿线的绿化建设及植被的恢复，可逐渐弥补植物物种多样性的损失。</w:t>
      </w:r>
    </w:p>
    <w:p w14:paraId="7BB0A543">
      <w:pPr>
        <w:widowControl/>
        <w:ind w:firstLine="480"/>
        <w:jc w:val="left"/>
        <w:rPr>
          <w:rFonts w:hint="default" w:ascii="Times New Roman" w:hAnsi="Times New Roman" w:eastAsia="宋体" w:cs="Times New Roman"/>
          <w:color w:val="auto"/>
        </w:rPr>
      </w:pPr>
      <w:r>
        <w:rPr>
          <w:rFonts w:hint="eastAsia" w:cs="Times New Roman"/>
          <w:color w:val="auto"/>
          <w:kern w:val="0"/>
          <w:lang w:eastAsia="zh-CN" w:bidi="ar"/>
        </w:rPr>
        <w:t>（</w:t>
      </w:r>
      <w:r>
        <w:rPr>
          <w:rFonts w:hint="eastAsia" w:cs="Times New Roman"/>
          <w:color w:val="auto"/>
          <w:kern w:val="0"/>
          <w:lang w:val="en-US" w:eastAsia="zh-CN" w:bidi="ar"/>
        </w:rPr>
        <w:t>2</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对两栖类的影响</w:t>
      </w:r>
    </w:p>
    <w:p w14:paraId="5D2D1786">
      <w:pPr>
        <w:widowControl/>
        <w:numPr>
          <w:ilvl w:val="0"/>
          <w:numId w:val="0"/>
        </w:numPr>
        <w:ind w:firstLine="480" w:firstLineChars="20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sz w:val="24"/>
          <w:lang w:val="en-US" w:eastAsia="zh-CN" w:bidi="ar"/>
        </w:rPr>
        <w:t>1）</w:t>
      </w:r>
      <w:r>
        <w:rPr>
          <w:rFonts w:hint="default" w:ascii="Times New Roman" w:hAnsi="Times New Roman" w:eastAsia="宋体" w:cs="Times New Roman"/>
          <w:color w:val="auto"/>
          <w:kern w:val="0"/>
          <w:lang w:bidi="ar"/>
        </w:rPr>
        <w:t>对陆生动物的影响</w:t>
      </w:r>
    </w:p>
    <w:p w14:paraId="43931DE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由于两栖动物迁徙能力较弱、对环境的依赖性较强，拟建公路沿线的两栖动物主要栖息于农田、溪流及附近的灌丛、杂草中，受工程影响的主要是栖息于上述环境中的常见物种。</w:t>
      </w:r>
    </w:p>
    <w:p w14:paraId="63031F0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间对两栖类的影响主要表现为：工程施工机械、施工人员进入工地，原材料的堆放等均可直接伤害到两栖动物，可能将坡地的两栖动物杀伤，导致两栖类物种数量的减少。开挖路堑和临时施工场地或便道造成部分生境破坏。</w:t>
      </w:r>
    </w:p>
    <w:p w14:paraId="54D91319">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施工期间虽然会使项目占地区及施工影响区两栖动物的种类和数量有所减少，但对整个项目区两栖动物的种群数量的影响有限。一方面这些动物将迁徙</w:t>
      </w:r>
      <w:r>
        <w:rPr>
          <w:rFonts w:hint="default" w:ascii="Times New Roman" w:hAnsi="Times New Roman" w:eastAsia="宋体" w:cs="Times New Roman"/>
          <w:color w:val="auto"/>
          <w:kern w:val="0"/>
          <w:lang w:eastAsia="zh-CN" w:bidi="ar"/>
        </w:rPr>
        <w:t>他</w:t>
      </w:r>
      <w:r>
        <w:rPr>
          <w:rFonts w:hint="default" w:ascii="Times New Roman" w:hAnsi="Times New Roman" w:eastAsia="宋体" w:cs="Times New Roman"/>
          <w:color w:val="auto"/>
          <w:kern w:val="0"/>
          <w:lang w:bidi="ar"/>
        </w:rPr>
        <w:t>处，另一方面随着项目建设的完成，生境的恢复，两栖动物的种群数量将很快得以恢复。</w:t>
      </w:r>
    </w:p>
    <w:p w14:paraId="57663FC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2）对爬行类的影响</w:t>
      </w:r>
    </w:p>
    <w:p w14:paraId="7B595A6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拟建公路沿线的爬行动物主要栖息于农耕地、溪流及附近的灌丛、杂草中，受工程影响的主要是栖息于上述环境中的常见物种。</w:t>
      </w:r>
    </w:p>
    <w:p w14:paraId="4B7B6F3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间对爬行类的影响主要表现为：施工活动会产生噪声、频繁往来的车流、人流改变了原有的安静环境，对喜欢安静或害怕人群类爬行动物会形成惊吓导致其离开原有的活动范围，会暂时降低影响区内敏感物种数量和降低出现的次数，施工结束后其影响逐渐消除。</w:t>
      </w:r>
    </w:p>
    <w:p w14:paraId="018E2C57">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项目占地与施工区对爬行动物的种类和数量有所减少，但影响极其有限，随着项目建设的完成，生境的恢复，爬行动物数量将得以恢复。</w:t>
      </w:r>
    </w:p>
    <w:p w14:paraId="679B8FE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对鸟类的影响</w:t>
      </w:r>
    </w:p>
    <w:p w14:paraId="516744E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施工期间对鸟类的影响主要表现为：人为活动的增加以及路基的开挖、开山放炮的震动、巨响，施工机械噪音均会惊吓、干扰某些鸟类，尤其对一些林栖鸟类会产生干扰。但鸟类能凭借自身的飞翔能力离开施工影响区域，寻找适宜的栖息地。只要施工过程没有影响到鸟类集中的栖息或繁殖地，就不会影响公路沿线鸟类种群及其长期生存繁衍的环境。施工活动对于伴人活动的一些鸟类数量可能会有所增加；而对于其他鸟类可能会产生干扰，导致种类和数量明显减少。</w:t>
      </w:r>
    </w:p>
    <w:p w14:paraId="2DDB427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总体来看，评价区没有鸟类集中的栖息或繁殖地，更没有保护鸟种的固定繁殖地。施工</w:t>
      </w:r>
      <w:r>
        <w:rPr>
          <w:rFonts w:hint="default" w:ascii="Times New Roman" w:hAnsi="Times New Roman" w:eastAsia="宋体" w:cs="Times New Roman"/>
          <w:color w:val="auto"/>
          <w:kern w:val="0"/>
          <w:lang w:eastAsia="zh-CN" w:bidi="ar"/>
        </w:rPr>
        <w:t>期间</w:t>
      </w:r>
      <w:r>
        <w:rPr>
          <w:rFonts w:hint="default" w:ascii="Times New Roman" w:hAnsi="Times New Roman" w:eastAsia="宋体" w:cs="Times New Roman"/>
          <w:color w:val="auto"/>
          <w:kern w:val="0"/>
          <w:lang w:bidi="ar"/>
        </w:rPr>
        <w:t>，人为活动、施工噪声等会惊吓干扰上述保护鸟类，鸟类会暂时避绕到影响区外觅食，由于大部分鸟类活动能力与范围较广，受施工影响很小。</w:t>
      </w:r>
    </w:p>
    <w:p w14:paraId="2BAF119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4）对兽类的影响</w:t>
      </w:r>
    </w:p>
    <w:p w14:paraId="467424D0">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施工期间对兽类的影响主要表现为：对动物觅食地所在生态环境的破坏，包括对施工区林地植被的破坏和林木的砍伐、爆破所产生噪声，弃渣场作业，各种施工人员以及施工机械的干扰等，使评价区及其周边环境发生改变，受影响的主要是适生于灌丛、草丛的小型兽类，将迁移至附近受干扰小的区域，在施工区附近区域上述兽类栖息适宜度降低，种类和数量将相应减少，而伴随人类生活的一些啮齿目、食虫目动物，如小家鼠、黄胸鼠等，其种群数量会有所增加，与之相适应，主要以鼠类为食的种群</w:t>
      </w:r>
      <w:r>
        <w:rPr>
          <w:rFonts w:hint="default" w:ascii="Times New Roman" w:hAnsi="Times New Roman" w:eastAsia="宋体" w:cs="Times New Roman"/>
          <w:color w:val="auto"/>
          <w:kern w:val="0"/>
          <w:lang w:eastAsia="zh-CN" w:bidi="ar"/>
        </w:rPr>
        <w:t>数量</w:t>
      </w:r>
      <w:r>
        <w:rPr>
          <w:rFonts w:hint="default" w:ascii="Times New Roman" w:hAnsi="Times New Roman" w:eastAsia="宋体" w:cs="Times New Roman"/>
          <w:color w:val="auto"/>
          <w:kern w:val="0"/>
          <w:lang w:bidi="ar"/>
        </w:rPr>
        <w:t>也会有所增加。工程建成后，随着植被的逐渐恢复，生态环境的好转，人为干扰减少，许多外迁的兽类会陆续回到原来的栖息地。</w:t>
      </w:r>
    </w:p>
    <w:p w14:paraId="2506DBE8">
      <w:pPr>
        <w:widowControl/>
        <w:ind w:firstLine="480"/>
        <w:jc w:val="left"/>
        <w:rPr>
          <w:rFonts w:hint="default" w:ascii="Times New Roman" w:hAnsi="Times New Roman" w:eastAsia="宋体" w:cs="Times New Roman"/>
          <w:color w:val="auto"/>
        </w:rPr>
      </w:pPr>
      <w:r>
        <w:rPr>
          <w:rFonts w:hint="eastAsia" w:cs="Times New Roman"/>
          <w:color w:val="auto"/>
          <w:kern w:val="0"/>
          <w:lang w:eastAsia="zh-CN" w:bidi="ar"/>
        </w:rPr>
        <w:t>（</w:t>
      </w:r>
      <w:r>
        <w:rPr>
          <w:rFonts w:hint="eastAsia" w:cs="Times New Roman"/>
          <w:color w:val="auto"/>
          <w:kern w:val="0"/>
          <w:lang w:val="en-US" w:eastAsia="zh-CN" w:bidi="ar"/>
        </w:rPr>
        <w:t>3</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对生态系统的影响分析</w:t>
      </w:r>
    </w:p>
    <w:p w14:paraId="401803A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1）对植被生产力影响</w:t>
      </w:r>
    </w:p>
    <w:p w14:paraId="7568D16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拟建公路</w:t>
      </w:r>
      <w:r>
        <w:rPr>
          <w:rFonts w:hint="eastAsia" w:cs="Times New Roman"/>
          <w:color w:val="auto"/>
          <w:kern w:val="0"/>
          <w:lang w:val="en-US" w:eastAsia="zh-CN" w:bidi="ar"/>
        </w:rPr>
        <w:t>走向为南北走向，主要为果园分布，</w:t>
      </w:r>
      <w:r>
        <w:rPr>
          <w:rFonts w:hint="default" w:ascii="Times New Roman" w:hAnsi="Times New Roman" w:eastAsia="宋体" w:cs="Times New Roman"/>
          <w:color w:val="auto"/>
          <w:kern w:val="0"/>
          <w:lang w:bidi="ar"/>
        </w:rPr>
        <w:t>公路占地大部分被填筑为路基，该类型所占用的植被生物量是无法恢复的</w:t>
      </w:r>
      <w:r>
        <w:rPr>
          <w:rFonts w:hint="eastAsia" w:cs="Times New Roman"/>
          <w:color w:val="auto"/>
          <w:kern w:val="0"/>
          <w:lang w:eastAsia="zh-CN" w:bidi="ar"/>
        </w:rPr>
        <w:t>，是长期而不可逆的</w:t>
      </w:r>
      <w:r>
        <w:rPr>
          <w:rFonts w:hint="default" w:ascii="Times New Roman" w:hAnsi="Times New Roman" w:eastAsia="宋体" w:cs="Times New Roman"/>
          <w:color w:val="auto"/>
          <w:kern w:val="0"/>
          <w:lang w:bidi="ar"/>
        </w:rPr>
        <w:t>。如何通过采取严格的施工管理和植被恢复措施，尽可能降低生物量的损失量，是本工程建设中需要十分重视的问题。</w:t>
      </w:r>
    </w:p>
    <w:p w14:paraId="0F97D4B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本项目的水土保持方案和生态恢复措施，除公路路面、建筑物及硬化防护措施外，对路基边坡以及施工临时用地等用地，都将进行植被恢复，根据水土保持方案，本工程拟采取植被绿化措施，一定程度上可减缓公路占地对植被产生的影响。</w:t>
      </w:r>
    </w:p>
    <w:p w14:paraId="5D7604B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kern w:val="0"/>
          <w:lang w:bidi="ar"/>
        </w:rPr>
        <w:t>对植被覆盖度影响</w:t>
      </w:r>
    </w:p>
    <w:p w14:paraId="5604A9C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本次评价基于NDVI对项目施工期植被覆盖度（FVC）进行了分析，根据计算结果，项目施工期评价区FVC为53.1047%，与建设前相比植被覆盖度下降幅度很小，工程建设对植被覆盖度影响很小。</w:t>
      </w:r>
    </w:p>
    <w:p w14:paraId="690E359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综上所述，工程对生态系统生产力和植被覆盖度影响均很小，因此对生态系统影响很小。</w:t>
      </w:r>
    </w:p>
    <w:p w14:paraId="172B951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3）对陆生动物影响</w:t>
      </w:r>
    </w:p>
    <w:p w14:paraId="4B4AC57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拟建项目的修建，将占用野生动物的部分生境，施工噪声及人为活动等将驱逐野生动物暂时离开活动范围，在</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路线的阻隔效应与运输车辆噪声等也会对周围野生动物带来影响。但对于不同路段，受影响的野生动物不一样，影响方式与程度也不一，根据不同路段主要植被类型、施工活动等对拟建公路进行分析，在自然植被较好的区域，动物所受影响也相对较大，主要影响方式有占用生境、“三废”及人为活动带来的暂时驱逐效应、阻隔效应三方面。</w:t>
      </w:r>
    </w:p>
    <w:p w14:paraId="66FEFC59">
      <w:pPr>
        <w:pStyle w:val="3"/>
        <w:numPr>
          <w:ilvl w:val="0"/>
          <w:numId w:val="0"/>
        </w:numPr>
        <w:rPr>
          <w:rFonts w:hint="default" w:ascii="Times New Roman" w:hAnsi="Times New Roman" w:eastAsia="宋体" w:cs="Times New Roman"/>
          <w:color w:val="auto"/>
        </w:rPr>
      </w:pPr>
      <w:bookmarkStart w:id="110" w:name="_Toc28179"/>
      <w:r>
        <w:rPr>
          <w:rFonts w:hint="default" w:ascii="Times New Roman" w:hAnsi="Times New Roman" w:eastAsia="宋体" w:cs="Times New Roman"/>
          <w:color w:val="auto"/>
        </w:rPr>
        <w:t>5.2</w:t>
      </w:r>
      <w:r>
        <w:rPr>
          <w:rFonts w:hint="eastAsia" w:cs="Times New Roman"/>
          <w:color w:val="auto"/>
          <w:lang w:val="en-US" w:eastAsia="zh-CN"/>
        </w:rPr>
        <w:t>营运</w:t>
      </w:r>
      <w:r>
        <w:rPr>
          <w:rFonts w:hint="default" w:ascii="Times New Roman" w:hAnsi="Times New Roman" w:eastAsia="宋体" w:cs="Times New Roman"/>
          <w:color w:val="auto"/>
        </w:rPr>
        <w:t>期环境影响评价</w:t>
      </w:r>
      <w:bookmarkEnd w:id="110"/>
    </w:p>
    <w:p w14:paraId="2E8AC6E5">
      <w:pPr>
        <w:pStyle w:val="5"/>
        <w:ind w:left="0" w:leftChars="0" w:firstLine="0" w:firstLineChars="0"/>
        <w:rPr>
          <w:rFonts w:hint="default" w:ascii="Times New Roman" w:hAnsi="Times New Roman" w:eastAsia="宋体" w:cs="Times New Roman"/>
          <w:color w:val="auto"/>
        </w:rPr>
      </w:pPr>
      <w:bookmarkStart w:id="111" w:name="_Toc1062"/>
      <w:r>
        <w:rPr>
          <w:rFonts w:hint="default" w:ascii="Times New Roman" w:hAnsi="Times New Roman" w:eastAsia="宋体" w:cs="Times New Roman"/>
          <w:color w:val="auto"/>
          <w:kern w:val="0"/>
          <w:sz w:val="24"/>
          <w:szCs w:val="24"/>
          <w:lang w:bidi="ar"/>
        </w:rPr>
        <w:t>5.2.1</w:t>
      </w:r>
      <w:r>
        <w:rPr>
          <w:rFonts w:hint="eastAsia" w:cs="Times New Roman"/>
          <w:color w:val="auto"/>
          <w:lang w:val="en-US" w:eastAsia="zh-CN"/>
        </w:rPr>
        <w:t>营运</w:t>
      </w:r>
      <w:r>
        <w:rPr>
          <w:rFonts w:hint="default" w:ascii="Times New Roman" w:hAnsi="Times New Roman" w:eastAsia="宋体" w:cs="Times New Roman"/>
          <w:color w:val="auto"/>
          <w:kern w:val="0"/>
          <w:sz w:val="24"/>
          <w:szCs w:val="24"/>
          <w:lang w:bidi="ar"/>
        </w:rPr>
        <w:t>期大气环境影响分析</w:t>
      </w:r>
      <w:bookmarkEnd w:id="111"/>
    </w:p>
    <w:p w14:paraId="58B522E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本项目投入运营后，汽车尾气是影响公路沿线环境空气的主要污染源，汽车尾气中含有CO、NO</w:t>
      </w:r>
      <w:r>
        <w:rPr>
          <w:rFonts w:hint="default" w:ascii="Times New Roman" w:hAnsi="Times New Roman" w:eastAsia="宋体" w:cs="Times New Roman"/>
          <w:color w:val="auto"/>
          <w:kern w:val="0"/>
          <w:vertAlign w:val="subscript"/>
          <w:lang w:bidi="ar"/>
        </w:rPr>
        <w:t>2</w:t>
      </w:r>
      <w:r>
        <w:rPr>
          <w:rFonts w:hint="default" w:ascii="Times New Roman" w:hAnsi="Times New Roman" w:eastAsia="宋体" w:cs="Times New Roman"/>
          <w:color w:val="auto"/>
          <w:kern w:val="0"/>
          <w:lang w:bidi="ar"/>
        </w:rPr>
        <w:t>等气态污染物，其排放量与交通量成正比，也与车辆的类型有关。</w:t>
      </w:r>
    </w:p>
    <w:p w14:paraId="1DF017B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5.2.1.1拟建公路沿线汽车尾气</w:t>
      </w:r>
    </w:p>
    <w:p w14:paraId="3B9A8CF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w:t>
      </w:r>
      <w:r>
        <w:rPr>
          <w:rFonts w:hint="default" w:ascii="Times New Roman" w:hAnsi="Times New Roman" w:eastAsia="宋体" w:cs="Times New Roman"/>
          <w:color w:val="auto"/>
          <w:kern w:val="0"/>
          <w:lang w:bidi="ar"/>
        </w:rPr>
        <w:t>环境影响评价技术导则</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公路建设项目</w:t>
      </w:r>
      <w:r>
        <w:rPr>
          <w:rFonts w:hint="default" w:ascii="Times New Roman" w:hAnsi="Times New Roman" w:eastAsia="宋体" w:cs="Times New Roman"/>
          <w:color w:val="auto"/>
          <w:kern w:val="0"/>
          <w:lang w:bidi="ar"/>
        </w:rPr>
        <w:t>》（HJ</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1358-2024），项目公路沿线汽车尾气可不进行进一步预测与评价。</w:t>
      </w:r>
    </w:p>
    <w:p w14:paraId="0C343572">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营运车辆排放主要是汽车尾气排放对沿线大气环境的影响。汽车尾气中主要污染物是一氧化碳、二氧化氮、烟尘、碳氢化合物等。其污染源类型属分散、流动的线源，排放源高度低，污染物扩散范围小。因昼夜车流量的变化，一般白天的污染重于夜间，下风向一侧污染重于上风向一侧，静风天气重于有风天气。污染物排放量随燃油类型、耗油量而变化，重型车多于中、轻型车。汽油车一氧化碳、碳氢化合物排放量大，而柴油车二氧化硫、颗粒物、甲醛污染重于汽油车。拟建公路的营运各期污染物排放较少，且项目周边相对空旷，有利于汽车尾气的扩散，绿化带也会对汽车尾气起到一定的吸收作用，结合近几年已建成公路的竣工环境保护验收调查报告的综合结果，汽车尾气对环境的影响范围和程度十分有限，其中TSP扬尘主要源于环境本底，路面起尘贡献值极小。日交通量达到3万辆时，NO</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和TSP均不超标。</w:t>
      </w:r>
    </w:p>
    <w:p w14:paraId="34A8A16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根据《轻型汽车污染物排放限值及测量方法（中国第六阶段）》</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18352.6-2016）</w:t>
      </w:r>
      <w:r>
        <w:rPr>
          <w:rFonts w:hint="default" w:ascii="Times New Roman" w:hAnsi="Times New Roman" w:eastAsia="宋体" w:cs="Times New Roman"/>
          <w:color w:val="auto"/>
          <w:kern w:val="0"/>
          <w:lang w:bidi="ar"/>
        </w:rPr>
        <w:t>中“9.2销售和注册登记”相关章节内容：自2023年7月1日起，所有销售和注册登记的轻型汽车应符合本标准要求，其中I型试验应符合6b限值要求。</w:t>
      </w:r>
    </w:p>
    <w:p w14:paraId="0E01564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随着燃料油和燃料气的产品质量随着我国科技进步不断提高，车辆机动车尾气净化系统将得到进一步改进，车型构成比例将更为优化，逐步减少高能耗、高排污的车种比例。以及新能源车比例进一步提高，机动车尾气污染物排放将大大降低。可进一步降低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汽车尾气对周边大气环境的影响。</w:t>
      </w:r>
    </w:p>
    <w:p w14:paraId="1F94944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此外，道路上行驶汽车的轮胎接触路面而使路面积尘扬起，从而产生二次扬尘污染，在运送散装含尘物料时，由于洒落、风吹等原因，使物料产生扬尘污染。环评要求项目建成后，派人定期对道路进行清扫、洒水降尘，以减少道路扬尘的产生，且运输车辆特别是运送渣土等粉状车辆需密闭（如加盖毡布），在采取上述措施后，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间对周边大气环境影响较小。</w:t>
      </w:r>
    </w:p>
    <w:p w14:paraId="0CDA7CD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5.2.1.2道路扬尘影响分析</w:t>
      </w:r>
    </w:p>
    <w:p w14:paraId="557A9978">
      <w:pPr>
        <w:widowControl/>
        <w:ind w:firstLine="480"/>
        <w:jc w:val="left"/>
        <w:rPr>
          <w:rFonts w:hint="default" w:ascii="Times New Roman" w:hAnsi="Times New Roman" w:eastAsia="宋体" w:cs="Times New Roman"/>
          <w:color w:val="auto"/>
        </w:rPr>
      </w:pP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道路扬尘主要是车辆物料洒落及道路积尘扬起而产生的二次扬尘污染，本项目全线采用沥青混凝土路面，起尘量较少，此外，项目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加强对路面洒水、清扫保洁等措施后，道路扬尘对周围大气环境影响较小。</w:t>
      </w:r>
    </w:p>
    <w:p w14:paraId="618F1AF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w:t>
      </w:r>
      <w:r>
        <w:rPr>
          <w:rFonts w:hint="eastAsia" w:cs="Times New Roman"/>
          <w:color w:val="auto"/>
          <w:lang w:val="en-US" w:eastAsia="zh-CN"/>
        </w:rPr>
        <w:t>营运期</w:t>
      </w:r>
      <w:r>
        <w:rPr>
          <w:rFonts w:hint="default" w:ascii="Times New Roman" w:hAnsi="Times New Roman" w:eastAsia="宋体" w:cs="Times New Roman"/>
          <w:color w:val="auto"/>
          <w:kern w:val="0"/>
          <w:lang w:bidi="ar"/>
        </w:rPr>
        <w:t>产生的废气主要为汽车尾气，拟建公路的营运各期污染物排放较少，且项目周边相对空旷，有利于汽车尾气的扩散，道路建成后，汽车尾气对当地的空气环境质量影响可接受。</w:t>
      </w:r>
    </w:p>
    <w:p w14:paraId="00A3F69C">
      <w:pPr>
        <w:pStyle w:val="5"/>
        <w:ind w:left="0" w:leftChars="0" w:firstLine="0" w:firstLineChars="0"/>
        <w:rPr>
          <w:rFonts w:hint="default" w:ascii="Times New Roman" w:hAnsi="Times New Roman" w:eastAsia="宋体" w:cs="Times New Roman"/>
          <w:color w:val="auto"/>
        </w:rPr>
      </w:pPr>
      <w:bookmarkStart w:id="112" w:name="_Toc2619"/>
      <w:r>
        <w:rPr>
          <w:rFonts w:hint="default" w:ascii="Times New Roman" w:hAnsi="Times New Roman" w:eastAsia="宋体" w:cs="Times New Roman"/>
          <w:color w:val="auto"/>
          <w:kern w:val="0"/>
          <w:sz w:val="24"/>
          <w:szCs w:val="24"/>
          <w:lang w:bidi="ar"/>
        </w:rPr>
        <w:t>5.2.2</w:t>
      </w:r>
      <w:r>
        <w:rPr>
          <w:rFonts w:hint="eastAsia" w:cs="Times New Roman"/>
          <w:color w:val="auto"/>
          <w:kern w:val="0"/>
          <w:sz w:val="24"/>
          <w:szCs w:val="24"/>
          <w:lang w:eastAsia="zh-CN" w:bidi="ar"/>
        </w:rPr>
        <w:t>营运期</w:t>
      </w:r>
      <w:r>
        <w:rPr>
          <w:rFonts w:hint="default" w:ascii="Times New Roman" w:hAnsi="Times New Roman" w:eastAsia="宋体" w:cs="Times New Roman"/>
          <w:color w:val="auto"/>
          <w:kern w:val="0"/>
          <w:sz w:val="24"/>
          <w:szCs w:val="24"/>
          <w:lang w:bidi="ar"/>
        </w:rPr>
        <w:t>水环境影响分析</w:t>
      </w:r>
      <w:bookmarkEnd w:id="112"/>
    </w:p>
    <w:p w14:paraId="6071AC58">
      <w:pPr>
        <w:widowControl/>
        <w:ind w:firstLine="480"/>
        <w:jc w:val="left"/>
        <w:rPr>
          <w:rFonts w:hint="default" w:ascii="Times New Roman" w:hAnsi="Times New Roman" w:eastAsia="宋体" w:cs="Times New Roman"/>
          <w:color w:val="auto"/>
        </w:rPr>
      </w:pP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地表水环境影响主要有路面的初期雨水排放影响，主要污染物为悬浮物及石油类，多发生于降雨初期1h内；此外，随着交通量的逐年增加，沉降在路面上的机动车尾气排放物、汽车泄漏的油类以及散落在路面上的其它有害物质也会逐年增加。上述污染物一旦随降水径流进入水体，将对水体的水质产生一定影响。</w:t>
      </w:r>
    </w:p>
    <w:p w14:paraId="7508685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5.2.2.1路面径流</w:t>
      </w:r>
    </w:p>
    <w:p w14:paraId="5506520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在公路建成投入运营后，废水主要为雨季路面产生的地表径流，营运期车辆携带的泥沙、扬尘和其它有害物质雨天在公路路面行驶，将随降雨产生的路面径流进入附近水体，进而影响评价范围内的水环境。路面径流的主要污染物为COD、石油类、SS等。影响路面径流污染物浓度的因素很多，包括降雨量、降雨时间、与车流量有关的路面及大气污染程度、两场降雨之间的间隔时间、路面宽度、长度等。由于各种因素随机性强，偶然性大，所以典型的路面径流雨水污染物浓度较难确定。</w:t>
      </w:r>
    </w:p>
    <w:p w14:paraId="596AA97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本评价拟采用类比方法预测桥面径流中污染物对水域的影响。根据华南科技所对南方地区路面径流污染情况试验数值的测定结果，降雨初期到形成径流的30</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分钟内，雨水中的悬浮物和油类物质的浓度比较高，30分钟后，其浓度随降雨历时的延长下降较快，雨水中的BOD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随降雨历时的延长下降速度稍慢，pH值相对稳定。降雨5</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20分钟内，路面径流SS、石油类浓度达污水综合排放三级标准，pH、BOD</w:t>
      </w:r>
      <w:r>
        <w:rPr>
          <w:rFonts w:hint="default" w:ascii="Times New Roman" w:hAnsi="Times New Roman" w:eastAsia="宋体" w:cs="Times New Roman"/>
          <w:color w:val="auto"/>
          <w:kern w:val="0"/>
          <w:vertAlign w:val="subscript"/>
          <w:lang w:bidi="ar"/>
        </w:rPr>
        <w:t>5</w:t>
      </w:r>
      <w:r>
        <w:rPr>
          <w:rFonts w:hint="default" w:ascii="Times New Roman" w:hAnsi="Times New Roman" w:eastAsia="宋体" w:cs="Times New Roman"/>
          <w:color w:val="auto"/>
          <w:kern w:val="0"/>
          <w:lang w:bidi="ar"/>
        </w:rPr>
        <w:t>浓度达一级标准；降雨历时30分钟后，路面基本被冲洗干净，污染物含量较低，再经边坡对污染物的吸附等作用后，使污染物浓度变得更低，污染物浓度达污水综合排放一级标准，对水环境的影响是极其微弱的。降雨对公路周边水质造成影响的主要是降雨初期1h形成的路面径流。</w:t>
      </w:r>
    </w:p>
    <w:p w14:paraId="102B218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降雨期间，路面径流所携带的污染物主要成分为悬浮物及少量石油类，多发生于一次降水初期，在一般情况下，污染物量远较最大估算量轻微。在路面污染负荷比较一致的情况下，降雨近期路面径流污染一般随着降雨量的增加而增大，降雨一段时间后，污染会逐渐降低。但是，路面径流污染源强的测定值只是一个损失值，在实际降雨过程中，其通过路面横坡自然散排、慢流到排水沟或边沟中排入排水沟的过程伴随着雨水稀释、泥沙对污染物的吸附、泥沙沉降等各种作用，路面径流中污染物到达水体时浓度已大大降低，且项目沿线河流水环境功能为农灌用水，径流中的污染物平均浓度维持在较低的水平。</w:t>
      </w:r>
    </w:p>
    <w:p w14:paraId="5D3E5BE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设计已按照规范在公路沿线设置交通标志、警示标识，在公路两侧设有安全防护栏，能有效减少公路安全事故的发生。但如遇危险化学品运输车辆发生交通事故，尤其发生危险物品泄漏事故或翻入河中时，将对附近河流水环境造成污染，危及下游水环境安全。建设单位必须做好运输风险的防范措施，一旦发生运输风险严格执行环评提出的风险应急预案，进而减小事故风险带来的环境影响和经济损失。</w:t>
      </w:r>
    </w:p>
    <w:p w14:paraId="553848F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基于路面径流污染物浓度特点，公路运营后降雨产生的路面径流各类污染物入河后污染物增量相对较小。本项目</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路面径流对其贡献量小，不会改变现有水质类别及使用功能。</w:t>
      </w:r>
    </w:p>
    <w:p w14:paraId="1B0668E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但为了更好地保护周边水体水质，可采取车辆运输散落控制、路面清扫等非工程措施和绿化植被过滤带、植草渠道、干式滞留池等工程措施，对本项目道路表面径流污染物进行控制。</w:t>
      </w:r>
    </w:p>
    <w:p w14:paraId="5C573298">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5.2.2.2地表水影响评价结论</w:t>
      </w:r>
    </w:p>
    <w:p w14:paraId="37E1B272">
      <w:pPr>
        <w:widowControl/>
        <w:ind w:firstLine="480"/>
        <w:jc w:val="left"/>
        <w:rPr>
          <w:rFonts w:hint="default" w:ascii="Times New Roman" w:hAnsi="Times New Roman" w:eastAsia="宋体" w:cs="Times New Roman"/>
          <w:b/>
          <w:bCs/>
          <w:color w:val="auto"/>
          <w:kern w:val="0"/>
          <w:sz w:val="28"/>
          <w:szCs w:val="28"/>
          <w:lang w:bidi="ar"/>
        </w:rPr>
      </w:pPr>
      <w:r>
        <w:rPr>
          <w:rFonts w:hint="default" w:ascii="Times New Roman" w:hAnsi="Times New Roman" w:eastAsia="宋体" w:cs="Times New Roman"/>
          <w:color w:val="auto"/>
          <w:kern w:val="0"/>
          <w:lang w:bidi="ar"/>
        </w:rPr>
        <w:t>本项目工程施工不可避免地会对沿线水环境产生一定的影响，主要包括临河路面施工对水体水质的影响，项目部和施工生活区生活污水排放对周边环境的影响，项目车辆、机械设备冲洗，施工机械跑、冒、滴、漏的污油及露天机械受雨水冲刷等将产生少量含油污水以及建筑材料运输与堆放对水体的影响等。在施工区附近设置沉淀池对施工生产废水进行处理，并应加强施工管理，以</w:t>
      </w:r>
      <w:r>
        <w:rPr>
          <w:rFonts w:hint="default" w:ascii="Times New Roman" w:hAnsi="Times New Roman" w:eastAsia="宋体" w:cs="Times New Roman"/>
          <w:color w:val="auto"/>
          <w:kern w:val="0"/>
          <w:lang w:eastAsia="zh-CN" w:bidi="ar"/>
        </w:rPr>
        <w:t>减少</w:t>
      </w:r>
      <w:r>
        <w:rPr>
          <w:rFonts w:hint="default" w:ascii="Times New Roman" w:hAnsi="Times New Roman" w:eastAsia="宋体" w:cs="Times New Roman"/>
          <w:color w:val="auto"/>
          <w:kern w:val="0"/>
          <w:lang w:bidi="ar"/>
        </w:rPr>
        <w:t>对地表水环境的污染。项目施工期间不设施工营地，施工人员就近租住当地的民房，产生的生活污水依托租住居民住宅的化粪池，经化粪池处理后作为农田菜地施肥，不外排。在严格落实以上地表水环境保护措施后，项目建设和运营对周围地表水影响较小。</w:t>
      </w:r>
    </w:p>
    <w:p w14:paraId="513F4B29">
      <w:pPr>
        <w:pStyle w:val="5"/>
        <w:ind w:left="0" w:leftChars="0" w:firstLine="0" w:firstLineChars="0"/>
        <w:rPr>
          <w:rFonts w:hint="default" w:ascii="Times New Roman" w:hAnsi="Times New Roman" w:eastAsia="宋体" w:cs="Times New Roman"/>
          <w:color w:val="auto"/>
        </w:rPr>
      </w:pPr>
      <w:bookmarkStart w:id="113" w:name="_Toc367844682"/>
      <w:bookmarkStart w:id="114" w:name="_Toc352320799"/>
      <w:bookmarkStart w:id="115" w:name="_Toc32320"/>
      <w:bookmarkStart w:id="116" w:name="_Toc352320951"/>
      <w:bookmarkStart w:id="117" w:name="_Toc351046700"/>
      <w:r>
        <w:rPr>
          <w:rFonts w:hint="default" w:ascii="Times New Roman" w:hAnsi="Times New Roman" w:eastAsia="宋体" w:cs="Times New Roman"/>
          <w:color w:val="auto"/>
        </w:rPr>
        <w:t>5.2.3交通噪声</w:t>
      </w:r>
      <w:r>
        <w:rPr>
          <w:rFonts w:hint="eastAsia" w:cs="Times New Roman"/>
          <w:color w:val="auto"/>
          <w:lang w:val="en-US" w:eastAsia="zh-CN"/>
        </w:rPr>
        <w:t>环</w:t>
      </w:r>
      <w:r>
        <w:rPr>
          <w:rFonts w:hint="default" w:ascii="Times New Roman" w:hAnsi="Times New Roman" w:eastAsia="宋体" w:cs="Times New Roman"/>
          <w:color w:val="auto"/>
        </w:rPr>
        <w:t>境</w:t>
      </w:r>
      <w:r>
        <w:rPr>
          <w:rFonts w:hint="default" w:ascii="Times New Roman" w:hAnsi="Times New Roman" w:eastAsia="宋体" w:cs="Times New Roman"/>
          <w:color w:val="auto"/>
        </w:rPr>
        <w:t>影响评价</w:t>
      </w:r>
      <w:bookmarkEnd w:id="113"/>
      <w:bookmarkEnd w:id="114"/>
      <w:bookmarkEnd w:id="115"/>
      <w:bookmarkEnd w:id="116"/>
      <w:bookmarkEnd w:id="117"/>
      <w:r>
        <w:rPr>
          <w:rFonts w:hint="default" w:ascii="Times New Roman" w:hAnsi="Times New Roman" w:eastAsia="宋体" w:cs="Times New Roman"/>
          <w:color w:val="auto"/>
        </w:rPr>
        <w:tab/>
      </w:r>
    </w:p>
    <w:p w14:paraId="293065C3">
      <w:pPr>
        <w:ind w:firstLine="504"/>
        <w:rPr>
          <w:rFonts w:hint="default" w:ascii="Times New Roman" w:hAnsi="Times New Roman" w:eastAsia="宋体" w:cs="Times New Roman"/>
          <w:color w:val="auto"/>
          <w:spacing w:val="6"/>
        </w:rPr>
      </w:pPr>
      <w:r>
        <w:rPr>
          <w:rFonts w:hint="eastAsia" w:cs="Times New Roman"/>
          <w:color w:val="auto"/>
          <w:spacing w:val="6"/>
          <w:lang w:eastAsia="zh-CN"/>
        </w:rPr>
        <w:t>营运期</w:t>
      </w:r>
      <w:r>
        <w:rPr>
          <w:rFonts w:hint="default" w:ascii="Times New Roman" w:hAnsi="Times New Roman" w:eastAsia="宋体" w:cs="Times New Roman"/>
          <w:color w:val="auto"/>
          <w:spacing w:val="6"/>
        </w:rPr>
        <w:t>噪声主要来自车辆运行时产生的交通噪声。</w:t>
      </w:r>
      <w:r>
        <w:rPr>
          <w:rFonts w:hint="default" w:ascii="Times New Roman" w:hAnsi="Times New Roman" w:eastAsia="宋体" w:cs="Times New Roman"/>
          <w:color w:val="auto"/>
        </w:rPr>
        <w:t>主要是车辆发动机及轮胎与地面摩擦发出的声音。根据预测和评价及敏感点实际情况因地制宜</w:t>
      </w:r>
      <w:r>
        <w:rPr>
          <w:rFonts w:hint="default" w:ascii="Times New Roman" w:hAnsi="Times New Roman" w:eastAsia="宋体" w:cs="Times New Roman"/>
          <w:color w:val="auto"/>
          <w:lang w:eastAsia="zh-CN"/>
        </w:rPr>
        <w:t>地</w:t>
      </w:r>
      <w:r>
        <w:rPr>
          <w:rFonts w:hint="default" w:ascii="Times New Roman" w:hAnsi="Times New Roman" w:eastAsia="宋体" w:cs="Times New Roman"/>
          <w:color w:val="auto"/>
        </w:rPr>
        <w:t>制定合理的降噪措施，并给未来在项目沿线内的相关规划提供科学的依据</w:t>
      </w:r>
      <w:r>
        <w:rPr>
          <w:rFonts w:hint="default" w:ascii="Times New Roman" w:hAnsi="Times New Roman" w:eastAsia="宋体" w:cs="Times New Roman"/>
          <w:color w:val="auto"/>
          <w:spacing w:val="6"/>
        </w:rPr>
        <w:t>。</w:t>
      </w:r>
    </w:p>
    <w:p w14:paraId="0972370F">
      <w:pPr>
        <w:ind w:firstLine="482"/>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1、预测方法及内容</w:t>
      </w:r>
    </w:p>
    <w:p w14:paraId="37746329">
      <w:pPr>
        <w:spacing w:after="62"/>
        <w:ind w:firstLine="482"/>
        <w:rPr>
          <w:rFonts w:hint="default" w:ascii="Times New Roman" w:hAnsi="Times New Roman" w:eastAsia="宋体" w:cs="Times New Roman"/>
          <w:b/>
          <w:color w:val="auto"/>
        </w:rPr>
      </w:pPr>
      <w:r>
        <w:rPr>
          <w:rFonts w:hint="default" w:ascii="Times New Roman" w:hAnsi="Times New Roman" w:eastAsia="宋体" w:cs="Times New Roman"/>
          <w:b/>
          <w:color w:val="auto"/>
        </w:rPr>
        <w:t>（1）预测方法</w:t>
      </w:r>
    </w:p>
    <w:p w14:paraId="5E479F4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《环境影响评价技术导则 声环境》（HJ</w:t>
      </w:r>
      <w:r>
        <w:rPr>
          <w:rFonts w:hint="eastAsia" w:cs="Times New Roman"/>
          <w:color w:val="auto"/>
          <w:lang w:val="en-US" w:eastAsia="zh-CN"/>
        </w:rPr>
        <w:t xml:space="preserve"> </w:t>
      </w:r>
      <w:r>
        <w:rPr>
          <w:rFonts w:hint="default" w:ascii="Times New Roman" w:hAnsi="Times New Roman" w:eastAsia="宋体" w:cs="Times New Roman"/>
          <w:color w:val="auto"/>
        </w:rPr>
        <w:t>2.4-2021）推荐的模型为基础，针对项目营运期不同运行阶段，预测近期（202</w:t>
      </w:r>
      <w:r>
        <w:rPr>
          <w:rFonts w:hint="eastAsia" w:cs="Times New Roman"/>
          <w:color w:val="auto"/>
          <w:lang w:val="en-US" w:eastAsia="zh-CN"/>
        </w:rPr>
        <w:t>7</w:t>
      </w:r>
      <w:r>
        <w:rPr>
          <w:rFonts w:hint="default" w:ascii="Times New Roman" w:hAnsi="Times New Roman" w:eastAsia="宋体" w:cs="Times New Roman"/>
          <w:color w:val="auto"/>
        </w:rPr>
        <w:t>年）、中期（203</w:t>
      </w:r>
      <w:r>
        <w:rPr>
          <w:rFonts w:hint="eastAsia" w:cs="Times New Roman"/>
          <w:color w:val="auto"/>
          <w:lang w:val="en-US" w:eastAsia="zh-CN"/>
        </w:rPr>
        <w:t>4</w:t>
      </w:r>
      <w:r>
        <w:rPr>
          <w:rFonts w:hint="default" w:ascii="Times New Roman" w:hAnsi="Times New Roman" w:eastAsia="宋体" w:cs="Times New Roman"/>
          <w:color w:val="auto"/>
        </w:rPr>
        <w:t>年）、远期（204</w:t>
      </w:r>
      <w:r>
        <w:rPr>
          <w:rFonts w:hint="eastAsia" w:cs="Times New Roman"/>
          <w:color w:val="auto"/>
          <w:lang w:val="en-US" w:eastAsia="zh-CN"/>
        </w:rPr>
        <w:t>2</w:t>
      </w:r>
      <w:r>
        <w:rPr>
          <w:rFonts w:hint="default" w:ascii="Times New Roman" w:hAnsi="Times New Roman" w:eastAsia="宋体" w:cs="Times New Roman"/>
          <w:color w:val="auto"/>
        </w:rPr>
        <w:t>年）。（预测年限为公路竣工投入营运后的第1年、第7年、第15年）三个不同交通流量年的噪声影响情况进行预测，对沿线评价范围内随交通量的增加，各敏感点按标准要求预测声级的超标及达标状况。根据建设方提供的交通量预测结果、昼夜比及车型比例计算预测年各类车辆的日均交通量。</w:t>
      </w:r>
    </w:p>
    <w:p w14:paraId="4823D7B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◆预测模式的选择</w:t>
      </w:r>
    </w:p>
    <w:p w14:paraId="4F6B5833">
      <w:pPr>
        <w:spacing w:after="62"/>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交通噪声的预测模式采用以《环境影响评价技术导则 声环境》（HJ</w:t>
      </w:r>
      <w:r>
        <w:rPr>
          <w:rFonts w:hint="eastAsia" w:cs="Times New Roman"/>
          <w:color w:val="auto"/>
          <w:lang w:val="en-US" w:eastAsia="zh-CN"/>
        </w:rPr>
        <w:t xml:space="preserve"> </w:t>
      </w:r>
      <w:r>
        <w:rPr>
          <w:rFonts w:hint="default" w:ascii="Times New Roman" w:hAnsi="Times New Roman" w:eastAsia="宋体" w:cs="Times New Roman"/>
          <w:color w:val="auto"/>
        </w:rPr>
        <w:t>2.4-2021）推荐的模型为基础。</w:t>
      </w:r>
      <w:r>
        <w:rPr>
          <w:rFonts w:hint="eastAsia" w:cs="Times New Roman"/>
          <w:color w:val="auto"/>
          <w:lang w:eastAsia="zh-CN"/>
        </w:rPr>
        <w:t>营运期</w:t>
      </w:r>
      <w:r>
        <w:rPr>
          <w:rFonts w:hint="default" w:ascii="Times New Roman" w:hAnsi="Times New Roman" w:eastAsia="宋体" w:cs="Times New Roman"/>
          <w:color w:val="auto"/>
        </w:rPr>
        <w:t>的交通噪声等级L</w:t>
      </w:r>
      <w:r>
        <w:rPr>
          <w:rFonts w:hint="default" w:ascii="Times New Roman" w:hAnsi="Times New Roman" w:eastAsia="宋体" w:cs="Times New Roman"/>
          <w:color w:val="auto"/>
          <w:vertAlign w:val="subscript"/>
        </w:rPr>
        <w:t>Aeq</w:t>
      </w:r>
      <w:r>
        <w:rPr>
          <w:rFonts w:hint="default" w:ascii="Times New Roman" w:hAnsi="Times New Roman" w:eastAsia="宋体" w:cs="Times New Roman"/>
          <w:color w:val="auto"/>
        </w:rPr>
        <w:t>取决于</w:t>
      </w:r>
      <w:r>
        <w:rPr>
          <w:rFonts w:hint="eastAsia" w:cs="Times New Roman"/>
          <w:color w:val="auto"/>
          <w:lang w:eastAsia="zh-CN"/>
        </w:rPr>
        <w:t>营运期</w:t>
      </w:r>
      <w:r>
        <w:rPr>
          <w:rFonts w:hint="default" w:ascii="Times New Roman" w:hAnsi="Times New Roman" w:eastAsia="宋体" w:cs="Times New Roman"/>
          <w:color w:val="auto"/>
        </w:rPr>
        <w:t>的交通流量、车型构成比、车速、车辆辐射声功率及道路的路面状况、坡度等因素。</w:t>
      </w:r>
    </w:p>
    <w:p w14:paraId="02A25B28">
      <w:pPr>
        <w:spacing w:after="62"/>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（1）车型分类</w:t>
      </w:r>
    </w:p>
    <w:p w14:paraId="333BC87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车型分类（大、中、小型车）方法见表5.2-</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w:t>
      </w:r>
    </w:p>
    <w:p w14:paraId="30E308BC">
      <w:pPr>
        <w:pStyle w:val="240"/>
        <w:pageBreakBefore w:val="0"/>
        <w:widowControl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表5.2-</w:t>
      </w: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车辆类型分类表</w:t>
      </w:r>
    </w:p>
    <w:tbl>
      <w:tblPr>
        <w:tblStyle w:val="58"/>
        <w:tblW w:w="4999" w:type="pct"/>
        <w:jc w:val="center"/>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Layout w:type="autofit"/>
        <w:tblCellMar>
          <w:top w:w="0" w:type="dxa"/>
          <w:left w:w="108" w:type="dxa"/>
          <w:bottom w:w="0" w:type="dxa"/>
          <w:right w:w="108" w:type="dxa"/>
        </w:tblCellMar>
      </w:tblPr>
      <w:tblGrid>
        <w:gridCol w:w="3708"/>
        <w:gridCol w:w="4818"/>
      </w:tblGrid>
      <w:tr w14:paraId="31A41DEB">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174" w:type="pct"/>
            <w:tcBorders>
              <w:top w:val="single" w:color="000000" w:sz="8" w:space="0"/>
              <w:bottom w:val="single" w:color="000000" w:sz="8" w:space="0"/>
              <w:right w:val="single" w:color="000000" w:sz="8" w:space="0"/>
            </w:tcBorders>
            <w:noWrap w:val="0"/>
            <w:vAlign w:val="center"/>
          </w:tcPr>
          <w:p w14:paraId="622C42B2">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车型</w:t>
            </w:r>
          </w:p>
        </w:tc>
        <w:tc>
          <w:tcPr>
            <w:tcW w:w="2825" w:type="pct"/>
            <w:tcBorders>
              <w:top w:val="single" w:color="000000" w:sz="8" w:space="0"/>
              <w:left w:val="single" w:color="000000" w:sz="8" w:space="0"/>
              <w:bottom w:val="single" w:color="000000" w:sz="8" w:space="0"/>
            </w:tcBorders>
            <w:noWrap w:val="0"/>
            <w:vAlign w:val="center"/>
          </w:tcPr>
          <w:p w14:paraId="67E703D1">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总质量（GVM）</w:t>
            </w:r>
          </w:p>
        </w:tc>
      </w:tr>
      <w:tr w14:paraId="773FB8E3">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174" w:type="pct"/>
            <w:tcBorders>
              <w:top w:val="single" w:color="000000" w:sz="8" w:space="0"/>
              <w:bottom w:val="single" w:color="000000" w:sz="8" w:space="0"/>
              <w:right w:val="single" w:color="000000" w:sz="8" w:space="0"/>
            </w:tcBorders>
            <w:noWrap w:val="0"/>
            <w:vAlign w:val="center"/>
          </w:tcPr>
          <w:p w14:paraId="4F25B640">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小</w:t>
            </w:r>
          </w:p>
        </w:tc>
        <w:tc>
          <w:tcPr>
            <w:tcW w:w="2825" w:type="pct"/>
            <w:tcBorders>
              <w:top w:val="single" w:color="000000" w:sz="8" w:space="0"/>
              <w:left w:val="single" w:color="000000" w:sz="8" w:space="0"/>
              <w:bottom w:val="single" w:color="000000" w:sz="8" w:space="0"/>
            </w:tcBorders>
            <w:noWrap w:val="0"/>
            <w:vAlign w:val="center"/>
          </w:tcPr>
          <w:p w14:paraId="6995A6A3">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≤3.5t，M1，M2，N1</w:t>
            </w:r>
          </w:p>
        </w:tc>
      </w:tr>
      <w:tr w14:paraId="0DB15C1A">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174" w:type="pct"/>
            <w:tcBorders>
              <w:top w:val="single" w:color="000000" w:sz="8" w:space="0"/>
              <w:bottom w:val="single" w:color="000000" w:sz="8" w:space="0"/>
              <w:right w:val="single" w:color="000000" w:sz="8" w:space="0"/>
            </w:tcBorders>
            <w:noWrap w:val="0"/>
            <w:vAlign w:val="center"/>
          </w:tcPr>
          <w:p w14:paraId="473FCD9C">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中</w:t>
            </w:r>
          </w:p>
        </w:tc>
        <w:tc>
          <w:tcPr>
            <w:tcW w:w="2825" w:type="pct"/>
            <w:tcBorders>
              <w:top w:val="single" w:color="000000" w:sz="8" w:space="0"/>
              <w:left w:val="single" w:color="000000" w:sz="8" w:space="0"/>
              <w:bottom w:val="single" w:color="000000" w:sz="8" w:space="0"/>
            </w:tcBorders>
            <w:noWrap w:val="0"/>
            <w:vAlign w:val="center"/>
          </w:tcPr>
          <w:p w14:paraId="3F5FBF36">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3.5t</w:t>
            </w:r>
            <w:r>
              <w:rPr>
                <w:rFonts w:hint="default" w:ascii="Times New Roman" w:hAnsi="Times New Roman" w:eastAsia="宋体" w:cs="Times New Roman"/>
                <w:b w:val="0"/>
                <w:bCs w:val="0"/>
                <w:color w:val="auto"/>
                <w:lang w:eastAsia="zh-CN"/>
              </w:rPr>
              <w:t>—</w:t>
            </w:r>
            <w:r>
              <w:rPr>
                <w:rFonts w:hint="default" w:ascii="Times New Roman" w:hAnsi="Times New Roman" w:eastAsia="宋体" w:cs="Times New Roman"/>
                <w:b w:val="0"/>
                <w:bCs w:val="0"/>
                <w:color w:val="auto"/>
              </w:rPr>
              <w:t>12t，M2，M3，N2</w:t>
            </w:r>
          </w:p>
        </w:tc>
      </w:tr>
      <w:tr w14:paraId="2637D155">
        <w:tblPrEx>
          <w:tblBorders>
            <w:top w:val="single" w:color="000000" w:sz="8" w:space="0"/>
            <w:left w:val="single" w:color="000000" w:sz="8" w:space="0"/>
            <w:bottom w:val="single" w:color="000000" w:sz="8" w:space="0"/>
            <w:right w:val="single" w:color="000000" w:sz="8" w:space="0"/>
            <w:insideH w:val="none" w:color="auto" w:sz="0" w:space="0"/>
            <w:insideV w:val="none" w:color="auto" w:sz="0" w:space="0"/>
          </w:tblBorders>
          <w:tblCellMar>
            <w:top w:w="0" w:type="dxa"/>
            <w:left w:w="108" w:type="dxa"/>
            <w:bottom w:w="0" w:type="dxa"/>
            <w:right w:w="108" w:type="dxa"/>
          </w:tblCellMar>
        </w:tblPrEx>
        <w:trPr>
          <w:trHeight w:val="137" w:hRule="atLeast"/>
          <w:jc w:val="center"/>
        </w:trPr>
        <w:tc>
          <w:tcPr>
            <w:tcW w:w="2174" w:type="pct"/>
            <w:tcBorders>
              <w:top w:val="single" w:color="000000" w:sz="8" w:space="0"/>
              <w:bottom w:val="single" w:color="000000" w:sz="8" w:space="0"/>
              <w:right w:val="single" w:color="000000" w:sz="8" w:space="0"/>
            </w:tcBorders>
            <w:noWrap w:val="0"/>
            <w:vAlign w:val="center"/>
          </w:tcPr>
          <w:p w14:paraId="5E5F63B4">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大</w:t>
            </w:r>
          </w:p>
        </w:tc>
        <w:tc>
          <w:tcPr>
            <w:tcW w:w="2825" w:type="pct"/>
            <w:tcBorders>
              <w:top w:val="single" w:color="000000" w:sz="8" w:space="0"/>
              <w:left w:val="single" w:color="000000" w:sz="8" w:space="0"/>
              <w:bottom w:val="single" w:color="000000" w:sz="8" w:space="0"/>
            </w:tcBorders>
            <w:noWrap w:val="0"/>
            <w:vAlign w:val="center"/>
          </w:tcPr>
          <w:p w14:paraId="459C7DE9">
            <w:pPr>
              <w:pStyle w:val="69"/>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color w:val="auto"/>
              </w:rPr>
              <w:t>&gt;12t，N3</w:t>
            </w:r>
          </w:p>
        </w:tc>
      </w:tr>
    </w:tbl>
    <w:p w14:paraId="12743B99">
      <w:pPr>
        <w:spacing w:after="62"/>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（2）第i类车等效声级的预测模式</w:t>
      </w:r>
    </w:p>
    <w:p w14:paraId="266EE306">
      <w:pPr>
        <w:spacing w:after="62"/>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762375" cy="523875"/>
            <wp:effectExtent l="0" t="0" r="9525" b="9525"/>
            <wp:docPr id="76"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7"/>
                    <pic:cNvPicPr>
                      <a:picLocks noChangeAspect="1"/>
                    </pic:cNvPicPr>
                  </pic:nvPicPr>
                  <pic:blipFill>
                    <a:blip r:embed="rId70"/>
                    <a:stretch>
                      <a:fillRect/>
                    </a:stretch>
                  </pic:blipFill>
                  <pic:spPr>
                    <a:xfrm>
                      <a:off x="0" y="0"/>
                      <a:ext cx="3762375" cy="523875"/>
                    </a:xfrm>
                    <a:prstGeom prst="rect">
                      <a:avLst/>
                    </a:prstGeom>
                    <a:noFill/>
                    <a:ln>
                      <a:noFill/>
                    </a:ln>
                  </pic:spPr>
                </pic:pic>
              </a:graphicData>
            </a:graphic>
          </wp:inline>
        </w:drawing>
      </w:r>
    </w:p>
    <w:p w14:paraId="05A6E4B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式中：</w:t>
      </w:r>
    </w:p>
    <w:p w14:paraId="49DA1FA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w:t>
      </w:r>
      <w:r>
        <w:rPr>
          <w:rFonts w:hint="default" w:ascii="Times New Roman" w:hAnsi="Times New Roman" w:eastAsia="宋体" w:cs="Times New Roman"/>
          <w:color w:val="auto"/>
          <w:kern w:val="0"/>
          <w:lang w:bidi="ar"/>
        </w:rPr>
        <w:t>(h)</w:t>
      </w:r>
      <w:r>
        <w:rPr>
          <w:rFonts w:hint="default" w:ascii="Times New Roman" w:hAnsi="Times New Roman" w:eastAsia="宋体" w:cs="Times New Roman"/>
          <w:color w:val="auto"/>
          <w:kern w:val="0"/>
          <w:sz w:val="15"/>
          <w:szCs w:val="15"/>
          <w:lang w:bidi="ar"/>
        </w:rPr>
        <w:t>i</w:t>
      </w:r>
      <w:r>
        <w:rPr>
          <w:rFonts w:hint="default" w:ascii="Times New Roman" w:hAnsi="Times New Roman" w:eastAsia="宋体" w:cs="Times New Roman"/>
          <w:color w:val="auto"/>
          <w:kern w:val="0"/>
          <w:lang w:bidi="ar"/>
        </w:rPr>
        <w:t>——第i类车的小时等效声级，dB(A)</w:t>
      </w:r>
      <w:r>
        <w:rPr>
          <w:rFonts w:hint="default" w:ascii="Times New Roman" w:hAnsi="Times New Roman" w:eastAsia="宋体" w:cs="Times New Roman"/>
          <w:color w:val="auto"/>
        </w:rPr>
        <w:t>；</w:t>
      </w:r>
    </w:p>
    <w:p w14:paraId="1573FD5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object>
          <v:shape id="_x0000_i1031" o:spt="75" type="#_x0000_t75" style="height:20.25pt;width:31.5pt;" o:ole="t" filled="f" o:preferrelative="t" stroked="f" coordsize="21600,21600">
            <v:path/>
            <v:fill on="f" focussize="0,0"/>
            <v:stroke on="f"/>
            <v:imagedata r:id="rId72" o:title=""/>
            <o:lock v:ext="edit" aspectratio="t"/>
            <w10:wrap type="none"/>
            <w10:anchorlock/>
          </v:shape>
          <o:OLEObject Type="Embed" ProgID="Equation.3" ShapeID="_x0000_i1031" DrawAspect="Content" ObjectID="_1468075731" r:id="rId71">
            <o:LockedField>false</o:LockedField>
          </o:OLEObject>
        </w:object>
      </w:r>
      <w:r>
        <w:rPr>
          <w:rFonts w:hint="default" w:ascii="Times New Roman" w:hAnsi="Times New Roman" w:eastAsia="宋体" w:cs="Times New Roman"/>
          <w:color w:val="auto"/>
        </w:rPr>
        <w:softHyphen/>
      </w:r>
      <w:r>
        <w:rPr>
          <w:rFonts w:hint="default" w:ascii="Times New Roman" w:hAnsi="Times New Roman" w:eastAsia="宋体" w:cs="Times New Roman"/>
          <w:color w:val="auto"/>
        </w:rPr>
        <w:t>--</w:t>
      </w:r>
      <w:r>
        <w:rPr>
          <w:rFonts w:hint="default" w:ascii="Times New Roman" w:hAnsi="Times New Roman" w:eastAsia="宋体" w:cs="Times New Roman"/>
          <w:color w:val="auto"/>
          <w:kern w:val="0"/>
          <w:lang w:bidi="ar"/>
        </w:rPr>
        <w:t>距第i类车水平距离为7.5m处的平均辐射噪声级，dB(A)</w:t>
      </w:r>
      <w:r>
        <w:rPr>
          <w:rFonts w:hint="default" w:ascii="Times New Roman" w:hAnsi="Times New Roman" w:eastAsia="宋体" w:cs="Times New Roman"/>
          <w:color w:val="auto"/>
        </w:rPr>
        <w:t>；</w:t>
      </w:r>
    </w:p>
    <w:p w14:paraId="009C826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N</w:t>
      </w:r>
      <w:r>
        <w:rPr>
          <w:rFonts w:hint="default" w:ascii="Times New Roman" w:hAnsi="Times New Roman" w:eastAsia="宋体" w:cs="Times New Roman"/>
          <w:color w:val="auto"/>
          <w:vertAlign w:val="subscript"/>
        </w:rPr>
        <w:t>i</w:t>
      </w:r>
      <w:r>
        <w:rPr>
          <w:rFonts w:hint="default" w:ascii="Times New Roman" w:hAnsi="Times New Roman" w:eastAsia="宋体" w:cs="Times New Roman"/>
          <w:color w:val="auto"/>
        </w:rPr>
        <w:softHyphen/>
      </w:r>
      <w:r>
        <w:rPr>
          <w:rFonts w:hint="default" w:ascii="Times New Roman" w:hAnsi="Times New Roman" w:eastAsia="宋体" w:cs="Times New Roman"/>
          <w:color w:val="auto"/>
        </w:rPr>
        <w:softHyphen/>
      </w:r>
      <w:r>
        <w:rPr>
          <w:rFonts w:hint="default" w:ascii="Times New Roman" w:hAnsi="Times New Roman" w:eastAsia="宋体" w:cs="Times New Roman"/>
          <w:color w:val="auto"/>
        </w:rPr>
        <w:softHyphen/>
      </w:r>
      <w:r>
        <w:rPr>
          <w:rFonts w:hint="default" w:ascii="Times New Roman" w:hAnsi="Times New Roman" w:eastAsia="宋体" w:cs="Times New Roman"/>
          <w:color w:val="auto"/>
        </w:rPr>
        <w:t>--昼间、夜间通过某个预测点的第I类车平均小时车流量，辆/h；</w:t>
      </w:r>
    </w:p>
    <w:p w14:paraId="60338E7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V</w:t>
      </w:r>
      <w:r>
        <w:rPr>
          <w:rFonts w:hint="default" w:ascii="Times New Roman" w:hAnsi="Times New Roman" w:eastAsia="宋体" w:cs="Times New Roman"/>
          <w:color w:val="auto"/>
          <w:kern w:val="0"/>
          <w:sz w:val="17"/>
          <w:szCs w:val="17"/>
          <w:lang w:bidi="ar"/>
        </w:rPr>
        <w:t>i</w:t>
      </w:r>
      <w:r>
        <w:rPr>
          <w:rFonts w:hint="default" w:ascii="Times New Roman" w:hAnsi="Times New Roman" w:eastAsia="宋体" w:cs="Times New Roman"/>
          <w:color w:val="auto"/>
          <w:kern w:val="0"/>
          <w:lang w:bidi="ar"/>
        </w:rPr>
        <w:t>——第i类车的平均车速，km/h；</w:t>
      </w:r>
    </w:p>
    <w:p w14:paraId="1F01626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T——计算等效声级的时间，1h；</w:t>
      </w:r>
    </w:p>
    <w:p w14:paraId="6F5E48F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ΔL</w:t>
      </w:r>
      <w:r>
        <w:rPr>
          <w:rFonts w:hint="default" w:ascii="Times New Roman" w:hAnsi="Times New Roman" w:eastAsia="宋体" w:cs="Times New Roman"/>
          <w:color w:val="auto"/>
          <w:kern w:val="0"/>
          <w:sz w:val="17"/>
          <w:szCs w:val="17"/>
          <w:lang w:bidi="ar"/>
        </w:rPr>
        <w:t>距离</w:t>
      </w:r>
      <w:r>
        <w:rPr>
          <w:rFonts w:hint="default" w:ascii="Times New Roman" w:hAnsi="Times New Roman" w:eastAsia="宋体" w:cs="Times New Roman"/>
          <w:color w:val="auto"/>
          <w:kern w:val="0"/>
          <w:lang w:bidi="ar"/>
        </w:rPr>
        <w:t>——距离衰减量，dB(A)；</w:t>
      </w:r>
    </w:p>
    <w:p w14:paraId="139CAAC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θ——预测点到有限长路段两端的张角，弧度，见附录B中图B.1；</w:t>
      </w:r>
    </w:p>
    <w:p w14:paraId="3B510DE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lang w:eastAsia="zh-CN" w:bidi="ar"/>
        </w:rPr>
        <w:t>由其他</w:t>
      </w:r>
      <w:r>
        <w:rPr>
          <w:rFonts w:hint="default" w:ascii="Times New Roman" w:hAnsi="Times New Roman" w:eastAsia="宋体" w:cs="Times New Roman"/>
          <w:color w:val="auto"/>
          <w:kern w:val="0"/>
          <w:lang w:bidi="ar"/>
        </w:rPr>
        <w:t>因素引起的修正量，dB(A)。</w:t>
      </w:r>
    </w:p>
    <w:p w14:paraId="411EFDC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距离</w:t>
      </w:r>
      <w:r>
        <w:rPr>
          <w:rFonts w:hint="default" w:ascii="Times New Roman" w:hAnsi="Times New Roman" w:eastAsia="宋体" w:cs="Times New Roman"/>
          <w:color w:val="auto"/>
          <w:kern w:val="0"/>
          <w:lang w:bidi="ar"/>
        </w:rPr>
        <w:t>按下列公式计算</w:t>
      </w:r>
      <w:r>
        <w:rPr>
          <w:rFonts w:hint="default" w:ascii="Times New Roman" w:hAnsi="Times New Roman" w:eastAsia="宋体" w:cs="Times New Roman"/>
          <w:color w:val="auto"/>
        </w:rPr>
        <w:t>；</w:t>
      </w:r>
    </w:p>
    <w:p w14:paraId="787A03C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086100" cy="1000125"/>
            <wp:effectExtent l="0" t="0" r="0" b="9525"/>
            <wp:docPr id="56"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79"/>
                    <pic:cNvPicPr>
                      <a:picLocks noChangeAspect="1"/>
                    </pic:cNvPicPr>
                  </pic:nvPicPr>
                  <pic:blipFill>
                    <a:blip r:embed="rId73"/>
                    <a:stretch>
                      <a:fillRect/>
                    </a:stretch>
                  </pic:blipFill>
                  <pic:spPr>
                    <a:xfrm>
                      <a:off x="0" y="0"/>
                      <a:ext cx="3086100" cy="1000125"/>
                    </a:xfrm>
                    <a:prstGeom prst="rect">
                      <a:avLst/>
                    </a:prstGeom>
                    <a:noFill/>
                    <a:ln>
                      <a:noFill/>
                    </a:ln>
                  </pic:spPr>
                </pic:pic>
              </a:graphicData>
            </a:graphic>
          </wp:inline>
        </w:drawing>
      </w:r>
    </w:p>
    <w:p w14:paraId="5B681C3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2"/>
          <w:szCs w:val="12"/>
          <w:lang w:bidi="ar"/>
        </w:rPr>
        <w:t>距离</w:t>
      </w:r>
      <w:r>
        <w:rPr>
          <w:rFonts w:hint="default" w:ascii="Times New Roman" w:hAnsi="Times New Roman" w:eastAsia="宋体" w:cs="Times New Roman"/>
          <w:color w:val="auto"/>
          <w:kern w:val="0"/>
          <w:lang w:bidi="ar"/>
        </w:rPr>
        <w:t>——距离衰减量，dB(A)；</w:t>
      </w:r>
    </w:p>
    <w:p w14:paraId="4217014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r——从车道中心线到预测点的距离，m；</w:t>
      </w:r>
    </w:p>
    <w:p w14:paraId="5216300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N</w:t>
      </w:r>
      <w:r>
        <w:rPr>
          <w:rFonts w:hint="default" w:ascii="Times New Roman" w:hAnsi="Times New Roman" w:eastAsia="宋体" w:cs="Times New Roman"/>
          <w:color w:val="auto"/>
          <w:kern w:val="0"/>
          <w:sz w:val="15"/>
          <w:szCs w:val="15"/>
          <w:lang w:bidi="ar"/>
        </w:rPr>
        <w:t>max</w:t>
      </w:r>
      <w:r>
        <w:rPr>
          <w:rFonts w:hint="default" w:ascii="Times New Roman" w:hAnsi="Times New Roman" w:eastAsia="宋体" w:cs="Times New Roman"/>
          <w:color w:val="auto"/>
          <w:kern w:val="0"/>
          <w:lang w:bidi="ar"/>
        </w:rPr>
        <w:t>——最大平均小时车流量，辆/h，同一个公路建设项目采用同一个值，取公路</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各代表年份、各路段平均小时车流量中的最大值。</w:t>
      </w:r>
    </w:p>
    <w:p w14:paraId="1855636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本项目按双向</w:t>
      </w:r>
      <w:r>
        <w:rPr>
          <w:rFonts w:hint="default" w:ascii="Times New Roman" w:hAnsi="Times New Roman" w:eastAsia="宋体" w:cs="Times New Roman"/>
          <w:color w:val="auto"/>
          <w:kern w:val="0"/>
          <w:lang w:val="en-US" w:eastAsia="zh-CN" w:bidi="ar"/>
        </w:rPr>
        <w:t>四</w:t>
      </w:r>
      <w:r>
        <w:rPr>
          <w:rFonts w:hint="default" w:ascii="Times New Roman" w:hAnsi="Times New Roman" w:eastAsia="宋体" w:cs="Times New Roman"/>
          <w:color w:val="auto"/>
          <w:kern w:val="0"/>
          <w:lang w:bidi="ar"/>
        </w:rPr>
        <w:t>车道一级公路标准建设，路基宽度24.0m，包含2.0m（人行道）+2.5m（条形绿化带）+7.5m（</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车行道）+7.5m（</w:t>
      </w:r>
      <w:r>
        <w:rPr>
          <w:rFonts w:hint="eastAsia" w:cs="Times New Roman"/>
          <w:color w:val="auto"/>
          <w:kern w:val="0"/>
          <w:lang w:val="en-US" w:eastAsia="zh-CN" w:bidi="ar"/>
        </w:rPr>
        <w:t>2</w:t>
      </w:r>
      <w:r>
        <w:rPr>
          <w:rFonts w:hint="default" w:ascii="Times New Roman" w:hAnsi="Times New Roman" w:eastAsia="宋体" w:cs="Times New Roman"/>
          <w:color w:val="auto"/>
          <w:kern w:val="0"/>
          <w:lang w:bidi="ar"/>
        </w:rPr>
        <w:t>车行道）+2.5m（条形绿化带）+2.0m（人行道）=24m。该软件借助GIS空间分析功能，计算车道中心线与预测点间空间距离，以此得出从车道中心线到预测点的距离（r）。</w:t>
      </w:r>
    </w:p>
    <w:p w14:paraId="7D4029D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结合前文项目各路段预测年昼夜小时交通量（绝对交通量）可知，</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本工程的N</w:t>
      </w:r>
      <w:r>
        <w:rPr>
          <w:rFonts w:hint="default" w:ascii="Times New Roman" w:hAnsi="Times New Roman" w:eastAsia="宋体" w:cs="Times New Roman"/>
          <w:color w:val="auto"/>
          <w:kern w:val="0"/>
          <w:sz w:val="15"/>
          <w:szCs w:val="15"/>
          <w:lang w:bidi="ar"/>
        </w:rPr>
        <w:t>max</w:t>
      </w:r>
      <w:r>
        <w:rPr>
          <w:rFonts w:hint="default" w:ascii="Times New Roman" w:hAnsi="Times New Roman" w:eastAsia="宋体" w:cs="Times New Roman"/>
          <w:color w:val="auto"/>
          <w:kern w:val="0"/>
          <w:lang w:bidi="ar"/>
        </w:rPr>
        <w:t>&gt;300辆/h，本项目预测选择同一个△L</w:t>
      </w:r>
      <w:r>
        <w:rPr>
          <w:rFonts w:hint="default" w:ascii="Times New Roman" w:hAnsi="Times New Roman" w:eastAsia="宋体" w:cs="Times New Roman"/>
          <w:color w:val="auto"/>
          <w:kern w:val="0"/>
          <w:sz w:val="12"/>
          <w:szCs w:val="12"/>
          <w:lang w:bidi="ar"/>
        </w:rPr>
        <w:t>距离</w:t>
      </w:r>
      <w:r>
        <w:rPr>
          <w:rFonts w:hint="default" w:ascii="Times New Roman" w:hAnsi="Times New Roman" w:eastAsia="宋体" w:cs="Times New Roman"/>
          <w:color w:val="auto"/>
          <w:kern w:val="0"/>
          <w:lang w:bidi="ar"/>
        </w:rPr>
        <w:t>=10lg（7.5/r）的衰减规律。</w:t>
      </w:r>
    </w:p>
    <w:p w14:paraId="52985A1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∆L按下列公式计算：</w:t>
      </w:r>
    </w:p>
    <w:p w14:paraId="56E13F99">
      <w:pPr>
        <w:widowControl/>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∆L=∆L1－∆L2</w:t>
      </w:r>
    </w:p>
    <w:p w14:paraId="6A31E67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lang w:eastAsia="zh-CN" w:bidi="ar"/>
        </w:rPr>
        <w:t>由其他</w:t>
      </w:r>
      <w:r>
        <w:rPr>
          <w:rFonts w:hint="default" w:ascii="Times New Roman" w:hAnsi="Times New Roman" w:eastAsia="宋体" w:cs="Times New Roman"/>
          <w:color w:val="auto"/>
          <w:kern w:val="0"/>
          <w:lang w:bidi="ar"/>
        </w:rPr>
        <w:t>因素引起的修正量，dB(A)；</w:t>
      </w:r>
    </w:p>
    <w:p w14:paraId="6F23BE1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∆L1——线路因素引起的修正量，dB(A)；</w:t>
      </w:r>
    </w:p>
    <w:p w14:paraId="165BB82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∆L2——声波传播途径中引起的衰减量，dB(A)。</w:t>
      </w:r>
    </w:p>
    <w:p w14:paraId="75E8743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1</w:t>
      </w:r>
      <w:r>
        <w:rPr>
          <w:rFonts w:hint="default" w:ascii="Times New Roman" w:hAnsi="Times New Roman" w:eastAsia="宋体" w:cs="Times New Roman"/>
          <w:color w:val="auto"/>
          <w:kern w:val="0"/>
          <w:lang w:bidi="ar"/>
        </w:rPr>
        <w:t>按下列公式计算：</w:t>
      </w:r>
    </w:p>
    <w:p w14:paraId="70AFCF4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bidi="ar"/>
        </w:rPr>
        <w:t>——公路纵坡引起的修正量，dB(A)；</w:t>
      </w:r>
    </w:p>
    <w:p w14:paraId="4C35AE1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路面</w:t>
      </w:r>
      <w:r>
        <w:rPr>
          <w:rFonts w:hint="default" w:ascii="Times New Roman" w:hAnsi="Times New Roman" w:eastAsia="宋体" w:cs="Times New Roman"/>
          <w:color w:val="auto"/>
          <w:kern w:val="0"/>
          <w:lang w:bidi="ar"/>
        </w:rPr>
        <w:t>——公路路面类型引起的修正量，dB(A)。</w:t>
      </w:r>
    </w:p>
    <w:p w14:paraId="7E118D7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按下列公式计算：</w:t>
      </w:r>
    </w:p>
    <w:p w14:paraId="2CBDDE93">
      <w:pPr>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rPr>
        <w:t>∆L1=∆L坡度＋∆L路面</w:t>
      </w:r>
    </w:p>
    <w:p w14:paraId="3647F77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5"/>
          <w:szCs w:val="15"/>
          <w:lang w:bidi="ar"/>
        </w:rPr>
        <w:t>1</w:t>
      </w:r>
      <w:r>
        <w:rPr>
          <w:rFonts w:hint="default" w:ascii="Times New Roman" w:hAnsi="Times New Roman" w:eastAsia="宋体" w:cs="Times New Roman"/>
          <w:color w:val="auto"/>
          <w:kern w:val="0"/>
          <w:lang w:bidi="ar"/>
        </w:rPr>
        <w:t>——线路因素引起的修正量，dB(A)；</w:t>
      </w:r>
    </w:p>
    <w:p w14:paraId="60E1095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bar</w:t>
      </w: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fol</w:t>
      </w: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atm</w:t>
      </w:r>
    </w:p>
    <w:p w14:paraId="21986EC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——声波传播途径中引起的衰减量，dB(A)；</w:t>
      </w:r>
    </w:p>
    <w:p w14:paraId="374F4C5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——地面吸收引起的衰减量，dB(A)；</w:t>
      </w:r>
    </w:p>
    <w:p w14:paraId="3845DDD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bar</w:t>
      </w:r>
      <w:r>
        <w:rPr>
          <w:rFonts w:hint="default" w:ascii="Times New Roman" w:hAnsi="Times New Roman" w:eastAsia="宋体" w:cs="Times New Roman"/>
          <w:color w:val="auto"/>
          <w:kern w:val="0"/>
          <w:lang w:bidi="ar"/>
        </w:rPr>
        <w:t>——遮挡物引起的衰减量，dB(A)；</w:t>
      </w:r>
    </w:p>
    <w:p w14:paraId="29C7722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fol</w:t>
      </w:r>
      <w:r>
        <w:rPr>
          <w:rFonts w:hint="default" w:ascii="Times New Roman" w:hAnsi="Times New Roman" w:eastAsia="宋体" w:cs="Times New Roman"/>
          <w:color w:val="auto"/>
          <w:kern w:val="0"/>
          <w:lang w:bidi="ar"/>
        </w:rPr>
        <w:t>——绿化林带引起的衰减量，dB(A)；</w:t>
      </w:r>
    </w:p>
    <w:p w14:paraId="2E02E35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atm</w:t>
      </w:r>
      <w:r>
        <w:rPr>
          <w:rFonts w:hint="default" w:ascii="Times New Roman" w:hAnsi="Times New Roman" w:eastAsia="宋体" w:cs="Times New Roman"/>
          <w:color w:val="auto"/>
          <w:kern w:val="0"/>
          <w:lang w:bidi="ar"/>
        </w:rPr>
        <w:t>——大气吸收引起的衰减量，dB(A)。</w:t>
      </w:r>
    </w:p>
    <w:p w14:paraId="63B5E42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（2）噪声贡献值</w:t>
      </w:r>
    </w:p>
    <w:p w14:paraId="2F779C8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3181350" cy="533400"/>
            <wp:effectExtent l="0" t="0" r="0" b="0"/>
            <wp:docPr id="66"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80"/>
                    <pic:cNvPicPr>
                      <a:picLocks noChangeAspect="1"/>
                    </pic:cNvPicPr>
                  </pic:nvPicPr>
                  <pic:blipFill>
                    <a:blip r:embed="rId74"/>
                    <a:stretch>
                      <a:fillRect/>
                    </a:stretch>
                  </pic:blipFill>
                  <pic:spPr>
                    <a:xfrm>
                      <a:off x="0" y="0"/>
                      <a:ext cx="3181350" cy="533400"/>
                    </a:xfrm>
                    <a:prstGeom prst="rect">
                      <a:avLst/>
                    </a:prstGeom>
                    <a:noFill/>
                    <a:ln>
                      <a:noFill/>
                    </a:ln>
                  </pic:spPr>
                </pic:pic>
              </a:graphicData>
            </a:graphic>
          </wp:inline>
        </w:drawing>
      </w:r>
    </w:p>
    <w:p w14:paraId="20C318D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5"/>
          <w:szCs w:val="15"/>
          <w:lang w:bidi="ar"/>
        </w:rPr>
        <w:t>Aeqg</w:t>
      </w:r>
      <w:r>
        <w:rPr>
          <w:rFonts w:hint="default" w:ascii="Times New Roman" w:hAnsi="Times New Roman" w:eastAsia="宋体" w:cs="Times New Roman"/>
          <w:color w:val="auto"/>
          <w:kern w:val="0"/>
          <w:lang w:bidi="ar"/>
        </w:rPr>
        <w:t>——公路建设项目声源在预测点产生的噪声贡献值，dB(A)；</w:t>
      </w:r>
    </w:p>
    <w:p w14:paraId="746C0A0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Aeql</w:t>
      </w:r>
      <w:r>
        <w:rPr>
          <w:rFonts w:hint="default" w:ascii="Times New Roman" w:hAnsi="Times New Roman" w:eastAsia="宋体" w:cs="Times New Roman"/>
          <w:color w:val="auto"/>
          <w:kern w:val="0"/>
          <w:lang w:bidi="ar"/>
        </w:rPr>
        <w:t>——大型车的噪声贡献值，dB(A)；</w:t>
      </w:r>
    </w:p>
    <w:p w14:paraId="03392B5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Aeqm</w:t>
      </w:r>
      <w:r>
        <w:rPr>
          <w:rFonts w:hint="default" w:ascii="Times New Roman" w:hAnsi="Times New Roman" w:eastAsia="宋体" w:cs="Times New Roman"/>
          <w:color w:val="auto"/>
          <w:kern w:val="0"/>
          <w:lang w:bidi="ar"/>
        </w:rPr>
        <w:t>——中型车的噪声贡献值，dB(A)；</w:t>
      </w:r>
    </w:p>
    <w:p w14:paraId="4E58815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Aeqs</w:t>
      </w:r>
      <w:r>
        <w:rPr>
          <w:rFonts w:hint="default" w:ascii="Times New Roman" w:hAnsi="Times New Roman" w:eastAsia="宋体" w:cs="Times New Roman"/>
          <w:color w:val="auto"/>
          <w:kern w:val="0"/>
          <w:lang w:bidi="ar"/>
        </w:rPr>
        <w:t>——小型车的噪声贡献值，dB(A)。</w:t>
      </w:r>
    </w:p>
    <w:p w14:paraId="138D7DF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（3）噪声预测值</w:t>
      </w:r>
    </w:p>
    <w:p w14:paraId="01CFD3C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2562225" cy="476250"/>
            <wp:effectExtent l="0" t="0" r="9525" b="0"/>
            <wp:docPr id="63"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81"/>
                    <pic:cNvPicPr>
                      <a:picLocks noChangeAspect="1"/>
                    </pic:cNvPicPr>
                  </pic:nvPicPr>
                  <pic:blipFill>
                    <a:blip r:embed="rId75"/>
                    <a:stretch>
                      <a:fillRect/>
                    </a:stretch>
                  </pic:blipFill>
                  <pic:spPr>
                    <a:xfrm>
                      <a:off x="0" y="0"/>
                      <a:ext cx="2562225" cy="476250"/>
                    </a:xfrm>
                    <a:prstGeom prst="rect">
                      <a:avLst/>
                    </a:prstGeom>
                    <a:noFill/>
                    <a:ln>
                      <a:noFill/>
                    </a:ln>
                  </pic:spPr>
                </pic:pic>
              </a:graphicData>
            </a:graphic>
          </wp:inline>
        </w:drawing>
      </w:r>
    </w:p>
    <w:p w14:paraId="4510F9E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5"/>
          <w:szCs w:val="15"/>
          <w:lang w:bidi="ar"/>
        </w:rPr>
        <w:t>Aeq</w:t>
      </w:r>
      <w:r>
        <w:rPr>
          <w:rFonts w:hint="default" w:ascii="Times New Roman" w:hAnsi="Times New Roman" w:eastAsia="宋体" w:cs="Times New Roman"/>
          <w:color w:val="auto"/>
          <w:kern w:val="0"/>
          <w:lang w:bidi="ar"/>
        </w:rPr>
        <w:t>——预测点的噪声预测值，dB(A)；</w:t>
      </w:r>
    </w:p>
    <w:p w14:paraId="4A88460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Aeqg</w:t>
      </w:r>
      <w:r>
        <w:rPr>
          <w:rFonts w:hint="default" w:ascii="Times New Roman" w:hAnsi="Times New Roman" w:eastAsia="宋体" w:cs="Times New Roman"/>
          <w:color w:val="auto"/>
          <w:kern w:val="0"/>
          <w:lang w:bidi="ar"/>
        </w:rPr>
        <w:t>——预测点的噪声贡献值，dB(A)；</w:t>
      </w:r>
    </w:p>
    <w:p w14:paraId="681D997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5"/>
          <w:szCs w:val="15"/>
          <w:lang w:bidi="ar"/>
        </w:rPr>
        <w:t>Aeqb</w:t>
      </w:r>
      <w:r>
        <w:rPr>
          <w:rFonts w:hint="default" w:ascii="Times New Roman" w:hAnsi="Times New Roman" w:eastAsia="宋体" w:cs="Times New Roman"/>
          <w:color w:val="auto"/>
          <w:kern w:val="0"/>
          <w:lang w:bidi="ar"/>
        </w:rPr>
        <w:t>——预测点的背景噪声值，dB(A)。</w:t>
      </w:r>
    </w:p>
    <w:p w14:paraId="4EE240AE">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预测模型参数选择</w:t>
      </w:r>
    </w:p>
    <w:p w14:paraId="4B511A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（1）大、中、小型车平均辐射噪声级</w:t>
      </w:r>
      <w:r>
        <w:rPr>
          <w:rFonts w:hint="default" w:ascii="Times New Roman" w:hAnsi="Times New Roman" w:eastAsia="宋体" w:cs="Times New Roman"/>
          <w:color w:val="auto"/>
        </w:rPr>
        <w:drawing>
          <wp:inline distT="0" distB="0" distL="114300" distR="114300">
            <wp:extent cx="506095" cy="285750"/>
            <wp:effectExtent l="0" t="0" r="8255" b="0"/>
            <wp:docPr id="58" name="图片 82" descr="26dd13bb-080a-4e94-b23b-a53b1d5cdb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82" descr="26dd13bb-080a-4e94-b23b-a53b1d5cdbc6"/>
                    <pic:cNvPicPr>
                      <a:picLocks noChangeAspect="1"/>
                    </pic:cNvPicPr>
                  </pic:nvPicPr>
                  <pic:blipFill>
                    <a:blip r:embed="rId76"/>
                    <a:stretch>
                      <a:fillRect/>
                    </a:stretch>
                  </pic:blipFill>
                  <pic:spPr>
                    <a:xfrm>
                      <a:off x="0" y="0"/>
                      <a:ext cx="506095" cy="285750"/>
                    </a:xfrm>
                    <a:prstGeom prst="rect">
                      <a:avLst/>
                    </a:prstGeom>
                    <a:noFill/>
                    <a:ln>
                      <a:noFill/>
                    </a:ln>
                  </pic:spPr>
                </pic:pic>
              </a:graphicData>
            </a:graphic>
          </wp:inline>
        </w:drawing>
      </w:r>
    </w:p>
    <w:p w14:paraId="20730F4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各类型车在距离行车线7.5m处参照点的平均辐射噪声级</w:t>
      </w:r>
      <w:r>
        <w:rPr>
          <w:rFonts w:hint="default" w:ascii="Times New Roman" w:hAnsi="Times New Roman" w:eastAsia="宋体" w:cs="Times New Roman"/>
          <w:color w:val="auto"/>
        </w:rPr>
        <w:drawing>
          <wp:inline distT="0" distB="0" distL="114300" distR="114300">
            <wp:extent cx="506095" cy="285750"/>
            <wp:effectExtent l="0" t="0" r="8255" b="0"/>
            <wp:docPr id="83" name="图片 83" descr="26dd13bb-080a-4e94-b23b-a53b1d5cdb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26dd13bb-080a-4e94-b23b-a53b1d5cdbc6"/>
                    <pic:cNvPicPr>
                      <a:picLocks noChangeAspect="1"/>
                    </pic:cNvPicPr>
                  </pic:nvPicPr>
                  <pic:blipFill>
                    <a:blip r:embed="rId76"/>
                    <a:stretch>
                      <a:fillRect/>
                    </a:stretch>
                  </pic:blipFill>
                  <pic:spPr>
                    <a:xfrm>
                      <a:off x="0" y="0"/>
                      <a:ext cx="506095" cy="285750"/>
                    </a:xfrm>
                    <a:prstGeom prst="rect">
                      <a:avLst/>
                    </a:prstGeom>
                    <a:noFill/>
                    <a:ln>
                      <a:noFill/>
                    </a:ln>
                  </pic:spPr>
                </pic:pic>
              </a:graphicData>
            </a:graphic>
          </wp:inline>
        </w:drawing>
      </w:r>
      <w:r>
        <w:rPr>
          <w:rFonts w:hint="default" w:ascii="Times New Roman" w:hAnsi="Times New Roman" w:eastAsia="宋体" w:cs="Times New Roman"/>
          <w:color w:val="auto"/>
          <w:kern w:val="0"/>
          <w:lang w:bidi="ar"/>
        </w:rPr>
        <w:t>详见表3.2-10。</w:t>
      </w:r>
    </w:p>
    <w:p w14:paraId="6A32A07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（2）小时车流量（N</w:t>
      </w:r>
      <w:r>
        <w:rPr>
          <w:rFonts w:hint="default" w:ascii="Times New Roman" w:hAnsi="Times New Roman" w:eastAsia="宋体" w:cs="Times New Roman"/>
          <w:color w:val="auto"/>
          <w:kern w:val="0"/>
          <w:sz w:val="15"/>
          <w:szCs w:val="15"/>
          <w:lang w:bidi="ar"/>
        </w:rPr>
        <w:t>i</w:t>
      </w:r>
      <w:r>
        <w:rPr>
          <w:rFonts w:hint="default" w:ascii="Times New Roman" w:hAnsi="Times New Roman" w:eastAsia="宋体" w:cs="Times New Roman"/>
          <w:color w:val="auto"/>
          <w:kern w:val="0"/>
          <w:lang w:bidi="ar"/>
        </w:rPr>
        <w:t>）</w:t>
      </w:r>
    </w:p>
    <w:p w14:paraId="23C73C6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项目各路段各评价年的昼夜平均小时车流量详见表2.8-5。</w:t>
      </w:r>
    </w:p>
    <w:p w14:paraId="115255C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（3）平均车速（V</w:t>
      </w:r>
      <w:r>
        <w:rPr>
          <w:rFonts w:hint="default" w:ascii="Times New Roman" w:hAnsi="Times New Roman" w:eastAsia="宋体" w:cs="Times New Roman"/>
          <w:color w:val="auto"/>
          <w:kern w:val="0"/>
          <w:sz w:val="17"/>
          <w:szCs w:val="17"/>
          <w:lang w:bidi="ar"/>
        </w:rPr>
        <w:t>i</w:t>
      </w:r>
      <w:r>
        <w:rPr>
          <w:rFonts w:hint="default" w:ascii="Times New Roman" w:hAnsi="Times New Roman" w:eastAsia="宋体" w:cs="Times New Roman"/>
          <w:color w:val="auto"/>
          <w:kern w:val="0"/>
          <w:lang w:bidi="ar"/>
        </w:rPr>
        <w:t>）</w:t>
      </w:r>
    </w:p>
    <w:p w14:paraId="28A4F03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项目各路段各车型平均车速详见表3.2-9。</w:t>
      </w:r>
    </w:p>
    <w:p w14:paraId="47569E7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（4）预测点到有限长路段两端的张角</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θ</w:t>
      </w:r>
      <w:r>
        <w:rPr>
          <w:rFonts w:hint="default" w:ascii="Times New Roman" w:hAnsi="Times New Roman" w:eastAsia="宋体" w:cs="Times New Roman"/>
          <w:color w:val="auto"/>
          <w:kern w:val="0"/>
          <w:lang w:eastAsia="zh-CN" w:bidi="ar"/>
        </w:rPr>
        <w:t>）</w:t>
      </w:r>
    </w:p>
    <w:p w14:paraId="7219BE44">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829935" cy="1303020"/>
            <wp:effectExtent l="0" t="0" r="18415" b="11430"/>
            <wp:docPr id="5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84"/>
                    <pic:cNvPicPr>
                      <a:picLocks noChangeAspect="1"/>
                    </pic:cNvPicPr>
                  </pic:nvPicPr>
                  <pic:blipFill>
                    <a:blip r:embed="rId77"/>
                    <a:stretch>
                      <a:fillRect/>
                    </a:stretch>
                  </pic:blipFill>
                  <pic:spPr>
                    <a:xfrm>
                      <a:off x="0" y="0"/>
                      <a:ext cx="5829935" cy="1303020"/>
                    </a:xfrm>
                    <a:prstGeom prst="rect">
                      <a:avLst/>
                    </a:prstGeom>
                    <a:noFill/>
                    <a:ln>
                      <a:noFill/>
                    </a:ln>
                  </pic:spPr>
                </pic:pic>
              </a:graphicData>
            </a:graphic>
          </wp:inline>
        </w:drawing>
      </w:r>
    </w:p>
    <w:p w14:paraId="4747A683">
      <w:pPr>
        <w:widowControl/>
        <w:ind w:firstLine="48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图5.2-1  预测点到有限长路段两端的张角</w:t>
      </w:r>
    </w:p>
    <w:p w14:paraId="1539DF4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当路段与噪声</w:t>
      </w:r>
      <w:r>
        <w:rPr>
          <w:rFonts w:hint="default" w:ascii="Times New Roman" w:hAnsi="Times New Roman" w:eastAsia="宋体" w:cs="Times New Roman"/>
          <w:color w:val="auto"/>
          <w:kern w:val="0"/>
          <w:lang w:eastAsia="zh-CN" w:bidi="ar"/>
        </w:rPr>
        <w:t>接收点</w:t>
      </w:r>
      <w:r>
        <w:rPr>
          <w:rFonts w:hint="default" w:ascii="Times New Roman" w:hAnsi="Times New Roman" w:eastAsia="宋体" w:cs="Times New Roman"/>
          <w:color w:val="auto"/>
          <w:kern w:val="0"/>
          <w:lang w:bidi="ar"/>
        </w:rPr>
        <w:t>之间水平方向无任何遮挡时，θ可取</w:t>
      </w:r>
      <w:r>
        <w:rPr>
          <w:rFonts w:hint="default" w:ascii="Times New Roman" w:hAnsi="Times New Roman" w:eastAsia="宋体" w:cs="Times New Roman"/>
          <w:color w:val="auto"/>
          <w:kern w:val="0"/>
          <w:lang w:bidi="ar"/>
        </w:rPr>
        <w:drawing>
          <wp:inline distT="0" distB="0" distL="114300" distR="114300">
            <wp:extent cx="391160" cy="391160"/>
            <wp:effectExtent l="0" t="0" r="8890" b="8890"/>
            <wp:docPr id="61" name="图片 85" descr="a635ca6d-1be0-4ed6-9172-4f65a326bf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85" descr="a635ca6d-1be0-4ed6-9172-4f65a326bfe5"/>
                    <pic:cNvPicPr>
                      <a:picLocks noChangeAspect="1"/>
                    </pic:cNvPicPr>
                  </pic:nvPicPr>
                  <pic:blipFill>
                    <a:blip r:embed="rId78"/>
                    <a:stretch>
                      <a:fillRect/>
                    </a:stretch>
                  </pic:blipFill>
                  <pic:spPr>
                    <a:xfrm>
                      <a:off x="0" y="0"/>
                      <a:ext cx="391160" cy="391160"/>
                    </a:xfrm>
                    <a:prstGeom prst="rect">
                      <a:avLst/>
                    </a:prstGeom>
                    <a:noFill/>
                    <a:ln>
                      <a:noFill/>
                    </a:ln>
                  </pic:spPr>
                </pic:pic>
              </a:graphicData>
            </a:graphic>
          </wp:inline>
        </w:drawing>
      </w:r>
      <w:r>
        <w:rPr>
          <w:rFonts w:hint="default" w:ascii="Times New Roman" w:hAnsi="Times New Roman" w:eastAsia="宋体" w:cs="Times New Roman"/>
          <w:color w:val="auto"/>
          <w:kern w:val="0"/>
          <w:lang w:bidi="ar"/>
        </w:rPr>
        <w:t>；当路段与噪声</w:t>
      </w:r>
      <w:r>
        <w:rPr>
          <w:rFonts w:hint="default" w:ascii="Times New Roman" w:hAnsi="Times New Roman" w:eastAsia="宋体" w:cs="Times New Roman"/>
          <w:color w:val="auto"/>
          <w:kern w:val="0"/>
          <w:lang w:eastAsia="zh-CN" w:bidi="ar"/>
        </w:rPr>
        <w:t>接收点</w:t>
      </w:r>
      <w:r>
        <w:rPr>
          <w:rFonts w:hint="default" w:ascii="Times New Roman" w:hAnsi="Times New Roman" w:eastAsia="宋体" w:cs="Times New Roman"/>
          <w:color w:val="auto"/>
          <w:kern w:val="0"/>
          <w:lang w:bidi="ar"/>
        </w:rPr>
        <w:t>之间水平方向有遮挡时，θ为预测点与两侧遮挡点连线组成的夹角。</w:t>
      </w:r>
    </w:p>
    <w:p w14:paraId="29877C0B">
      <w:pPr>
        <w:widowControl/>
        <w:ind w:firstLine="480"/>
        <w:jc w:val="left"/>
        <w:rPr>
          <w:rFonts w:hint="default" w:ascii="Times New Roman" w:hAnsi="Times New Roman" w:eastAsia="宋体" w:cs="Times New Roman"/>
          <w:color w:val="auto"/>
          <w:lang w:eastAsia="zh-CN"/>
        </w:rPr>
      </w:pPr>
      <w:r>
        <w:rPr>
          <w:rFonts w:hint="default" w:ascii="Times New Roman" w:hAnsi="Times New Roman" w:eastAsia="宋体" w:cs="Times New Roman"/>
          <w:color w:val="auto"/>
          <w:kern w:val="0"/>
          <w:lang w:bidi="ar"/>
        </w:rPr>
        <w:t>（5）公路纵坡引起的修正量</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eastAsia="zh-CN" w:bidi="ar"/>
        </w:rPr>
        <w:t>）</w:t>
      </w:r>
    </w:p>
    <w:p w14:paraId="70B02E7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公路纵坡引起的修正量按公式（B.4、B.5、B.6）计算：</w:t>
      </w:r>
    </w:p>
    <w:p w14:paraId="4C28FDF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大型车：∆L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bidi="ar"/>
        </w:rPr>
        <w:t>=98×β（B.4）</w:t>
      </w:r>
    </w:p>
    <w:p w14:paraId="3E83906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中型车：∆L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bidi="ar"/>
        </w:rPr>
        <w:t>=73×β（B.5）</w:t>
      </w:r>
    </w:p>
    <w:p w14:paraId="5FEC031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小型车：∆L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bidi="ar"/>
        </w:rPr>
        <w:t>=50×β（B.6）</w:t>
      </w:r>
    </w:p>
    <w:p w14:paraId="41E25166">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式中：∆L</w:t>
      </w:r>
      <w:r>
        <w:rPr>
          <w:rFonts w:hint="default" w:ascii="Times New Roman" w:hAnsi="Times New Roman" w:eastAsia="宋体" w:cs="Times New Roman"/>
          <w:color w:val="auto"/>
          <w:kern w:val="0"/>
          <w:sz w:val="12"/>
          <w:szCs w:val="12"/>
          <w:lang w:bidi="ar"/>
        </w:rPr>
        <w:t>坡度</w:t>
      </w:r>
      <w:r>
        <w:rPr>
          <w:rFonts w:hint="default" w:ascii="Times New Roman" w:hAnsi="Times New Roman" w:eastAsia="宋体" w:cs="Times New Roman"/>
          <w:color w:val="auto"/>
          <w:kern w:val="0"/>
          <w:lang w:bidi="ar"/>
        </w:rPr>
        <w:t>——公路纵坡引起</w:t>
      </w:r>
    </w:p>
    <w:p w14:paraId="7B9BFF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的修正量，dB(A)；</w:t>
      </w:r>
    </w:p>
    <w:p w14:paraId="27150B1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β——公路纵坡坡度，%。</w:t>
      </w:r>
    </w:p>
    <w:p w14:paraId="565822C0">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本项目声环境保护目标路段纵坡坡度见表5.2-</w:t>
      </w:r>
      <w:r>
        <w:rPr>
          <w:rFonts w:hint="default" w:ascii="Times New Roman" w:hAnsi="Times New Roman" w:eastAsia="宋体" w:cs="Times New Roman"/>
          <w:color w:val="auto"/>
          <w:kern w:val="0"/>
          <w:lang w:val="en-US" w:eastAsia="zh-CN" w:bidi="ar"/>
        </w:rPr>
        <w:t>2</w:t>
      </w:r>
      <w:r>
        <w:rPr>
          <w:rFonts w:hint="default" w:ascii="Times New Roman" w:hAnsi="Times New Roman" w:eastAsia="宋体" w:cs="Times New Roman"/>
          <w:color w:val="auto"/>
          <w:kern w:val="0"/>
          <w:lang w:bidi="ar"/>
        </w:rPr>
        <w:t>。</w:t>
      </w:r>
    </w:p>
    <w:p w14:paraId="27BC8D5E">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2</w:t>
      </w:r>
      <w:r>
        <w:rPr>
          <w:rFonts w:hint="default" w:ascii="Times New Roman" w:hAnsi="Times New Roman" w:eastAsia="宋体" w:cs="Times New Roman"/>
          <w:b/>
          <w:bCs/>
          <w:color w:val="auto"/>
          <w:kern w:val="0"/>
          <w:sz w:val="21"/>
          <w:szCs w:val="21"/>
          <w:lang w:bidi="ar"/>
        </w:rPr>
        <w:t xml:space="preserve">  声环境保护目标路段纵坡坡度表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1462"/>
        <w:gridCol w:w="2038"/>
        <w:gridCol w:w="1380"/>
        <w:gridCol w:w="1380"/>
        <w:gridCol w:w="1419"/>
      </w:tblGrid>
      <w:tr w14:paraId="5469B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noWrap w:val="0"/>
            <w:vAlign w:val="center"/>
          </w:tcPr>
          <w:p w14:paraId="7AF9BB3E">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1665" w:type="dxa"/>
            <w:noWrap w:val="0"/>
            <w:vAlign w:val="center"/>
          </w:tcPr>
          <w:p w14:paraId="476878F5">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保护目标名称</w:t>
            </w:r>
          </w:p>
        </w:tc>
        <w:tc>
          <w:tcPr>
            <w:tcW w:w="2102" w:type="dxa"/>
            <w:noWrap w:val="0"/>
            <w:vAlign w:val="center"/>
          </w:tcPr>
          <w:p w14:paraId="30928094">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里程桩号</w:t>
            </w:r>
          </w:p>
        </w:tc>
        <w:tc>
          <w:tcPr>
            <w:tcW w:w="1567" w:type="dxa"/>
            <w:noWrap w:val="0"/>
            <w:vAlign w:val="center"/>
          </w:tcPr>
          <w:p w14:paraId="23344372">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位置关系</w:t>
            </w:r>
          </w:p>
        </w:tc>
        <w:tc>
          <w:tcPr>
            <w:tcW w:w="1567" w:type="dxa"/>
            <w:noWrap w:val="0"/>
            <w:vAlign w:val="center"/>
          </w:tcPr>
          <w:p w14:paraId="46B16E29">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线路形式</w:t>
            </w:r>
          </w:p>
        </w:tc>
        <w:tc>
          <w:tcPr>
            <w:tcW w:w="1567" w:type="dxa"/>
            <w:noWrap w:val="0"/>
            <w:vAlign w:val="center"/>
          </w:tcPr>
          <w:p w14:paraId="7146C192">
            <w:pPr>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纵坡坡度</w:t>
            </w:r>
          </w:p>
        </w:tc>
      </w:tr>
      <w:tr w14:paraId="520B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noWrap w:val="0"/>
            <w:vAlign w:val="center"/>
          </w:tcPr>
          <w:p w14:paraId="51258EA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665" w:type="dxa"/>
            <w:noWrap w:val="0"/>
            <w:vAlign w:val="center"/>
          </w:tcPr>
          <w:p w14:paraId="440B1C1D">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起点居民区</w:t>
            </w:r>
          </w:p>
        </w:tc>
        <w:tc>
          <w:tcPr>
            <w:tcW w:w="2102" w:type="dxa"/>
            <w:noWrap w:val="0"/>
            <w:vAlign w:val="center"/>
          </w:tcPr>
          <w:p w14:paraId="7ADC27D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K0+000（起点）</w:t>
            </w:r>
          </w:p>
        </w:tc>
        <w:tc>
          <w:tcPr>
            <w:tcW w:w="1567" w:type="dxa"/>
            <w:noWrap w:val="0"/>
            <w:vAlign w:val="center"/>
          </w:tcPr>
          <w:p w14:paraId="3846020B">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路右</w:t>
            </w:r>
          </w:p>
        </w:tc>
        <w:tc>
          <w:tcPr>
            <w:tcW w:w="1567" w:type="dxa"/>
            <w:noWrap w:val="0"/>
            <w:vAlign w:val="center"/>
          </w:tcPr>
          <w:p w14:paraId="1CD63EA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路堑+路堤</w:t>
            </w:r>
          </w:p>
        </w:tc>
        <w:tc>
          <w:tcPr>
            <w:tcW w:w="1567" w:type="dxa"/>
            <w:noWrap w:val="0"/>
            <w:vAlign w:val="center"/>
          </w:tcPr>
          <w:p w14:paraId="6DEC0D47">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r>
      <w:tr w14:paraId="389C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2" w:type="dxa"/>
            <w:noWrap w:val="0"/>
            <w:vAlign w:val="center"/>
          </w:tcPr>
          <w:p w14:paraId="7BABC19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665" w:type="dxa"/>
            <w:noWrap w:val="0"/>
            <w:vAlign w:val="center"/>
          </w:tcPr>
          <w:p w14:paraId="7336DDDA">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甘庄集镇</w:t>
            </w:r>
          </w:p>
        </w:tc>
        <w:tc>
          <w:tcPr>
            <w:tcW w:w="2102" w:type="dxa"/>
            <w:noWrap w:val="0"/>
            <w:vAlign w:val="center"/>
          </w:tcPr>
          <w:p w14:paraId="5D0491C6">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K0+000~K0+650</w:t>
            </w:r>
          </w:p>
        </w:tc>
        <w:tc>
          <w:tcPr>
            <w:tcW w:w="1567" w:type="dxa"/>
            <w:noWrap w:val="0"/>
            <w:vAlign w:val="center"/>
          </w:tcPr>
          <w:p w14:paraId="5BFA3921">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路右</w:t>
            </w:r>
          </w:p>
        </w:tc>
        <w:tc>
          <w:tcPr>
            <w:tcW w:w="1567" w:type="dxa"/>
            <w:noWrap w:val="0"/>
            <w:vAlign w:val="center"/>
          </w:tcPr>
          <w:p w14:paraId="614AC822">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路堑+路堤</w:t>
            </w:r>
          </w:p>
        </w:tc>
        <w:tc>
          <w:tcPr>
            <w:tcW w:w="1567" w:type="dxa"/>
            <w:noWrap w:val="0"/>
            <w:vAlign w:val="center"/>
          </w:tcPr>
          <w:p w14:paraId="4D91ECC0">
            <w:pPr>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w:t>
            </w:r>
          </w:p>
        </w:tc>
      </w:tr>
    </w:tbl>
    <w:p w14:paraId="42E8A7E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（6）公路路面类型引起的修正量（L</w:t>
      </w:r>
      <w:r>
        <w:rPr>
          <w:rFonts w:hint="default" w:ascii="Times New Roman" w:hAnsi="Times New Roman" w:eastAsia="宋体" w:cs="Times New Roman"/>
          <w:color w:val="auto"/>
          <w:kern w:val="0"/>
          <w:sz w:val="12"/>
          <w:szCs w:val="12"/>
          <w:lang w:bidi="ar"/>
        </w:rPr>
        <w:t>路面</w:t>
      </w:r>
      <w:r>
        <w:rPr>
          <w:rFonts w:hint="default" w:ascii="Times New Roman" w:hAnsi="Times New Roman" w:eastAsia="宋体" w:cs="Times New Roman"/>
          <w:color w:val="auto"/>
          <w:kern w:val="0"/>
          <w:lang w:bidi="ar"/>
        </w:rPr>
        <w:t>）</w:t>
      </w:r>
    </w:p>
    <w:p w14:paraId="0EAC777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公路路面类型引起的修正量按表5.2-</w:t>
      </w:r>
      <w:r>
        <w:rPr>
          <w:rFonts w:hint="default" w:ascii="Times New Roman" w:hAnsi="Times New Roman" w:eastAsia="宋体" w:cs="Times New Roman"/>
          <w:color w:val="auto"/>
          <w:kern w:val="0"/>
          <w:lang w:val="en-US" w:eastAsia="zh-CN" w:bidi="ar"/>
        </w:rPr>
        <w:t>3</w:t>
      </w:r>
      <w:r>
        <w:rPr>
          <w:rFonts w:hint="default" w:ascii="Times New Roman" w:hAnsi="Times New Roman" w:eastAsia="宋体" w:cs="Times New Roman"/>
          <w:color w:val="auto"/>
          <w:kern w:val="0"/>
          <w:lang w:bidi="ar"/>
        </w:rPr>
        <w:t>取值。</w:t>
      </w:r>
    </w:p>
    <w:p w14:paraId="2365E4F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t>常见路面修正量</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4"/>
        <w:gridCol w:w="2149"/>
        <w:gridCol w:w="2149"/>
        <w:gridCol w:w="2166"/>
      </w:tblGrid>
      <w:tr w14:paraId="7D60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350" w:type="dxa"/>
            <w:vMerge w:val="restart"/>
            <w:noWrap w:val="0"/>
            <w:vAlign w:val="center"/>
          </w:tcPr>
          <w:p w14:paraId="78E37C2F">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路面类型</w:t>
            </w:r>
          </w:p>
        </w:tc>
        <w:tc>
          <w:tcPr>
            <w:tcW w:w="7050" w:type="dxa"/>
            <w:gridSpan w:val="3"/>
            <w:noWrap w:val="0"/>
            <w:vAlign w:val="center"/>
          </w:tcPr>
          <w:p w14:paraId="0573AFA3">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b/>
                <w:bCs/>
                <w:color w:val="auto"/>
                <w:kern w:val="0"/>
                <w:sz w:val="21"/>
                <w:szCs w:val="21"/>
                <w:lang w:bidi="ar"/>
              </w:rPr>
              <w:t>不同行驶速度修正量[dB(A)]</w:t>
            </w:r>
          </w:p>
        </w:tc>
      </w:tr>
      <w:tr w14:paraId="7E985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2350" w:type="dxa"/>
            <w:vMerge w:val="continue"/>
            <w:noWrap w:val="0"/>
            <w:vAlign w:val="center"/>
          </w:tcPr>
          <w:p w14:paraId="3A4B39A5">
            <w:pPr>
              <w:widowControl/>
              <w:spacing w:line="240" w:lineRule="auto"/>
              <w:ind w:firstLine="0" w:firstLineChars="0"/>
              <w:jc w:val="center"/>
              <w:rPr>
                <w:rFonts w:hint="default" w:ascii="Times New Roman" w:hAnsi="Times New Roman" w:eastAsia="宋体" w:cs="Times New Roman"/>
                <w:b/>
                <w:bCs/>
                <w:color w:val="auto"/>
                <w:sz w:val="21"/>
                <w:szCs w:val="21"/>
              </w:rPr>
            </w:pPr>
          </w:p>
        </w:tc>
        <w:tc>
          <w:tcPr>
            <w:tcW w:w="2350" w:type="dxa"/>
            <w:noWrap w:val="0"/>
            <w:vAlign w:val="center"/>
          </w:tcPr>
          <w:p w14:paraId="2CC85BA0">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30(km/h)</w:t>
            </w:r>
          </w:p>
        </w:tc>
        <w:tc>
          <w:tcPr>
            <w:tcW w:w="2350" w:type="dxa"/>
            <w:noWrap w:val="0"/>
            <w:vAlign w:val="center"/>
          </w:tcPr>
          <w:p w14:paraId="5E56D2C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40(km/h)</w:t>
            </w:r>
          </w:p>
        </w:tc>
        <w:tc>
          <w:tcPr>
            <w:tcW w:w="2350" w:type="dxa"/>
            <w:noWrap w:val="0"/>
            <w:vAlign w:val="center"/>
          </w:tcPr>
          <w:p w14:paraId="208F34A4">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≥50(km/h)</w:t>
            </w:r>
          </w:p>
        </w:tc>
      </w:tr>
      <w:tr w14:paraId="346E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val="0"/>
            <w:vAlign w:val="center"/>
          </w:tcPr>
          <w:p w14:paraId="172452C0">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普通沥青混凝土</w:t>
            </w:r>
          </w:p>
        </w:tc>
        <w:tc>
          <w:tcPr>
            <w:tcW w:w="2350" w:type="dxa"/>
            <w:noWrap w:val="0"/>
            <w:vAlign w:val="center"/>
          </w:tcPr>
          <w:p w14:paraId="0F40AD04">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w:t>
            </w:r>
          </w:p>
        </w:tc>
        <w:tc>
          <w:tcPr>
            <w:tcW w:w="2350" w:type="dxa"/>
            <w:noWrap w:val="0"/>
            <w:vAlign w:val="center"/>
          </w:tcPr>
          <w:p w14:paraId="10913F50">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w:t>
            </w:r>
          </w:p>
        </w:tc>
        <w:tc>
          <w:tcPr>
            <w:tcW w:w="2350" w:type="dxa"/>
            <w:noWrap w:val="0"/>
            <w:vAlign w:val="center"/>
          </w:tcPr>
          <w:p w14:paraId="623EC6C2">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0</w:t>
            </w:r>
          </w:p>
        </w:tc>
      </w:tr>
      <w:tr w14:paraId="59AEF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val="0"/>
            <w:vAlign w:val="center"/>
          </w:tcPr>
          <w:p w14:paraId="0FAA18DD">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普通水泥混凝土</w:t>
            </w:r>
          </w:p>
        </w:tc>
        <w:tc>
          <w:tcPr>
            <w:tcW w:w="2350" w:type="dxa"/>
            <w:noWrap w:val="0"/>
            <w:vAlign w:val="center"/>
          </w:tcPr>
          <w:p w14:paraId="072C1FC8">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+1.0</w:t>
            </w:r>
          </w:p>
        </w:tc>
        <w:tc>
          <w:tcPr>
            <w:tcW w:w="2350" w:type="dxa"/>
            <w:noWrap w:val="0"/>
            <w:vAlign w:val="center"/>
          </w:tcPr>
          <w:p w14:paraId="788AAA77">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+1.5</w:t>
            </w:r>
          </w:p>
        </w:tc>
        <w:tc>
          <w:tcPr>
            <w:tcW w:w="2350" w:type="dxa"/>
            <w:noWrap w:val="0"/>
            <w:vAlign w:val="center"/>
          </w:tcPr>
          <w:p w14:paraId="26EBF653">
            <w:pPr>
              <w:widowControl/>
              <w:spacing w:line="240" w:lineRule="auto"/>
              <w:ind w:firstLine="0" w:firstLineChars="0"/>
              <w:jc w:val="center"/>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+2.0</w:t>
            </w:r>
          </w:p>
        </w:tc>
      </w:tr>
      <w:tr w14:paraId="4904B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noWrap w:val="0"/>
            <w:vAlign w:val="center"/>
          </w:tcPr>
          <w:p w14:paraId="1C84A590">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低噪声路面</w:t>
            </w:r>
          </w:p>
        </w:tc>
        <w:tc>
          <w:tcPr>
            <w:tcW w:w="7050" w:type="dxa"/>
            <w:gridSpan w:val="3"/>
            <w:noWrap w:val="0"/>
            <w:vAlign w:val="center"/>
          </w:tcPr>
          <w:p w14:paraId="1A4C56B0">
            <w:pPr>
              <w:widowControl/>
              <w:spacing w:line="240" w:lineRule="auto"/>
              <w:ind w:firstLine="0" w:firstLineChars="0"/>
              <w:jc w:val="left"/>
              <w:rPr>
                <w:rFonts w:hint="default" w:ascii="Times New Roman" w:hAnsi="Times New Roman" w:eastAsia="宋体" w:cs="Times New Roman"/>
                <w:color w:val="auto"/>
                <w:kern w:val="0"/>
                <w:sz w:val="21"/>
                <w:szCs w:val="21"/>
                <w:lang w:bidi="ar"/>
              </w:rPr>
            </w:pPr>
            <w:r>
              <w:rPr>
                <w:rFonts w:hint="default" w:ascii="Times New Roman" w:hAnsi="Times New Roman" w:eastAsia="宋体" w:cs="Times New Roman"/>
                <w:color w:val="auto"/>
                <w:kern w:val="0"/>
                <w:sz w:val="21"/>
                <w:szCs w:val="21"/>
                <w:lang w:bidi="ar"/>
              </w:rPr>
              <w:t>单层低噪声路面对应普通沥青混凝土路面或普通水泥混凝土路面，可做-1dB(A)～-3dB(A)修正（设计车速较高时，取较大修正量），多层或其他新型低噪声路面修正量可根据工程验证的研究成果适当增加。</w:t>
            </w:r>
          </w:p>
        </w:tc>
      </w:tr>
    </w:tbl>
    <w:p w14:paraId="213E7DB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本项目路面修正参数取值如下：本项目采用普通沥青混凝土路面，设计速度60km/h，根据表5.2-6，普通沥青混凝土路面在行驶速度为60km/h时，路面修正量为0dB（A），因此，本次评价全线路面修正量取值为0dB（A）。</w:t>
      </w:r>
    </w:p>
    <w:p w14:paraId="5B050B3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（7）大气吸收引起的衰减量（A</w:t>
      </w:r>
      <w:r>
        <w:rPr>
          <w:rFonts w:hint="default" w:ascii="Times New Roman" w:hAnsi="Times New Roman" w:eastAsia="宋体" w:cs="Times New Roman"/>
          <w:color w:val="auto"/>
          <w:kern w:val="0"/>
          <w:sz w:val="15"/>
          <w:szCs w:val="15"/>
          <w:lang w:bidi="ar"/>
        </w:rPr>
        <w:t>atm</w:t>
      </w:r>
      <w:r>
        <w:rPr>
          <w:rFonts w:hint="default" w:ascii="Times New Roman" w:hAnsi="Times New Roman" w:eastAsia="宋体" w:cs="Times New Roman"/>
          <w:color w:val="auto"/>
          <w:kern w:val="0"/>
          <w:lang w:bidi="ar"/>
        </w:rPr>
        <w:t>）</w:t>
      </w:r>
    </w:p>
    <w:p w14:paraId="587DBDC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大气吸收引起的衰减量按公式（B.7）计算：</w:t>
      </w:r>
    </w:p>
    <w:p w14:paraId="2B27CD38">
      <w:pPr>
        <w:widowControl/>
        <w:ind w:firstLine="48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1981200" cy="876300"/>
            <wp:effectExtent l="0" t="0" r="0" b="0"/>
            <wp:docPr id="62" name="图片 86" descr="93861920-0d1b-408e-84f0-c645d0397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86" descr="93861920-0d1b-408e-84f0-c645d0397344"/>
                    <pic:cNvPicPr>
                      <a:picLocks noChangeAspect="1"/>
                    </pic:cNvPicPr>
                  </pic:nvPicPr>
                  <pic:blipFill>
                    <a:blip r:embed="rId79"/>
                    <a:stretch>
                      <a:fillRect/>
                    </a:stretch>
                  </pic:blipFill>
                  <pic:spPr>
                    <a:xfrm>
                      <a:off x="0" y="0"/>
                      <a:ext cx="1981200" cy="876300"/>
                    </a:xfrm>
                    <a:prstGeom prst="rect">
                      <a:avLst/>
                    </a:prstGeom>
                    <a:noFill/>
                    <a:ln>
                      <a:noFill/>
                    </a:ln>
                  </pic:spPr>
                </pic:pic>
              </a:graphicData>
            </a:graphic>
          </wp:inline>
        </w:drawing>
      </w:r>
    </w:p>
    <w:p w14:paraId="254DB1E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式中：A</w:t>
      </w:r>
      <w:r>
        <w:rPr>
          <w:rFonts w:hint="default" w:ascii="Times New Roman" w:hAnsi="Times New Roman" w:eastAsia="宋体" w:cs="Times New Roman"/>
          <w:color w:val="auto"/>
          <w:kern w:val="0"/>
          <w:sz w:val="15"/>
          <w:szCs w:val="15"/>
          <w:lang w:bidi="ar"/>
        </w:rPr>
        <w:t>atm</w:t>
      </w:r>
      <w:r>
        <w:rPr>
          <w:rFonts w:hint="default" w:ascii="Times New Roman" w:hAnsi="Times New Roman" w:eastAsia="宋体" w:cs="Times New Roman"/>
          <w:color w:val="auto"/>
          <w:kern w:val="0"/>
          <w:lang w:bidi="ar"/>
        </w:rPr>
        <w:t>——大气吸收引起的衰减量，dB(A)；</w:t>
      </w:r>
    </w:p>
    <w:p w14:paraId="4253720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α——与温度、湿度和声波频率有关的大气吸收衰减系数，预测计算中一般根据建设项目所处区域常年平均气温和湿度选择相应的大气吸收衰减系数，见表5.2-7；</w:t>
      </w:r>
    </w:p>
    <w:p w14:paraId="656763C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r——预测点距声源的距离，m；</w:t>
      </w:r>
    </w:p>
    <w:p w14:paraId="35ABE72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r</w:t>
      </w:r>
      <w:r>
        <w:rPr>
          <w:rFonts w:hint="default" w:ascii="Times New Roman" w:hAnsi="Times New Roman" w:eastAsia="宋体" w:cs="Times New Roman"/>
          <w:color w:val="auto"/>
          <w:kern w:val="0"/>
          <w:sz w:val="15"/>
          <w:szCs w:val="15"/>
          <w:lang w:bidi="ar"/>
        </w:rPr>
        <w:t>0</w:t>
      </w:r>
      <w:r>
        <w:rPr>
          <w:rFonts w:hint="default" w:ascii="Times New Roman" w:hAnsi="Times New Roman" w:eastAsia="宋体" w:cs="Times New Roman"/>
          <w:color w:val="auto"/>
          <w:kern w:val="0"/>
          <w:lang w:bidi="ar"/>
        </w:rPr>
        <w:t>——参照点距声源的距离，m。</w:t>
      </w:r>
    </w:p>
    <w:p w14:paraId="6C15CC2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 xml:space="preserve">4  </w:t>
      </w:r>
      <w:r>
        <w:rPr>
          <w:rFonts w:hint="default" w:ascii="Times New Roman" w:hAnsi="Times New Roman" w:eastAsia="宋体" w:cs="Times New Roman"/>
          <w:b/>
          <w:bCs/>
          <w:color w:val="auto"/>
          <w:kern w:val="0"/>
          <w:sz w:val="21"/>
          <w:szCs w:val="21"/>
          <w:lang w:bidi="ar"/>
        </w:rPr>
        <w:t>倍频带噪声的大气吸收衰减系数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866"/>
        <w:gridCol w:w="828"/>
        <w:gridCol w:w="841"/>
        <w:gridCol w:w="841"/>
        <w:gridCol w:w="841"/>
        <w:gridCol w:w="866"/>
        <w:gridCol w:w="866"/>
        <w:gridCol w:w="866"/>
        <w:gridCol w:w="879"/>
      </w:tblGrid>
      <w:tr w14:paraId="65FA4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0" w:type="dxa"/>
            <w:vMerge w:val="restart"/>
            <w:noWrap w:val="0"/>
            <w:vAlign w:val="center"/>
          </w:tcPr>
          <w:p w14:paraId="07502652">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温度/℃</w:t>
            </w:r>
          </w:p>
        </w:tc>
        <w:tc>
          <w:tcPr>
            <w:tcW w:w="940" w:type="dxa"/>
            <w:vMerge w:val="restart"/>
            <w:noWrap w:val="0"/>
            <w:vAlign w:val="center"/>
          </w:tcPr>
          <w:p w14:paraId="21DFB396">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相对湿度%</w:t>
            </w:r>
          </w:p>
        </w:tc>
        <w:tc>
          <w:tcPr>
            <w:tcW w:w="7520" w:type="dxa"/>
            <w:gridSpan w:val="8"/>
            <w:noWrap w:val="0"/>
            <w:vAlign w:val="center"/>
          </w:tcPr>
          <w:p w14:paraId="35E187BE">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大气吸收衰减系数α[(dB(A)/km]</w:t>
            </w:r>
          </w:p>
        </w:tc>
      </w:tr>
      <w:tr w14:paraId="2E4C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0" w:type="dxa"/>
            <w:vMerge w:val="continue"/>
            <w:noWrap w:val="0"/>
            <w:vAlign w:val="center"/>
          </w:tcPr>
          <w:p w14:paraId="0AA451CF">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940" w:type="dxa"/>
            <w:vMerge w:val="continue"/>
            <w:noWrap w:val="0"/>
            <w:vAlign w:val="center"/>
          </w:tcPr>
          <w:p w14:paraId="2F5B284D">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7520" w:type="dxa"/>
            <w:gridSpan w:val="8"/>
            <w:noWrap w:val="0"/>
            <w:vAlign w:val="center"/>
          </w:tcPr>
          <w:p w14:paraId="28AFD29E">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倍频带中心频率[Hz]</w:t>
            </w:r>
          </w:p>
        </w:tc>
      </w:tr>
      <w:tr w14:paraId="603B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40" w:type="dxa"/>
            <w:vMerge w:val="continue"/>
            <w:noWrap w:val="0"/>
            <w:vAlign w:val="center"/>
          </w:tcPr>
          <w:p w14:paraId="39DD3A27">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940" w:type="dxa"/>
            <w:vMerge w:val="continue"/>
            <w:noWrap w:val="0"/>
            <w:vAlign w:val="center"/>
          </w:tcPr>
          <w:p w14:paraId="3A103810">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940" w:type="dxa"/>
            <w:noWrap w:val="0"/>
            <w:vAlign w:val="center"/>
          </w:tcPr>
          <w:p w14:paraId="58839D4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w:t>
            </w:r>
          </w:p>
        </w:tc>
        <w:tc>
          <w:tcPr>
            <w:tcW w:w="940" w:type="dxa"/>
            <w:noWrap w:val="0"/>
            <w:vAlign w:val="center"/>
          </w:tcPr>
          <w:p w14:paraId="6C1207E0">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w:t>
            </w:r>
          </w:p>
        </w:tc>
        <w:tc>
          <w:tcPr>
            <w:tcW w:w="940" w:type="dxa"/>
            <w:noWrap w:val="0"/>
            <w:vAlign w:val="center"/>
          </w:tcPr>
          <w:p w14:paraId="356D7EA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940" w:type="dxa"/>
            <w:noWrap w:val="0"/>
            <w:vAlign w:val="center"/>
          </w:tcPr>
          <w:p w14:paraId="352913D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940" w:type="dxa"/>
            <w:noWrap w:val="0"/>
            <w:vAlign w:val="center"/>
          </w:tcPr>
          <w:p w14:paraId="35BA31FD">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940" w:type="dxa"/>
            <w:noWrap w:val="0"/>
            <w:vAlign w:val="center"/>
          </w:tcPr>
          <w:p w14:paraId="503DFCB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940" w:type="dxa"/>
            <w:noWrap w:val="0"/>
            <w:vAlign w:val="center"/>
          </w:tcPr>
          <w:p w14:paraId="5D8D7D2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940" w:type="dxa"/>
            <w:noWrap w:val="0"/>
            <w:vAlign w:val="center"/>
          </w:tcPr>
          <w:p w14:paraId="59F123A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8000</w:t>
            </w:r>
          </w:p>
        </w:tc>
      </w:tr>
      <w:tr w14:paraId="3B5B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3A15EEE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940" w:type="dxa"/>
            <w:noWrap w:val="0"/>
            <w:vAlign w:val="center"/>
          </w:tcPr>
          <w:p w14:paraId="265A39C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940" w:type="dxa"/>
            <w:noWrap w:val="0"/>
            <w:vAlign w:val="center"/>
          </w:tcPr>
          <w:p w14:paraId="6D749E5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40" w:type="dxa"/>
            <w:noWrap w:val="0"/>
            <w:vAlign w:val="center"/>
          </w:tcPr>
          <w:p w14:paraId="5FC8B23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w:t>
            </w:r>
          </w:p>
        </w:tc>
        <w:tc>
          <w:tcPr>
            <w:tcW w:w="940" w:type="dxa"/>
            <w:noWrap w:val="0"/>
            <w:vAlign w:val="center"/>
          </w:tcPr>
          <w:p w14:paraId="6BF7998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940" w:type="dxa"/>
            <w:noWrap w:val="0"/>
            <w:vAlign w:val="center"/>
          </w:tcPr>
          <w:p w14:paraId="5131826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w:t>
            </w:r>
          </w:p>
        </w:tc>
        <w:tc>
          <w:tcPr>
            <w:tcW w:w="940" w:type="dxa"/>
            <w:noWrap w:val="0"/>
            <w:vAlign w:val="center"/>
          </w:tcPr>
          <w:p w14:paraId="74A3EAD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w:t>
            </w:r>
          </w:p>
        </w:tc>
        <w:tc>
          <w:tcPr>
            <w:tcW w:w="940" w:type="dxa"/>
            <w:noWrap w:val="0"/>
            <w:vAlign w:val="center"/>
          </w:tcPr>
          <w:p w14:paraId="0863E9F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9.7</w:t>
            </w:r>
          </w:p>
        </w:tc>
        <w:tc>
          <w:tcPr>
            <w:tcW w:w="940" w:type="dxa"/>
            <w:noWrap w:val="0"/>
            <w:vAlign w:val="center"/>
          </w:tcPr>
          <w:p w14:paraId="7D4D604E">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32.8</w:t>
            </w:r>
          </w:p>
        </w:tc>
        <w:tc>
          <w:tcPr>
            <w:tcW w:w="940" w:type="dxa"/>
            <w:noWrap w:val="0"/>
            <w:vAlign w:val="center"/>
          </w:tcPr>
          <w:p w14:paraId="463FB7A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117</w:t>
            </w:r>
          </w:p>
        </w:tc>
      </w:tr>
      <w:tr w14:paraId="683C7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7A9CD05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940" w:type="dxa"/>
            <w:noWrap w:val="0"/>
            <w:vAlign w:val="center"/>
          </w:tcPr>
          <w:p w14:paraId="2323A57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940" w:type="dxa"/>
            <w:noWrap w:val="0"/>
            <w:vAlign w:val="center"/>
          </w:tcPr>
          <w:p w14:paraId="00CFB5F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40" w:type="dxa"/>
            <w:noWrap w:val="0"/>
            <w:vAlign w:val="center"/>
          </w:tcPr>
          <w:p w14:paraId="33498BD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940" w:type="dxa"/>
            <w:noWrap w:val="0"/>
            <w:vAlign w:val="center"/>
          </w:tcPr>
          <w:p w14:paraId="0163A7A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p>
        </w:tc>
        <w:tc>
          <w:tcPr>
            <w:tcW w:w="940" w:type="dxa"/>
            <w:noWrap w:val="0"/>
            <w:vAlign w:val="center"/>
          </w:tcPr>
          <w:p w14:paraId="4FF5DE50">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w:t>
            </w:r>
          </w:p>
        </w:tc>
        <w:tc>
          <w:tcPr>
            <w:tcW w:w="940" w:type="dxa"/>
            <w:noWrap w:val="0"/>
            <w:vAlign w:val="center"/>
          </w:tcPr>
          <w:p w14:paraId="4153092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940" w:type="dxa"/>
            <w:noWrap w:val="0"/>
            <w:vAlign w:val="center"/>
          </w:tcPr>
          <w:p w14:paraId="5496A64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w:t>
            </w:r>
          </w:p>
        </w:tc>
        <w:tc>
          <w:tcPr>
            <w:tcW w:w="940" w:type="dxa"/>
            <w:noWrap w:val="0"/>
            <w:vAlign w:val="center"/>
          </w:tcPr>
          <w:p w14:paraId="2D490CB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22.9</w:t>
            </w:r>
          </w:p>
        </w:tc>
        <w:tc>
          <w:tcPr>
            <w:tcW w:w="940" w:type="dxa"/>
            <w:noWrap w:val="0"/>
            <w:vAlign w:val="center"/>
          </w:tcPr>
          <w:p w14:paraId="44BE3DF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76.6</w:t>
            </w:r>
          </w:p>
        </w:tc>
      </w:tr>
      <w:tr w14:paraId="451A3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56E947B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w:t>
            </w:r>
          </w:p>
        </w:tc>
        <w:tc>
          <w:tcPr>
            <w:tcW w:w="940" w:type="dxa"/>
            <w:noWrap w:val="0"/>
            <w:vAlign w:val="center"/>
          </w:tcPr>
          <w:p w14:paraId="009208E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w:t>
            </w:r>
          </w:p>
        </w:tc>
        <w:tc>
          <w:tcPr>
            <w:tcW w:w="940" w:type="dxa"/>
            <w:noWrap w:val="0"/>
            <w:vAlign w:val="center"/>
          </w:tcPr>
          <w:p w14:paraId="5FC4F99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40" w:type="dxa"/>
            <w:noWrap w:val="0"/>
            <w:vAlign w:val="center"/>
          </w:tcPr>
          <w:p w14:paraId="7E8EBE7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940" w:type="dxa"/>
            <w:noWrap w:val="0"/>
            <w:vAlign w:val="center"/>
          </w:tcPr>
          <w:p w14:paraId="5E46F6F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940" w:type="dxa"/>
            <w:noWrap w:val="0"/>
            <w:vAlign w:val="center"/>
          </w:tcPr>
          <w:p w14:paraId="4AFF9D6A">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w:t>
            </w:r>
          </w:p>
        </w:tc>
        <w:tc>
          <w:tcPr>
            <w:tcW w:w="940" w:type="dxa"/>
            <w:noWrap w:val="0"/>
            <w:vAlign w:val="center"/>
          </w:tcPr>
          <w:p w14:paraId="6CA9CCEC">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7.4</w:t>
            </w:r>
          </w:p>
        </w:tc>
        <w:tc>
          <w:tcPr>
            <w:tcW w:w="940" w:type="dxa"/>
            <w:noWrap w:val="0"/>
            <w:vAlign w:val="center"/>
          </w:tcPr>
          <w:p w14:paraId="116AB5D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12.7</w:t>
            </w:r>
          </w:p>
        </w:tc>
        <w:tc>
          <w:tcPr>
            <w:tcW w:w="940" w:type="dxa"/>
            <w:noWrap w:val="0"/>
            <w:vAlign w:val="center"/>
          </w:tcPr>
          <w:p w14:paraId="3F2B923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23.1</w:t>
            </w:r>
          </w:p>
        </w:tc>
        <w:tc>
          <w:tcPr>
            <w:tcW w:w="940" w:type="dxa"/>
            <w:noWrap w:val="0"/>
            <w:vAlign w:val="center"/>
          </w:tcPr>
          <w:p w14:paraId="1376C17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59.3</w:t>
            </w:r>
          </w:p>
        </w:tc>
      </w:tr>
      <w:tr w14:paraId="5921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01A0D4E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940" w:type="dxa"/>
            <w:noWrap w:val="0"/>
            <w:vAlign w:val="center"/>
          </w:tcPr>
          <w:p w14:paraId="2B688E9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w:t>
            </w:r>
          </w:p>
        </w:tc>
        <w:tc>
          <w:tcPr>
            <w:tcW w:w="940" w:type="dxa"/>
            <w:noWrap w:val="0"/>
            <w:vAlign w:val="center"/>
          </w:tcPr>
          <w:p w14:paraId="45818030">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940" w:type="dxa"/>
            <w:noWrap w:val="0"/>
            <w:vAlign w:val="center"/>
          </w:tcPr>
          <w:p w14:paraId="73D24B0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w:t>
            </w:r>
          </w:p>
        </w:tc>
        <w:tc>
          <w:tcPr>
            <w:tcW w:w="940" w:type="dxa"/>
            <w:noWrap w:val="0"/>
            <w:vAlign w:val="center"/>
          </w:tcPr>
          <w:p w14:paraId="7F9B056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940" w:type="dxa"/>
            <w:noWrap w:val="0"/>
            <w:vAlign w:val="center"/>
          </w:tcPr>
          <w:p w14:paraId="4DBD607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w:t>
            </w:r>
          </w:p>
        </w:tc>
        <w:tc>
          <w:tcPr>
            <w:tcW w:w="940" w:type="dxa"/>
            <w:noWrap w:val="0"/>
            <w:vAlign w:val="center"/>
          </w:tcPr>
          <w:p w14:paraId="6A81DE4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8.2</w:t>
            </w:r>
          </w:p>
        </w:tc>
        <w:tc>
          <w:tcPr>
            <w:tcW w:w="940" w:type="dxa"/>
            <w:noWrap w:val="0"/>
            <w:vAlign w:val="center"/>
          </w:tcPr>
          <w:p w14:paraId="4143C22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28.2</w:t>
            </w:r>
          </w:p>
        </w:tc>
        <w:tc>
          <w:tcPr>
            <w:tcW w:w="940" w:type="dxa"/>
            <w:noWrap w:val="0"/>
            <w:vAlign w:val="center"/>
          </w:tcPr>
          <w:p w14:paraId="48FC603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28.8</w:t>
            </w:r>
          </w:p>
        </w:tc>
        <w:tc>
          <w:tcPr>
            <w:tcW w:w="940" w:type="dxa"/>
            <w:noWrap w:val="0"/>
            <w:vAlign w:val="center"/>
          </w:tcPr>
          <w:p w14:paraId="4F28B6B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202.0</w:t>
            </w:r>
          </w:p>
        </w:tc>
      </w:tr>
      <w:tr w14:paraId="34FF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4AC433AC">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940" w:type="dxa"/>
            <w:noWrap w:val="0"/>
            <w:vAlign w:val="center"/>
          </w:tcPr>
          <w:p w14:paraId="6077F7B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w:t>
            </w:r>
          </w:p>
        </w:tc>
        <w:tc>
          <w:tcPr>
            <w:tcW w:w="940" w:type="dxa"/>
            <w:noWrap w:val="0"/>
            <w:vAlign w:val="center"/>
          </w:tcPr>
          <w:p w14:paraId="67264F2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40" w:type="dxa"/>
            <w:noWrap w:val="0"/>
            <w:vAlign w:val="center"/>
          </w:tcPr>
          <w:p w14:paraId="491DA27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0.5</w:t>
            </w:r>
          </w:p>
        </w:tc>
        <w:tc>
          <w:tcPr>
            <w:tcW w:w="940" w:type="dxa"/>
            <w:noWrap w:val="0"/>
            <w:vAlign w:val="center"/>
          </w:tcPr>
          <w:p w14:paraId="7C104E0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w:t>
            </w:r>
          </w:p>
        </w:tc>
        <w:tc>
          <w:tcPr>
            <w:tcW w:w="940" w:type="dxa"/>
            <w:noWrap w:val="0"/>
            <w:vAlign w:val="center"/>
          </w:tcPr>
          <w:p w14:paraId="0FDAAAC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w:t>
            </w:r>
          </w:p>
        </w:tc>
        <w:tc>
          <w:tcPr>
            <w:tcW w:w="940" w:type="dxa"/>
            <w:noWrap w:val="0"/>
            <w:vAlign w:val="center"/>
          </w:tcPr>
          <w:p w14:paraId="3EF53EA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w:t>
            </w:r>
          </w:p>
        </w:tc>
        <w:tc>
          <w:tcPr>
            <w:tcW w:w="940" w:type="dxa"/>
            <w:noWrap w:val="0"/>
            <w:vAlign w:val="center"/>
          </w:tcPr>
          <w:p w14:paraId="528CF87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10.8</w:t>
            </w:r>
          </w:p>
        </w:tc>
        <w:tc>
          <w:tcPr>
            <w:tcW w:w="940" w:type="dxa"/>
            <w:noWrap w:val="0"/>
            <w:vAlign w:val="center"/>
          </w:tcPr>
          <w:p w14:paraId="4598743C">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36.2</w:t>
            </w:r>
          </w:p>
        </w:tc>
        <w:tc>
          <w:tcPr>
            <w:tcW w:w="940" w:type="dxa"/>
            <w:noWrap w:val="0"/>
            <w:vAlign w:val="center"/>
          </w:tcPr>
          <w:p w14:paraId="512CD90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129.0</w:t>
            </w:r>
          </w:p>
        </w:tc>
      </w:tr>
      <w:tr w14:paraId="7C92B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noWrap w:val="0"/>
            <w:vAlign w:val="center"/>
          </w:tcPr>
          <w:p w14:paraId="6E10582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p>
        </w:tc>
        <w:tc>
          <w:tcPr>
            <w:tcW w:w="940" w:type="dxa"/>
            <w:noWrap w:val="0"/>
            <w:vAlign w:val="center"/>
          </w:tcPr>
          <w:p w14:paraId="1C21225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w:t>
            </w:r>
          </w:p>
        </w:tc>
        <w:tc>
          <w:tcPr>
            <w:tcW w:w="940" w:type="dxa"/>
            <w:noWrap w:val="0"/>
            <w:vAlign w:val="center"/>
          </w:tcPr>
          <w:p w14:paraId="18D2220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w:t>
            </w:r>
          </w:p>
        </w:tc>
        <w:tc>
          <w:tcPr>
            <w:tcW w:w="940" w:type="dxa"/>
            <w:noWrap w:val="0"/>
            <w:vAlign w:val="center"/>
          </w:tcPr>
          <w:p w14:paraId="6CB441F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w:t>
            </w:r>
          </w:p>
        </w:tc>
        <w:tc>
          <w:tcPr>
            <w:tcW w:w="940" w:type="dxa"/>
            <w:noWrap w:val="0"/>
            <w:vAlign w:val="center"/>
          </w:tcPr>
          <w:p w14:paraId="58914FBC">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w:t>
            </w:r>
          </w:p>
        </w:tc>
        <w:tc>
          <w:tcPr>
            <w:tcW w:w="940" w:type="dxa"/>
            <w:noWrap w:val="0"/>
            <w:vAlign w:val="center"/>
          </w:tcPr>
          <w:p w14:paraId="36C72A3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w:t>
            </w:r>
          </w:p>
        </w:tc>
        <w:tc>
          <w:tcPr>
            <w:tcW w:w="940" w:type="dxa"/>
            <w:noWrap w:val="0"/>
            <w:vAlign w:val="center"/>
          </w:tcPr>
          <w:p w14:paraId="766C23A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w:t>
            </w:r>
          </w:p>
        </w:tc>
        <w:tc>
          <w:tcPr>
            <w:tcW w:w="940" w:type="dxa"/>
            <w:noWrap w:val="0"/>
            <w:vAlign w:val="center"/>
          </w:tcPr>
          <w:p w14:paraId="29E80EED">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8.3</w:t>
            </w:r>
          </w:p>
        </w:tc>
        <w:tc>
          <w:tcPr>
            <w:tcW w:w="940" w:type="dxa"/>
            <w:noWrap w:val="0"/>
            <w:vAlign w:val="center"/>
          </w:tcPr>
          <w:p w14:paraId="151990F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23.7</w:t>
            </w:r>
          </w:p>
        </w:tc>
        <w:tc>
          <w:tcPr>
            <w:tcW w:w="940" w:type="dxa"/>
            <w:noWrap w:val="0"/>
            <w:vAlign w:val="center"/>
          </w:tcPr>
          <w:p w14:paraId="4392257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82.8</w:t>
            </w:r>
          </w:p>
        </w:tc>
      </w:tr>
    </w:tbl>
    <w:p w14:paraId="4FA5F78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（8）地面吸收引起的衰减量（A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w:t>
      </w:r>
    </w:p>
    <w:p w14:paraId="4FFC42F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地面吸收引起的衰减量按公式（B.8）计算。</w:t>
      </w:r>
    </w:p>
    <w:p w14:paraId="1D148872">
      <w:pPr>
        <w:widowControl/>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1971675" cy="523875"/>
            <wp:effectExtent l="0" t="0" r="9525" b="9525"/>
            <wp:docPr id="7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87"/>
                    <pic:cNvPicPr>
                      <a:picLocks noChangeAspect="1"/>
                    </pic:cNvPicPr>
                  </pic:nvPicPr>
                  <pic:blipFill>
                    <a:blip r:embed="rId80"/>
                    <a:stretch>
                      <a:fillRect/>
                    </a:stretch>
                  </pic:blipFill>
                  <pic:spPr>
                    <a:xfrm>
                      <a:off x="0" y="0"/>
                      <a:ext cx="1971675" cy="523875"/>
                    </a:xfrm>
                    <a:prstGeom prst="rect">
                      <a:avLst/>
                    </a:prstGeom>
                    <a:noFill/>
                    <a:ln>
                      <a:noFill/>
                    </a:ln>
                  </pic:spPr>
                </pic:pic>
              </a:graphicData>
            </a:graphic>
          </wp:inline>
        </w:drawing>
      </w:r>
    </w:p>
    <w:p w14:paraId="55E506E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——地面吸收引起的衰减量，dB(A)；</w:t>
      </w:r>
    </w:p>
    <w:p w14:paraId="63E81B5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r——预测点距声源的距离，m；</w:t>
      </w:r>
    </w:p>
    <w:p w14:paraId="237C1E5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h</w:t>
      </w:r>
      <w:r>
        <w:rPr>
          <w:rFonts w:hint="default" w:ascii="Times New Roman" w:hAnsi="Times New Roman" w:eastAsia="宋体" w:cs="Times New Roman"/>
          <w:color w:val="auto"/>
          <w:kern w:val="0"/>
          <w:sz w:val="15"/>
          <w:szCs w:val="15"/>
          <w:lang w:bidi="ar"/>
        </w:rPr>
        <w:t>m</w:t>
      </w:r>
      <w:r>
        <w:rPr>
          <w:rFonts w:hint="default" w:ascii="Times New Roman" w:hAnsi="Times New Roman" w:eastAsia="宋体" w:cs="Times New Roman"/>
          <w:color w:val="auto"/>
          <w:kern w:val="0"/>
          <w:lang w:bidi="ar"/>
        </w:rPr>
        <w:t>——传播路径的平均离地高度，m；可按图5.2-2计算。h</w:t>
      </w:r>
      <w:r>
        <w:rPr>
          <w:rFonts w:hint="default" w:ascii="Times New Roman" w:hAnsi="Times New Roman" w:eastAsia="宋体" w:cs="Times New Roman"/>
          <w:color w:val="auto"/>
          <w:kern w:val="0"/>
          <w:sz w:val="15"/>
          <w:szCs w:val="15"/>
          <w:lang w:bidi="ar"/>
        </w:rPr>
        <w:t>m</w:t>
      </w:r>
      <w:r>
        <w:rPr>
          <w:rFonts w:hint="default" w:ascii="Times New Roman" w:hAnsi="Times New Roman" w:eastAsia="宋体" w:cs="Times New Roman"/>
          <w:color w:val="auto"/>
          <w:kern w:val="0"/>
          <w:lang w:bidi="ar"/>
        </w:rPr>
        <w:t>=F/r，F</w:t>
      </w:r>
      <w:r>
        <w:rPr>
          <w:rFonts w:hint="default" w:ascii="Times New Roman" w:hAnsi="Times New Roman" w:eastAsia="宋体" w:cs="Times New Roman"/>
          <w:color w:val="auto"/>
          <w:kern w:val="0"/>
          <w:sz w:val="8"/>
          <w:szCs w:val="8"/>
          <w:lang w:bidi="ar"/>
        </w:rPr>
        <w:t xml:space="preserve"> </w:t>
      </w:r>
      <w:r>
        <w:rPr>
          <w:rFonts w:hint="default" w:ascii="Times New Roman" w:hAnsi="Times New Roman" w:eastAsia="宋体" w:cs="Times New Roman"/>
          <w:color w:val="auto"/>
          <w:kern w:val="0"/>
          <w:lang w:bidi="ar"/>
        </w:rPr>
        <w:t>为阴影面积，m</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w:t>
      </w:r>
    </w:p>
    <w:p w14:paraId="180AC56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若A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计算出负值，则A</w:t>
      </w:r>
      <w:r>
        <w:rPr>
          <w:rFonts w:hint="default" w:ascii="Times New Roman" w:hAnsi="Times New Roman" w:eastAsia="宋体" w:cs="Times New Roman"/>
          <w:color w:val="auto"/>
          <w:kern w:val="0"/>
          <w:sz w:val="15"/>
          <w:szCs w:val="15"/>
          <w:lang w:bidi="ar"/>
        </w:rPr>
        <w:t>gr</w:t>
      </w:r>
      <w:r>
        <w:rPr>
          <w:rFonts w:hint="default" w:ascii="Times New Roman" w:hAnsi="Times New Roman" w:eastAsia="宋体" w:cs="Times New Roman"/>
          <w:color w:val="auto"/>
          <w:kern w:val="0"/>
          <w:lang w:bidi="ar"/>
        </w:rPr>
        <w:t>可取0，</w:t>
      </w:r>
      <w:r>
        <w:rPr>
          <w:rFonts w:hint="default" w:ascii="Times New Roman" w:hAnsi="Times New Roman" w:eastAsia="宋体" w:cs="Times New Roman"/>
          <w:color w:val="auto"/>
          <w:kern w:val="0"/>
          <w:lang w:eastAsia="zh-CN" w:bidi="ar"/>
        </w:rPr>
        <w:t>其他情况</w:t>
      </w:r>
      <w:r>
        <w:rPr>
          <w:rFonts w:hint="default" w:ascii="Times New Roman" w:hAnsi="Times New Roman" w:eastAsia="宋体" w:cs="Times New Roman"/>
          <w:color w:val="auto"/>
          <w:kern w:val="0"/>
          <w:lang w:bidi="ar"/>
        </w:rPr>
        <w:t>可参照GB/T</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17247.2计算。</w:t>
      </w:r>
    </w:p>
    <w:p w14:paraId="3C246235">
      <w:pPr>
        <w:widowControl/>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830570" cy="2578100"/>
            <wp:effectExtent l="9525" t="9525" r="27305" b="22225"/>
            <wp:docPr id="6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88"/>
                    <pic:cNvPicPr>
                      <a:picLocks noChangeAspect="1"/>
                    </pic:cNvPicPr>
                  </pic:nvPicPr>
                  <pic:blipFill>
                    <a:blip r:embed="rId81"/>
                    <a:stretch>
                      <a:fillRect/>
                    </a:stretch>
                  </pic:blipFill>
                  <pic:spPr>
                    <a:xfrm>
                      <a:off x="0" y="0"/>
                      <a:ext cx="5830570" cy="257810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3B541478">
      <w:pPr>
        <w:widowControl/>
        <w:ind w:firstLine="48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图5.2-2  估计平均高度h</w:t>
      </w:r>
      <w:r>
        <w:rPr>
          <w:rFonts w:hint="default" w:ascii="Times New Roman" w:hAnsi="Times New Roman" w:eastAsia="宋体" w:cs="Times New Roman"/>
          <w:b/>
          <w:bCs/>
          <w:color w:val="auto"/>
          <w:kern w:val="0"/>
          <w:sz w:val="15"/>
          <w:szCs w:val="15"/>
          <w:lang w:bidi="ar"/>
        </w:rPr>
        <w:t>m</w:t>
      </w:r>
      <w:r>
        <w:rPr>
          <w:rFonts w:hint="default" w:ascii="Times New Roman" w:hAnsi="Times New Roman" w:eastAsia="宋体" w:cs="Times New Roman"/>
          <w:b/>
          <w:bCs/>
          <w:color w:val="auto"/>
          <w:kern w:val="0"/>
          <w:lang w:bidi="ar"/>
        </w:rPr>
        <w:t>的方法</w:t>
      </w:r>
    </w:p>
    <w:p w14:paraId="7101619C">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（9）遮挡物引起的衰减量（A</w:t>
      </w:r>
      <w:r>
        <w:rPr>
          <w:rFonts w:hint="default" w:ascii="Times New Roman" w:hAnsi="Times New Roman" w:eastAsia="宋体" w:cs="Times New Roman"/>
          <w:color w:val="auto"/>
          <w:kern w:val="0"/>
          <w:sz w:val="15"/>
          <w:szCs w:val="15"/>
          <w:lang w:bidi="ar"/>
        </w:rPr>
        <w:t>bar</w:t>
      </w:r>
      <w:r>
        <w:rPr>
          <w:rFonts w:hint="default" w:ascii="Times New Roman" w:hAnsi="Times New Roman" w:eastAsia="宋体" w:cs="Times New Roman"/>
          <w:color w:val="auto"/>
          <w:kern w:val="0"/>
          <w:lang w:bidi="ar"/>
        </w:rPr>
        <w:t>）</w:t>
      </w:r>
    </w:p>
    <w:p w14:paraId="78E814C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遮挡物引起的衰减量按公式（B.9）计算：</w:t>
      </w:r>
    </w:p>
    <w:p w14:paraId="2485A9F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w:t>
      </w:r>
      <w:r>
        <w:rPr>
          <w:rFonts w:hint="default" w:ascii="Times New Roman" w:hAnsi="Times New Roman" w:eastAsia="宋体" w:cs="Times New Roman"/>
          <w:color w:val="auto"/>
          <w:kern w:val="0"/>
          <w:sz w:val="15"/>
          <w:szCs w:val="15"/>
          <w:lang w:bidi="ar"/>
        </w:rPr>
        <w:t>bar</w:t>
      </w: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建筑物</w:t>
      </w: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声影区</w:t>
      </w:r>
    </w:p>
    <w:p w14:paraId="571D45E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式中：A</w:t>
      </w:r>
      <w:r>
        <w:rPr>
          <w:rFonts w:hint="default" w:ascii="Times New Roman" w:hAnsi="Times New Roman" w:eastAsia="宋体" w:cs="Times New Roman"/>
          <w:color w:val="auto"/>
          <w:kern w:val="0"/>
          <w:sz w:val="15"/>
          <w:szCs w:val="15"/>
          <w:lang w:bidi="ar"/>
        </w:rPr>
        <w:t>bar</w:t>
      </w:r>
      <w:r>
        <w:rPr>
          <w:rFonts w:hint="default" w:ascii="Times New Roman" w:hAnsi="Times New Roman" w:eastAsia="宋体" w:cs="Times New Roman"/>
          <w:color w:val="auto"/>
          <w:kern w:val="0"/>
          <w:lang w:bidi="ar"/>
        </w:rPr>
        <w:t>——遮挡物引起的衰减量，dB(A)；</w:t>
      </w:r>
    </w:p>
    <w:p w14:paraId="07EF7FE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建筑物</w:t>
      </w:r>
      <w:r>
        <w:rPr>
          <w:rFonts w:hint="default" w:ascii="Times New Roman" w:hAnsi="Times New Roman" w:eastAsia="宋体" w:cs="Times New Roman"/>
          <w:color w:val="auto"/>
          <w:kern w:val="0"/>
          <w:lang w:bidi="ar"/>
        </w:rPr>
        <w:t>——建筑物引起的衰减量，dB(A)；</w:t>
      </w:r>
    </w:p>
    <w:p w14:paraId="4577373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∆L</w:t>
      </w:r>
      <w:r>
        <w:rPr>
          <w:rFonts w:hint="default" w:ascii="Times New Roman" w:hAnsi="Times New Roman" w:eastAsia="宋体" w:cs="Times New Roman"/>
          <w:color w:val="auto"/>
          <w:kern w:val="0"/>
          <w:sz w:val="12"/>
          <w:szCs w:val="12"/>
          <w:lang w:bidi="ar"/>
        </w:rPr>
        <w:t>声影区</w:t>
      </w:r>
      <w:r>
        <w:rPr>
          <w:rFonts w:hint="default" w:ascii="Times New Roman" w:hAnsi="Times New Roman" w:eastAsia="宋体" w:cs="Times New Roman"/>
          <w:color w:val="auto"/>
          <w:kern w:val="0"/>
          <w:lang w:bidi="ar"/>
        </w:rPr>
        <w:t xml:space="preserve">——路堤和路堑引起的衰减量，dB(A)。 </w:t>
      </w:r>
    </w:p>
    <w:p w14:paraId="099DBFF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a）建筑物引起的衰减量（∆L</w:t>
      </w:r>
      <w:r>
        <w:rPr>
          <w:rFonts w:hint="default" w:ascii="Times New Roman" w:hAnsi="Times New Roman" w:eastAsia="宋体" w:cs="Times New Roman"/>
          <w:color w:val="auto"/>
          <w:kern w:val="0"/>
          <w:sz w:val="12"/>
          <w:szCs w:val="12"/>
          <w:lang w:bidi="ar"/>
        </w:rPr>
        <w:t>建筑物</w:t>
      </w:r>
      <w:r>
        <w:rPr>
          <w:rFonts w:hint="default" w:ascii="Times New Roman" w:hAnsi="Times New Roman" w:eastAsia="宋体" w:cs="Times New Roman"/>
          <w:color w:val="auto"/>
          <w:kern w:val="0"/>
          <w:lang w:bidi="ar"/>
        </w:rPr>
        <w:t>）</w:t>
      </w:r>
    </w:p>
    <w:p w14:paraId="7DE62EE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建筑物引起的衰减量可参照GB/T</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17247.2附录A3计算，在沿公路第一排房</w:t>
      </w:r>
    </w:p>
    <w:p w14:paraId="0AC6953D">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屋声影区范围内，可按图5.2-3和表5.2-8近似计算。</w:t>
      </w:r>
    </w:p>
    <w:p w14:paraId="64B81249">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495925" cy="2457450"/>
            <wp:effectExtent l="9525" t="9525" r="19050" b="9525"/>
            <wp:docPr id="6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89"/>
                    <pic:cNvPicPr>
                      <a:picLocks noChangeAspect="1"/>
                    </pic:cNvPicPr>
                  </pic:nvPicPr>
                  <pic:blipFill>
                    <a:blip r:embed="rId82"/>
                    <a:stretch>
                      <a:fillRect/>
                    </a:stretch>
                  </pic:blipFill>
                  <pic:spPr>
                    <a:xfrm>
                      <a:off x="0" y="0"/>
                      <a:ext cx="5495925" cy="245745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23E1E0C7">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图5.2-3建筑物引起的衰减量计算示意图</w:t>
      </w:r>
    </w:p>
    <w:p w14:paraId="493BB94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5</w:t>
      </w:r>
      <w:r>
        <w:rPr>
          <w:rFonts w:hint="default" w:ascii="Times New Roman" w:hAnsi="Times New Roman" w:eastAsia="宋体" w:cs="Times New Roman"/>
          <w:b/>
          <w:bCs/>
          <w:color w:val="auto"/>
          <w:kern w:val="0"/>
          <w:sz w:val="21"/>
          <w:szCs w:val="21"/>
          <w:lang w:bidi="ar"/>
        </w:rPr>
        <w:t xml:space="preserve">  建筑物引起的衰减量估算值</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6"/>
        <w:gridCol w:w="4252"/>
      </w:tblGrid>
      <w:tr w14:paraId="1CEA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0" w:type="dxa"/>
            <w:noWrap w:val="0"/>
            <w:vAlign w:val="center"/>
          </w:tcPr>
          <w:p w14:paraId="06D9BDC8">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S/S0</w:t>
            </w:r>
          </w:p>
        </w:tc>
        <w:tc>
          <w:tcPr>
            <w:tcW w:w="4700" w:type="dxa"/>
            <w:noWrap w:val="0"/>
            <w:vAlign w:val="center"/>
          </w:tcPr>
          <w:p w14:paraId="631F7EA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衰减量∆L建筑物[dB(A)]</w:t>
            </w:r>
          </w:p>
        </w:tc>
      </w:tr>
      <w:tr w14:paraId="12C44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0" w:type="dxa"/>
            <w:noWrap w:val="0"/>
            <w:vAlign w:val="center"/>
          </w:tcPr>
          <w:p w14:paraId="3338200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60%</w:t>
            </w:r>
          </w:p>
        </w:tc>
        <w:tc>
          <w:tcPr>
            <w:tcW w:w="4700" w:type="dxa"/>
            <w:noWrap w:val="0"/>
            <w:vAlign w:val="center"/>
          </w:tcPr>
          <w:p w14:paraId="39BBAD6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r>
      <w:tr w14:paraId="2D1E6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0" w:type="dxa"/>
            <w:noWrap w:val="0"/>
            <w:vAlign w:val="center"/>
          </w:tcPr>
          <w:p w14:paraId="600B0C0D">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70%</w:t>
            </w:r>
            <w:r>
              <w:rPr>
                <w:rFonts w:hint="default" w:ascii="Times New Roman" w:hAnsi="Times New Roman" w:eastAsia="宋体" w:cs="Times New Roman"/>
                <w:color w:val="auto"/>
                <w:kern w:val="0"/>
                <w:sz w:val="21"/>
                <w:szCs w:val="21"/>
                <w:lang w:eastAsia="zh-CN" w:bidi="ar"/>
              </w:rPr>
              <w:t>~</w:t>
            </w:r>
            <w:r>
              <w:rPr>
                <w:rFonts w:hint="default" w:ascii="Times New Roman" w:hAnsi="Times New Roman" w:eastAsia="宋体" w:cs="Times New Roman"/>
                <w:color w:val="auto"/>
                <w:kern w:val="0"/>
                <w:sz w:val="21"/>
                <w:szCs w:val="21"/>
                <w:lang w:bidi="ar"/>
              </w:rPr>
              <w:t>90%</w:t>
            </w:r>
          </w:p>
        </w:tc>
        <w:tc>
          <w:tcPr>
            <w:tcW w:w="4700" w:type="dxa"/>
            <w:noWrap w:val="0"/>
            <w:vAlign w:val="center"/>
          </w:tcPr>
          <w:p w14:paraId="43B81FE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w:t>
            </w:r>
          </w:p>
        </w:tc>
      </w:tr>
      <w:tr w14:paraId="79687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0" w:type="dxa"/>
            <w:noWrap w:val="0"/>
            <w:vAlign w:val="center"/>
          </w:tcPr>
          <w:p w14:paraId="605CD61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以后每增加一排房屋</w:t>
            </w:r>
          </w:p>
        </w:tc>
        <w:tc>
          <w:tcPr>
            <w:tcW w:w="4700" w:type="dxa"/>
            <w:noWrap w:val="0"/>
            <w:vAlign w:val="center"/>
          </w:tcPr>
          <w:p w14:paraId="1B280DF6">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w:t>
            </w:r>
            <w:r>
              <w:rPr>
                <w:rFonts w:hint="default" w:ascii="Times New Roman" w:hAnsi="Times New Roman" w:eastAsia="宋体" w:cs="Times New Roman"/>
                <w:color w:val="auto"/>
                <w:kern w:val="0"/>
                <w:sz w:val="21"/>
                <w:szCs w:val="21"/>
                <w:lang w:bidi="ar"/>
              </w:rPr>
              <w:t>最大衰减量≤10</w:t>
            </w:r>
          </w:p>
        </w:tc>
      </w:tr>
      <w:tr w14:paraId="64F5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0" w:type="dxa"/>
            <w:gridSpan w:val="2"/>
            <w:noWrap w:val="0"/>
            <w:vAlign w:val="center"/>
          </w:tcPr>
          <w:p w14:paraId="0CAD408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注：表5.2-8仅适用于平路堤路侧的建筑物。</w:t>
            </w:r>
          </w:p>
        </w:tc>
      </w:tr>
    </w:tbl>
    <w:p w14:paraId="22C1D8D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b）路堤或路堑引起的衰减量(L</w:t>
      </w:r>
      <w:r>
        <w:rPr>
          <w:rFonts w:hint="default" w:ascii="Times New Roman" w:hAnsi="Times New Roman" w:eastAsia="宋体" w:cs="Times New Roman"/>
          <w:color w:val="auto"/>
          <w:kern w:val="0"/>
          <w:sz w:val="12"/>
          <w:szCs w:val="12"/>
          <w:lang w:bidi="ar"/>
        </w:rPr>
        <w:t>声影区</w:t>
      </w:r>
      <w:r>
        <w:rPr>
          <w:rFonts w:hint="default" w:ascii="Times New Roman" w:hAnsi="Times New Roman" w:eastAsia="宋体" w:cs="Times New Roman"/>
          <w:color w:val="auto"/>
          <w:kern w:val="0"/>
          <w:lang w:bidi="ar"/>
        </w:rPr>
        <w:t xml:space="preserve">) </w:t>
      </w:r>
    </w:p>
    <w:p w14:paraId="76B2ECA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当预测点位于声影区时，L</w:t>
      </w:r>
      <w:r>
        <w:rPr>
          <w:rFonts w:hint="default" w:ascii="Times New Roman" w:hAnsi="Times New Roman" w:eastAsia="宋体" w:cs="Times New Roman"/>
          <w:color w:val="auto"/>
          <w:kern w:val="0"/>
          <w:sz w:val="12"/>
          <w:szCs w:val="12"/>
          <w:lang w:bidi="ar"/>
        </w:rPr>
        <w:t>声影区</w:t>
      </w:r>
      <w:r>
        <w:rPr>
          <w:rFonts w:hint="default" w:ascii="Times New Roman" w:hAnsi="Times New Roman" w:eastAsia="宋体" w:cs="Times New Roman"/>
          <w:color w:val="auto"/>
          <w:kern w:val="0"/>
          <w:lang w:bidi="ar"/>
        </w:rPr>
        <w:t>按公式（B.10）计算：</w:t>
      </w:r>
    </w:p>
    <w:p w14:paraId="26374D0C">
      <w:pPr>
        <w:widowControl/>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4191000" cy="1676400"/>
            <wp:effectExtent l="9525" t="9525" r="9525" b="9525"/>
            <wp:docPr id="68"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0"/>
                    <pic:cNvPicPr>
                      <a:picLocks noChangeAspect="1"/>
                    </pic:cNvPicPr>
                  </pic:nvPicPr>
                  <pic:blipFill>
                    <a:blip r:embed="rId83"/>
                    <a:stretch>
                      <a:fillRect/>
                    </a:stretch>
                  </pic:blipFill>
                  <pic:spPr>
                    <a:xfrm>
                      <a:off x="0" y="0"/>
                      <a:ext cx="4191000" cy="1676400"/>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B0DE80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式中：N——菲涅尔数，按公式（B.11）计算：</w:t>
      </w:r>
    </w:p>
    <w:p w14:paraId="6FCD5429">
      <w:pPr>
        <w:widowControl/>
        <w:ind w:firstLine="0" w:firstLineChars="0"/>
        <w:jc w:val="cente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771525" cy="504825"/>
            <wp:effectExtent l="0" t="0" r="9525" b="9525"/>
            <wp:docPr id="8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91"/>
                    <pic:cNvPicPr>
                      <a:picLocks noChangeAspect="1"/>
                    </pic:cNvPicPr>
                  </pic:nvPicPr>
                  <pic:blipFill>
                    <a:blip r:embed="rId84"/>
                    <a:stretch>
                      <a:fillRect/>
                    </a:stretch>
                  </pic:blipFill>
                  <pic:spPr>
                    <a:xfrm>
                      <a:off x="0" y="0"/>
                      <a:ext cx="771525" cy="504825"/>
                    </a:xfrm>
                    <a:prstGeom prst="rect">
                      <a:avLst/>
                    </a:prstGeom>
                    <a:noFill/>
                    <a:ln>
                      <a:noFill/>
                    </a:ln>
                  </pic:spPr>
                </pic:pic>
              </a:graphicData>
            </a:graphic>
          </wp:inline>
        </w:drawing>
      </w:r>
    </w:p>
    <w:p w14:paraId="36CFBFA1">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式中：δ——声程差，m，按图5.2-4计算，δ＝a＋b－c。</w:t>
      </w:r>
    </w:p>
    <w:p w14:paraId="4D505F8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λ——声波波长，m。</w:t>
      </w:r>
    </w:p>
    <w:p w14:paraId="64A7E5DD">
      <w:pPr>
        <w:ind w:firstLine="0" w:firstLineChars="0"/>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514975" cy="2943225"/>
            <wp:effectExtent l="9525" t="9525" r="19050" b="19050"/>
            <wp:docPr id="6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92"/>
                    <pic:cNvPicPr>
                      <a:picLocks noChangeAspect="1"/>
                    </pic:cNvPicPr>
                  </pic:nvPicPr>
                  <pic:blipFill>
                    <a:blip r:embed="rId85"/>
                    <a:stretch>
                      <a:fillRect/>
                    </a:stretch>
                  </pic:blipFill>
                  <pic:spPr>
                    <a:xfrm>
                      <a:off x="0" y="0"/>
                      <a:ext cx="5514975" cy="294322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28257500">
      <w:pPr>
        <w:widowControl/>
        <w:ind w:firstLine="482"/>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图5.2-4声程差δ计算示意图</w:t>
      </w:r>
    </w:p>
    <w:p w14:paraId="72E851C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当预测点处于声影区以外区域（声照区）时，L</w:t>
      </w:r>
      <w:r>
        <w:rPr>
          <w:rFonts w:hint="default" w:ascii="Times New Roman" w:hAnsi="Times New Roman" w:eastAsia="宋体" w:cs="Times New Roman"/>
          <w:color w:val="auto"/>
          <w:kern w:val="0"/>
          <w:sz w:val="12"/>
          <w:szCs w:val="12"/>
          <w:lang w:bidi="ar"/>
        </w:rPr>
        <w:t>声影区</w:t>
      </w:r>
      <w:r>
        <w:rPr>
          <w:rFonts w:hint="default" w:ascii="Times New Roman" w:hAnsi="Times New Roman" w:eastAsia="宋体" w:cs="Times New Roman"/>
          <w:color w:val="auto"/>
          <w:kern w:val="0"/>
          <w:lang w:bidi="ar"/>
        </w:rPr>
        <w:t>＝0</w:t>
      </w:r>
      <w:r>
        <w:rPr>
          <w:rFonts w:hint="default" w:ascii="Times New Roman" w:hAnsi="Times New Roman" w:eastAsia="宋体" w:cs="Times New Roman"/>
          <w:color w:val="auto"/>
          <w:kern w:val="0"/>
          <w:sz w:val="8"/>
          <w:szCs w:val="8"/>
          <w:lang w:bidi="ar"/>
        </w:rPr>
        <w:t xml:space="preserve"> </w:t>
      </w:r>
    </w:p>
    <w:p w14:paraId="19A50D1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（10）绿化林带引起的衰减量（A</w:t>
      </w:r>
      <w:r>
        <w:rPr>
          <w:rFonts w:hint="default" w:ascii="Times New Roman" w:hAnsi="Times New Roman" w:eastAsia="宋体" w:cs="Times New Roman"/>
          <w:color w:val="auto"/>
          <w:kern w:val="0"/>
          <w:sz w:val="15"/>
          <w:szCs w:val="15"/>
          <w:lang w:bidi="ar"/>
        </w:rPr>
        <w:t>fol</w:t>
      </w:r>
      <w:r>
        <w:rPr>
          <w:rFonts w:hint="default" w:ascii="Times New Roman" w:hAnsi="Times New Roman" w:eastAsia="宋体" w:cs="Times New Roman"/>
          <w:color w:val="auto"/>
          <w:kern w:val="0"/>
          <w:lang w:bidi="ar"/>
        </w:rPr>
        <w:t>）</w:t>
      </w:r>
    </w:p>
    <w:p w14:paraId="4E1DF19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绿化林带的附加衰减与树种、林带结构和密度等因素有关。在声源附近的绿化林带，或在预测点附近的绿化林带，或两者均有的情况都可以使声波衰减，见图5.2-5。</w:t>
      </w:r>
    </w:p>
    <w:p w14:paraId="3362A02B">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5824855" cy="1238885"/>
            <wp:effectExtent l="9525" t="9525" r="13970" b="27940"/>
            <wp:docPr id="74"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93"/>
                    <pic:cNvPicPr>
                      <a:picLocks noChangeAspect="1"/>
                    </pic:cNvPicPr>
                  </pic:nvPicPr>
                  <pic:blipFill>
                    <a:blip r:embed="rId86"/>
                    <a:stretch>
                      <a:fillRect/>
                    </a:stretch>
                  </pic:blipFill>
                  <pic:spPr>
                    <a:xfrm>
                      <a:off x="0" y="0"/>
                      <a:ext cx="5824855" cy="1238885"/>
                    </a:xfrm>
                    <a:prstGeom prst="rect">
                      <a:avLst/>
                    </a:prstGeom>
                    <a:noFill/>
                    <a:ln w="9525" cap="flat" cmpd="sng">
                      <a:solidFill>
                        <a:srgbClr val="000000"/>
                      </a:solidFill>
                      <a:prstDash val="solid"/>
                      <a:miter/>
                      <a:headEnd type="none" w="med" len="med"/>
                      <a:tailEnd type="none" w="med" len="med"/>
                    </a:ln>
                  </pic:spPr>
                </pic:pic>
              </a:graphicData>
            </a:graphic>
          </wp:inline>
        </w:drawing>
      </w:r>
    </w:p>
    <w:p w14:paraId="156D81B8">
      <w:pPr>
        <w:widowControl/>
        <w:ind w:firstLine="482"/>
        <w:jc w:val="center"/>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图5.2-5通过树和灌木时噪声衰减示意图</w:t>
      </w:r>
    </w:p>
    <w:p w14:paraId="5AE0152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通过树叶传播造成的噪声衰减随通过树叶传播距离d</w:t>
      </w:r>
      <w:r>
        <w:rPr>
          <w:rFonts w:hint="default" w:ascii="Times New Roman" w:hAnsi="Times New Roman" w:eastAsia="宋体" w:cs="Times New Roman"/>
          <w:color w:val="auto"/>
          <w:kern w:val="0"/>
          <w:sz w:val="15"/>
          <w:szCs w:val="15"/>
          <w:lang w:bidi="ar"/>
        </w:rPr>
        <w:t>f</w:t>
      </w:r>
      <w:r>
        <w:rPr>
          <w:rFonts w:hint="default" w:ascii="Times New Roman" w:hAnsi="Times New Roman" w:eastAsia="宋体" w:cs="Times New Roman"/>
          <w:color w:val="auto"/>
          <w:kern w:val="0"/>
          <w:lang w:bidi="ar"/>
        </w:rPr>
        <w:t>的增长而增加，其中d</w:t>
      </w:r>
      <w:r>
        <w:rPr>
          <w:rFonts w:hint="default" w:ascii="Times New Roman" w:hAnsi="Times New Roman" w:eastAsia="宋体" w:cs="Times New Roman"/>
          <w:color w:val="auto"/>
          <w:kern w:val="0"/>
          <w:sz w:val="15"/>
          <w:szCs w:val="15"/>
          <w:lang w:bidi="ar"/>
        </w:rPr>
        <w:t>f</w:t>
      </w:r>
      <w:r>
        <w:rPr>
          <w:rFonts w:hint="default" w:ascii="Times New Roman" w:hAnsi="Times New Roman" w:eastAsia="宋体" w:cs="Times New Roman"/>
          <w:color w:val="auto"/>
          <w:kern w:val="0"/>
          <w:lang w:bidi="ar"/>
        </w:rPr>
        <w:t>=d</w:t>
      </w:r>
      <w:r>
        <w:rPr>
          <w:rFonts w:hint="default" w:ascii="Times New Roman" w:hAnsi="Times New Roman" w:eastAsia="宋体" w:cs="Times New Roman"/>
          <w:color w:val="auto"/>
          <w:kern w:val="0"/>
          <w:sz w:val="15"/>
          <w:szCs w:val="15"/>
          <w:lang w:bidi="ar"/>
        </w:rPr>
        <w:t>1</w:t>
      </w:r>
      <w:r>
        <w:rPr>
          <w:rFonts w:hint="default" w:ascii="Times New Roman" w:hAnsi="Times New Roman" w:eastAsia="宋体" w:cs="Times New Roman"/>
          <w:color w:val="auto"/>
          <w:kern w:val="0"/>
          <w:lang w:bidi="ar"/>
        </w:rPr>
        <w:t>+d</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，为了计算d</w:t>
      </w:r>
      <w:r>
        <w:rPr>
          <w:rFonts w:hint="default" w:ascii="Times New Roman" w:hAnsi="Times New Roman" w:eastAsia="宋体" w:cs="Times New Roman"/>
          <w:color w:val="auto"/>
          <w:kern w:val="0"/>
          <w:sz w:val="15"/>
          <w:szCs w:val="15"/>
          <w:lang w:bidi="ar"/>
        </w:rPr>
        <w:t>1</w:t>
      </w:r>
      <w:r>
        <w:rPr>
          <w:rFonts w:hint="default" w:ascii="Times New Roman" w:hAnsi="Times New Roman" w:eastAsia="宋体" w:cs="Times New Roman"/>
          <w:color w:val="auto"/>
          <w:kern w:val="0"/>
          <w:lang w:bidi="ar"/>
        </w:rPr>
        <w:t>和d</w:t>
      </w:r>
      <w:r>
        <w:rPr>
          <w:rFonts w:hint="default" w:ascii="Times New Roman" w:hAnsi="Times New Roman" w:eastAsia="宋体" w:cs="Times New Roman"/>
          <w:color w:val="auto"/>
          <w:kern w:val="0"/>
          <w:sz w:val="15"/>
          <w:szCs w:val="15"/>
          <w:lang w:bidi="ar"/>
        </w:rPr>
        <w:t>2</w:t>
      </w:r>
      <w:r>
        <w:rPr>
          <w:rFonts w:hint="default" w:ascii="Times New Roman" w:hAnsi="Times New Roman" w:eastAsia="宋体" w:cs="Times New Roman"/>
          <w:color w:val="auto"/>
          <w:kern w:val="0"/>
          <w:lang w:bidi="ar"/>
        </w:rPr>
        <w:t>，可假设弯曲路径的半径为5km。</w:t>
      </w:r>
    </w:p>
    <w:p w14:paraId="20E625D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在表5.2-9中的第一行给出了通过总长度为10m到20m之间的乔灌结合郁闭度较高的林带时，由林带引起的衰减；第二行为通过总长度20m到200m之间林带时的衰减系数；当通过林带的路径长度大于200m时，可使用200m的衰减值。</w:t>
      </w:r>
    </w:p>
    <w:p w14:paraId="5C13EF70">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 xml:space="preserve">6 </w:t>
      </w:r>
      <w:r>
        <w:rPr>
          <w:rFonts w:hint="default" w:ascii="Times New Roman" w:hAnsi="Times New Roman" w:eastAsia="宋体" w:cs="Times New Roman"/>
          <w:b/>
          <w:bCs/>
          <w:color w:val="auto"/>
          <w:kern w:val="0"/>
          <w:sz w:val="21"/>
          <w:szCs w:val="21"/>
          <w:lang w:bidi="ar"/>
        </w:rPr>
        <w:t xml:space="preserve"> 倍频带噪声通过林带传播时产生的衰减</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2"/>
        <w:gridCol w:w="1995"/>
        <w:gridCol w:w="645"/>
        <w:gridCol w:w="675"/>
        <w:gridCol w:w="705"/>
        <w:gridCol w:w="735"/>
        <w:gridCol w:w="750"/>
        <w:gridCol w:w="750"/>
        <w:gridCol w:w="690"/>
        <w:gridCol w:w="663"/>
      </w:tblGrid>
      <w:tr w14:paraId="0E04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792" w:type="dxa"/>
            <w:vMerge w:val="restart"/>
            <w:noWrap w:val="0"/>
            <w:vAlign w:val="center"/>
          </w:tcPr>
          <w:p w14:paraId="2C8D0FD4">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项目</w:t>
            </w:r>
          </w:p>
        </w:tc>
        <w:tc>
          <w:tcPr>
            <w:tcW w:w="1995" w:type="dxa"/>
            <w:vMerge w:val="restart"/>
            <w:noWrap w:val="0"/>
            <w:vAlign w:val="center"/>
          </w:tcPr>
          <w:p w14:paraId="1C309023">
            <w:pPr>
              <w:widowControl/>
              <w:spacing w:line="240" w:lineRule="auto"/>
              <w:ind w:firstLine="211" w:firstLineChars="100"/>
              <w:jc w:val="both"/>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传播距离df/m</w:t>
            </w:r>
          </w:p>
        </w:tc>
        <w:tc>
          <w:tcPr>
            <w:tcW w:w="5613" w:type="dxa"/>
            <w:gridSpan w:val="8"/>
            <w:noWrap w:val="0"/>
            <w:vAlign w:val="center"/>
          </w:tcPr>
          <w:p w14:paraId="00712F9C">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倍频带中心频率[Hz]</w:t>
            </w:r>
          </w:p>
        </w:tc>
      </w:tr>
      <w:tr w14:paraId="2B33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1792" w:type="dxa"/>
            <w:vMerge w:val="continue"/>
            <w:noWrap w:val="0"/>
            <w:vAlign w:val="center"/>
          </w:tcPr>
          <w:p w14:paraId="79396691">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1995" w:type="dxa"/>
            <w:vMerge w:val="continue"/>
            <w:noWrap w:val="0"/>
            <w:vAlign w:val="center"/>
          </w:tcPr>
          <w:p w14:paraId="5C7EFF0D">
            <w:pPr>
              <w:widowControl/>
              <w:spacing w:line="240" w:lineRule="auto"/>
              <w:ind w:firstLine="0" w:firstLineChars="0"/>
              <w:jc w:val="center"/>
              <w:rPr>
                <w:rFonts w:hint="default" w:ascii="Times New Roman" w:hAnsi="Times New Roman" w:eastAsia="宋体" w:cs="Times New Roman"/>
                <w:color w:val="auto"/>
                <w:sz w:val="21"/>
                <w:szCs w:val="21"/>
              </w:rPr>
            </w:pPr>
          </w:p>
        </w:tc>
        <w:tc>
          <w:tcPr>
            <w:tcW w:w="645" w:type="dxa"/>
            <w:noWrap w:val="0"/>
            <w:vAlign w:val="center"/>
          </w:tcPr>
          <w:p w14:paraId="67D753C4">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w:t>
            </w:r>
          </w:p>
        </w:tc>
        <w:tc>
          <w:tcPr>
            <w:tcW w:w="675" w:type="dxa"/>
            <w:noWrap w:val="0"/>
            <w:vAlign w:val="center"/>
          </w:tcPr>
          <w:p w14:paraId="6F2525D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w:t>
            </w:r>
          </w:p>
        </w:tc>
        <w:tc>
          <w:tcPr>
            <w:tcW w:w="705" w:type="dxa"/>
            <w:noWrap w:val="0"/>
            <w:vAlign w:val="center"/>
          </w:tcPr>
          <w:p w14:paraId="2A623FC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735" w:type="dxa"/>
            <w:noWrap w:val="0"/>
            <w:vAlign w:val="center"/>
          </w:tcPr>
          <w:p w14:paraId="35C5CC1D">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500</w:t>
            </w:r>
          </w:p>
        </w:tc>
        <w:tc>
          <w:tcPr>
            <w:tcW w:w="750" w:type="dxa"/>
            <w:noWrap w:val="0"/>
            <w:vAlign w:val="center"/>
          </w:tcPr>
          <w:p w14:paraId="032AFA6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750" w:type="dxa"/>
            <w:noWrap w:val="0"/>
            <w:vAlign w:val="center"/>
          </w:tcPr>
          <w:p w14:paraId="39CF5505">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2000</w:t>
            </w:r>
          </w:p>
        </w:tc>
        <w:tc>
          <w:tcPr>
            <w:tcW w:w="690" w:type="dxa"/>
            <w:noWrap w:val="0"/>
            <w:vAlign w:val="center"/>
          </w:tcPr>
          <w:p w14:paraId="61C437FA">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4000</w:t>
            </w:r>
          </w:p>
        </w:tc>
        <w:tc>
          <w:tcPr>
            <w:tcW w:w="663" w:type="dxa"/>
            <w:noWrap w:val="0"/>
            <w:vAlign w:val="center"/>
          </w:tcPr>
          <w:p w14:paraId="73BE301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8000</w:t>
            </w:r>
          </w:p>
        </w:tc>
      </w:tr>
      <w:tr w14:paraId="38DD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noWrap w:val="0"/>
            <w:vAlign w:val="center"/>
          </w:tcPr>
          <w:p w14:paraId="639F6EEE">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衰减/dB</w:t>
            </w:r>
          </w:p>
        </w:tc>
        <w:tc>
          <w:tcPr>
            <w:tcW w:w="1995" w:type="dxa"/>
            <w:noWrap w:val="0"/>
            <w:vAlign w:val="center"/>
          </w:tcPr>
          <w:p w14:paraId="41EF4EF4">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10≤df＜20</w:t>
            </w:r>
          </w:p>
        </w:tc>
        <w:tc>
          <w:tcPr>
            <w:tcW w:w="645" w:type="dxa"/>
            <w:noWrap w:val="0"/>
            <w:vAlign w:val="center"/>
          </w:tcPr>
          <w:p w14:paraId="1C1C559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675" w:type="dxa"/>
            <w:noWrap w:val="0"/>
            <w:vAlign w:val="center"/>
          </w:tcPr>
          <w:p w14:paraId="207C2F99">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w:t>
            </w:r>
          </w:p>
        </w:tc>
        <w:tc>
          <w:tcPr>
            <w:tcW w:w="705" w:type="dxa"/>
            <w:noWrap w:val="0"/>
            <w:vAlign w:val="center"/>
          </w:tcPr>
          <w:p w14:paraId="07FFBC7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w:t>
            </w:r>
          </w:p>
        </w:tc>
        <w:tc>
          <w:tcPr>
            <w:tcW w:w="735" w:type="dxa"/>
            <w:noWrap w:val="0"/>
            <w:vAlign w:val="center"/>
          </w:tcPr>
          <w:p w14:paraId="0536BD0D">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50" w:type="dxa"/>
            <w:noWrap w:val="0"/>
            <w:vAlign w:val="center"/>
          </w:tcPr>
          <w:p w14:paraId="493E9EC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750" w:type="dxa"/>
            <w:noWrap w:val="0"/>
            <w:vAlign w:val="center"/>
          </w:tcPr>
          <w:p w14:paraId="53B2C21E">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690" w:type="dxa"/>
            <w:noWrap w:val="0"/>
            <w:vAlign w:val="center"/>
          </w:tcPr>
          <w:p w14:paraId="5136ABD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663" w:type="dxa"/>
            <w:noWrap w:val="0"/>
            <w:vAlign w:val="center"/>
          </w:tcPr>
          <w:p w14:paraId="101ED111">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r>
      <w:tr w14:paraId="6049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2" w:type="dxa"/>
            <w:noWrap w:val="0"/>
            <w:vAlign w:val="center"/>
          </w:tcPr>
          <w:p w14:paraId="104C3D30">
            <w:pPr>
              <w:widowControl/>
              <w:spacing w:line="240" w:lineRule="auto"/>
              <w:ind w:firstLine="0" w:firstLineChars="0"/>
              <w:jc w:val="both"/>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衰减系数/(dB/m)</w:t>
            </w:r>
          </w:p>
        </w:tc>
        <w:tc>
          <w:tcPr>
            <w:tcW w:w="1995" w:type="dxa"/>
            <w:noWrap w:val="0"/>
            <w:vAlign w:val="center"/>
          </w:tcPr>
          <w:p w14:paraId="76FDC2E1">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20≤df＜200</w:t>
            </w:r>
          </w:p>
        </w:tc>
        <w:tc>
          <w:tcPr>
            <w:tcW w:w="645" w:type="dxa"/>
            <w:noWrap w:val="0"/>
            <w:vAlign w:val="center"/>
          </w:tcPr>
          <w:p w14:paraId="45878D0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0.02</w:t>
            </w:r>
          </w:p>
        </w:tc>
        <w:tc>
          <w:tcPr>
            <w:tcW w:w="675" w:type="dxa"/>
            <w:noWrap w:val="0"/>
            <w:vAlign w:val="center"/>
          </w:tcPr>
          <w:p w14:paraId="5F3FD89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0.03</w:t>
            </w:r>
          </w:p>
        </w:tc>
        <w:tc>
          <w:tcPr>
            <w:tcW w:w="705" w:type="dxa"/>
            <w:noWrap w:val="0"/>
            <w:vAlign w:val="center"/>
          </w:tcPr>
          <w:p w14:paraId="68D6DDFE">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0.04</w:t>
            </w:r>
          </w:p>
        </w:tc>
        <w:tc>
          <w:tcPr>
            <w:tcW w:w="735" w:type="dxa"/>
            <w:noWrap w:val="0"/>
            <w:vAlign w:val="center"/>
          </w:tcPr>
          <w:p w14:paraId="50C67D13">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0.05</w:t>
            </w:r>
          </w:p>
        </w:tc>
        <w:tc>
          <w:tcPr>
            <w:tcW w:w="750" w:type="dxa"/>
            <w:noWrap w:val="0"/>
            <w:vAlign w:val="center"/>
          </w:tcPr>
          <w:p w14:paraId="34AEEFCF">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0.06</w:t>
            </w:r>
          </w:p>
        </w:tc>
        <w:tc>
          <w:tcPr>
            <w:tcW w:w="750" w:type="dxa"/>
            <w:noWrap w:val="0"/>
            <w:vAlign w:val="center"/>
          </w:tcPr>
          <w:p w14:paraId="56FAC1F7">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0.08</w:t>
            </w:r>
          </w:p>
        </w:tc>
        <w:tc>
          <w:tcPr>
            <w:tcW w:w="690" w:type="dxa"/>
            <w:noWrap w:val="0"/>
            <w:vAlign w:val="center"/>
          </w:tcPr>
          <w:p w14:paraId="494966DB">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0.09</w:t>
            </w:r>
          </w:p>
        </w:tc>
        <w:tc>
          <w:tcPr>
            <w:tcW w:w="663" w:type="dxa"/>
            <w:noWrap w:val="0"/>
            <w:vAlign w:val="center"/>
          </w:tcPr>
          <w:p w14:paraId="21BC3B72">
            <w:pPr>
              <w:widowControl/>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0.12</w:t>
            </w:r>
          </w:p>
        </w:tc>
      </w:tr>
    </w:tbl>
    <w:p w14:paraId="620C4762">
      <w:pPr>
        <w:widowControl/>
        <w:ind w:firstLine="0" w:firstLineChars="0"/>
        <w:jc w:val="left"/>
        <w:rPr>
          <w:rFonts w:hint="default" w:ascii="Times New Roman" w:hAnsi="Times New Roman" w:eastAsia="宋体" w:cs="Times New Roman"/>
          <w:color w:val="auto"/>
        </w:rPr>
      </w:pPr>
      <w:r>
        <w:rPr>
          <w:rFonts w:hint="default" w:ascii="Times New Roman" w:hAnsi="Times New Roman" w:eastAsia="宋体" w:cs="Times New Roman"/>
          <w:b/>
          <w:bCs/>
          <w:color w:val="auto"/>
          <w:kern w:val="0"/>
          <w:lang w:bidi="ar"/>
        </w:rPr>
        <w:t>5.2.2.3噪声预测评价</w:t>
      </w:r>
    </w:p>
    <w:p w14:paraId="7D1A67AB">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）水平衰减预测</w:t>
      </w:r>
    </w:p>
    <w:p w14:paraId="3DB6226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预测情景：纵向为水平直线的无限源路段，左幅、右幅未分离，只考虑地面吸收和反射、空气吸声、路面粗糙度，不考虑地形高程、山体遮挡隔声、坡度、两侧建筑作用。对各</w:t>
      </w:r>
      <w:r>
        <w:rPr>
          <w:rFonts w:hint="eastAsia" w:ascii="宋体" w:hAnsi="宋体" w:cs="宋体"/>
          <w:color w:val="auto"/>
          <w:kern w:val="0"/>
          <w:sz w:val="24"/>
          <w:szCs w:val="24"/>
          <w:lang w:val="en-US" w:eastAsia="zh-CN" w:bidi="ar"/>
        </w:rPr>
        <w:t>营运期</w:t>
      </w:r>
      <w:r>
        <w:rPr>
          <w:rFonts w:hint="eastAsia" w:ascii="宋体" w:hAnsi="宋体" w:eastAsia="宋体" w:cs="宋体"/>
          <w:color w:val="auto"/>
          <w:kern w:val="0"/>
          <w:sz w:val="24"/>
          <w:szCs w:val="24"/>
          <w:lang w:val="en-US" w:eastAsia="zh-CN" w:bidi="ar"/>
        </w:rPr>
        <w:t>、时间距路中心（路肩）不同距离的交通噪声进行预测，分析水平衰减变化情况。</w:t>
      </w:r>
    </w:p>
    <w:p w14:paraId="2A786E61">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本项目运营后，公路边界线35m之内执行《声环境质量标准》</w:t>
      </w:r>
      <w:r>
        <w:rPr>
          <w:rFonts w:hint="default" w:ascii="Times New Roman" w:hAnsi="Times New Roman" w:eastAsia="宋体" w:cs="Times New Roman"/>
          <w:color w:val="auto"/>
          <w:kern w:val="0"/>
          <w:sz w:val="24"/>
          <w:szCs w:val="24"/>
          <w:lang w:val="en-US" w:eastAsia="zh-CN" w:bidi="ar"/>
        </w:rPr>
        <w:t>（GB</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3096-2008）</w:t>
      </w:r>
      <w:r>
        <w:rPr>
          <w:rFonts w:hint="default" w:ascii="Times New Roman" w:hAnsi="Times New Roman" w:eastAsia="宋体" w:cs="Times New Roman"/>
          <w:color w:val="auto"/>
          <w:kern w:val="0"/>
          <w:sz w:val="24"/>
          <w:szCs w:val="24"/>
          <w:lang w:val="en-US" w:eastAsia="zh-CN" w:bidi="ar"/>
        </w:rPr>
        <w:t>4a类标准（公路边界线外35m内存在临街建筑高于三层楼房以上（含三层）情形，当临街建筑高于三层楼房以上（含三层）时，将临街建筑面向交通干线一侧至交通干线边界线的区域定为4a类声环境功能区</w:t>
      </w:r>
      <w:r>
        <w:rPr>
          <w:rFonts w:hint="eastAsia" w:ascii="Times New Roman" w:hAnsi="Times New Roman" w:eastAsia="宋体" w:cs="Times New Roman"/>
          <w:color w:val="auto"/>
          <w:kern w:val="0"/>
          <w:sz w:val="24"/>
          <w:szCs w:val="24"/>
          <w:lang w:val="en-US" w:eastAsia="zh-CN" w:bidi="ar"/>
        </w:rPr>
        <w:t>，本项目公路临街无三层建筑</w:t>
      </w:r>
      <w:r>
        <w:rPr>
          <w:rFonts w:hint="default" w:ascii="Times New Roman" w:hAnsi="Times New Roman" w:eastAsia="宋体" w:cs="Times New Roman"/>
          <w:color w:val="auto"/>
          <w:kern w:val="0"/>
          <w:sz w:val="24"/>
          <w:szCs w:val="24"/>
          <w:lang w:val="en-US" w:eastAsia="zh-CN" w:bidi="ar"/>
        </w:rPr>
        <w:t>），其外执行2类标准。</w:t>
      </w:r>
    </w:p>
    <w:p w14:paraId="0BD670B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根据预测结果达标距离如下：</w:t>
      </w:r>
    </w:p>
    <w:p w14:paraId="5CD469C2">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Cambria Math" w:cs="Times New Roman"/>
          <w:b/>
          <w:bCs/>
          <w:color w:val="auto"/>
          <w:kern w:val="0"/>
          <w:sz w:val="24"/>
          <w:szCs w:val="24"/>
          <w:lang w:val="en-US" w:eastAsia="zh-CN" w:bidi="ar"/>
        </w:rPr>
        <w:t>①</w:t>
      </w:r>
      <w:r>
        <w:rPr>
          <w:rFonts w:hint="default" w:ascii="Times New Roman" w:hAnsi="Times New Roman" w:eastAsia="宋体" w:cs="Times New Roman"/>
          <w:b/>
          <w:bCs/>
          <w:color w:val="auto"/>
          <w:kern w:val="0"/>
          <w:sz w:val="24"/>
          <w:szCs w:val="24"/>
          <w:lang w:val="en-US" w:eastAsia="zh-CN" w:bidi="ar"/>
        </w:rPr>
        <w:t>4a类功能区预测结果表明：</w:t>
      </w:r>
    </w:p>
    <w:p w14:paraId="572DDE5D">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近期，各路段昼夜间均可达标，昼间达标距离为0m，夜间达标距离为3.</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p>
    <w:p w14:paraId="5F0BB4AE">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中期，各路段昼夜间均可达标，昼间达标距离0m，夜间达标距离4.</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p>
    <w:p w14:paraId="1304B9F1">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远期，各路段昼夜间均可达标，达标距离0m，夜间达标距离6.</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p>
    <w:p w14:paraId="71AC410F">
      <w:pPr>
        <w:keepNext w:val="0"/>
        <w:keepLines w:val="0"/>
        <w:widowControl/>
        <w:suppressLineNumbers w:val="0"/>
        <w:jc w:val="left"/>
        <w:rPr>
          <w:color w:val="auto"/>
        </w:rPr>
      </w:pPr>
      <w:r>
        <w:rPr>
          <w:rFonts w:ascii="Cambria Math" w:hAnsi="Cambria Math" w:eastAsia="Cambria Math" w:cs="Cambria Math"/>
          <w:b/>
          <w:bCs/>
          <w:color w:val="auto"/>
          <w:kern w:val="0"/>
          <w:sz w:val="24"/>
          <w:szCs w:val="24"/>
          <w:lang w:val="en-US" w:eastAsia="zh-CN" w:bidi="ar"/>
        </w:rPr>
        <w:t>②</w:t>
      </w:r>
      <w:r>
        <w:rPr>
          <w:rFonts w:hint="default" w:ascii="Times New Roman" w:hAnsi="Times New Roman" w:eastAsia="宋体" w:cs="Times New Roman"/>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类功能区预测结果表明：</w:t>
      </w:r>
    </w:p>
    <w:p w14:paraId="7BACC36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近期，各路段昼夜间均可达标，昼间达标距离为</w:t>
      </w:r>
      <w:r>
        <w:rPr>
          <w:rFonts w:hint="default" w:ascii="Times New Roman" w:hAnsi="Times New Roman" w:eastAsia="宋体" w:cs="Times New Roman"/>
          <w:color w:val="auto"/>
          <w:kern w:val="0"/>
          <w:sz w:val="24"/>
          <w:szCs w:val="24"/>
          <w:lang w:val="en-US" w:eastAsia="zh-CN" w:bidi="ar"/>
        </w:rPr>
        <w:t>3.</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，夜间达标距离为</w:t>
      </w:r>
      <w:r>
        <w:rPr>
          <w:rFonts w:hint="default" w:ascii="Times New Roman" w:hAnsi="Times New Roman" w:eastAsia="宋体" w:cs="Times New Roman"/>
          <w:color w:val="auto"/>
          <w:kern w:val="0"/>
          <w:sz w:val="24"/>
          <w:szCs w:val="24"/>
          <w:lang w:val="en-US" w:eastAsia="zh-CN" w:bidi="ar"/>
        </w:rPr>
        <w:t>8.</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w:t>
      </w:r>
    </w:p>
    <w:p w14:paraId="07E586F7">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中期，各路段昼夜间均可达标，昼间达标距离为</w:t>
      </w:r>
      <w:r>
        <w:rPr>
          <w:rFonts w:hint="default" w:ascii="Times New Roman" w:hAnsi="Times New Roman" w:eastAsia="宋体" w:cs="Times New Roman"/>
          <w:color w:val="auto"/>
          <w:kern w:val="0"/>
          <w:sz w:val="24"/>
          <w:szCs w:val="24"/>
          <w:lang w:val="en-US" w:eastAsia="zh-CN" w:bidi="ar"/>
        </w:rPr>
        <w:t>3.</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，夜间达标距离为</w:t>
      </w:r>
      <w:r>
        <w:rPr>
          <w:rFonts w:hint="default" w:ascii="Times New Roman" w:hAnsi="Times New Roman" w:eastAsia="宋体" w:cs="Times New Roman"/>
          <w:color w:val="auto"/>
          <w:kern w:val="0"/>
          <w:sz w:val="24"/>
          <w:szCs w:val="24"/>
          <w:lang w:val="en-US" w:eastAsia="zh-CN" w:bidi="ar"/>
        </w:rPr>
        <w:t>18.</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w:t>
      </w:r>
    </w:p>
    <w:p w14:paraId="7CFF119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远期，各路段昼夜间均可达标，昼间达标距离为</w:t>
      </w:r>
      <w:r>
        <w:rPr>
          <w:rFonts w:hint="default" w:ascii="Times New Roman" w:hAnsi="Times New Roman" w:eastAsia="宋体" w:cs="Times New Roman"/>
          <w:color w:val="auto"/>
          <w:kern w:val="0"/>
          <w:sz w:val="24"/>
          <w:szCs w:val="24"/>
          <w:lang w:val="en-US" w:eastAsia="zh-CN" w:bidi="ar"/>
        </w:rPr>
        <w:t>3.</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，夜间达标距离为</w:t>
      </w:r>
      <w:r>
        <w:rPr>
          <w:rFonts w:hint="default" w:ascii="Times New Roman" w:hAnsi="Times New Roman" w:eastAsia="宋体" w:cs="Times New Roman"/>
          <w:color w:val="auto"/>
          <w:kern w:val="0"/>
          <w:sz w:val="24"/>
          <w:szCs w:val="24"/>
          <w:lang w:val="en-US" w:eastAsia="zh-CN" w:bidi="ar"/>
        </w:rPr>
        <w:t>23.</w:t>
      </w:r>
      <w:r>
        <w:rPr>
          <w:rFonts w:hint="eastAsia" w:ascii="Times New Roman" w:hAnsi="Times New Roman" w:eastAsia="宋体" w:cs="Times New Roman"/>
          <w:color w:val="auto"/>
          <w:kern w:val="0"/>
          <w:sz w:val="24"/>
          <w:szCs w:val="24"/>
          <w:lang w:val="en-US" w:eastAsia="zh-CN" w:bidi="ar"/>
        </w:rPr>
        <w:t>5</w:t>
      </w:r>
      <w:r>
        <w:rPr>
          <w:rFonts w:hint="default" w:ascii="Times New Roman" w:hAnsi="Times New Roman" w:eastAsia="宋体" w:cs="Times New Roman"/>
          <w:color w:val="auto"/>
          <w:kern w:val="0"/>
          <w:sz w:val="24"/>
          <w:szCs w:val="24"/>
          <w:lang w:val="en-US" w:eastAsia="zh-CN" w:bidi="ar"/>
        </w:rPr>
        <w:t>m</w:t>
      </w:r>
      <w:r>
        <w:rPr>
          <w:rFonts w:hint="eastAsia" w:ascii="宋体" w:hAnsi="宋体" w:eastAsia="宋体" w:cs="宋体"/>
          <w:color w:val="auto"/>
          <w:kern w:val="0"/>
          <w:sz w:val="24"/>
          <w:szCs w:val="24"/>
          <w:lang w:val="en-US" w:eastAsia="zh-CN" w:bidi="ar"/>
        </w:rPr>
        <w:t>。</w:t>
      </w:r>
    </w:p>
    <w:p w14:paraId="4692E73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上述达标距离均未超过中心线外</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，将主线中心线两侧</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作为声环境评价范围是合理的。</w:t>
      </w:r>
    </w:p>
    <w:p w14:paraId="5B7E9D06">
      <w:pPr>
        <w:keepNext w:val="0"/>
        <w:keepLines w:val="0"/>
        <w:widowControl/>
        <w:suppressLineNumbers w:val="0"/>
        <w:jc w:val="left"/>
        <w:rPr>
          <w:rFonts w:hint="default"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t>本项目设置</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车道，根据《</w:t>
      </w:r>
      <w:r>
        <w:rPr>
          <w:rFonts w:hint="eastAsia" w:ascii="宋体" w:hAnsi="宋体" w:eastAsia="宋体" w:cs="宋体"/>
          <w:color w:val="auto"/>
          <w:kern w:val="0"/>
          <w:sz w:val="24"/>
          <w:szCs w:val="24"/>
          <w:lang w:val="en-US" w:eastAsia="zh-CN" w:bidi="ar"/>
        </w:rPr>
        <w:t>环境影响评价技术导则</w:t>
      </w:r>
      <w:r>
        <w:rPr>
          <w:rFonts w:hint="eastAsia" w:ascii="宋体" w:hAnsi="宋体" w:cs="宋体"/>
          <w:color w:val="auto"/>
          <w:kern w:val="0"/>
          <w:sz w:val="24"/>
          <w:szCs w:val="24"/>
          <w:lang w:val="en-US" w:eastAsia="zh-CN" w:bidi="ar"/>
        </w:rPr>
        <w:t xml:space="preserve"> </w:t>
      </w:r>
      <w:r>
        <w:rPr>
          <w:rFonts w:hint="eastAsia" w:ascii="宋体" w:hAnsi="宋体" w:eastAsia="宋体" w:cs="宋体"/>
          <w:color w:val="auto"/>
          <w:kern w:val="0"/>
          <w:sz w:val="24"/>
          <w:szCs w:val="24"/>
          <w:lang w:val="en-US" w:eastAsia="zh-CN" w:bidi="ar"/>
        </w:rPr>
        <w:t>公路建设项目</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HJ</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1358-2024</w:t>
      </w:r>
      <w:r>
        <w:rPr>
          <w:rFonts w:hint="eastAsia" w:ascii="宋体" w:hAnsi="宋体" w:eastAsia="宋体" w:cs="宋体"/>
          <w:color w:val="auto"/>
          <w:kern w:val="0"/>
          <w:sz w:val="24"/>
          <w:szCs w:val="24"/>
          <w:lang w:val="en-US" w:eastAsia="zh-CN" w:bidi="ar"/>
        </w:rPr>
        <w:t>），当车道数≤</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时，预测距离分别取距路中心线</w:t>
      </w:r>
      <w:r>
        <w:rPr>
          <w:rFonts w:hint="default" w:ascii="Times New Roman" w:hAnsi="Times New Roman" w:eastAsia="宋体" w:cs="Times New Roman"/>
          <w:color w:val="auto"/>
          <w:kern w:val="0"/>
          <w:sz w:val="24"/>
          <w:szCs w:val="24"/>
          <w:lang w:val="en-US" w:eastAsia="zh-CN" w:bidi="ar"/>
        </w:rPr>
        <w:t>20m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60m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80m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100m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120m</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160m</w:t>
      </w:r>
      <w:r>
        <w:rPr>
          <w:rFonts w:hint="eastAsia" w:ascii="宋体" w:hAnsi="宋体" w:eastAsia="宋体" w:cs="宋体"/>
          <w:color w:val="auto"/>
          <w:kern w:val="0"/>
          <w:sz w:val="24"/>
          <w:szCs w:val="24"/>
          <w:lang w:val="en-US" w:eastAsia="zh-CN" w:bidi="ar"/>
        </w:rPr>
        <w:t>和</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，列出预测结果如下：</w:t>
      </w:r>
    </w:p>
    <w:p w14:paraId="4AE007CE">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bidi="ar"/>
        </w:rPr>
        <w:t xml:space="preserve"> </w:t>
      </w:r>
      <w:r>
        <w:rPr>
          <w:rFonts w:hint="eastAsia" w:cs="Times New Roman"/>
          <w:b/>
          <w:bCs/>
          <w:color w:val="auto"/>
          <w:kern w:val="0"/>
          <w:sz w:val="21"/>
          <w:szCs w:val="21"/>
          <w:lang w:eastAsia="zh-CN" w:bidi="ar"/>
        </w:rPr>
        <w:t>营运期</w:t>
      </w:r>
      <w:r>
        <w:rPr>
          <w:rFonts w:hint="default" w:ascii="Times New Roman" w:hAnsi="Times New Roman" w:eastAsia="宋体" w:cs="Times New Roman"/>
          <w:b/>
          <w:bCs/>
          <w:color w:val="auto"/>
          <w:kern w:val="0"/>
          <w:sz w:val="21"/>
          <w:szCs w:val="21"/>
          <w:lang w:bidi="ar"/>
        </w:rPr>
        <w:t>距公路中心线不同距离交通噪声贡献值预测表    dB（A）</w:t>
      </w:r>
    </w:p>
    <w:tbl>
      <w:tblPr>
        <w:tblStyle w:val="58"/>
        <w:tblW w:w="9289" w:type="dxa"/>
        <w:tblInd w:w="0" w:type="dxa"/>
        <w:tblLayout w:type="fixed"/>
        <w:tblCellMar>
          <w:top w:w="0" w:type="dxa"/>
          <w:left w:w="108" w:type="dxa"/>
          <w:bottom w:w="0" w:type="dxa"/>
          <w:right w:w="108" w:type="dxa"/>
        </w:tblCellMar>
      </w:tblPr>
      <w:tblGrid>
        <w:gridCol w:w="342"/>
        <w:gridCol w:w="690"/>
        <w:gridCol w:w="678"/>
        <w:gridCol w:w="689"/>
        <w:gridCol w:w="689"/>
        <w:gridCol w:w="689"/>
        <w:gridCol w:w="689"/>
        <w:gridCol w:w="689"/>
        <w:gridCol w:w="689"/>
        <w:gridCol w:w="689"/>
        <w:gridCol w:w="689"/>
        <w:gridCol w:w="689"/>
        <w:gridCol w:w="689"/>
        <w:gridCol w:w="689"/>
      </w:tblGrid>
      <w:tr w14:paraId="46C5746E">
        <w:tblPrEx>
          <w:tblCellMar>
            <w:top w:w="0" w:type="dxa"/>
            <w:left w:w="108" w:type="dxa"/>
            <w:bottom w:w="0" w:type="dxa"/>
            <w:right w:w="108" w:type="dxa"/>
          </w:tblCellMar>
        </w:tblPrEx>
        <w:trPr>
          <w:trHeight w:val="300" w:hRule="atLeast"/>
        </w:trPr>
        <w:tc>
          <w:tcPr>
            <w:tcW w:w="1032" w:type="dxa"/>
            <w:gridSpan w:val="2"/>
            <w:vMerge w:val="restart"/>
            <w:tcBorders>
              <w:top w:val="single" w:color="auto" w:sz="4" w:space="0"/>
              <w:left w:val="single" w:color="auto" w:sz="4" w:space="0"/>
              <w:right w:val="single" w:color="auto" w:sz="4" w:space="0"/>
            </w:tcBorders>
            <w:noWrap w:val="0"/>
            <w:vAlign w:val="center"/>
          </w:tcPr>
          <w:p w14:paraId="3194C0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预测年</w:t>
            </w:r>
          </w:p>
        </w:tc>
        <w:tc>
          <w:tcPr>
            <w:tcW w:w="678" w:type="dxa"/>
            <w:vMerge w:val="restart"/>
            <w:tcBorders>
              <w:top w:val="single" w:color="auto" w:sz="4" w:space="0"/>
              <w:left w:val="single" w:color="auto" w:sz="4" w:space="0"/>
              <w:bottom w:val="single" w:color="auto" w:sz="4" w:space="0"/>
              <w:right w:val="single" w:color="auto" w:sz="4" w:space="0"/>
            </w:tcBorders>
            <w:noWrap w:val="0"/>
            <w:vAlign w:val="center"/>
          </w:tcPr>
          <w:p w14:paraId="5E6B5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时段</w:t>
            </w:r>
          </w:p>
        </w:tc>
        <w:tc>
          <w:tcPr>
            <w:tcW w:w="7579" w:type="dxa"/>
            <w:gridSpan w:val="11"/>
            <w:tcBorders>
              <w:top w:val="single" w:color="auto" w:sz="4" w:space="0"/>
              <w:left w:val="single" w:color="auto" w:sz="4" w:space="0"/>
              <w:bottom w:val="single" w:color="auto" w:sz="4" w:space="0"/>
              <w:right w:val="single" w:color="auto" w:sz="4" w:space="0"/>
            </w:tcBorders>
            <w:noWrap w:val="0"/>
            <w:vAlign w:val="center"/>
          </w:tcPr>
          <w:p w14:paraId="643EFA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距道路红线距离（m）</w:t>
            </w:r>
          </w:p>
        </w:tc>
      </w:tr>
      <w:tr w14:paraId="48732E60">
        <w:tblPrEx>
          <w:tblCellMar>
            <w:top w:w="0" w:type="dxa"/>
            <w:left w:w="108" w:type="dxa"/>
            <w:bottom w:w="0" w:type="dxa"/>
            <w:right w:w="108" w:type="dxa"/>
          </w:tblCellMar>
        </w:tblPrEx>
        <w:trPr>
          <w:trHeight w:val="332" w:hRule="atLeast"/>
        </w:trPr>
        <w:tc>
          <w:tcPr>
            <w:tcW w:w="1032" w:type="dxa"/>
            <w:gridSpan w:val="2"/>
            <w:vMerge w:val="continue"/>
            <w:tcBorders>
              <w:left w:val="single" w:color="auto" w:sz="4" w:space="0"/>
              <w:bottom w:val="single" w:color="auto" w:sz="4" w:space="0"/>
              <w:right w:val="single" w:color="auto" w:sz="4" w:space="0"/>
            </w:tcBorders>
            <w:noWrap w:val="0"/>
            <w:vAlign w:val="center"/>
          </w:tcPr>
          <w:p w14:paraId="676033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78" w:type="dxa"/>
            <w:vMerge w:val="continue"/>
            <w:tcBorders>
              <w:top w:val="single" w:color="auto" w:sz="4" w:space="0"/>
              <w:left w:val="single" w:color="auto" w:sz="4" w:space="0"/>
              <w:bottom w:val="single" w:color="auto" w:sz="4" w:space="0"/>
              <w:right w:val="single" w:color="auto" w:sz="4" w:space="0"/>
            </w:tcBorders>
            <w:noWrap w:val="0"/>
            <w:vAlign w:val="center"/>
          </w:tcPr>
          <w:p w14:paraId="771A89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89" w:type="dxa"/>
            <w:tcBorders>
              <w:top w:val="single" w:color="auto" w:sz="4" w:space="0"/>
              <w:left w:val="single" w:color="auto" w:sz="4" w:space="0"/>
              <w:bottom w:val="single" w:color="auto" w:sz="4" w:space="0"/>
              <w:right w:val="single" w:color="auto" w:sz="4" w:space="0"/>
            </w:tcBorders>
            <w:noWrap w:val="0"/>
            <w:vAlign w:val="center"/>
          </w:tcPr>
          <w:p w14:paraId="7855BE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21784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20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ABAFF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val="en-US" w:eastAsia="zh-CN" w:bidi="ar"/>
              </w:rPr>
              <w:t>3</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55C4D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val="en-US" w:eastAsia="zh-CN" w:bidi="ar"/>
              </w:rPr>
              <w:t>4</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3F4C5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val="en-US" w:eastAsia="zh-CN" w:bidi="ar"/>
              </w:rPr>
              <w:t>5</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A03A7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val="en-US" w:eastAsia="zh-CN" w:bidi="ar"/>
              </w:rPr>
              <w:t>6</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74256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val="en-US" w:eastAsia="zh-CN" w:bidi="ar"/>
              </w:rPr>
              <w:t>8</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D60E7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1</w:t>
            </w:r>
            <w:r>
              <w:rPr>
                <w:rFonts w:hint="default" w:ascii="Times New Roman" w:hAnsi="Times New Roman" w:eastAsia="宋体" w:cs="Times New Roman"/>
                <w:b w:val="0"/>
                <w:bCs w:val="0"/>
                <w:color w:val="auto"/>
                <w:kern w:val="0"/>
                <w:sz w:val="18"/>
                <w:szCs w:val="18"/>
                <w:lang w:val="en-US" w:eastAsia="zh-CN" w:bidi="ar"/>
              </w:rPr>
              <w:t>0</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FBEED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1</w:t>
            </w:r>
            <w:r>
              <w:rPr>
                <w:rFonts w:hint="default" w:ascii="Times New Roman" w:hAnsi="Times New Roman" w:eastAsia="宋体" w:cs="Times New Roman"/>
                <w:b w:val="0"/>
                <w:bCs w:val="0"/>
                <w:color w:val="auto"/>
                <w:kern w:val="0"/>
                <w:sz w:val="18"/>
                <w:szCs w:val="18"/>
                <w:lang w:val="en-US" w:eastAsia="zh-CN" w:bidi="ar"/>
              </w:rPr>
              <w:t>2</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8922B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1</w:t>
            </w:r>
            <w:r>
              <w:rPr>
                <w:rFonts w:hint="default" w:ascii="Times New Roman" w:hAnsi="Times New Roman" w:eastAsia="宋体" w:cs="Times New Roman"/>
                <w:b w:val="0"/>
                <w:bCs w:val="0"/>
                <w:color w:val="auto"/>
                <w:kern w:val="0"/>
                <w:sz w:val="18"/>
                <w:szCs w:val="18"/>
                <w:lang w:val="en-US" w:eastAsia="zh-CN" w:bidi="ar"/>
              </w:rPr>
              <w:t>6</w:t>
            </w:r>
            <w:r>
              <w:rPr>
                <w:rFonts w:hint="default" w:ascii="Times New Roman" w:hAnsi="Times New Roman" w:eastAsia="宋体" w:cs="Times New Roman"/>
                <w:b w:val="0"/>
                <w:bCs w:val="0"/>
                <w:color w:val="auto"/>
                <w:kern w:val="0"/>
                <w:sz w:val="18"/>
                <w:szCs w:val="18"/>
                <w:lang w:bidi="ar"/>
              </w:rPr>
              <w:t>0</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164D7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b w:val="0"/>
                <w:bCs w:val="0"/>
                <w:color w:val="auto"/>
                <w:kern w:val="0"/>
                <w:sz w:val="18"/>
                <w:szCs w:val="18"/>
                <w:lang w:bidi="ar"/>
              </w:rPr>
              <w:t>200</w:t>
            </w:r>
          </w:p>
        </w:tc>
      </w:tr>
      <w:tr w14:paraId="352F66F2">
        <w:tblPrEx>
          <w:tblCellMar>
            <w:top w:w="0" w:type="dxa"/>
            <w:left w:w="108" w:type="dxa"/>
            <w:bottom w:w="0" w:type="dxa"/>
            <w:right w:w="108" w:type="dxa"/>
          </w:tblCellMar>
        </w:tblPrEx>
        <w:trPr>
          <w:trHeight w:val="315" w:hRule="atLeast"/>
        </w:trPr>
        <w:tc>
          <w:tcPr>
            <w:tcW w:w="342" w:type="dxa"/>
            <w:vMerge w:val="restart"/>
            <w:tcBorders>
              <w:top w:val="single" w:color="auto" w:sz="4" w:space="0"/>
              <w:left w:val="single" w:color="auto" w:sz="4" w:space="0"/>
              <w:bottom w:val="single" w:color="auto" w:sz="4" w:space="0"/>
              <w:right w:val="single" w:color="auto" w:sz="4" w:space="0"/>
            </w:tcBorders>
            <w:noWrap w:val="0"/>
            <w:vAlign w:val="center"/>
          </w:tcPr>
          <w:p w14:paraId="491975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本项目路段</w:t>
            </w: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74FA90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eastAsia="zh-CN" w:bidi="ar"/>
              </w:rPr>
            </w:pPr>
            <w:r>
              <w:rPr>
                <w:rFonts w:hint="default" w:ascii="Times New Roman" w:hAnsi="Times New Roman" w:eastAsia="宋体" w:cs="Times New Roman"/>
                <w:b/>
                <w:bCs/>
                <w:color w:val="auto"/>
                <w:kern w:val="0"/>
                <w:sz w:val="18"/>
                <w:szCs w:val="18"/>
                <w:lang w:bidi="ar"/>
              </w:rPr>
              <w:t>202</w:t>
            </w:r>
            <w:r>
              <w:rPr>
                <w:rFonts w:hint="default" w:ascii="Times New Roman" w:hAnsi="Times New Roman" w:cs="Times New Roman"/>
                <w:b/>
                <w:bCs/>
                <w:color w:val="auto"/>
                <w:kern w:val="0"/>
                <w:sz w:val="18"/>
                <w:szCs w:val="18"/>
                <w:lang w:val="en-US" w:eastAsia="zh-CN" w:bidi="ar"/>
              </w:rPr>
              <w:t>7</w:t>
            </w:r>
          </w:p>
        </w:tc>
        <w:tc>
          <w:tcPr>
            <w:tcW w:w="678" w:type="dxa"/>
            <w:tcBorders>
              <w:top w:val="single" w:color="auto" w:sz="4" w:space="0"/>
              <w:left w:val="single" w:color="auto" w:sz="4" w:space="0"/>
              <w:bottom w:val="single" w:color="auto" w:sz="4" w:space="0"/>
              <w:right w:val="single" w:color="auto" w:sz="4" w:space="0"/>
            </w:tcBorders>
            <w:noWrap w:val="0"/>
            <w:vAlign w:val="center"/>
          </w:tcPr>
          <w:p w14:paraId="2A356C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昼间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0E8D6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69.03</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3AAC5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61.44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5E6E1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57.25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D9D1F6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54.99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734B48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53.51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CEEA66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52.39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A8B012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50.71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1795E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49.46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7C1ED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48.45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6487F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46.85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1B864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45.58</w:t>
            </w:r>
          </w:p>
        </w:tc>
      </w:tr>
      <w:tr w14:paraId="35CAD310">
        <w:tblPrEx>
          <w:tblCellMar>
            <w:top w:w="0" w:type="dxa"/>
            <w:left w:w="108" w:type="dxa"/>
            <w:bottom w:w="0" w:type="dxa"/>
            <w:right w:w="108" w:type="dxa"/>
          </w:tblCellMar>
        </w:tblPrEx>
        <w:trPr>
          <w:trHeight w:val="315" w:hRule="atLeast"/>
        </w:trPr>
        <w:tc>
          <w:tcPr>
            <w:tcW w:w="342" w:type="dxa"/>
            <w:vMerge w:val="continue"/>
            <w:tcBorders>
              <w:top w:val="single" w:color="auto" w:sz="4" w:space="0"/>
              <w:left w:val="single" w:color="auto" w:sz="4" w:space="0"/>
              <w:bottom w:val="single" w:color="auto" w:sz="4" w:space="0"/>
              <w:right w:val="single" w:color="auto" w:sz="4" w:space="0"/>
            </w:tcBorders>
            <w:noWrap w:val="0"/>
            <w:vAlign w:val="center"/>
          </w:tcPr>
          <w:p w14:paraId="310477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0560A2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78" w:type="dxa"/>
            <w:tcBorders>
              <w:top w:val="single" w:color="auto" w:sz="4" w:space="0"/>
              <w:left w:val="single" w:color="auto" w:sz="4" w:space="0"/>
              <w:bottom w:val="single" w:color="auto" w:sz="4" w:space="0"/>
              <w:right w:val="single" w:color="auto" w:sz="4" w:space="0"/>
            </w:tcBorders>
            <w:noWrap w:val="0"/>
            <w:vAlign w:val="center"/>
          </w:tcPr>
          <w:p w14:paraId="1C8EE9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夜间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32C791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54.42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08D0D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66.09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7C6AC7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57.22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19A852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51.84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D623E5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48.77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C5DB7D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46.72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BA0AC9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45.2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46D1EC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43.17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84324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41.54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E04B82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40.06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3FC35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37.58</w:t>
            </w:r>
          </w:p>
        </w:tc>
      </w:tr>
      <w:tr w14:paraId="6DE9D830">
        <w:tblPrEx>
          <w:tblCellMar>
            <w:top w:w="0" w:type="dxa"/>
            <w:left w:w="108" w:type="dxa"/>
            <w:bottom w:w="0" w:type="dxa"/>
            <w:right w:w="108" w:type="dxa"/>
          </w:tblCellMar>
        </w:tblPrEx>
        <w:trPr>
          <w:trHeight w:val="315" w:hRule="atLeast"/>
        </w:trPr>
        <w:tc>
          <w:tcPr>
            <w:tcW w:w="342" w:type="dxa"/>
            <w:vMerge w:val="continue"/>
            <w:tcBorders>
              <w:top w:val="single" w:color="auto" w:sz="4" w:space="0"/>
              <w:left w:val="single" w:color="auto" w:sz="4" w:space="0"/>
              <w:bottom w:val="single" w:color="auto" w:sz="4" w:space="0"/>
              <w:right w:val="single" w:color="auto" w:sz="4" w:space="0"/>
            </w:tcBorders>
            <w:noWrap w:val="0"/>
            <w:vAlign w:val="center"/>
          </w:tcPr>
          <w:p w14:paraId="38EF5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49926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eastAsia="zh-CN" w:bidi="ar"/>
              </w:rPr>
            </w:pPr>
            <w:r>
              <w:rPr>
                <w:rFonts w:hint="default" w:ascii="Times New Roman" w:hAnsi="Times New Roman" w:eastAsia="宋体" w:cs="Times New Roman"/>
                <w:b/>
                <w:bCs/>
                <w:color w:val="auto"/>
                <w:kern w:val="0"/>
                <w:sz w:val="18"/>
                <w:szCs w:val="18"/>
                <w:lang w:bidi="ar"/>
              </w:rPr>
              <w:t>203</w:t>
            </w:r>
            <w:r>
              <w:rPr>
                <w:rFonts w:hint="default" w:ascii="Times New Roman" w:hAnsi="Times New Roman" w:cs="Times New Roman"/>
                <w:b/>
                <w:bCs/>
                <w:color w:val="auto"/>
                <w:kern w:val="0"/>
                <w:sz w:val="18"/>
                <w:szCs w:val="18"/>
                <w:lang w:val="en-US" w:eastAsia="zh-CN" w:bidi="ar"/>
              </w:rPr>
              <w:t>4</w:t>
            </w:r>
          </w:p>
        </w:tc>
        <w:tc>
          <w:tcPr>
            <w:tcW w:w="678" w:type="dxa"/>
            <w:tcBorders>
              <w:top w:val="single" w:color="auto" w:sz="4" w:space="0"/>
              <w:left w:val="single" w:color="auto" w:sz="4" w:space="0"/>
              <w:bottom w:val="single" w:color="auto" w:sz="4" w:space="0"/>
              <w:right w:val="single" w:color="auto" w:sz="4" w:space="0"/>
            </w:tcBorders>
            <w:noWrap w:val="0"/>
            <w:vAlign w:val="center"/>
          </w:tcPr>
          <w:p w14:paraId="5D11F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昼间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6A38D5D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63.79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FE7C79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70.24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85641C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62.65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23DBD0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58.47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B9FC29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56.21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F85DA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54.73</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684821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53.6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282255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51.93</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ADBF5F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50.68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0E9BD9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49.67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95BD08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48.07</w:t>
            </w:r>
          </w:p>
        </w:tc>
      </w:tr>
      <w:tr w14:paraId="617A3C6C">
        <w:tblPrEx>
          <w:tblCellMar>
            <w:top w:w="0" w:type="dxa"/>
            <w:left w:w="108" w:type="dxa"/>
            <w:bottom w:w="0" w:type="dxa"/>
            <w:right w:w="108" w:type="dxa"/>
          </w:tblCellMar>
        </w:tblPrEx>
        <w:trPr>
          <w:trHeight w:val="315" w:hRule="atLeast"/>
        </w:trPr>
        <w:tc>
          <w:tcPr>
            <w:tcW w:w="342" w:type="dxa"/>
            <w:vMerge w:val="continue"/>
            <w:tcBorders>
              <w:top w:val="single" w:color="auto" w:sz="4" w:space="0"/>
              <w:left w:val="single" w:color="auto" w:sz="4" w:space="0"/>
              <w:bottom w:val="single" w:color="auto" w:sz="4" w:space="0"/>
              <w:right w:val="single" w:color="auto" w:sz="4" w:space="0"/>
            </w:tcBorders>
            <w:noWrap w:val="0"/>
            <w:vAlign w:val="center"/>
          </w:tcPr>
          <w:p w14:paraId="4FAA7E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67D293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78" w:type="dxa"/>
            <w:tcBorders>
              <w:top w:val="single" w:color="auto" w:sz="4" w:space="0"/>
              <w:left w:val="single" w:color="auto" w:sz="4" w:space="0"/>
              <w:bottom w:val="single" w:color="auto" w:sz="4" w:space="0"/>
              <w:right w:val="single" w:color="auto" w:sz="4" w:space="0"/>
            </w:tcBorders>
            <w:noWrap w:val="0"/>
            <w:vAlign w:val="center"/>
          </w:tcPr>
          <w:p w14:paraId="58F4AD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夜间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CCAB2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52.94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638A18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67.27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902921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58.41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383CE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53.03</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0890C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49.96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2FAD97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47.91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5F8E34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46.39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EBE03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44.36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228B1C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42.72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4E8AB5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41.24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CCF842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38.77</w:t>
            </w:r>
          </w:p>
        </w:tc>
      </w:tr>
      <w:tr w14:paraId="3BF694B2">
        <w:tblPrEx>
          <w:tblCellMar>
            <w:top w:w="0" w:type="dxa"/>
            <w:left w:w="108" w:type="dxa"/>
            <w:bottom w:w="0" w:type="dxa"/>
            <w:right w:w="108" w:type="dxa"/>
          </w:tblCellMar>
        </w:tblPrEx>
        <w:trPr>
          <w:trHeight w:val="315" w:hRule="atLeast"/>
        </w:trPr>
        <w:tc>
          <w:tcPr>
            <w:tcW w:w="342" w:type="dxa"/>
            <w:vMerge w:val="continue"/>
            <w:tcBorders>
              <w:top w:val="single" w:color="auto" w:sz="4" w:space="0"/>
              <w:left w:val="single" w:color="auto" w:sz="4" w:space="0"/>
              <w:bottom w:val="single" w:color="auto" w:sz="4" w:space="0"/>
              <w:right w:val="single" w:color="auto" w:sz="4" w:space="0"/>
            </w:tcBorders>
            <w:noWrap w:val="0"/>
            <w:vAlign w:val="center"/>
          </w:tcPr>
          <w:p w14:paraId="4B499D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90" w:type="dxa"/>
            <w:vMerge w:val="restart"/>
            <w:tcBorders>
              <w:top w:val="single" w:color="auto" w:sz="4" w:space="0"/>
              <w:left w:val="single" w:color="auto" w:sz="4" w:space="0"/>
              <w:bottom w:val="single" w:color="auto" w:sz="4" w:space="0"/>
              <w:right w:val="single" w:color="auto" w:sz="4" w:space="0"/>
            </w:tcBorders>
            <w:noWrap w:val="0"/>
            <w:vAlign w:val="center"/>
          </w:tcPr>
          <w:p w14:paraId="5C5BB4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eastAsia="zh-CN" w:bidi="ar"/>
              </w:rPr>
            </w:pPr>
            <w:r>
              <w:rPr>
                <w:rFonts w:hint="default" w:ascii="Times New Roman" w:hAnsi="Times New Roman" w:eastAsia="宋体" w:cs="Times New Roman"/>
                <w:b/>
                <w:bCs/>
                <w:color w:val="auto"/>
                <w:kern w:val="0"/>
                <w:sz w:val="18"/>
                <w:szCs w:val="18"/>
                <w:lang w:bidi="ar"/>
              </w:rPr>
              <w:t>204</w:t>
            </w:r>
            <w:r>
              <w:rPr>
                <w:rFonts w:hint="default" w:ascii="Times New Roman" w:hAnsi="Times New Roman" w:cs="Times New Roman"/>
                <w:b/>
                <w:bCs/>
                <w:color w:val="auto"/>
                <w:kern w:val="0"/>
                <w:sz w:val="18"/>
                <w:szCs w:val="18"/>
                <w:lang w:val="en-US" w:eastAsia="zh-CN" w:bidi="ar"/>
              </w:rPr>
              <w:t>2</w:t>
            </w:r>
          </w:p>
        </w:tc>
        <w:tc>
          <w:tcPr>
            <w:tcW w:w="678" w:type="dxa"/>
            <w:tcBorders>
              <w:top w:val="single" w:color="auto" w:sz="4" w:space="0"/>
              <w:left w:val="single" w:color="auto" w:sz="4" w:space="0"/>
              <w:bottom w:val="single" w:color="auto" w:sz="4" w:space="0"/>
              <w:right w:val="single" w:color="auto" w:sz="4" w:space="0"/>
            </w:tcBorders>
            <w:noWrap w:val="0"/>
            <w:vAlign w:val="center"/>
          </w:tcPr>
          <w:p w14:paraId="53A562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昼间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8648FE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59.61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24C28B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71.39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AEAF106">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63.79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4716D6F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59.61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25AB35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57.35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894429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55.87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7D0273B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54.75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3FE4D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53.07</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796219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51.82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F9BF2E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50.81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D40D98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49.21</w:t>
            </w:r>
          </w:p>
        </w:tc>
      </w:tr>
      <w:tr w14:paraId="7FF5559B">
        <w:tblPrEx>
          <w:tblCellMar>
            <w:top w:w="0" w:type="dxa"/>
            <w:left w:w="108" w:type="dxa"/>
            <w:bottom w:w="0" w:type="dxa"/>
            <w:right w:w="108" w:type="dxa"/>
          </w:tblCellMar>
        </w:tblPrEx>
        <w:trPr>
          <w:trHeight w:val="315" w:hRule="atLeast"/>
        </w:trPr>
        <w:tc>
          <w:tcPr>
            <w:tcW w:w="342" w:type="dxa"/>
            <w:vMerge w:val="continue"/>
            <w:tcBorders>
              <w:top w:val="single" w:color="auto" w:sz="4" w:space="0"/>
              <w:left w:val="single" w:color="auto" w:sz="4" w:space="0"/>
              <w:bottom w:val="single" w:color="auto" w:sz="4" w:space="0"/>
              <w:right w:val="single" w:color="auto" w:sz="4" w:space="0"/>
            </w:tcBorders>
            <w:noWrap w:val="0"/>
            <w:vAlign w:val="center"/>
          </w:tcPr>
          <w:p w14:paraId="50C456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90" w:type="dxa"/>
            <w:vMerge w:val="continue"/>
            <w:tcBorders>
              <w:top w:val="single" w:color="auto" w:sz="4" w:space="0"/>
              <w:left w:val="single" w:color="auto" w:sz="4" w:space="0"/>
              <w:bottom w:val="single" w:color="auto" w:sz="4" w:space="0"/>
              <w:right w:val="single" w:color="auto" w:sz="4" w:space="0"/>
            </w:tcBorders>
            <w:noWrap w:val="0"/>
            <w:vAlign w:val="center"/>
          </w:tcPr>
          <w:p w14:paraId="5CDE87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p>
        </w:tc>
        <w:tc>
          <w:tcPr>
            <w:tcW w:w="678" w:type="dxa"/>
            <w:tcBorders>
              <w:top w:val="single" w:color="auto" w:sz="4" w:space="0"/>
              <w:left w:val="single" w:color="auto" w:sz="4" w:space="0"/>
              <w:bottom w:val="single" w:color="auto" w:sz="4" w:space="0"/>
              <w:right w:val="single" w:color="auto" w:sz="4" w:space="0"/>
            </w:tcBorders>
            <w:noWrap w:val="0"/>
            <w:vAlign w:val="center"/>
          </w:tcPr>
          <w:p w14:paraId="1A72A9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rPr>
                <w:rFonts w:hint="default" w:ascii="Times New Roman" w:hAnsi="Times New Roman" w:eastAsia="宋体" w:cs="Times New Roman"/>
                <w:b/>
                <w:bCs/>
                <w:color w:val="auto"/>
                <w:kern w:val="0"/>
                <w:sz w:val="18"/>
                <w:szCs w:val="18"/>
                <w:lang w:bidi="ar"/>
              </w:rPr>
            </w:pPr>
            <w:r>
              <w:rPr>
                <w:rFonts w:hint="default" w:ascii="Times New Roman" w:hAnsi="Times New Roman" w:eastAsia="宋体" w:cs="Times New Roman"/>
                <w:b/>
                <w:bCs/>
                <w:color w:val="auto"/>
                <w:kern w:val="0"/>
                <w:sz w:val="18"/>
                <w:szCs w:val="18"/>
                <w:lang w:bidi="ar"/>
              </w:rPr>
              <w:t>夜间</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7D3693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51.81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01CD10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68.45</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6DE83D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val="en-US" w:eastAsia="zh-CN" w:bidi="ar"/>
              </w:rPr>
            </w:pPr>
            <w:r>
              <w:rPr>
                <w:rFonts w:hint="default" w:ascii="Times New Roman" w:hAnsi="Times New Roman" w:eastAsia="宋体" w:cs="Times New Roman"/>
                <w:i w:val="0"/>
                <w:iCs w:val="0"/>
                <w:color w:val="auto"/>
                <w:kern w:val="0"/>
                <w:sz w:val="18"/>
                <w:szCs w:val="18"/>
                <w:u w:val="none"/>
                <w:lang w:val="en-US" w:eastAsia="zh-CN" w:bidi="ar"/>
              </w:rPr>
              <w:t>60.86</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AA8E3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56.68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CC4072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54.42</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0891F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52.94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38F0CC8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51.81</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565875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50.14</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1E6B8705">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48.89</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29A6718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47.88</w:t>
            </w:r>
          </w:p>
        </w:tc>
        <w:tc>
          <w:tcPr>
            <w:tcW w:w="689" w:type="dxa"/>
            <w:tcBorders>
              <w:top w:val="single" w:color="auto" w:sz="4" w:space="0"/>
              <w:left w:val="single" w:color="auto" w:sz="4" w:space="0"/>
              <w:bottom w:val="single" w:color="auto" w:sz="4" w:space="0"/>
              <w:right w:val="single" w:color="auto" w:sz="4" w:space="0"/>
            </w:tcBorders>
            <w:noWrap w:val="0"/>
            <w:vAlign w:val="center"/>
          </w:tcPr>
          <w:p w14:paraId="5FBE874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center"/>
              <w:rPr>
                <w:rFonts w:hint="default" w:ascii="Times New Roman" w:hAnsi="Times New Roman" w:eastAsia="宋体" w:cs="Times New Roman"/>
                <w:b w:val="0"/>
                <w:bCs w:val="0"/>
                <w:color w:val="auto"/>
                <w:kern w:val="0"/>
                <w:sz w:val="18"/>
                <w:szCs w:val="18"/>
                <w:lang w:bidi="ar"/>
              </w:rPr>
            </w:pPr>
            <w:r>
              <w:rPr>
                <w:rFonts w:hint="default" w:ascii="Times New Roman" w:hAnsi="Times New Roman" w:eastAsia="宋体" w:cs="Times New Roman"/>
                <w:i w:val="0"/>
                <w:iCs w:val="0"/>
                <w:color w:val="auto"/>
                <w:kern w:val="0"/>
                <w:sz w:val="18"/>
                <w:szCs w:val="18"/>
                <w:u w:val="none"/>
                <w:lang w:val="en-US" w:eastAsia="zh-CN" w:bidi="ar"/>
              </w:rPr>
              <w:t>46.28</w:t>
            </w:r>
          </w:p>
        </w:tc>
      </w:tr>
    </w:tbl>
    <w:p w14:paraId="27564F6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由上表可以看出，本项目建</w:t>
      </w:r>
      <w:r>
        <w:rPr>
          <w:rFonts w:hint="default" w:ascii="Times New Roman" w:hAnsi="Times New Roman" w:eastAsia="宋体" w:cs="Times New Roman"/>
          <w:color w:val="auto"/>
          <w:lang w:eastAsia="zh-CN"/>
        </w:rPr>
        <w:t>成后</w:t>
      </w:r>
      <w:r>
        <w:rPr>
          <w:rFonts w:hint="default" w:ascii="Times New Roman" w:hAnsi="Times New Roman" w:eastAsia="宋体" w:cs="Times New Roman"/>
          <w:color w:val="auto"/>
        </w:rPr>
        <w:t>通过采取道路绿化后噪声对周围环境的影响分析如下：</w:t>
      </w:r>
    </w:p>
    <w:p w14:paraId="05113C33">
      <w:pPr>
        <w:ind w:firstLine="480"/>
        <w:rPr>
          <w:rFonts w:hint="eastAsia" w:ascii="Times New Roman" w:hAnsi="Times New Roman" w:eastAsia="宋体" w:cs="Times New Roman"/>
          <w:color w:val="auto"/>
          <w:lang w:val="en-US" w:eastAsia="zh-CN"/>
        </w:rPr>
      </w:pPr>
      <w:r>
        <w:rPr>
          <w:rFonts w:hint="default" w:ascii="Times New Roman" w:hAnsi="Times New Roman" w:eastAsia="宋体" w:cs="Times New Roman"/>
          <w:color w:val="auto"/>
        </w:rPr>
        <w:t>道路噪声预测值运行近期（202</w:t>
      </w:r>
      <w:r>
        <w:rPr>
          <w:rFonts w:hint="eastAsia" w:cs="Times New Roman"/>
          <w:color w:val="auto"/>
          <w:lang w:val="en-US" w:eastAsia="zh-CN"/>
        </w:rPr>
        <w:t>7</w:t>
      </w:r>
      <w:r>
        <w:rPr>
          <w:rFonts w:hint="default" w:ascii="Times New Roman" w:hAnsi="Times New Roman" w:eastAsia="宋体" w:cs="Times New Roman"/>
          <w:color w:val="auto"/>
        </w:rPr>
        <w:t>年）、中期（203</w:t>
      </w:r>
      <w:r>
        <w:rPr>
          <w:rFonts w:hint="eastAsia" w:cs="Times New Roman"/>
          <w:color w:val="auto"/>
          <w:lang w:val="en-US" w:eastAsia="zh-CN"/>
        </w:rPr>
        <w:t>4</w:t>
      </w:r>
      <w:r>
        <w:rPr>
          <w:rFonts w:hint="default" w:ascii="Times New Roman" w:hAnsi="Times New Roman" w:eastAsia="宋体" w:cs="Times New Roman"/>
          <w:color w:val="auto"/>
        </w:rPr>
        <w:t>年）、远期（204</w:t>
      </w:r>
      <w:r>
        <w:rPr>
          <w:rFonts w:hint="eastAsia" w:cs="Times New Roman"/>
          <w:color w:val="auto"/>
          <w:lang w:val="en-US" w:eastAsia="zh-CN"/>
        </w:rPr>
        <w:t>2</w:t>
      </w:r>
      <w:r>
        <w:rPr>
          <w:rFonts w:hint="default" w:ascii="Times New Roman" w:hAnsi="Times New Roman" w:eastAsia="宋体" w:cs="Times New Roman"/>
          <w:color w:val="auto"/>
        </w:rPr>
        <w:t>年）昼间和夜间距道路</w:t>
      </w:r>
      <w:r>
        <w:rPr>
          <w:rFonts w:hint="eastAsia" w:cs="Times New Roman"/>
          <w:color w:val="auto"/>
          <w:lang w:val="en-US" w:eastAsia="zh-CN"/>
        </w:rPr>
        <w:t>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20m处可达到4a类标准要求；近期（202</w:t>
      </w:r>
      <w:r>
        <w:rPr>
          <w:rFonts w:hint="eastAsia" w:cs="Times New Roman"/>
          <w:color w:val="auto"/>
          <w:lang w:val="en-US" w:eastAsia="zh-CN"/>
        </w:rPr>
        <w:t>7</w:t>
      </w:r>
      <w:r>
        <w:rPr>
          <w:rFonts w:hint="default" w:ascii="Times New Roman" w:hAnsi="Times New Roman" w:eastAsia="宋体" w:cs="Times New Roman"/>
          <w:color w:val="auto"/>
        </w:rPr>
        <w:t>年）</w:t>
      </w:r>
      <w:r>
        <w:rPr>
          <w:rFonts w:hint="eastAsia" w:cs="Times New Roman"/>
          <w:color w:val="auto"/>
          <w:lang w:val="en-US" w:eastAsia="zh-CN"/>
        </w:rPr>
        <w:t>和</w:t>
      </w:r>
      <w:r>
        <w:rPr>
          <w:rFonts w:hint="default" w:ascii="Times New Roman" w:hAnsi="Times New Roman" w:eastAsia="宋体" w:cs="Times New Roman"/>
          <w:color w:val="auto"/>
        </w:rPr>
        <w:t>中期（203</w:t>
      </w:r>
      <w:r>
        <w:rPr>
          <w:rFonts w:hint="eastAsia" w:cs="Times New Roman"/>
          <w:color w:val="auto"/>
          <w:lang w:val="en-US" w:eastAsia="zh-CN"/>
        </w:rPr>
        <w:t>4</w:t>
      </w:r>
      <w:r>
        <w:rPr>
          <w:rFonts w:hint="default" w:ascii="Times New Roman" w:hAnsi="Times New Roman" w:eastAsia="宋体" w:cs="Times New Roman"/>
          <w:color w:val="auto"/>
        </w:rPr>
        <w:t>年）昼间和夜间距道路</w:t>
      </w:r>
      <w:r>
        <w:rPr>
          <w:rFonts w:hint="eastAsia" w:cs="Times New Roman"/>
          <w:color w:val="auto"/>
          <w:lang w:val="en-US" w:eastAsia="zh-CN"/>
        </w:rPr>
        <w:t>中心线5</w:t>
      </w:r>
      <w:r>
        <w:rPr>
          <w:rFonts w:hint="default" w:ascii="Times New Roman" w:hAnsi="Times New Roman" w:eastAsia="宋体" w:cs="Times New Roman"/>
          <w:color w:val="auto"/>
        </w:rPr>
        <w:t>0m处可达到2类标准要求</w:t>
      </w:r>
      <w:r>
        <w:rPr>
          <w:rFonts w:hint="eastAsia" w:cs="Times New Roman"/>
          <w:color w:val="auto"/>
          <w:lang w:eastAsia="zh-CN"/>
        </w:rPr>
        <w:t>；</w:t>
      </w:r>
      <w:r>
        <w:rPr>
          <w:rFonts w:hint="default" w:ascii="Times New Roman" w:hAnsi="Times New Roman" w:eastAsia="宋体" w:cs="Times New Roman"/>
          <w:color w:val="auto"/>
        </w:rPr>
        <w:t>远期（204</w:t>
      </w:r>
      <w:r>
        <w:rPr>
          <w:rFonts w:hint="eastAsia" w:cs="Times New Roman"/>
          <w:color w:val="auto"/>
          <w:lang w:val="en-US" w:eastAsia="zh-CN"/>
        </w:rPr>
        <w:t>2</w:t>
      </w:r>
      <w:r>
        <w:rPr>
          <w:rFonts w:hint="default" w:ascii="Times New Roman" w:hAnsi="Times New Roman" w:eastAsia="宋体" w:cs="Times New Roman"/>
          <w:color w:val="auto"/>
        </w:rPr>
        <w:t>年）昼间和夜间距道路</w:t>
      </w:r>
      <w:r>
        <w:rPr>
          <w:rFonts w:hint="eastAsia" w:cs="Times New Roman"/>
          <w:color w:val="auto"/>
          <w:lang w:val="en-US" w:eastAsia="zh-CN"/>
        </w:rPr>
        <w:t>中心线120</w:t>
      </w:r>
      <w:r>
        <w:rPr>
          <w:rFonts w:hint="default" w:ascii="Times New Roman" w:hAnsi="Times New Roman" w:eastAsia="宋体" w:cs="Times New Roman"/>
          <w:color w:val="auto"/>
        </w:rPr>
        <w:t>m处可达到2类标准要求</w:t>
      </w:r>
      <w:r>
        <w:rPr>
          <w:rFonts w:hint="eastAsia" w:cs="Times New Roman"/>
          <w:color w:val="auto"/>
          <w:lang w:eastAsia="zh-CN"/>
        </w:rPr>
        <w:t>。</w:t>
      </w:r>
    </w:p>
    <w:p w14:paraId="037D7AEF">
      <w:pPr>
        <w:widowControl/>
        <w:ind w:firstLine="482"/>
        <w:jc w:val="left"/>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2</w:t>
      </w:r>
      <w:r>
        <w:rPr>
          <w:rFonts w:hint="default" w:ascii="Times New Roman" w:hAnsi="Times New Roman" w:eastAsia="宋体" w:cs="Times New Roman"/>
          <w:b/>
          <w:bCs/>
          <w:color w:val="auto"/>
          <w:kern w:val="0"/>
          <w:lang w:bidi="ar"/>
        </w:rPr>
        <w:t>）噪声贡献值等声级线图</w:t>
      </w:r>
    </w:p>
    <w:p w14:paraId="279BB405">
      <w:pPr>
        <w:keepNext w:val="0"/>
        <w:keepLines w:val="0"/>
        <w:widowControl/>
        <w:suppressLineNumbers w:val="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本项目属于山区公路，实际影响远小于平路堤预测。</w:t>
      </w:r>
      <w:r>
        <w:rPr>
          <w:rFonts w:hint="eastAsia" w:cs="Times New Roman"/>
          <w:color w:val="auto"/>
          <w:kern w:val="0"/>
          <w:lang w:val="en-US" w:eastAsia="zh-CN" w:bidi="ar"/>
        </w:rPr>
        <w:t>项目</w:t>
      </w:r>
      <w:r>
        <w:rPr>
          <w:rFonts w:hint="eastAsia" w:ascii="宋体" w:hAnsi="宋体" w:eastAsia="宋体" w:cs="宋体"/>
          <w:color w:val="auto"/>
          <w:kern w:val="0"/>
          <w:sz w:val="24"/>
          <w:szCs w:val="24"/>
          <w:lang w:val="en-US" w:eastAsia="zh-CN" w:bidi="ar"/>
        </w:rPr>
        <w:t>典型路段等声级线图</w:t>
      </w:r>
      <w:r>
        <w:rPr>
          <w:rFonts w:hint="default" w:ascii="Times New Roman" w:hAnsi="Times New Roman" w:eastAsia="宋体" w:cs="Times New Roman"/>
          <w:color w:val="auto"/>
          <w:kern w:val="0"/>
          <w:lang w:bidi="ar"/>
        </w:rPr>
        <w:t>见下图。</w:t>
      </w:r>
    </w:p>
    <w:p w14:paraId="0F074B4C">
      <w:pPr>
        <w:ind w:firstLine="0" w:firstLineChars="0"/>
        <w:jc w:val="center"/>
        <w:rPr>
          <w:rFonts w:hint="eastAsia" w:ascii="Times New Roman" w:hAnsi="Times New Roman" w:eastAsia="宋体" w:cs="Times New Roman"/>
          <w:b/>
          <w:color w:val="auto"/>
          <w:lang w:eastAsia="zh-CN"/>
        </w:rPr>
      </w:pPr>
      <w:r>
        <w:rPr>
          <w:rFonts w:hint="eastAsia" w:ascii="Times New Roman" w:hAnsi="Times New Roman" w:eastAsia="宋体" w:cs="Times New Roman"/>
          <w:b/>
          <w:color w:val="auto"/>
          <w:lang w:eastAsia="zh-CN"/>
        </w:rPr>
        <w:drawing>
          <wp:inline distT="0" distB="0" distL="114300" distR="114300">
            <wp:extent cx="4855210" cy="4395470"/>
            <wp:effectExtent l="9525" t="9525" r="12065" b="14605"/>
            <wp:docPr id="77" name="图片 77" descr="0f3fb995-2881-4b28-8d30-a4c40aa102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0f3fb995-2881-4b28-8d30-a4c40aa102e7"/>
                    <pic:cNvPicPr>
                      <a:picLocks noChangeAspect="1"/>
                    </pic:cNvPicPr>
                  </pic:nvPicPr>
                  <pic:blipFill>
                    <a:blip r:embed="rId87"/>
                    <a:stretch>
                      <a:fillRect/>
                    </a:stretch>
                  </pic:blipFill>
                  <pic:spPr>
                    <a:xfrm>
                      <a:off x="0" y="0"/>
                      <a:ext cx="4855210" cy="4395470"/>
                    </a:xfrm>
                    <a:prstGeom prst="rect">
                      <a:avLst/>
                    </a:prstGeom>
                    <a:ln>
                      <a:solidFill>
                        <a:schemeClr val="tx1"/>
                      </a:solidFill>
                    </a:ln>
                  </pic:spPr>
                </pic:pic>
              </a:graphicData>
            </a:graphic>
          </wp:inline>
        </w:drawing>
      </w:r>
    </w:p>
    <w:p w14:paraId="35394E7F">
      <w:pPr>
        <w:widowControl/>
        <w:ind w:firstLine="482"/>
        <w:jc w:val="center"/>
        <w:rPr>
          <w:rFonts w:hint="default" w:ascii="Times New Roman" w:hAnsi="Times New Roman" w:eastAsia="宋体" w:cs="Times New Roman"/>
          <w:b/>
          <w:bCs/>
          <w:color w:val="auto"/>
          <w:kern w:val="0"/>
          <w:lang w:bidi="ar"/>
        </w:rPr>
      </w:pPr>
      <w:r>
        <w:rPr>
          <w:rFonts w:hint="default" w:ascii="Times New Roman" w:hAnsi="Times New Roman" w:eastAsia="宋体" w:cs="Times New Roman"/>
          <w:b/>
          <w:color w:val="auto"/>
        </w:rPr>
        <w:t>图5-1路段营运期（202</w:t>
      </w:r>
      <w:r>
        <w:rPr>
          <w:rFonts w:hint="eastAsia" w:cs="Times New Roman"/>
          <w:b/>
          <w:color w:val="auto"/>
          <w:lang w:val="en-US" w:eastAsia="zh-CN"/>
        </w:rPr>
        <w:t>7</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昼间噪声等声级线图</w:t>
      </w:r>
    </w:p>
    <w:p w14:paraId="1A0D4E0A">
      <w:pPr>
        <w:widowControl/>
        <w:ind w:firstLine="0" w:firstLineChars="0"/>
        <w:jc w:val="center"/>
        <w:rPr>
          <w:rFonts w:hint="eastAsia" w:ascii="Times New Roman" w:hAnsi="Times New Roman" w:eastAsia="宋体" w:cs="Times New Roman"/>
          <w:b/>
          <w:bCs/>
          <w:color w:val="auto"/>
          <w:kern w:val="0"/>
          <w:lang w:eastAsia="zh-CN" w:bidi="ar"/>
        </w:rPr>
      </w:pPr>
      <w:r>
        <w:rPr>
          <w:rFonts w:hint="eastAsia" w:ascii="Times New Roman" w:hAnsi="Times New Roman" w:eastAsia="宋体" w:cs="Times New Roman"/>
          <w:b/>
          <w:bCs/>
          <w:color w:val="auto"/>
          <w:kern w:val="0"/>
          <w:lang w:eastAsia="zh-CN" w:bidi="ar"/>
        </w:rPr>
        <w:drawing>
          <wp:inline distT="0" distB="0" distL="114300" distR="114300">
            <wp:extent cx="4535805" cy="4084320"/>
            <wp:effectExtent l="9525" t="9525" r="26670" b="20955"/>
            <wp:docPr id="78" name="图片 78" descr="b2cb4af3-e2a0-4061-a525-201a04a8b6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b2cb4af3-e2a0-4061-a525-201a04a8b6c3"/>
                    <pic:cNvPicPr>
                      <a:picLocks noChangeAspect="1"/>
                    </pic:cNvPicPr>
                  </pic:nvPicPr>
                  <pic:blipFill>
                    <a:blip r:embed="rId88"/>
                    <a:stretch>
                      <a:fillRect/>
                    </a:stretch>
                  </pic:blipFill>
                  <pic:spPr>
                    <a:xfrm>
                      <a:off x="0" y="0"/>
                      <a:ext cx="4535805" cy="4084320"/>
                    </a:xfrm>
                    <a:prstGeom prst="rect">
                      <a:avLst/>
                    </a:prstGeom>
                    <a:ln>
                      <a:solidFill>
                        <a:schemeClr val="tx1"/>
                      </a:solidFill>
                    </a:ln>
                  </pic:spPr>
                </pic:pic>
              </a:graphicData>
            </a:graphic>
          </wp:inline>
        </w:drawing>
      </w:r>
    </w:p>
    <w:p w14:paraId="715E4EB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0"/>
          <w:lang w:bidi="ar"/>
        </w:rPr>
      </w:pPr>
      <w:r>
        <w:rPr>
          <w:rFonts w:hint="default" w:ascii="Times New Roman" w:hAnsi="Times New Roman" w:eastAsia="宋体" w:cs="Times New Roman"/>
          <w:b/>
          <w:color w:val="auto"/>
        </w:rPr>
        <w:t>图5-2  路段营运期（202</w:t>
      </w:r>
      <w:r>
        <w:rPr>
          <w:rFonts w:hint="eastAsia" w:cs="Times New Roman"/>
          <w:b/>
          <w:color w:val="auto"/>
          <w:lang w:val="en-US" w:eastAsia="zh-CN"/>
        </w:rPr>
        <w:t>7</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夜间噪声等声级线图</w:t>
      </w:r>
    </w:p>
    <w:p w14:paraId="6CBF0FA3">
      <w:pPr>
        <w:ind w:firstLine="0" w:firstLineChars="0"/>
        <w:jc w:val="center"/>
        <w:rPr>
          <w:rFonts w:hint="eastAsia" w:ascii="Times New Roman" w:hAnsi="Times New Roman" w:eastAsia="宋体" w:cs="Times New Roman"/>
          <w:b/>
          <w:color w:val="auto"/>
          <w:lang w:eastAsia="zh-CN"/>
        </w:rPr>
      </w:pPr>
      <w:r>
        <w:rPr>
          <w:rFonts w:hint="eastAsia" w:ascii="Times New Roman" w:hAnsi="Times New Roman" w:eastAsia="宋体" w:cs="Times New Roman"/>
          <w:b/>
          <w:color w:val="auto"/>
          <w:lang w:eastAsia="zh-CN"/>
        </w:rPr>
        <w:drawing>
          <wp:inline distT="0" distB="0" distL="114300" distR="114300">
            <wp:extent cx="4516120" cy="4122420"/>
            <wp:effectExtent l="9525" t="9525" r="27305" b="20955"/>
            <wp:docPr id="50" name="图片 50" descr="c06250ee-0db6-4572-9c01-07317c780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06250ee-0db6-4572-9c01-07317c78064c"/>
                    <pic:cNvPicPr>
                      <a:picLocks noChangeAspect="1"/>
                    </pic:cNvPicPr>
                  </pic:nvPicPr>
                  <pic:blipFill>
                    <a:blip r:embed="rId89"/>
                    <a:stretch>
                      <a:fillRect/>
                    </a:stretch>
                  </pic:blipFill>
                  <pic:spPr>
                    <a:xfrm>
                      <a:off x="0" y="0"/>
                      <a:ext cx="4516120" cy="4122420"/>
                    </a:xfrm>
                    <a:prstGeom prst="rect">
                      <a:avLst/>
                    </a:prstGeom>
                    <a:ln>
                      <a:solidFill>
                        <a:schemeClr val="tx1"/>
                      </a:solidFill>
                    </a:ln>
                  </pic:spPr>
                </pic:pic>
              </a:graphicData>
            </a:graphic>
          </wp:inline>
        </w:drawing>
      </w:r>
    </w:p>
    <w:p w14:paraId="77532D94">
      <w:pPr>
        <w:ind w:firstLine="482"/>
        <w:jc w:val="center"/>
        <w:rPr>
          <w:rFonts w:hint="default" w:ascii="Times New Roman" w:hAnsi="Times New Roman" w:eastAsia="宋体" w:cs="Times New Roman"/>
          <w:b/>
          <w:color w:val="auto"/>
        </w:rPr>
      </w:pPr>
      <w:r>
        <w:rPr>
          <w:rFonts w:hint="default" w:ascii="Times New Roman" w:hAnsi="Times New Roman" w:eastAsia="宋体" w:cs="Times New Roman"/>
          <w:b/>
          <w:color w:val="auto"/>
        </w:rPr>
        <w:t>图5-3  路段营运期（20</w:t>
      </w:r>
      <w:r>
        <w:rPr>
          <w:rFonts w:hint="eastAsia" w:cs="Times New Roman"/>
          <w:b/>
          <w:color w:val="auto"/>
          <w:lang w:val="en-US" w:eastAsia="zh-CN"/>
        </w:rPr>
        <w:t>34</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昼间噪声等声级线图</w:t>
      </w:r>
    </w:p>
    <w:p w14:paraId="4849EB3F">
      <w:pPr>
        <w:ind w:firstLine="0" w:firstLineChars="0"/>
        <w:jc w:val="center"/>
        <w:rPr>
          <w:rFonts w:hint="eastAsia" w:ascii="Times New Roman" w:hAnsi="Times New Roman" w:eastAsia="宋体" w:cs="Times New Roman"/>
          <w:b/>
          <w:color w:val="auto"/>
          <w:lang w:eastAsia="zh-CN"/>
        </w:rPr>
      </w:pPr>
      <w:r>
        <w:rPr>
          <w:rFonts w:hint="eastAsia" w:ascii="Times New Roman" w:hAnsi="Times New Roman" w:eastAsia="宋体" w:cs="Times New Roman"/>
          <w:b/>
          <w:color w:val="auto"/>
          <w:lang w:eastAsia="zh-CN"/>
        </w:rPr>
        <w:drawing>
          <wp:inline distT="0" distB="0" distL="114300" distR="114300">
            <wp:extent cx="4556125" cy="4136390"/>
            <wp:effectExtent l="9525" t="9525" r="25400" b="26035"/>
            <wp:docPr id="70" name="图片 70" descr="bf2d41c0-cbf3-4cfe-8434-fd5cc83093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bf2d41c0-cbf3-4cfe-8434-fd5cc83093d0"/>
                    <pic:cNvPicPr>
                      <a:picLocks noChangeAspect="1"/>
                    </pic:cNvPicPr>
                  </pic:nvPicPr>
                  <pic:blipFill>
                    <a:blip r:embed="rId90"/>
                    <a:stretch>
                      <a:fillRect/>
                    </a:stretch>
                  </pic:blipFill>
                  <pic:spPr>
                    <a:xfrm>
                      <a:off x="0" y="0"/>
                      <a:ext cx="4556125" cy="4136390"/>
                    </a:xfrm>
                    <a:prstGeom prst="rect">
                      <a:avLst/>
                    </a:prstGeom>
                    <a:ln>
                      <a:solidFill>
                        <a:schemeClr val="tx1"/>
                      </a:solidFill>
                    </a:ln>
                  </pic:spPr>
                </pic:pic>
              </a:graphicData>
            </a:graphic>
          </wp:inline>
        </w:drawing>
      </w:r>
    </w:p>
    <w:p w14:paraId="22D2769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color w:val="auto"/>
        </w:rPr>
      </w:pPr>
      <w:r>
        <w:rPr>
          <w:rFonts w:hint="default" w:ascii="Times New Roman" w:hAnsi="Times New Roman" w:eastAsia="宋体" w:cs="Times New Roman"/>
          <w:b/>
          <w:color w:val="auto"/>
        </w:rPr>
        <w:t>图5-4  路段营运期（20</w:t>
      </w:r>
      <w:r>
        <w:rPr>
          <w:rFonts w:hint="eastAsia" w:cs="Times New Roman"/>
          <w:b/>
          <w:color w:val="auto"/>
          <w:lang w:val="en-US" w:eastAsia="zh-CN"/>
        </w:rPr>
        <w:t>34</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夜间噪声等声级线图</w:t>
      </w:r>
    </w:p>
    <w:p w14:paraId="4186016D">
      <w:pPr>
        <w:ind w:firstLine="0" w:firstLineChars="0"/>
        <w:jc w:val="center"/>
        <w:rPr>
          <w:rFonts w:hint="eastAsia" w:ascii="Times New Roman" w:hAnsi="Times New Roman" w:eastAsia="宋体" w:cs="Times New Roman"/>
          <w:b/>
          <w:color w:val="auto"/>
          <w:lang w:eastAsia="zh-CN"/>
        </w:rPr>
      </w:pPr>
      <w:r>
        <w:rPr>
          <w:rFonts w:hint="eastAsia" w:ascii="Times New Roman" w:hAnsi="Times New Roman" w:eastAsia="宋体" w:cs="Times New Roman"/>
          <w:b/>
          <w:color w:val="auto"/>
          <w:lang w:eastAsia="zh-CN"/>
        </w:rPr>
        <w:drawing>
          <wp:inline distT="0" distB="0" distL="114300" distR="114300">
            <wp:extent cx="4506595" cy="4040505"/>
            <wp:effectExtent l="9525" t="9525" r="17780" b="26670"/>
            <wp:docPr id="44" name="图片 44" descr="6ed3aaf9-ea24-49e4-93fe-9b9d39c41b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6ed3aaf9-ea24-49e4-93fe-9b9d39c41be1"/>
                    <pic:cNvPicPr>
                      <a:picLocks noChangeAspect="1"/>
                    </pic:cNvPicPr>
                  </pic:nvPicPr>
                  <pic:blipFill>
                    <a:blip r:embed="rId91"/>
                    <a:stretch>
                      <a:fillRect/>
                    </a:stretch>
                  </pic:blipFill>
                  <pic:spPr>
                    <a:xfrm>
                      <a:off x="0" y="0"/>
                      <a:ext cx="4506595" cy="4040505"/>
                    </a:xfrm>
                    <a:prstGeom prst="rect">
                      <a:avLst/>
                    </a:prstGeom>
                    <a:ln>
                      <a:solidFill>
                        <a:schemeClr val="tx1"/>
                      </a:solidFill>
                    </a:ln>
                  </pic:spPr>
                </pic:pic>
              </a:graphicData>
            </a:graphic>
          </wp:inline>
        </w:drawing>
      </w:r>
    </w:p>
    <w:p w14:paraId="105765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lang w:bidi="ar"/>
        </w:rPr>
      </w:pPr>
      <w:r>
        <w:rPr>
          <w:rFonts w:hint="default" w:ascii="Times New Roman" w:hAnsi="Times New Roman" w:eastAsia="宋体" w:cs="Times New Roman"/>
          <w:b/>
          <w:color w:val="auto"/>
        </w:rPr>
        <w:t>图5-5  路段营运期（20</w:t>
      </w:r>
      <w:r>
        <w:rPr>
          <w:rFonts w:hint="eastAsia" w:cs="Times New Roman"/>
          <w:b/>
          <w:color w:val="auto"/>
          <w:lang w:val="en-US" w:eastAsia="zh-CN"/>
        </w:rPr>
        <w:t>42</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昼间噪声等声级线图</w:t>
      </w:r>
    </w:p>
    <w:p w14:paraId="4C9D7158">
      <w:pPr>
        <w:ind w:firstLine="0" w:firstLineChars="0"/>
        <w:jc w:val="center"/>
        <w:rPr>
          <w:rFonts w:hint="eastAsia" w:ascii="Times New Roman" w:hAnsi="Times New Roman" w:eastAsia="宋体" w:cs="Times New Roman"/>
          <w:b/>
          <w:color w:val="auto"/>
          <w:lang w:eastAsia="zh-CN"/>
        </w:rPr>
      </w:pPr>
      <w:r>
        <w:rPr>
          <w:rFonts w:hint="eastAsia" w:ascii="Times New Roman" w:hAnsi="Times New Roman" w:eastAsia="宋体" w:cs="Times New Roman"/>
          <w:b/>
          <w:color w:val="auto"/>
          <w:lang w:eastAsia="zh-CN"/>
        </w:rPr>
        <w:drawing>
          <wp:inline distT="0" distB="0" distL="114300" distR="114300">
            <wp:extent cx="4643755" cy="4507865"/>
            <wp:effectExtent l="9525" t="9525" r="13970" b="16510"/>
            <wp:docPr id="47" name="图片 47" descr="9683b15f-ac2a-48b0-8554-d9ee819481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9683b15f-ac2a-48b0-8554-d9ee8194816b"/>
                    <pic:cNvPicPr>
                      <a:picLocks noChangeAspect="1"/>
                    </pic:cNvPicPr>
                  </pic:nvPicPr>
                  <pic:blipFill>
                    <a:blip r:embed="rId92"/>
                    <a:stretch>
                      <a:fillRect/>
                    </a:stretch>
                  </pic:blipFill>
                  <pic:spPr>
                    <a:xfrm>
                      <a:off x="0" y="0"/>
                      <a:ext cx="4643755" cy="4507865"/>
                    </a:xfrm>
                    <a:prstGeom prst="rect">
                      <a:avLst/>
                    </a:prstGeom>
                    <a:ln>
                      <a:solidFill>
                        <a:schemeClr val="tx1"/>
                      </a:solidFill>
                    </a:ln>
                  </pic:spPr>
                </pic:pic>
              </a:graphicData>
            </a:graphic>
          </wp:inline>
        </w:drawing>
      </w:r>
    </w:p>
    <w:p w14:paraId="220CF0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lang w:bidi="ar"/>
        </w:rPr>
      </w:pPr>
      <w:r>
        <w:rPr>
          <w:rFonts w:hint="default" w:ascii="Times New Roman" w:hAnsi="Times New Roman" w:eastAsia="宋体" w:cs="Times New Roman"/>
          <w:color w:val="auto"/>
        </w:rPr>
        <w:tab/>
      </w:r>
      <w:r>
        <w:rPr>
          <w:rFonts w:hint="default" w:ascii="Times New Roman" w:hAnsi="Times New Roman" w:eastAsia="宋体" w:cs="Times New Roman"/>
          <w:b/>
          <w:color w:val="auto"/>
        </w:rPr>
        <w:t>图5-6  路段营运期（20</w:t>
      </w:r>
      <w:r>
        <w:rPr>
          <w:rFonts w:hint="eastAsia" w:cs="Times New Roman"/>
          <w:b/>
          <w:color w:val="auto"/>
          <w:lang w:val="en-US" w:eastAsia="zh-CN"/>
        </w:rPr>
        <w:t>42</w:t>
      </w:r>
      <w:r>
        <w:rPr>
          <w:rFonts w:hint="default" w:ascii="Times New Roman" w:hAnsi="Times New Roman" w:eastAsia="宋体" w:cs="Times New Roman"/>
          <w:b/>
          <w:color w:val="auto"/>
        </w:rPr>
        <w:t>）</w:t>
      </w:r>
      <w:r>
        <w:rPr>
          <w:rFonts w:hint="default" w:ascii="Times New Roman" w:hAnsi="Times New Roman" w:eastAsia="宋体" w:cs="Times New Roman"/>
          <w:b/>
          <w:bCs/>
          <w:color w:val="auto"/>
          <w:kern w:val="0"/>
          <w:lang w:bidi="ar"/>
        </w:rPr>
        <w:t>夜间噪声等声级线图</w:t>
      </w:r>
    </w:p>
    <w:p w14:paraId="0E40AEC9">
      <w:pPr>
        <w:ind w:firstLine="482"/>
        <w:rPr>
          <w:rFonts w:hint="default" w:ascii="Times New Roman" w:hAnsi="Times New Roman" w:eastAsia="宋体" w:cs="Times New Roman"/>
          <w:b/>
          <w:color w:val="auto"/>
        </w:rPr>
      </w:pPr>
      <w:bookmarkStart w:id="118" w:name="_Toc327801051"/>
      <w:bookmarkStart w:id="119" w:name="_Toc351046703"/>
      <w:bookmarkStart w:id="120" w:name="_Toc352320952"/>
      <w:bookmarkStart w:id="121" w:name="_Toc335726444"/>
      <w:bookmarkStart w:id="122" w:name="_Toc367844683"/>
      <w:bookmarkStart w:id="123" w:name="_Toc352320802"/>
      <w:r>
        <w:rPr>
          <w:rFonts w:hint="default" w:ascii="Times New Roman" w:hAnsi="Times New Roman" w:eastAsia="宋体" w:cs="Times New Roman"/>
          <w:b/>
          <w:color w:val="auto"/>
        </w:rPr>
        <w:t>（</w:t>
      </w:r>
      <w:r>
        <w:rPr>
          <w:rFonts w:hint="eastAsia" w:ascii="Times New Roman" w:hAnsi="Times New Roman" w:eastAsia="宋体" w:cs="Times New Roman"/>
          <w:b/>
          <w:color w:val="auto"/>
          <w:lang w:val="en-US" w:eastAsia="zh-CN"/>
        </w:rPr>
        <w:t>3</w:t>
      </w:r>
      <w:r>
        <w:rPr>
          <w:rFonts w:hint="default" w:ascii="Times New Roman" w:hAnsi="Times New Roman" w:eastAsia="宋体" w:cs="Times New Roman"/>
          <w:b/>
          <w:color w:val="auto"/>
        </w:rPr>
        <w:t>）关心点噪声预测结果</w:t>
      </w:r>
    </w:p>
    <w:p w14:paraId="0ED006A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关心点环境噪声预测值由道路噪声预测值与环境噪声背景值叠加而得到，其中，交通噪声预测值将根据关心点所处位置确定其距路红线的距离，通过计算而得到。环境噪声背景值采用现状监测值。关心点的声环境评价标准根据关心点的限制和距离道路红线的距离而确定。拟建路段沿线声环境关心点的环境噪声预测见表5.2-</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w:t>
      </w:r>
    </w:p>
    <w:p w14:paraId="3CC08DF9">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表5.2-</w:t>
      </w:r>
      <w:r>
        <w:rPr>
          <w:rFonts w:hint="default" w:ascii="Times New Roman" w:hAnsi="Times New Roman" w:eastAsia="宋体" w:cs="Times New Roman"/>
          <w:b/>
          <w:bCs/>
          <w:color w:val="auto"/>
          <w:kern w:val="0"/>
          <w:sz w:val="21"/>
          <w:szCs w:val="21"/>
          <w:lang w:val="en-US" w:eastAsia="zh-CN" w:bidi="ar"/>
        </w:rPr>
        <w:t xml:space="preserve">8  </w:t>
      </w:r>
      <w:r>
        <w:rPr>
          <w:rFonts w:hint="default" w:ascii="Times New Roman" w:hAnsi="Times New Roman" w:eastAsia="宋体" w:cs="Times New Roman"/>
          <w:b/>
          <w:bCs/>
          <w:color w:val="auto"/>
          <w:kern w:val="0"/>
          <w:sz w:val="21"/>
          <w:szCs w:val="21"/>
          <w:lang w:bidi="ar"/>
        </w:rPr>
        <w:t>主要关心点噪声预测结果单位： dB（A）</w:t>
      </w:r>
    </w:p>
    <w:tbl>
      <w:tblPr>
        <w:tblStyle w:val="5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3"/>
        <w:gridCol w:w="757"/>
        <w:gridCol w:w="914"/>
        <w:gridCol w:w="914"/>
        <w:gridCol w:w="927"/>
        <w:gridCol w:w="1019"/>
        <w:gridCol w:w="1093"/>
        <w:gridCol w:w="862"/>
      </w:tblGrid>
      <w:tr w14:paraId="052AA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noWrap w:val="0"/>
            <w:vAlign w:val="center"/>
          </w:tcPr>
          <w:p w14:paraId="5C74158B">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点位</w:t>
            </w:r>
          </w:p>
        </w:tc>
        <w:tc>
          <w:tcPr>
            <w:tcW w:w="980" w:type="pct"/>
            <w:gridSpan w:val="2"/>
            <w:noWrap w:val="0"/>
            <w:vAlign w:val="center"/>
          </w:tcPr>
          <w:p w14:paraId="612C353D">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时间</w:t>
            </w:r>
          </w:p>
        </w:tc>
        <w:tc>
          <w:tcPr>
            <w:tcW w:w="536" w:type="pct"/>
            <w:noWrap w:val="0"/>
            <w:vAlign w:val="center"/>
          </w:tcPr>
          <w:p w14:paraId="17D7A21E">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贡献值</w:t>
            </w:r>
          </w:p>
        </w:tc>
        <w:tc>
          <w:tcPr>
            <w:tcW w:w="544" w:type="pct"/>
            <w:noWrap w:val="0"/>
            <w:vAlign w:val="center"/>
          </w:tcPr>
          <w:p w14:paraId="20F8523F">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背景值</w:t>
            </w:r>
          </w:p>
        </w:tc>
        <w:tc>
          <w:tcPr>
            <w:tcW w:w="598" w:type="pct"/>
            <w:noWrap w:val="0"/>
            <w:vAlign w:val="center"/>
          </w:tcPr>
          <w:p w14:paraId="1E8B9416">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预测值</w:t>
            </w:r>
          </w:p>
        </w:tc>
        <w:tc>
          <w:tcPr>
            <w:tcW w:w="641" w:type="pct"/>
            <w:noWrap w:val="0"/>
            <w:vAlign w:val="center"/>
          </w:tcPr>
          <w:p w14:paraId="57E45BA7">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执行标准</w:t>
            </w:r>
          </w:p>
        </w:tc>
        <w:tc>
          <w:tcPr>
            <w:tcW w:w="506" w:type="pct"/>
            <w:noWrap w:val="0"/>
            <w:vAlign w:val="center"/>
          </w:tcPr>
          <w:p w14:paraId="2434C131">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评价</w:t>
            </w:r>
          </w:p>
        </w:tc>
      </w:tr>
      <w:tr w14:paraId="7562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restart"/>
            <w:noWrap w:val="0"/>
            <w:vAlign w:val="center"/>
          </w:tcPr>
          <w:p w14:paraId="61932F70">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元江县甘庄中学</w:t>
            </w:r>
            <w:r>
              <w:rPr>
                <w:rFonts w:hint="eastAsia" w:ascii="Times New Roman" w:hAnsi="Times New Roman" w:eastAsia="宋体" w:cs="Times New Roman"/>
                <w:b w:val="0"/>
                <w:bCs w:val="0"/>
                <w:color w:val="auto"/>
                <w:kern w:val="0"/>
                <w:sz w:val="21"/>
                <w:szCs w:val="21"/>
                <w:lang w:eastAsia="zh-CN" w:bidi="ar"/>
              </w:rPr>
              <w:t>（</w:t>
            </w:r>
            <w:r>
              <w:rPr>
                <w:rFonts w:hint="eastAsia" w:ascii="Times New Roman" w:hAnsi="Times New Roman" w:eastAsia="宋体" w:cs="Times New Roman"/>
                <w:b w:val="0"/>
                <w:bCs w:val="0"/>
                <w:color w:val="auto"/>
                <w:kern w:val="0"/>
                <w:sz w:val="21"/>
                <w:szCs w:val="21"/>
                <w:lang w:val="en-US" w:eastAsia="zh-CN" w:bidi="ar"/>
              </w:rPr>
              <w:t>距离道路中心线约290m</w:t>
            </w:r>
            <w:r>
              <w:rPr>
                <w:rFonts w:hint="eastAsia" w:ascii="Times New Roman" w:hAnsi="Times New Roman" w:eastAsia="宋体" w:cs="Times New Roman"/>
                <w:b w:val="0"/>
                <w:bCs w:val="0"/>
                <w:color w:val="auto"/>
                <w:kern w:val="0"/>
                <w:sz w:val="21"/>
                <w:szCs w:val="21"/>
                <w:lang w:eastAsia="zh-CN" w:bidi="ar"/>
              </w:rPr>
              <w:t>）</w:t>
            </w:r>
          </w:p>
        </w:tc>
        <w:tc>
          <w:tcPr>
            <w:tcW w:w="444" w:type="pct"/>
            <w:vMerge w:val="restart"/>
            <w:noWrap w:val="0"/>
            <w:vAlign w:val="center"/>
          </w:tcPr>
          <w:p w14:paraId="554DF1B3">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202</w:t>
            </w:r>
            <w:r>
              <w:rPr>
                <w:rFonts w:hint="eastAsia" w:cs="Times New Roman"/>
                <w:b w:val="0"/>
                <w:bCs w:val="0"/>
                <w:color w:val="auto"/>
                <w:kern w:val="0"/>
                <w:sz w:val="21"/>
                <w:szCs w:val="21"/>
                <w:lang w:val="en-US" w:eastAsia="zh-CN" w:bidi="ar"/>
              </w:rPr>
              <w:t>7</w:t>
            </w:r>
          </w:p>
        </w:tc>
        <w:tc>
          <w:tcPr>
            <w:tcW w:w="536" w:type="pct"/>
            <w:noWrap w:val="0"/>
            <w:vAlign w:val="center"/>
          </w:tcPr>
          <w:p w14:paraId="2BC8F82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0FE773B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41.58</w:t>
            </w:r>
          </w:p>
        </w:tc>
        <w:tc>
          <w:tcPr>
            <w:tcW w:w="544" w:type="pct"/>
            <w:noWrap w:val="0"/>
            <w:vAlign w:val="center"/>
          </w:tcPr>
          <w:p w14:paraId="42AE8E68">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5</w:t>
            </w:r>
            <w:r>
              <w:rPr>
                <w:rFonts w:hint="eastAsia" w:ascii="Times New Roman" w:hAnsi="Times New Roman" w:eastAsia="宋体" w:cs="Times New Roman"/>
                <w:b w:val="0"/>
                <w:bCs w:val="0"/>
                <w:color w:val="auto"/>
                <w:kern w:val="0"/>
                <w:sz w:val="21"/>
                <w:szCs w:val="21"/>
                <w:lang w:val="en-US" w:eastAsia="zh-CN" w:bidi="ar"/>
              </w:rPr>
              <w:t>2</w:t>
            </w:r>
          </w:p>
        </w:tc>
        <w:tc>
          <w:tcPr>
            <w:tcW w:w="598" w:type="pct"/>
            <w:noWrap w:val="0"/>
            <w:vAlign w:val="center"/>
          </w:tcPr>
          <w:p w14:paraId="778E437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52.</w:t>
            </w:r>
            <w:r>
              <w:rPr>
                <w:rFonts w:hint="eastAsia" w:cs="Times New Roman"/>
                <w:b w:val="0"/>
                <w:bCs w:val="0"/>
                <w:color w:val="auto"/>
                <w:kern w:val="0"/>
                <w:sz w:val="21"/>
                <w:szCs w:val="21"/>
                <w:lang w:val="en-US" w:eastAsia="zh-CN" w:bidi="ar"/>
              </w:rPr>
              <w:t>38</w:t>
            </w:r>
          </w:p>
        </w:tc>
        <w:tc>
          <w:tcPr>
            <w:tcW w:w="641" w:type="pct"/>
            <w:noWrap w:val="0"/>
            <w:vAlign w:val="center"/>
          </w:tcPr>
          <w:p w14:paraId="5ECE2C1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5465304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w:t>
            </w:r>
          </w:p>
        </w:tc>
      </w:tr>
      <w:tr w14:paraId="31F7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67A9310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5063FF33">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7E6C6BC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3352470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30.92</w:t>
            </w:r>
          </w:p>
        </w:tc>
        <w:tc>
          <w:tcPr>
            <w:tcW w:w="544" w:type="pct"/>
            <w:noWrap w:val="0"/>
            <w:vAlign w:val="center"/>
          </w:tcPr>
          <w:p w14:paraId="2D8C937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39</w:t>
            </w:r>
          </w:p>
        </w:tc>
        <w:tc>
          <w:tcPr>
            <w:tcW w:w="598" w:type="pct"/>
            <w:noWrap w:val="0"/>
            <w:vAlign w:val="center"/>
          </w:tcPr>
          <w:p w14:paraId="2567F8F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39.63</w:t>
            </w:r>
          </w:p>
        </w:tc>
        <w:tc>
          <w:tcPr>
            <w:tcW w:w="641" w:type="pct"/>
            <w:noWrap w:val="0"/>
            <w:vAlign w:val="center"/>
          </w:tcPr>
          <w:p w14:paraId="3B82B791">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67F76F1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w:t>
            </w:r>
          </w:p>
        </w:tc>
      </w:tr>
      <w:tr w14:paraId="4276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5749E41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restart"/>
            <w:noWrap w:val="0"/>
            <w:vAlign w:val="center"/>
          </w:tcPr>
          <w:p w14:paraId="6155C528">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203</w:t>
            </w:r>
            <w:r>
              <w:rPr>
                <w:rFonts w:hint="eastAsia" w:cs="Times New Roman"/>
                <w:b w:val="0"/>
                <w:bCs w:val="0"/>
                <w:color w:val="auto"/>
                <w:kern w:val="0"/>
                <w:sz w:val="21"/>
                <w:szCs w:val="21"/>
                <w:lang w:val="en-US" w:eastAsia="zh-CN" w:bidi="ar"/>
              </w:rPr>
              <w:t>4</w:t>
            </w:r>
          </w:p>
        </w:tc>
        <w:tc>
          <w:tcPr>
            <w:tcW w:w="536" w:type="pct"/>
            <w:noWrap w:val="0"/>
            <w:vAlign w:val="center"/>
          </w:tcPr>
          <w:p w14:paraId="33DE4B0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6DC9AA6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42.79</w:t>
            </w:r>
          </w:p>
        </w:tc>
        <w:tc>
          <w:tcPr>
            <w:tcW w:w="544" w:type="pct"/>
            <w:noWrap w:val="0"/>
            <w:vAlign w:val="center"/>
          </w:tcPr>
          <w:p w14:paraId="27B50227">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5</w:t>
            </w:r>
            <w:r>
              <w:rPr>
                <w:rFonts w:hint="eastAsia" w:ascii="Times New Roman" w:hAnsi="Times New Roman" w:eastAsia="宋体" w:cs="Times New Roman"/>
                <w:b w:val="0"/>
                <w:bCs w:val="0"/>
                <w:color w:val="auto"/>
                <w:kern w:val="0"/>
                <w:sz w:val="21"/>
                <w:szCs w:val="21"/>
                <w:lang w:val="en-US" w:eastAsia="zh-CN" w:bidi="ar"/>
              </w:rPr>
              <w:t>2</w:t>
            </w:r>
          </w:p>
        </w:tc>
        <w:tc>
          <w:tcPr>
            <w:tcW w:w="598" w:type="pct"/>
            <w:noWrap w:val="0"/>
            <w:vAlign w:val="center"/>
          </w:tcPr>
          <w:p w14:paraId="7D97F17D">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52.49</w:t>
            </w:r>
          </w:p>
        </w:tc>
        <w:tc>
          <w:tcPr>
            <w:tcW w:w="641" w:type="pct"/>
            <w:noWrap w:val="0"/>
            <w:vAlign w:val="center"/>
          </w:tcPr>
          <w:p w14:paraId="547023E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5DE78473">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w:t>
            </w:r>
          </w:p>
        </w:tc>
      </w:tr>
      <w:tr w14:paraId="1BE2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6B12FB1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23D2D1C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7A2D3B8E">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1AAE906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32.11</w:t>
            </w:r>
          </w:p>
        </w:tc>
        <w:tc>
          <w:tcPr>
            <w:tcW w:w="544" w:type="pct"/>
            <w:noWrap w:val="0"/>
            <w:vAlign w:val="center"/>
          </w:tcPr>
          <w:p w14:paraId="0564760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39</w:t>
            </w:r>
          </w:p>
        </w:tc>
        <w:tc>
          <w:tcPr>
            <w:tcW w:w="598" w:type="pct"/>
            <w:noWrap w:val="0"/>
            <w:vAlign w:val="center"/>
          </w:tcPr>
          <w:p w14:paraId="73555111">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bidi="ar"/>
              </w:rPr>
              <w:t>39.81</w:t>
            </w:r>
          </w:p>
        </w:tc>
        <w:tc>
          <w:tcPr>
            <w:tcW w:w="641" w:type="pct"/>
            <w:noWrap w:val="0"/>
            <w:vAlign w:val="center"/>
          </w:tcPr>
          <w:p w14:paraId="3FDE763C">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7AF916D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达标</w:t>
            </w:r>
          </w:p>
        </w:tc>
      </w:tr>
      <w:tr w14:paraId="2A43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2FFD3A5C">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restart"/>
            <w:noWrap w:val="0"/>
            <w:vAlign w:val="center"/>
          </w:tcPr>
          <w:p w14:paraId="2CADBADE">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204</w:t>
            </w:r>
            <w:r>
              <w:rPr>
                <w:rFonts w:hint="eastAsia" w:cs="Times New Roman"/>
                <w:b w:val="0"/>
                <w:bCs w:val="0"/>
                <w:color w:val="auto"/>
                <w:kern w:val="0"/>
                <w:sz w:val="21"/>
                <w:szCs w:val="21"/>
                <w:lang w:val="en-US" w:eastAsia="zh-CN" w:bidi="ar"/>
              </w:rPr>
              <w:t>2</w:t>
            </w:r>
          </w:p>
        </w:tc>
        <w:tc>
          <w:tcPr>
            <w:tcW w:w="536" w:type="pct"/>
            <w:noWrap w:val="0"/>
            <w:vAlign w:val="center"/>
          </w:tcPr>
          <w:p w14:paraId="58C6A61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366A2D36">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43.93</w:t>
            </w:r>
          </w:p>
        </w:tc>
        <w:tc>
          <w:tcPr>
            <w:tcW w:w="544" w:type="pct"/>
            <w:noWrap w:val="0"/>
            <w:vAlign w:val="center"/>
          </w:tcPr>
          <w:p w14:paraId="4D6A76D3">
            <w:pPr>
              <w:widowControl/>
              <w:spacing w:line="240" w:lineRule="auto"/>
              <w:ind w:firstLine="0" w:firstLineChars="0"/>
              <w:jc w:val="center"/>
              <w:rPr>
                <w:rFonts w:hint="eastAsia"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5</w:t>
            </w:r>
            <w:r>
              <w:rPr>
                <w:rFonts w:hint="eastAsia" w:ascii="Times New Roman" w:hAnsi="Times New Roman" w:eastAsia="宋体" w:cs="Times New Roman"/>
                <w:b w:val="0"/>
                <w:bCs w:val="0"/>
                <w:color w:val="auto"/>
                <w:kern w:val="0"/>
                <w:sz w:val="21"/>
                <w:szCs w:val="21"/>
                <w:lang w:val="en-US" w:eastAsia="zh-CN" w:bidi="ar"/>
              </w:rPr>
              <w:t>2</w:t>
            </w:r>
          </w:p>
        </w:tc>
        <w:tc>
          <w:tcPr>
            <w:tcW w:w="598" w:type="pct"/>
            <w:noWrap w:val="0"/>
            <w:vAlign w:val="center"/>
          </w:tcPr>
          <w:p w14:paraId="20E64DDC">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52.63</w:t>
            </w:r>
          </w:p>
        </w:tc>
        <w:tc>
          <w:tcPr>
            <w:tcW w:w="641" w:type="pct"/>
            <w:noWrap w:val="0"/>
            <w:vAlign w:val="center"/>
          </w:tcPr>
          <w:p w14:paraId="26CAAB86">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7FEC0C4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达标</w:t>
            </w:r>
          </w:p>
        </w:tc>
      </w:tr>
      <w:tr w14:paraId="647F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1F4203E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0F57002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6E93992D">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66AD4F3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41</w:t>
            </w:r>
          </w:p>
        </w:tc>
        <w:tc>
          <w:tcPr>
            <w:tcW w:w="544" w:type="pct"/>
            <w:noWrap w:val="0"/>
            <w:vAlign w:val="center"/>
          </w:tcPr>
          <w:p w14:paraId="60D121D6">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39</w:t>
            </w:r>
          </w:p>
        </w:tc>
        <w:tc>
          <w:tcPr>
            <w:tcW w:w="598" w:type="pct"/>
            <w:noWrap w:val="0"/>
            <w:vAlign w:val="center"/>
          </w:tcPr>
          <w:p w14:paraId="1FAD9220">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43.12</w:t>
            </w:r>
          </w:p>
        </w:tc>
        <w:tc>
          <w:tcPr>
            <w:tcW w:w="641" w:type="pct"/>
            <w:noWrap w:val="0"/>
            <w:vAlign w:val="center"/>
          </w:tcPr>
          <w:p w14:paraId="2BF31BF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511ABDD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达标2.05</w:t>
            </w:r>
          </w:p>
        </w:tc>
      </w:tr>
      <w:tr w14:paraId="777B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restart"/>
            <w:noWrap w:val="0"/>
            <w:vAlign w:val="center"/>
          </w:tcPr>
          <w:p w14:paraId="751073FD">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bidi="ar"/>
              </w:rPr>
              <w:t>甘庄集镇</w:t>
            </w:r>
            <w:r>
              <w:rPr>
                <w:rFonts w:hint="eastAsia" w:ascii="Times New Roman" w:hAnsi="Times New Roman" w:eastAsia="宋体" w:cs="Times New Roman"/>
                <w:b w:val="0"/>
                <w:bCs w:val="0"/>
                <w:color w:val="auto"/>
                <w:kern w:val="0"/>
                <w:sz w:val="21"/>
                <w:szCs w:val="21"/>
                <w:lang w:val="en-US" w:eastAsia="zh-CN" w:bidi="ar"/>
              </w:rPr>
              <w:t>居民点</w:t>
            </w:r>
            <w:r>
              <w:rPr>
                <w:rFonts w:hint="eastAsia" w:ascii="Times New Roman" w:hAnsi="Times New Roman" w:eastAsia="宋体" w:cs="Times New Roman"/>
                <w:b w:val="0"/>
                <w:bCs w:val="0"/>
                <w:color w:val="auto"/>
                <w:kern w:val="0"/>
                <w:sz w:val="21"/>
                <w:szCs w:val="21"/>
                <w:lang w:eastAsia="zh-CN" w:bidi="ar"/>
              </w:rPr>
              <w:t>（</w:t>
            </w:r>
            <w:r>
              <w:rPr>
                <w:rFonts w:hint="eastAsia" w:ascii="Times New Roman" w:hAnsi="Times New Roman" w:eastAsia="宋体" w:cs="Times New Roman"/>
                <w:b w:val="0"/>
                <w:bCs w:val="0"/>
                <w:color w:val="auto"/>
                <w:kern w:val="0"/>
                <w:sz w:val="21"/>
                <w:szCs w:val="21"/>
                <w:lang w:val="en-US" w:eastAsia="zh-CN" w:bidi="ar"/>
              </w:rPr>
              <w:t>距离道路中心线约20m</w:t>
            </w:r>
            <w:r>
              <w:rPr>
                <w:rFonts w:hint="eastAsia" w:ascii="Times New Roman" w:hAnsi="Times New Roman" w:eastAsia="宋体" w:cs="Times New Roman"/>
                <w:b w:val="0"/>
                <w:bCs w:val="0"/>
                <w:color w:val="auto"/>
                <w:kern w:val="0"/>
                <w:sz w:val="21"/>
                <w:szCs w:val="21"/>
                <w:lang w:eastAsia="zh-CN" w:bidi="ar"/>
              </w:rPr>
              <w:t>）</w:t>
            </w:r>
          </w:p>
        </w:tc>
        <w:tc>
          <w:tcPr>
            <w:tcW w:w="444" w:type="pct"/>
            <w:vMerge w:val="restart"/>
            <w:noWrap w:val="0"/>
            <w:vAlign w:val="center"/>
          </w:tcPr>
          <w:p w14:paraId="7BCE7EE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202</w:t>
            </w:r>
            <w:r>
              <w:rPr>
                <w:rFonts w:hint="eastAsia" w:cs="Times New Roman"/>
                <w:b w:val="0"/>
                <w:bCs w:val="0"/>
                <w:color w:val="auto"/>
                <w:kern w:val="0"/>
                <w:sz w:val="21"/>
                <w:szCs w:val="21"/>
                <w:lang w:val="en-US" w:eastAsia="zh-CN" w:bidi="ar"/>
              </w:rPr>
              <w:t>7</w:t>
            </w:r>
          </w:p>
        </w:tc>
        <w:tc>
          <w:tcPr>
            <w:tcW w:w="536" w:type="pct"/>
            <w:noWrap w:val="0"/>
            <w:vAlign w:val="center"/>
          </w:tcPr>
          <w:p w14:paraId="15ED6D8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0FC13CE2">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54.06</w:t>
            </w:r>
          </w:p>
        </w:tc>
        <w:tc>
          <w:tcPr>
            <w:tcW w:w="544" w:type="pct"/>
            <w:noWrap w:val="0"/>
            <w:vAlign w:val="center"/>
          </w:tcPr>
          <w:p w14:paraId="2923824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48</w:t>
            </w:r>
          </w:p>
        </w:tc>
        <w:tc>
          <w:tcPr>
            <w:tcW w:w="598" w:type="pct"/>
            <w:noWrap w:val="0"/>
            <w:vAlign w:val="center"/>
          </w:tcPr>
          <w:p w14:paraId="63EA50E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55.02</w:t>
            </w:r>
          </w:p>
        </w:tc>
        <w:tc>
          <w:tcPr>
            <w:tcW w:w="641" w:type="pct"/>
            <w:noWrap w:val="0"/>
            <w:vAlign w:val="center"/>
          </w:tcPr>
          <w:p w14:paraId="56E6EB93">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6C8F8FC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eastAsia="zh-CN" w:bidi="ar"/>
              </w:rPr>
            </w:pPr>
            <w:r>
              <w:rPr>
                <w:rFonts w:hint="default" w:ascii="Times New Roman" w:hAnsi="Times New Roman" w:eastAsia="宋体" w:cs="Times New Roman"/>
                <w:b w:val="0"/>
                <w:bCs w:val="0"/>
                <w:color w:val="auto"/>
                <w:kern w:val="0"/>
                <w:sz w:val="21"/>
                <w:szCs w:val="21"/>
                <w:lang w:bidi="ar"/>
              </w:rPr>
              <w:t>达标</w:t>
            </w:r>
          </w:p>
        </w:tc>
      </w:tr>
      <w:tr w14:paraId="79DB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79FDD55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22470BD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55A73A72">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2F93B1D2">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47.71</w:t>
            </w:r>
          </w:p>
        </w:tc>
        <w:tc>
          <w:tcPr>
            <w:tcW w:w="544" w:type="pct"/>
            <w:noWrap w:val="0"/>
            <w:vAlign w:val="center"/>
          </w:tcPr>
          <w:p w14:paraId="01D038A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42</w:t>
            </w:r>
          </w:p>
        </w:tc>
        <w:tc>
          <w:tcPr>
            <w:tcW w:w="598" w:type="pct"/>
            <w:noWrap w:val="0"/>
            <w:vAlign w:val="center"/>
          </w:tcPr>
          <w:p w14:paraId="4F775CB0">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48.74</w:t>
            </w:r>
          </w:p>
        </w:tc>
        <w:tc>
          <w:tcPr>
            <w:tcW w:w="641" w:type="pct"/>
            <w:noWrap w:val="0"/>
            <w:vAlign w:val="center"/>
          </w:tcPr>
          <w:p w14:paraId="39A9A7D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6075221E">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cs="Times New Roman"/>
                <w:b w:val="0"/>
                <w:bCs w:val="0"/>
                <w:color w:val="auto"/>
                <w:kern w:val="0"/>
                <w:sz w:val="21"/>
                <w:szCs w:val="21"/>
                <w:lang w:val="en-US" w:eastAsia="zh-CN" w:bidi="ar"/>
              </w:rPr>
              <w:t>达标</w:t>
            </w:r>
          </w:p>
        </w:tc>
      </w:tr>
      <w:tr w14:paraId="2117C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15930DB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restart"/>
            <w:noWrap w:val="0"/>
            <w:vAlign w:val="center"/>
          </w:tcPr>
          <w:p w14:paraId="7DFC9832">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203</w:t>
            </w:r>
            <w:r>
              <w:rPr>
                <w:rFonts w:hint="eastAsia" w:cs="Times New Roman"/>
                <w:b w:val="0"/>
                <w:bCs w:val="0"/>
                <w:color w:val="auto"/>
                <w:kern w:val="0"/>
                <w:sz w:val="21"/>
                <w:szCs w:val="21"/>
                <w:lang w:val="en-US" w:eastAsia="zh-CN" w:bidi="ar"/>
              </w:rPr>
              <w:t>4</w:t>
            </w:r>
          </w:p>
        </w:tc>
        <w:tc>
          <w:tcPr>
            <w:tcW w:w="536" w:type="pct"/>
            <w:noWrap w:val="0"/>
            <w:vAlign w:val="center"/>
          </w:tcPr>
          <w:p w14:paraId="4F684A8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13206D1D">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55.27</w:t>
            </w:r>
          </w:p>
        </w:tc>
        <w:tc>
          <w:tcPr>
            <w:tcW w:w="544" w:type="pct"/>
            <w:noWrap w:val="0"/>
            <w:vAlign w:val="center"/>
          </w:tcPr>
          <w:p w14:paraId="0BC95D6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48</w:t>
            </w:r>
          </w:p>
        </w:tc>
        <w:tc>
          <w:tcPr>
            <w:tcW w:w="598" w:type="pct"/>
            <w:noWrap w:val="0"/>
            <w:vAlign w:val="center"/>
          </w:tcPr>
          <w:p w14:paraId="1D762B92">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56.02</w:t>
            </w:r>
          </w:p>
        </w:tc>
        <w:tc>
          <w:tcPr>
            <w:tcW w:w="641" w:type="pct"/>
            <w:noWrap w:val="0"/>
            <w:vAlign w:val="center"/>
          </w:tcPr>
          <w:p w14:paraId="685018D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5B19DE9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w:t>
            </w:r>
          </w:p>
        </w:tc>
      </w:tr>
      <w:tr w14:paraId="7B2A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5E5E509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2883575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4B8899F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57679FC6">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48.9</w:t>
            </w:r>
          </w:p>
        </w:tc>
        <w:tc>
          <w:tcPr>
            <w:tcW w:w="544" w:type="pct"/>
            <w:noWrap w:val="0"/>
            <w:vAlign w:val="center"/>
          </w:tcPr>
          <w:p w14:paraId="6B90D250">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42</w:t>
            </w:r>
          </w:p>
        </w:tc>
        <w:tc>
          <w:tcPr>
            <w:tcW w:w="598" w:type="pct"/>
            <w:noWrap w:val="0"/>
            <w:vAlign w:val="center"/>
          </w:tcPr>
          <w:p w14:paraId="501AD9D7">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49.71</w:t>
            </w:r>
          </w:p>
        </w:tc>
        <w:tc>
          <w:tcPr>
            <w:tcW w:w="641" w:type="pct"/>
            <w:noWrap w:val="0"/>
            <w:vAlign w:val="center"/>
          </w:tcPr>
          <w:p w14:paraId="4EE8F44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1684B30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cs="Times New Roman"/>
                <w:b w:val="0"/>
                <w:bCs w:val="0"/>
                <w:color w:val="auto"/>
                <w:kern w:val="0"/>
                <w:sz w:val="21"/>
                <w:szCs w:val="21"/>
                <w:lang w:val="en-US" w:eastAsia="zh-CN" w:bidi="ar"/>
              </w:rPr>
              <w:t>达标</w:t>
            </w:r>
          </w:p>
        </w:tc>
      </w:tr>
      <w:tr w14:paraId="6A334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1193" w:type="pct"/>
            <w:vMerge w:val="continue"/>
            <w:noWrap w:val="0"/>
            <w:vAlign w:val="center"/>
          </w:tcPr>
          <w:p w14:paraId="4C80F8B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restart"/>
            <w:noWrap w:val="0"/>
            <w:vAlign w:val="center"/>
          </w:tcPr>
          <w:p w14:paraId="28939883">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204</w:t>
            </w:r>
            <w:r>
              <w:rPr>
                <w:rFonts w:hint="eastAsia" w:cs="Times New Roman"/>
                <w:b w:val="0"/>
                <w:bCs w:val="0"/>
                <w:color w:val="auto"/>
                <w:kern w:val="0"/>
                <w:sz w:val="21"/>
                <w:szCs w:val="21"/>
                <w:lang w:val="en-US" w:eastAsia="zh-CN" w:bidi="ar"/>
              </w:rPr>
              <w:t>2</w:t>
            </w:r>
          </w:p>
        </w:tc>
        <w:tc>
          <w:tcPr>
            <w:tcW w:w="536" w:type="pct"/>
            <w:noWrap w:val="0"/>
            <w:vAlign w:val="center"/>
          </w:tcPr>
          <w:p w14:paraId="0DE09D8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昼间</w:t>
            </w:r>
          </w:p>
        </w:tc>
        <w:tc>
          <w:tcPr>
            <w:tcW w:w="536" w:type="pct"/>
            <w:noWrap w:val="0"/>
            <w:vAlign w:val="center"/>
          </w:tcPr>
          <w:p w14:paraId="73C42F3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56.41</w:t>
            </w:r>
          </w:p>
        </w:tc>
        <w:tc>
          <w:tcPr>
            <w:tcW w:w="544" w:type="pct"/>
            <w:noWrap w:val="0"/>
            <w:vAlign w:val="center"/>
          </w:tcPr>
          <w:p w14:paraId="56624C6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48</w:t>
            </w:r>
          </w:p>
        </w:tc>
        <w:tc>
          <w:tcPr>
            <w:tcW w:w="598" w:type="pct"/>
            <w:noWrap w:val="0"/>
            <w:vAlign w:val="center"/>
          </w:tcPr>
          <w:p w14:paraId="5803A41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57</w:t>
            </w:r>
          </w:p>
        </w:tc>
        <w:tc>
          <w:tcPr>
            <w:tcW w:w="641" w:type="pct"/>
            <w:noWrap w:val="0"/>
            <w:vAlign w:val="center"/>
          </w:tcPr>
          <w:p w14:paraId="189FCC3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60</w:t>
            </w:r>
          </w:p>
        </w:tc>
        <w:tc>
          <w:tcPr>
            <w:tcW w:w="506" w:type="pct"/>
            <w:noWrap w:val="0"/>
            <w:vAlign w:val="center"/>
          </w:tcPr>
          <w:p w14:paraId="47015871">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达标</w:t>
            </w:r>
          </w:p>
        </w:tc>
      </w:tr>
      <w:tr w14:paraId="242E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exact"/>
          <w:jc w:val="center"/>
        </w:trPr>
        <w:tc>
          <w:tcPr>
            <w:tcW w:w="1193" w:type="pct"/>
            <w:vMerge w:val="continue"/>
            <w:noWrap w:val="0"/>
            <w:vAlign w:val="center"/>
          </w:tcPr>
          <w:p w14:paraId="1987765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444" w:type="pct"/>
            <w:vMerge w:val="continue"/>
            <w:noWrap w:val="0"/>
            <w:vAlign w:val="center"/>
          </w:tcPr>
          <w:p w14:paraId="498C738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536" w:type="pct"/>
            <w:noWrap w:val="0"/>
            <w:vAlign w:val="center"/>
          </w:tcPr>
          <w:p w14:paraId="7C22C2BD">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夜间</w:t>
            </w:r>
          </w:p>
        </w:tc>
        <w:tc>
          <w:tcPr>
            <w:tcW w:w="536" w:type="pct"/>
            <w:noWrap w:val="0"/>
            <w:vAlign w:val="center"/>
          </w:tcPr>
          <w:p w14:paraId="6DF2DBD8">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ascii="Times New Roman" w:hAnsi="Times New Roman" w:eastAsia="宋体" w:cs="Times New Roman"/>
                <w:b w:val="0"/>
                <w:bCs w:val="0"/>
                <w:color w:val="auto"/>
                <w:kern w:val="0"/>
                <w:sz w:val="21"/>
                <w:szCs w:val="21"/>
                <w:lang w:val="en-US" w:eastAsia="zh-CN" w:bidi="ar"/>
              </w:rPr>
              <w:t>53.48</w:t>
            </w:r>
          </w:p>
        </w:tc>
        <w:tc>
          <w:tcPr>
            <w:tcW w:w="544" w:type="pct"/>
            <w:noWrap w:val="0"/>
            <w:vAlign w:val="center"/>
          </w:tcPr>
          <w:p w14:paraId="61B4B636">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42</w:t>
            </w:r>
          </w:p>
        </w:tc>
        <w:tc>
          <w:tcPr>
            <w:tcW w:w="598" w:type="pct"/>
            <w:noWrap w:val="0"/>
            <w:vAlign w:val="center"/>
          </w:tcPr>
          <w:p w14:paraId="5B1C963C">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53.78</w:t>
            </w:r>
          </w:p>
        </w:tc>
        <w:tc>
          <w:tcPr>
            <w:tcW w:w="641" w:type="pct"/>
            <w:noWrap w:val="0"/>
            <w:vAlign w:val="center"/>
          </w:tcPr>
          <w:p w14:paraId="619131CC">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eastAsia" w:ascii="Times New Roman" w:hAnsi="Times New Roman" w:eastAsia="宋体" w:cs="Times New Roman"/>
                <w:b w:val="0"/>
                <w:bCs w:val="0"/>
                <w:color w:val="auto"/>
                <w:kern w:val="0"/>
                <w:sz w:val="21"/>
                <w:szCs w:val="21"/>
                <w:lang w:val="en-US" w:eastAsia="zh-CN" w:bidi="ar"/>
              </w:rPr>
              <w:t>50</w:t>
            </w:r>
          </w:p>
        </w:tc>
        <w:tc>
          <w:tcPr>
            <w:tcW w:w="506" w:type="pct"/>
            <w:noWrap w:val="0"/>
            <w:vAlign w:val="center"/>
          </w:tcPr>
          <w:p w14:paraId="11F45523">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val="en-US" w:eastAsia="zh-CN" w:bidi="ar"/>
              </w:rPr>
              <w:t>超标</w:t>
            </w:r>
          </w:p>
        </w:tc>
      </w:tr>
    </w:tbl>
    <w:p w14:paraId="2D99E071">
      <w:pPr>
        <w:keepNext w:val="0"/>
        <w:keepLines w:val="0"/>
        <w:widowControl/>
        <w:suppressLineNumbers w:val="0"/>
        <w:jc w:val="left"/>
        <w:rPr>
          <w:color w:val="auto"/>
        </w:rPr>
      </w:pPr>
      <w:r>
        <w:rPr>
          <w:rFonts w:hint="default" w:ascii="Times New Roman" w:hAnsi="Times New Roman" w:eastAsia="宋体" w:cs="Times New Roman"/>
          <w:bCs/>
          <w:color w:val="auto"/>
        </w:rPr>
        <w:t>项目建成运营后，近期</w:t>
      </w:r>
      <w:r>
        <w:rPr>
          <w:rFonts w:hint="eastAsia" w:ascii="Times New Roman" w:hAnsi="Times New Roman" w:eastAsia="宋体" w:cs="Times New Roman"/>
          <w:bCs/>
          <w:color w:val="auto"/>
          <w:lang w:eastAsia="zh-CN"/>
        </w:rPr>
        <w:t>、</w:t>
      </w:r>
      <w:r>
        <w:rPr>
          <w:rFonts w:hint="default" w:ascii="Times New Roman" w:hAnsi="Times New Roman" w:eastAsia="宋体" w:cs="Times New Roman"/>
          <w:bCs/>
          <w:color w:val="auto"/>
        </w:rPr>
        <w:t>中期</w:t>
      </w:r>
      <w:r>
        <w:rPr>
          <w:rFonts w:hint="eastAsia" w:ascii="Times New Roman" w:hAnsi="Times New Roman" w:eastAsia="宋体" w:cs="Times New Roman"/>
          <w:bCs/>
          <w:color w:val="auto"/>
          <w:lang w:val="en-US" w:eastAsia="zh-CN"/>
        </w:rPr>
        <w:t>和远期</w:t>
      </w:r>
      <w:r>
        <w:rPr>
          <w:rFonts w:hint="default" w:ascii="Times New Roman" w:hAnsi="Times New Roman" w:eastAsia="宋体" w:cs="Times New Roman"/>
          <w:color w:val="auto"/>
          <w:szCs w:val="21"/>
        </w:rPr>
        <w:t>元江县甘庄中学</w:t>
      </w:r>
      <w:r>
        <w:rPr>
          <w:rFonts w:hint="default" w:ascii="Times New Roman" w:hAnsi="Times New Roman" w:eastAsia="宋体" w:cs="Times New Roman"/>
          <w:color w:val="auto"/>
        </w:rPr>
        <w:t>昼间夜间</w:t>
      </w:r>
      <w:r>
        <w:rPr>
          <w:rFonts w:hint="eastAsia" w:ascii="Times New Roman" w:hAnsi="Times New Roman" w:eastAsia="宋体" w:cs="Times New Roman"/>
          <w:color w:val="auto"/>
          <w:lang w:val="en-US" w:eastAsia="zh-CN"/>
        </w:rPr>
        <w:t>均能满足</w:t>
      </w:r>
      <w:r>
        <w:rPr>
          <w:rFonts w:hint="default" w:ascii="Times New Roman" w:hAnsi="Times New Roman" w:eastAsia="宋体" w:cs="Times New Roman"/>
          <w:color w:val="auto"/>
          <w:kern w:val="0"/>
          <w:sz w:val="24"/>
          <w:szCs w:val="24"/>
          <w:lang w:val="en-US" w:eastAsia="zh-CN" w:bidi="ar"/>
        </w:rPr>
        <w:t>《声环境质量标准》</w:t>
      </w:r>
      <w:r>
        <w:rPr>
          <w:rFonts w:hint="default" w:ascii="Times New Roman" w:hAnsi="Times New Roman" w:eastAsia="宋体" w:cs="Times New Roman"/>
          <w:color w:val="auto"/>
          <w:kern w:val="0"/>
          <w:sz w:val="24"/>
          <w:szCs w:val="24"/>
          <w:lang w:val="en-US" w:eastAsia="zh-CN" w:bidi="ar"/>
        </w:rPr>
        <w:t>（GB</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3096-2008）</w:t>
      </w:r>
      <w:r>
        <w:rPr>
          <w:rFonts w:hint="eastAsia" w:ascii="Times New Roman" w:hAnsi="Times New Roman" w:eastAsia="宋体" w:cs="Times New Roman"/>
          <w:color w:val="auto"/>
          <w:kern w:val="0"/>
          <w:sz w:val="24"/>
          <w:szCs w:val="24"/>
          <w:lang w:val="en-US" w:eastAsia="zh-CN" w:bidi="ar"/>
        </w:rPr>
        <w:t>2类标准</w:t>
      </w:r>
      <w:r>
        <w:rPr>
          <w:rFonts w:hint="eastAsia" w:ascii="Times New Roman" w:hAnsi="Times New Roman" w:eastAsia="宋体" w:cs="Times New Roman"/>
          <w:bCs/>
          <w:color w:val="auto"/>
          <w:lang w:eastAsia="zh-CN"/>
        </w:rPr>
        <w:t>，</w:t>
      </w:r>
      <w:r>
        <w:rPr>
          <w:rFonts w:hint="default" w:ascii="Times New Roman" w:hAnsi="Times New Roman" w:eastAsia="宋体" w:cs="Times New Roman"/>
          <w:color w:val="auto"/>
        </w:rPr>
        <w:t>甘庄集镇敏感点夜间</w:t>
      </w:r>
      <w:r>
        <w:rPr>
          <w:rFonts w:hint="default" w:ascii="Times New Roman" w:hAnsi="Times New Roman" w:eastAsia="宋体" w:cs="Times New Roman"/>
          <w:color w:val="auto"/>
          <w:lang w:val="en-US" w:eastAsia="zh-CN"/>
        </w:rPr>
        <w:t>有</w:t>
      </w:r>
      <w:r>
        <w:rPr>
          <w:rFonts w:hint="default" w:ascii="Times New Roman" w:hAnsi="Times New Roman" w:eastAsia="宋体" w:cs="Times New Roman"/>
          <w:color w:val="auto"/>
        </w:rPr>
        <w:t>超标现象。</w:t>
      </w:r>
      <w:r>
        <w:rPr>
          <w:rFonts w:hint="eastAsia" w:ascii="宋体" w:hAnsi="宋体" w:cs="宋体"/>
          <w:color w:val="auto"/>
          <w:kern w:val="0"/>
          <w:sz w:val="24"/>
          <w:szCs w:val="24"/>
          <w:lang w:val="en-US" w:eastAsia="zh-CN" w:bidi="ar"/>
        </w:rPr>
        <w:t>营运期</w:t>
      </w:r>
      <w:r>
        <w:rPr>
          <w:rFonts w:hint="eastAsia" w:ascii="宋体" w:hAnsi="宋体" w:eastAsia="宋体" w:cs="宋体"/>
          <w:color w:val="auto"/>
          <w:kern w:val="0"/>
          <w:sz w:val="24"/>
          <w:szCs w:val="24"/>
          <w:lang w:val="en-US" w:eastAsia="zh-CN" w:bidi="ar"/>
        </w:rPr>
        <w:t>应采取对各保护目标加强跟踪监测，并根据监测结果及时增补和完善降噪措施，可采取限速、禁鸣等措施，必要时对敏感目标增加设置隔声窗等。</w:t>
      </w:r>
    </w:p>
    <w:p w14:paraId="708CA242">
      <w:pPr>
        <w:pStyle w:val="5"/>
        <w:ind w:left="0" w:leftChars="0" w:firstLine="0" w:firstLineChars="0"/>
        <w:rPr>
          <w:rFonts w:hint="default" w:ascii="Times New Roman" w:hAnsi="Times New Roman" w:eastAsia="宋体" w:cs="Times New Roman"/>
          <w:color w:val="auto"/>
        </w:rPr>
      </w:pPr>
      <w:bookmarkStart w:id="124" w:name="_Toc12753"/>
      <w:r>
        <w:rPr>
          <w:rFonts w:hint="default" w:ascii="Times New Roman" w:hAnsi="Times New Roman" w:eastAsia="宋体" w:cs="Times New Roman"/>
          <w:color w:val="auto"/>
        </w:rPr>
        <w:t>5.2.4固体废物环境影响评价</w:t>
      </w:r>
      <w:bookmarkEnd w:id="118"/>
      <w:bookmarkEnd w:id="119"/>
      <w:bookmarkEnd w:id="120"/>
      <w:bookmarkEnd w:id="121"/>
      <w:bookmarkEnd w:id="122"/>
      <w:bookmarkEnd w:id="123"/>
      <w:bookmarkEnd w:id="124"/>
    </w:p>
    <w:p w14:paraId="7422AAC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本工程营运期不涉及收费站和养护区等服务设施，道路建成后，自身不产生固体废物，固废主要</w:t>
      </w:r>
      <w:r>
        <w:rPr>
          <w:rFonts w:hint="default" w:ascii="Times New Roman" w:hAnsi="Times New Roman" w:eastAsia="宋体" w:cs="Times New Roman"/>
          <w:color w:val="auto"/>
          <w:kern w:val="0"/>
          <w:lang w:eastAsia="zh-CN" w:bidi="ar"/>
        </w:rPr>
        <w:t>来自</w:t>
      </w:r>
      <w:r>
        <w:rPr>
          <w:rFonts w:hint="default" w:ascii="Times New Roman" w:hAnsi="Times New Roman" w:eastAsia="宋体" w:cs="Times New Roman"/>
          <w:color w:val="auto"/>
          <w:kern w:val="0"/>
          <w:lang w:bidi="ar"/>
        </w:rPr>
        <w:t>道路清扫垃圾及养护废料，包括碎石、塑料袋、树叶、养护废料等，上述固体废物由</w:t>
      </w:r>
      <w:r>
        <w:rPr>
          <w:rFonts w:hint="eastAsia" w:cs="Times New Roman"/>
          <w:color w:val="auto"/>
          <w:kern w:val="0"/>
          <w:lang w:val="en-US" w:eastAsia="zh-CN" w:bidi="ar"/>
        </w:rPr>
        <w:t>甘庄集镇</w:t>
      </w:r>
      <w:r>
        <w:rPr>
          <w:rFonts w:hint="default" w:ascii="Times New Roman" w:hAnsi="Times New Roman" w:eastAsia="宋体" w:cs="Times New Roman"/>
          <w:color w:val="auto"/>
          <w:kern w:val="0"/>
          <w:lang w:bidi="ar"/>
        </w:rPr>
        <w:t>公路养护人员及时清运，不直接排放，对周围环境基本没有影响。</w:t>
      </w:r>
    </w:p>
    <w:p w14:paraId="20D7577B">
      <w:pPr>
        <w:pStyle w:val="5"/>
        <w:ind w:left="0" w:leftChars="0" w:firstLine="0" w:firstLineChars="0"/>
        <w:rPr>
          <w:rFonts w:hint="default" w:ascii="Times New Roman" w:hAnsi="Times New Roman" w:eastAsia="宋体" w:cs="Times New Roman"/>
          <w:color w:val="auto"/>
        </w:rPr>
      </w:pPr>
      <w:bookmarkStart w:id="125" w:name="_Toc16628"/>
      <w:r>
        <w:rPr>
          <w:rFonts w:hint="default" w:ascii="Times New Roman" w:hAnsi="Times New Roman" w:eastAsia="宋体" w:cs="Times New Roman"/>
          <w:color w:val="auto"/>
        </w:rPr>
        <w:t>5.2.5</w:t>
      </w:r>
      <w:r>
        <w:rPr>
          <w:rFonts w:hint="eastAsia" w:cs="Times New Roman"/>
          <w:color w:val="auto"/>
          <w:kern w:val="0"/>
          <w:sz w:val="24"/>
          <w:szCs w:val="24"/>
          <w:lang w:eastAsia="zh-CN" w:bidi="ar"/>
        </w:rPr>
        <w:t>营运期</w:t>
      </w:r>
      <w:r>
        <w:rPr>
          <w:rFonts w:hint="default" w:ascii="Times New Roman" w:hAnsi="Times New Roman" w:eastAsia="宋体" w:cs="Times New Roman"/>
          <w:color w:val="auto"/>
          <w:kern w:val="0"/>
          <w:sz w:val="24"/>
          <w:szCs w:val="24"/>
          <w:lang w:bidi="ar"/>
        </w:rPr>
        <w:t>生态环境影响分析</w:t>
      </w:r>
      <w:bookmarkEnd w:id="125"/>
    </w:p>
    <w:p w14:paraId="032FE7F3">
      <w:pPr>
        <w:keepNext w:val="0"/>
        <w:keepLines w:val="0"/>
        <w:widowControl/>
        <w:suppressLineNumbers w:val="0"/>
        <w:jc w:val="left"/>
        <w:rPr>
          <w:rFonts w:hint="default"/>
          <w:color w:val="auto"/>
          <w:lang w:val="en-US"/>
        </w:rPr>
      </w:pPr>
      <w:r>
        <w:rPr>
          <w:rFonts w:hint="default" w:ascii="Times New Roman" w:hAnsi="Times New Roman" w:eastAsia="宋体" w:cs="Times New Roman"/>
          <w:color w:val="auto"/>
          <w:kern w:val="0"/>
          <w:lang w:bidi="ar"/>
        </w:rPr>
        <w:t>公路</w:t>
      </w:r>
      <w:r>
        <w:rPr>
          <w:rFonts w:hint="eastAsia" w:cs="Times New Roman"/>
          <w:color w:val="auto"/>
          <w:kern w:val="0"/>
          <w:lang w:eastAsia="zh-CN" w:bidi="ar"/>
        </w:rPr>
        <w:t>营运期</w:t>
      </w:r>
      <w:r>
        <w:rPr>
          <w:rFonts w:hint="default" w:ascii="Times New Roman" w:hAnsi="Times New Roman" w:eastAsia="宋体" w:cs="Times New Roman"/>
          <w:color w:val="auto"/>
          <w:kern w:val="0"/>
          <w:lang w:bidi="ar"/>
        </w:rPr>
        <w:t>对生态环境的影响主要表现为</w:t>
      </w:r>
      <w:r>
        <w:rPr>
          <w:rFonts w:hint="eastAsia" w:ascii="宋体" w:hAnsi="宋体" w:eastAsia="宋体" w:cs="宋体"/>
          <w:color w:val="auto"/>
          <w:kern w:val="0"/>
          <w:sz w:val="24"/>
          <w:szCs w:val="24"/>
          <w:lang w:val="en-US" w:eastAsia="zh-CN" w:bidi="ar"/>
        </w:rPr>
        <w:t>汽车尾气的排放会对环境及动植物造成一定的负面影响。</w:t>
      </w:r>
    </w:p>
    <w:p w14:paraId="48745B5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（1）对植物的影响</w:t>
      </w:r>
    </w:p>
    <w:p w14:paraId="39878217">
      <w:pPr>
        <w:widowControl/>
        <w:adjustRightInd w:val="0"/>
        <w:snapToGrid w:val="0"/>
        <w:ind w:firstLine="480"/>
        <w:jc w:val="left"/>
        <w:rPr>
          <w:rFonts w:hint="default" w:ascii="Times New Roman" w:hAnsi="Times New Roman" w:eastAsia="宋体" w:cs="Times New Roman"/>
          <w:color w:val="auto"/>
          <w:kern w:val="0"/>
          <w:lang w:val="en-US" w:eastAsia="zh-CN" w:bidi="ar"/>
        </w:rPr>
      </w:pPr>
      <w:r>
        <w:rPr>
          <w:rFonts w:hint="eastAsia" w:cs="Times New Roman"/>
          <w:color w:val="auto"/>
          <w:kern w:val="0"/>
          <w:lang w:val="en-US" w:eastAsia="zh-CN" w:bidi="ar"/>
        </w:rPr>
        <w:t>1</w:t>
      </w:r>
      <w:r>
        <w:rPr>
          <w:rFonts w:hint="eastAsia" w:cs="Times New Roman"/>
          <w:color w:val="auto"/>
          <w:kern w:val="0"/>
          <w:lang w:eastAsia="zh-CN" w:bidi="ar"/>
        </w:rPr>
        <w:t>）</w:t>
      </w:r>
      <w:r>
        <w:rPr>
          <w:rFonts w:hint="eastAsia" w:cs="Times New Roman"/>
          <w:color w:val="auto"/>
          <w:kern w:val="0"/>
          <w:lang w:val="en-US" w:eastAsia="zh-CN" w:bidi="ar"/>
        </w:rPr>
        <w:t>植物群落影响</w:t>
      </w:r>
    </w:p>
    <w:p w14:paraId="05A00E23">
      <w:pPr>
        <w:widowControl/>
        <w:adjustRightInd w:val="0"/>
        <w:snapToGrid w:val="0"/>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项目的建设将会对生物群落形态方面的结构造成影响，一方面将改变生物群落的水平结构，同时对局部地段的群落垂直结构（群落恢复后的种类组成和结构变化）造成影响。</w:t>
      </w:r>
      <w:r>
        <w:rPr>
          <w:rFonts w:hint="eastAsia" w:cs="Times New Roman"/>
          <w:color w:val="auto"/>
          <w:kern w:val="0"/>
          <w:lang w:val="en-US" w:eastAsia="zh-CN" w:bidi="ar"/>
        </w:rPr>
        <w:t>但</w:t>
      </w:r>
      <w:r>
        <w:rPr>
          <w:rFonts w:hint="default" w:ascii="Times New Roman" w:hAnsi="Times New Roman" w:eastAsia="宋体" w:cs="Times New Roman"/>
          <w:color w:val="auto"/>
          <w:kern w:val="0"/>
          <w:lang w:bidi="ar"/>
        </w:rPr>
        <w:t>建设项目将占用的生物群落面积和范围均较小，仅在极小范围改变了生物群落结构，但不会导致群落结构的简化。</w:t>
      </w:r>
    </w:p>
    <w:p w14:paraId="21E2C4B9">
      <w:pPr>
        <w:widowControl/>
        <w:adjustRightInd w:val="0"/>
        <w:snapToGrid w:val="0"/>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2）对植物生物多样性的影响</w:t>
      </w:r>
    </w:p>
    <w:p w14:paraId="4038FE29">
      <w:pPr>
        <w:widowControl/>
        <w:ind w:firstLine="480"/>
        <w:jc w:val="left"/>
        <w:rPr>
          <w:rFonts w:hint="default" w:ascii="Times New Roman" w:hAnsi="Times New Roman" w:eastAsia="宋体" w:cs="Times New Roman"/>
          <w:color w:val="auto"/>
          <w:kern w:val="0"/>
          <w:lang w:bidi="ar"/>
        </w:rPr>
      </w:pPr>
      <w:r>
        <w:rPr>
          <w:rFonts w:hint="default" w:ascii="Times New Roman" w:hAnsi="Times New Roman" w:eastAsia="宋体" w:cs="Times New Roman"/>
          <w:color w:val="auto"/>
          <w:kern w:val="0"/>
          <w:lang w:bidi="ar"/>
        </w:rPr>
        <w:t>拟建项目的建设首先造成永久占地范围用地性质的改变，部分植被将永久性消失。这种占用是无法恢复的，会直接导致物种的损失。根据现场调查结果，永久占地范围内的植物物种都是当地普通的、周边常见的植物，无重点保护物种，因此项目的建设对区域植物多样性的影响甚微。施工结束后，沿线的绿化建设及植被的恢复，可逐渐弥补植物物种多样性的损失。</w:t>
      </w:r>
    </w:p>
    <w:p w14:paraId="4CF237C7">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kern w:val="0"/>
          <w:lang w:val="en-US" w:eastAsia="zh-CN" w:bidi="ar"/>
        </w:rPr>
        <w:t>3</w:t>
      </w:r>
      <w:r>
        <w:rPr>
          <w:rFonts w:hint="eastAsia" w:ascii="Times New Roman" w:hAnsi="Times New Roman" w:eastAsia="宋体" w:cs="Times New Roman"/>
          <w:color w:val="auto"/>
          <w:kern w:val="0"/>
          <w:lang w:eastAsia="zh-CN" w:bidi="ar"/>
        </w:rPr>
        <w:t>）</w:t>
      </w:r>
      <w:r>
        <w:rPr>
          <w:rFonts w:hint="eastAsia" w:ascii="Times New Roman" w:hAnsi="Times New Roman" w:eastAsia="宋体" w:cs="Times New Roman"/>
          <w:color w:val="auto"/>
          <w:kern w:val="0"/>
          <w:lang w:val="en-US" w:eastAsia="zh-CN" w:bidi="ar"/>
        </w:rPr>
        <w:t>汽车尾气</w:t>
      </w:r>
      <w:r>
        <w:rPr>
          <w:rFonts w:hint="default" w:ascii="Times New Roman" w:hAnsi="Times New Roman" w:eastAsia="宋体" w:cs="Times New Roman"/>
          <w:color w:val="auto"/>
          <w:kern w:val="0"/>
          <w:lang w:bidi="ar"/>
        </w:rPr>
        <w:t>对</w:t>
      </w:r>
      <w:r>
        <w:rPr>
          <w:rFonts w:hint="eastAsia" w:ascii="Times New Roman" w:hAnsi="Times New Roman" w:eastAsia="宋体" w:cs="Times New Roman"/>
          <w:color w:val="auto"/>
          <w:kern w:val="0"/>
          <w:lang w:val="en-US" w:eastAsia="zh-CN" w:bidi="ar"/>
        </w:rPr>
        <w:t>植</w:t>
      </w:r>
      <w:r>
        <w:rPr>
          <w:rFonts w:hint="default" w:ascii="Times New Roman" w:hAnsi="Times New Roman" w:eastAsia="宋体" w:cs="Times New Roman"/>
          <w:color w:val="auto"/>
          <w:kern w:val="0"/>
          <w:lang w:bidi="ar"/>
        </w:rPr>
        <w:t>物的影响</w:t>
      </w:r>
    </w:p>
    <w:p w14:paraId="116BBBDF">
      <w:pPr>
        <w:keepNext w:val="0"/>
        <w:keepLines w:val="0"/>
        <w:widowControl/>
        <w:suppressLineNumbers w:val="0"/>
        <w:jc w:val="left"/>
        <w:rPr>
          <w:color w:val="auto"/>
        </w:rPr>
      </w:pPr>
      <w:r>
        <w:rPr>
          <w:rFonts w:hint="default" w:ascii="Times New Roman" w:hAnsi="Times New Roman" w:eastAsia="宋体" w:cs="Times New Roman"/>
          <w:color w:val="auto"/>
          <w:kern w:val="0"/>
          <w:lang w:val="en-US" w:eastAsia="zh-CN" w:bidi="ar"/>
        </w:rPr>
        <w:t>项目</w:t>
      </w:r>
      <w:r>
        <w:rPr>
          <w:rFonts w:hint="eastAsia" w:cs="Times New Roman"/>
          <w:color w:val="auto"/>
          <w:kern w:val="0"/>
          <w:lang w:val="en-US" w:eastAsia="zh-CN" w:bidi="ar"/>
        </w:rPr>
        <w:t>营运期</w:t>
      </w:r>
      <w:r>
        <w:rPr>
          <w:rFonts w:hint="default" w:ascii="Times New Roman" w:hAnsi="Times New Roman" w:eastAsia="宋体" w:cs="Times New Roman"/>
          <w:color w:val="auto"/>
          <w:kern w:val="0"/>
          <w:lang w:val="en-US" w:eastAsia="zh-CN" w:bidi="ar"/>
        </w:rPr>
        <w:t>间，行驶汽车、短时间停车等汽车排放的废气及带动的灰尘，将使相关植物受到一定程度的污染，特别是灰尘沉积在植物的叶子表面，会对</w:t>
      </w:r>
      <w:r>
        <w:rPr>
          <w:rFonts w:hint="eastAsia" w:ascii="宋体" w:hAnsi="宋体" w:eastAsia="宋体" w:cs="宋体"/>
          <w:color w:val="auto"/>
          <w:kern w:val="0"/>
          <w:sz w:val="24"/>
          <w:szCs w:val="24"/>
          <w:lang w:val="en-US" w:eastAsia="zh-CN" w:bidi="ar"/>
        </w:rPr>
        <w:t>叶脉间或边缘出现不规则水渍状伤害，导致叶片逐渐坏死，植物无法进行光合作用，加速植物死亡，从而降低项目周边临近区域的植被覆盖度</w:t>
      </w:r>
      <w:r>
        <w:rPr>
          <w:rFonts w:hint="eastAsia" w:ascii="Times New Roman" w:hAnsi="Times New Roman" w:eastAsia="宋体" w:cs="Times New Roman"/>
          <w:color w:val="auto"/>
          <w:kern w:val="0"/>
          <w:lang w:val="en-US" w:eastAsia="zh-CN" w:bidi="ar"/>
        </w:rPr>
        <w:t>，</w:t>
      </w:r>
      <w:r>
        <w:rPr>
          <w:rFonts w:hint="eastAsia" w:ascii="宋体" w:hAnsi="宋体" w:eastAsia="宋体" w:cs="宋体"/>
          <w:color w:val="auto"/>
          <w:kern w:val="0"/>
          <w:sz w:val="24"/>
          <w:szCs w:val="24"/>
          <w:lang w:val="en-US" w:eastAsia="zh-CN" w:bidi="ar"/>
        </w:rPr>
        <w:t>但是本项目路线短，交通量相对较少，污染物排放量相对较低，施工结束后加强绿化，降低对植物的影响。</w:t>
      </w:r>
    </w:p>
    <w:p w14:paraId="3C89B713">
      <w:pPr>
        <w:widowControl/>
        <w:ind w:firstLine="480"/>
        <w:jc w:val="left"/>
        <w:rPr>
          <w:rFonts w:hint="default" w:ascii="Times New Roman" w:hAnsi="Times New Roman" w:eastAsia="宋体" w:cs="Times New Roman"/>
          <w:color w:val="auto"/>
        </w:rPr>
      </w:pPr>
      <w:r>
        <w:rPr>
          <w:rFonts w:hint="eastAsia" w:cs="Times New Roman"/>
          <w:color w:val="auto"/>
          <w:kern w:val="0"/>
          <w:lang w:eastAsia="zh-CN" w:bidi="ar"/>
        </w:rPr>
        <w:t>（</w:t>
      </w:r>
      <w:r>
        <w:rPr>
          <w:rFonts w:hint="eastAsia" w:cs="Times New Roman"/>
          <w:color w:val="auto"/>
          <w:kern w:val="0"/>
          <w:lang w:val="en-US" w:eastAsia="zh-CN" w:bidi="ar"/>
        </w:rPr>
        <w:t>2</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对</w:t>
      </w:r>
      <w:r>
        <w:rPr>
          <w:rFonts w:hint="eastAsia" w:cs="Times New Roman"/>
          <w:color w:val="auto"/>
          <w:kern w:val="0"/>
          <w:lang w:val="en-US" w:eastAsia="zh-CN" w:bidi="ar"/>
        </w:rPr>
        <w:t>动物</w:t>
      </w:r>
      <w:r>
        <w:rPr>
          <w:rFonts w:hint="default" w:ascii="Times New Roman" w:hAnsi="Times New Roman" w:eastAsia="宋体" w:cs="Times New Roman"/>
          <w:color w:val="auto"/>
          <w:kern w:val="0"/>
          <w:lang w:bidi="ar"/>
        </w:rPr>
        <w:t>的影响</w:t>
      </w:r>
    </w:p>
    <w:p w14:paraId="3DEBD37E">
      <w:pPr>
        <w:keepNext w:val="0"/>
        <w:keepLines w:val="0"/>
        <w:widowControl/>
        <w:suppressLineNumbers w:val="0"/>
        <w:jc w:val="left"/>
        <w:rPr>
          <w:rFonts w:hint="default" w:ascii="Times New Roman" w:hAnsi="Times New Roman" w:eastAsia="宋体" w:cs="Times New Roman"/>
          <w:color w:val="auto"/>
          <w:kern w:val="0"/>
          <w:lang w:bidi="ar"/>
        </w:rPr>
      </w:pPr>
      <w:r>
        <w:rPr>
          <w:rFonts w:hint="eastAsia" w:ascii="宋体" w:hAnsi="宋体" w:eastAsia="宋体" w:cs="宋体"/>
          <w:color w:val="auto"/>
          <w:kern w:val="0"/>
          <w:sz w:val="24"/>
          <w:szCs w:val="24"/>
          <w:lang w:val="en-US" w:eastAsia="zh-CN" w:bidi="ar"/>
        </w:rPr>
        <w:t>1）场地阻隔的影响</w:t>
      </w:r>
    </w:p>
    <w:p w14:paraId="21AB686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公路建设会对公路沿线的两栖爬行动物的原有生境和生存活动有一定的分离和阻隔的作用，但工程设计时已经考虑到这些因素，全线设置了涵洞等通道，缓解阻隔作用。因而拟建公路产生的动物阻隔效应</w:t>
      </w:r>
      <w:r>
        <w:rPr>
          <w:rFonts w:hint="eastAsia" w:cs="Times New Roman"/>
          <w:color w:val="auto"/>
          <w:kern w:val="0"/>
          <w:lang w:val="en-US" w:eastAsia="zh-CN" w:bidi="ar"/>
        </w:rPr>
        <w:t>影响</w:t>
      </w:r>
      <w:r>
        <w:rPr>
          <w:rFonts w:hint="default" w:ascii="Times New Roman" w:hAnsi="Times New Roman" w:eastAsia="宋体" w:cs="Times New Roman"/>
          <w:color w:val="auto"/>
          <w:kern w:val="0"/>
          <w:lang w:bidi="ar"/>
        </w:rPr>
        <w:t>较小。</w:t>
      </w:r>
    </w:p>
    <w:p w14:paraId="77641D77">
      <w:pPr>
        <w:keepNext w:val="0"/>
        <w:keepLines w:val="0"/>
        <w:widowControl/>
        <w:suppressLineNumbers w:val="0"/>
        <w:jc w:val="left"/>
        <w:rPr>
          <w:color w:val="auto"/>
        </w:rPr>
      </w:pPr>
      <w:r>
        <w:rPr>
          <w:rFonts w:hint="eastAsia" w:ascii="Times New Roman" w:hAnsi="Times New Roman" w:eastAsia="宋体" w:cs="Times New Roman"/>
          <w:color w:val="auto"/>
          <w:kern w:val="0"/>
          <w:lang w:val="en-US" w:eastAsia="zh-CN" w:bidi="ar"/>
        </w:rPr>
        <w:t>2</w:t>
      </w:r>
      <w:r>
        <w:rPr>
          <w:rFonts w:hint="eastAsia" w:ascii="Times New Roman" w:hAnsi="Times New Roman" w:eastAsia="宋体" w:cs="Times New Roman"/>
          <w:color w:val="auto"/>
          <w:kern w:val="0"/>
          <w:lang w:eastAsia="zh-CN" w:bidi="ar"/>
        </w:rPr>
        <w:t>）</w:t>
      </w:r>
      <w:r>
        <w:rPr>
          <w:rFonts w:hint="eastAsia" w:ascii="宋体" w:hAnsi="宋体" w:cs="宋体"/>
          <w:color w:val="auto"/>
          <w:kern w:val="0"/>
          <w:sz w:val="24"/>
          <w:szCs w:val="24"/>
          <w:lang w:val="en-US" w:eastAsia="zh-CN" w:bidi="ar"/>
        </w:rPr>
        <w:t>营运期</w:t>
      </w:r>
      <w:r>
        <w:rPr>
          <w:rFonts w:hint="eastAsia" w:ascii="宋体" w:hAnsi="宋体" w:eastAsia="宋体" w:cs="宋体"/>
          <w:color w:val="auto"/>
          <w:kern w:val="0"/>
          <w:sz w:val="24"/>
          <w:szCs w:val="24"/>
          <w:lang w:val="en-US" w:eastAsia="zh-CN" w:bidi="ar"/>
        </w:rPr>
        <w:t>噪声和灯光的影响</w:t>
      </w:r>
    </w:p>
    <w:p w14:paraId="2F50EEE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在项目营运期，汽车运行喇叭声、轮胎噪音、灯光会干扰动物的各种生理、通讯系统，对动物的日常活动产生不同程度的影响。例如对动物的觅食、求偶、交配活动以及对抗、报警信号的识别产生不利影响，进而对动物的栖息与繁殖产生一定的不利影响，使部分动物远离路侧区域进行筑巢和繁殖。公路营运期对野生动物的干扰作用一般局限在距路中心线两侧</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范围内，公路营运期的噪声可能使这一范围内的敏感性鸟类迁往森林内部，不会对整个项目区动物的生境及其种群数量造成大的影响。</w:t>
      </w:r>
      <w:r>
        <w:rPr>
          <w:rFonts w:hint="eastAsia" w:ascii="宋体" w:hAnsi="宋体" w:cs="宋体"/>
          <w:color w:val="auto"/>
          <w:kern w:val="0"/>
          <w:sz w:val="24"/>
          <w:szCs w:val="24"/>
          <w:lang w:val="en-US" w:eastAsia="zh-CN" w:bidi="ar"/>
        </w:rPr>
        <w:t>因</w:t>
      </w:r>
      <w:r>
        <w:rPr>
          <w:rFonts w:hint="eastAsia" w:ascii="宋体" w:hAnsi="宋体" w:eastAsia="宋体" w:cs="宋体"/>
          <w:color w:val="auto"/>
          <w:kern w:val="0"/>
          <w:sz w:val="24"/>
          <w:szCs w:val="24"/>
          <w:lang w:val="en-US" w:eastAsia="zh-CN" w:bidi="ar"/>
        </w:rPr>
        <w:t>而</w:t>
      </w:r>
      <w:r>
        <w:rPr>
          <w:rFonts w:hint="eastAsia" w:ascii="宋体" w:hAnsi="宋体" w:eastAsia="宋体" w:cs="宋体"/>
          <w:color w:val="auto"/>
          <w:kern w:val="0"/>
          <w:sz w:val="24"/>
          <w:szCs w:val="24"/>
          <w:lang w:val="en-US" w:eastAsia="zh-CN" w:bidi="ar"/>
        </w:rPr>
        <w:t>在距路中心线</w:t>
      </w:r>
      <w:r>
        <w:rPr>
          <w:rFonts w:hint="default" w:ascii="Times New Roman" w:hAnsi="Times New Roman" w:eastAsia="宋体" w:cs="Times New Roman"/>
          <w:color w:val="auto"/>
          <w:kern w:val="0"/>
          <w:sz w:val="24"/>
          <w:szCs w:val="24"/>
          <w:lang w:val="en-US" w:eastAsia="zh-CN" w:bidi="ar"/>
        </w:rPr>
        <w:t>200m</w:t>
      </w:r>
      <w:r>
        <w:rPr>
          <w:rFonts w:hint="eastAsia" w:ascii="宋体" w:hAnsi="宋体" w:eastAsia="宋体" w:cs="宋体"/>
          <w:color w:val="auto"/>
          <w:kern w:val="0"/>
          <w:sz w:val="24"/>
          <w:szCs w:val="24"/>
          <w:lang w:val="en-US" w:eastAsia="zh-CN" w:bidi="ar"/>
        </w:rPr>
        <w:t>至</w:t>
      </w:r>
      <w:r>
        <w:rPr>
          <w:rFonts w:hint="default" w:ascii="Times New Roman" w:hAnsi="Times New Roman" w:eastAsia="宋体" w:cs="Times New Roman"/>
          <w:color w:val="auto"/>
          <w:kern w:val="0"/>
          <w:sz w:val="24"/>
          <w:szCs w:val="24"/>
          <w:lang w:val="en-US" w:eastAsia="zh-CN" w:bidi="ar"/>
        </w:rPr>
        <w:t>600m</w:t>
      </w:r>
      <w:r>
        <w:rPr>
          <w:rFonts w:hint="eastAsia" w:ascii="宋体" w:hAnsi="宋体" w:eastAsia="宋体" w:cs="宋体"/>
          <w:color w:val="auto"/>
          <w:kern w:val="0"/>
          <w:sz w:val="24"/>
          <w:szCs w:val="24"/>
          <w:lang w:val="en-US" w:eastAsia="zh-CN" w:bidi="ar"/>
        </w:rPr>
        <w:t>的范围内，鸟类的密度也会低于森林内部。由于鸟类具有飞翔能力，公路营运对鸟类的影响较小。</w:t>
      </w:r>
    </w:p>
    <w:p w14:paraId="09FE00E3">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因此，项目</w:t>
      </w:r>
      <w:r>
        <w:rPr>
          <w:rFonts w:hint="eastAsia" w:ascii="宋体" w:hAnsi="宋体" w:cs="宋体"/>
          <w:color w:val="auto"/>
          <w:kern w:val="0"/>
          <w:sz w:val="24"/>
          <w:szCs w:val="24"/>
          <w:lang w:val="en-US" w:eastAsia="zh-CN" w:bidi="ar"/>
        </w:rPr>
        <w:t>营运期</w:t>
      </w:r>
      <w:r>
        <w:rPr>
          <w:rFonts w:hint="eastAsia" w:ascii="宋体" w:hAnsi="宋体" w:eastAsia="宋体" w:cs="宋体"/>
          <w:color w:val="auto"/>
          <w:kern w:val="0"/>
          <w:sz w:val="24"/>
          <w:szCs w:val="24"/>
          <w:lang w:val="en-US" w:eastAsia="zh-CN" w:bidi="ar"/>
        </w:rPr>
        <w:t>间，应在项目周边多植树绿化，建设围墙或构建声屏障，道路应及时维护保持平整，车辆应限速行驶，夜晚应该禁鸣喇叭，以减少噪声和灯光污染。</w:t>
      </w:r>
    </w:p>
    <w:p w14:paraId="035D1C29">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eastAsia" w:cs="Times New Roman"/>
          <w:color w:val="auto"/>
          <w:kern w:val="0"/>
          <w:sz w:val="24"/>
          <w:szCs w:val="24"/>
          <w:lang w:eastAsia="zh-CN" w:bidi="ar"/>
        </w:rPr>
        <w:t>（</w:t>
      </w:r>
      <w:r>
        <w:rPr>
          <w:rFonts w:hint="eastAsia" w:cs="Times New Roman"/>
          <w:color w:val="auto"/>
          <w:kern w:val="0"/>
          <w:sz w:val="24"/>
          <w:szCs w:val="24"/>
          <w:lang w:val="en-US" w:eastAsia="zh-CN" w:bidi="ar"/>
        </w:rPr>
        <w:t>3</w:t>
      </w:r>
      <w:r>
        <w:rPr>
          <w:rFonts w:hint="eastAsia" w:cs="Times New Roman"/>
          <w:color w:val="auto"/>
          <w:kern w:val="0"/>
          <w:sz w:val="24"/>
          <w:szCs w:val="24"/>
          <w:lang w:eastAsia="zh-CN" w:bidi="ar"/>
        </w:rPr>
        <w:t>）营运期</w:t>
      </w:r>
      <w:r>
        <w:rPr>
          <w:rFonts w:hint="eastAsia" w:cs="Times New Roman"/>
          <w:color w:val="auto"/>
          <w:kern w:val="0"/>
          <w:sz w:val="24"/>
          <w:szCs w:val="24"/>
          <w:lang w:val="en-US" w:eastAsia="zh-CN" w:bidi="ar"/>
        </w:rPr>
        <w:t>长期</w:t>
      </w:r>
      <w:r>
        <w:rPr>
          <w:rFonts w:hint="default" w:ascii="Times New Roman" w:hAnsi="Times New Roman" w:eastAsia="宋体" w:cs="Times New Roman"/>
          <w:color w:val="auto"/>
          <w:kern w:val="0"/>
          <w:sz w:val="24"/>
          <w:szCs w:val="24"/>
          <w:lang w:bidi="ar"/>
        </w:rPr>
        <w:t>生态环境影响</w:t>
      </w:r>
    </w:p>
    <w:p w14:paraId="1B5DC4E2">
      <w:pPr>
        <w:rPr>
          <w:rFonts w:hint="default" w:ascii="Times New Roman" w:hAnsi="Times New Roman" w:eastAsia="宋体" w:cs="Times New Roman"/>
          <w:color w:val="auto"/>
          <w:kern w:val="0"/>
          <w:lang w:bidi="ar"/>
        </w:rPr>
      </w:pPr>
      <w:r>
        <w:rPr>
          <w:rFonts w:hint="eastAsia" w:cs="Times New Roman"/>
          <w:color w:val="auto"/>
          <w:kern w:val="0"/>
          <w:lang w:val="en-US" w:eastAsia="zh-CN" w:bidi="ar"/>
        </w:rPr>
        <w:t>项目公路营运后，路面径流</w:t>
      </w:r>
      <w:r>
        <w:rPr>
          <w:rFonts w:hint="eastAsia"/>
          <w:color w:val="auto"/>
          <w:vertAlign w:val="baseline"/>
        </w:rPr>
        <w:t>、交通噪声、尾气、人类活动</w:t>
      </w:r>
      <w:r>
        <w:rPr>
          <w:rFonts w:hint="eastAsia"/>
          <w:color w:val="auto"/>
          <w:vertAlign w:val="baseline"/>
          <w:lang w:val="en-US" w:eastAsia="zh-CN"/>
        </w:rPr>
        <w:t>都会</w:t>
      </w:r>
      <w:r>
        <w:rPr>
          <w:rFonts w:hint="eastAsia"/>
          <w:color w:val="auto"/>
          <w:vertAlign w:val="baseline"/>
        </w:rPr>
        <w:t>增加对周边生态系统的累积影响、长期影响</w:t>
      </w:r>
      <w:r>
        <w:rPr>
          <w:rFonts w:hint="eastAsia"/>
          <w:color w:val="auto"/>
          <w:vertAlign w:val="baseline"/>
          <w:lang w:eastAsia="zh-CN"/>
        </w:rPr>
        <w:t>。</w:t>
      </w:r>
      <w:r>
        <w:rPr>
          <w:rFonts w:hint="default" w:ascii="Times New Roman" w:hAnsi="Times New Roman" w:eastAsia="宋体" w:cs="Times New Roman"/>
          <w:color w:val="auto"/>
          <w:kern w:val="0"/>
          <w:lang w:bidi="ar"/>
        </w:rPr>
        <w:br w:type="page"/>
      </w:r>
    </w:p>
    <w:p w14:paraId="66D777FC">
      <w:pPr>
        <w:pStyle w:val="2"/>
        <w:bidi w:val="0"/>
        <w:rPr>
          <w:rFonts w:hint="default" w:ascii="Times New Roman" w:hAnsi="Times New Roman" w:eastAsia="宋体" w:cs="Times New Roman"/>
          <w:color w:val="auto"/>
        </w:rPr>
      </w:pPr>
      <w:bookmarkStart w:id="126" w:name="_Toc19452"/>
      <w:r>
        <w:rPr>
          <w:rFonts w:hint="default" w:ascii="Times New Roman" w:hAnsi="Times New Roman" w:eastAsia="宋体" w:cs="Times New Roman"/>
          <w:color w:val="auto"/>
          <w:lang w:val="en-US" w:eastAsia="zh-CN"/>
        </w:rPr>
        <w:t xml:space="preserve">6 </w:t>
      </w:r>
      <w:r>
        <w:rPr>
          <w:rFonts w:hint="default" w:ascii="Times New Roman" w:hAnsi="Times New Roman" w:eastAsia="宋体" w:cs="Times New Roman"/>
          <w:color w:val="auto"/>
        </w:rPr>
        <w:t>环境风险分析</w:t>
      </w:r>
      <w:bookmarkEnd w:id="126"/>
    </w:p>
    <w:p w14:paraId="4876AF00">
      <w:pPr>
        <w:pStyle w:val="3"/>
        <w:bidi w:val="0"/>
        <w:rPr>
          <w:color w:val="auto"/>
        </w:rPr>
      </w:pPr>
      <w:bookmarkStart w:id="127" w:name="_Toc8124"/>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1</w:t>
      </w:r>
      <w:r>
        <w:rPr>
          <w:rFonts w:hint="eastAsia" w:ascii="宋体" w:hAnsi="宋体" w:eastAsia="宋体" w:cs="宋体"/>
          <w:b/>
          <w:bCs/>
          <w:color w:val="auto"/>
          <w:kern w:val="0"/>
          <w:sz w:val="24"/>
          <w:szCs w:val="24"/>
          <w:lang w:val="en-US" w:eastAsia="zh-CN" w:bidi="ar"/>
        </w:rPr>
        <w:t>评价依据</w:t>
      </w:r>
      <w:bookmarkEnd w:id="127"/>
    </w:p>
    <w:p w14:paraId="135BB625">
      <w:pPr>
        <w:keepNext w:val="0"/>
        <w:keepLines w:val="0"/>
        <w:widowControl/>
        <w:suppressLineNumbers w:val="0"/>
        <w:jc w:val="left"/>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依据《建设项目环境风险评价技术导则》（HJ</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169-2018），工程属于非污染型项目，不存在危险物质生产、使用、储存，危险物质数量与临界量比值Q&lt;1，本工程环境风险潜势为Ⅰ，评价等级为简单分析。</w:t>
      </w:r>
    </w:p>
    <w:p w14:paraId="022CC51E">
      <w:pPr>
        <w:pStyle w:val="3"/>
        <w:bidi w:val="0"/>
        <w:rPr>
          <w:color w:val="auto"/>
          <w:sz w:val="24"/>
          <w:szCs w:val="24"/>
        </w:rPr>
      </w:pPr>
      <w:bookmarkStart w:id="128" w:name="_Toc11101"/>
      <w:r>
        <w:rPr>
          <w:rFonts w:hint="eastAsia"/>
          <w:color w:val="auto"/>
          <w:sz w:val="24"/>
          <w:szCs w:val="24"/>
          <w:lang w:val="en-US" w:eastAsia="zh-CN"/>
        </w:rPr>
        <w:t>6</w:t>
      </w:r>
      <w:r>
        <w:rPr>
          <w:rFonts w:hint="default"/>
          <w:color w:val="auto"/>
          <w:sz w:val="24"/>
          <w:szCs w:val="24"/>
          <w:lang w:val="en-US" w:eastAsia="zh-CN"/>
        </w:rPr>
        <w:t>.2</w:t>
      </w:r>
      <w:r>
        <w:rPr>
          <w:rFonts w:hint="eastAsia"/>
          <w:color w:val="auto"/>
          <w:sz w:val="24"/>
          <w:szCs w:val="24"/>
          <w:lang w:val="en-US" w:eastAsia="zh-CN"/>
        </w:rPr>
        <w:t>环境敏感目标概况</w:t>
      </w:r>
      <w:bookmarkEnd w:id="128"/>
    </w:p>
    <w:p w14:paraId="2F25960B">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水体</w:t>
      </w:r>
    </w:p>
    <w:p w14:paraId="1216E2C0">
      <w:pPr>
        <w:keepNext w:val="0"/>
        <w:keepLines w:val="0"/>
        <w:widowControl/>
        <w:suppressLineNumbers w:val="0"/>
        <w:ind w:left="0" w:leftChars="0" w:firstLine="480" w:firstLineChars="200"/>
        <w:jc w:val="left"/>
        <w:rPr>
          <w:color w:val="auto"/>
        </w:rPr>
      </w:pPr>
      <w:r>
        <w:rPr>
          <w:rFonts w:hint="default" w:ascii="Times New Roman" w:hAnsi="Times New Roman" w:eastAsia="宋体" w:cs="Times New Roman"/>
          <w:color w:val="auto"/>
          <w:kern w:val="0"/>
        </w:rPr>
        <w:t>项目区最近的地表水为项目区南侧345m处的</w:t>
      </w:r>
      <w:r>
        <w:rPr>
          <w:rFonts w:hint="default" w:ascii="Times New Roman" w:hAnsi="Times New Roman" w:eastAsia="宋体" w:cs="Times New Roman"/>
          <w:color w:val="auto"/>
        </w:rPr>
        <w:t>甘庄河，甘庄河为元江支流，根据《云南省水功能区划（2014年修订）》，属于元江红河巍山</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河口保留区，类别为III类，执行《地表水环境质量标准》</w:t>
      </w:r>
      <w:r>
        <w:rPr>
          <w:rFonts w:hint="default" w:ascii="Times New Roman" w:hAnsi="Times New Roman" w:eastAsia="宋体" w:cs="Times New Roman"/>
          <w:color w:val="auto"/>
        </w:rPr>
        <w:t>（GB</w:t>
      </w:r>
      <w:r>
        <w:rPr>
          <w:rFonts w:hint="eastAsia" w:cs="Times New Roman"/>
          <w:color w:val="auto"/>
          <w:lang w:val="en-US" w:eastAsia="zh-CN"/>
        </w:rPr>
        <w:t xml:space="preserve"> </w:t>
      </w:r>
      <w:r>
        <w:rPr>
          <w:rFonts w:hint="default" w:ascii="Times New Roman" w:hAnsi="Times New Roman" w:eastAsia="宋体" w:cs="Times New Roman"/>
          <w:color w:val="auto"/>
        </w:rPr>
        <w:t>3838-2002）</w:t>
      </w:r>
      <w:r>
        <w:rPr>
          <w:rFonts w:hint="default" w:ascii="Times New Roman" w:hAnsi="Times New Roman" w:eastAsia="宋体" w:cs="Times New Roman"/>
          <w:color w:val="auto"/>
        </w:rPr>
        <w:t>Ⅲ类水质标准</w:t>
      </w:r>
      <w:r>
        <w:rPr>
          <w:rFonts w:hint="eastAsia" w:ascii="宋体" w:hAnsi="宋体" w:eastAsia="宋体" w:cs="宋体"/>
          <w:color w:val="auto"/>
          <w:kern w:val="0"/>
          <w:sz w:val="24"/>
          <w:szCs w:val="24"/>
          <w:lang w:val="en-US" w:eastAsia="zh-CN" w:bidi="ar"/>
        </w:rPr>
        <w:t>。工程沿线不涉及饮用水水源保护区。</w:t>
      </w:r>
    </w:p>
    <w:p w14:paraId="48EC1973">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敏感点</w:t>
      </w:r>
    </w:p>
    <w:p w14:paraId="64E34FBF">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涉及的敏感点为甘庄集镇。</w:t>
      </w:r>
    </w:p>
    <w:p w14:paraId="2DCECFDB">
      <w:pPr>
        <w:pStyle w:val="3"/>
        <w:bidi w:val="0"/>
        <w:rPr>
          <w:color w:val="auto"/>
        </w:rPr>
      </w:pPr>
      <w:bookmarkStart w:id="129" w:name="_Toc908"/>
      <w:bookmarkStart w:id="130" w:name="_Toc352320953"/>
      <w:bookmarkStart w:id="131" w:name="_Toc351046704"/>
      <w:bookmarkStart w:id="132" w:name="_Toc327801052"/>
      <w:bookmarkStart w:id="133" w:name="_Toc330759207"/>
      <w:bookmarkStart w:id="134" w:name="_Toc352320803"/>
      <w:bookmarkStart w:id="135" w:name="_Toc367844684"/>
      <w:bookmarkStart w:id="136" w:name="_Toc330759213"/>
      <w:bookmarkStart w:id="137" w:name="_Toc351046710"/>
      <w:bookmarkStart w:id="138" w:name="_Toc352320810"/>
      <w:bookmarkStart w:id="139" w:name="_Toc352320956"/>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.3</w:t>
      </w:r>
      <w:r>
        <w:rPr>
          <w:rFonts w:hint="eastAsia" w:ascii="宋体" w:hAnsi="宋体" w:eastAsia="宋体" w:cs="宋体"/>
          <w:b/>
          <w:bCs/>
          <w:color w:val="auto"/>
          <w:kern w:val="0"/>
          <w:sz w:val="24"/>
          <w:szCs w:val="24"/>
          <w:lang w:val="en-US" w:eastAsia="zh-CN" w:bidi="ar"/>
        </w:rPr>
        <w:t>环境风险识别</w:t>
      </w:r>
      <w:bookmarkEnd w:id="129"/>
    </w:p>
    <w:p w14:paraId="76600A01">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本工程不设加油站，危险品运输交通事故是本工程建成后的主要环境风险，可能对水体及环境空气产生污染，环境风险类型主要有：</w:t>
      </w:r>
    </w:p>
    <w:p w14:paraId="2724B55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）车辆本身携带的汽油（柴油）和机油泄漏，排入附近水体；</w:t>
      </w:r>
    </w:p>
    <w:p w14:paraId="0D52165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）危险化学品的运输车辆发生交通事故后，有毒有害固态、液态危险品发生泄漏或易燃易爆物质引起爆炸，引起大气环境、生态环境和附近水体污染；</w:t>
      </w:r>
    </w:p>
    <w:p w14:paraId="2E2C07E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）汽油（柴油）在小区域范围内蒸汽浓度过高，引起爆炸，引起大气环境污染。</w:t>
      </w:r>
    </w:p>
    <w:p w14:paraId="615C180E">
      <w:pPr>
        <w:widowControl/>
        <w:ind w:firstLine="480"/>
        <w:jc w:val="left"/>
        <w:rPr>
          <w:color w:val="auto"/>
        </w:rPr>
      </w:pPr>
      <w:r>
        <w:rPr>
          <w:rFonts w:hint="eastAsia" w:ascii="宋体" w:hAnsi="宋体" w:cs="宋体"/>
          <w:color w:val="auto"/>
          <w:kern w:val="0"/>
          <w:lang w:bidi="ar"/>
        </w:rPr>
        <w:t>按照《危险货物分类和品名编号》</w:t>
      </w:r>
      <w:r>
        <w:rPr>
          <w:rFonts w:hint="eastAsia" w:ascii="宋体" w:hAnsi="宋体" w:cs="宋体"/>
          <w:color w:val="auto"/>
          <w:kern w:val="0"/>
          <w:lang w:bidi="ar"/>
        </w:rPr>
        <w:t>(</w:t>
      </w:r>
      <w:r>
        <w:rPr>
          <w:color w:val="auto"/>
          <w:kern w:val="0"/>
          <w:lang w:bidi="ar"/>
        </w:rPr>
        <w:t>GB</w:t>
      </w:r>
      <w:r>
        <w:rPr>
          <w:rFonts w:hint="eastAsia"/>
          <w:color w:val="auto"/>
          <w:kern w:val="0"/>
          <w:lang w:val="en-US" w:eastAsia="zh-CN" w:bidi="ar"/>
        </w:rPr>
        <w:t xml:space="preserve"> </w:t>
      </w:r>
      <w:r>
        <w:rPr>
          <w:color w:val="auto"/>
          <w:kern w:val="0"/>
          <w:lang w:bidi="ar"/>
        </w:rPr>
        <w:t>6944-2012</w:t>
      </w:r>
      <w:r>
        <w:rPr>
          <w:rFonts w:hint="eastAsia"/>
          <w:color w:val="auto"/>
          <w:kern w:val="0"/>
          <w:lang w:bidi="ar"/>
        </w:rPr>
        <w:t>）</w:t>
      </w:r>
      <w:r>
        <w:rPr>
          <w:rFonts w:hint="eastAsia" w:ascii="宋体" w:hAnsi="宋体" w:cs="宋体"/>
          <w:color w:val="auto"/>
          <w:kern w:val="0"/>
          <w:lang w:bidi="ar"/>
        </w:rPr>
        <w:t>，危险货物分类情况如下表。</w:t>
      </w:r>
    </w:p>
    <w:p w14:paraId="2D255834">
      <w:pPr>
        <w:widowControl/>
        <w:adjustRightInd w:val="0"/>
        <w:snapToGrid w:val="0"/>
        <w:spacing w:line="240" w:lineRule="auto"/>
        <w:ind w:firstLine="0" w:firstLineChars="0"/>
        <w:jc w:val="center"/>
        <w:rPr>
          <w:color w:val="auto"/>
          <w:sz w:val="21"/>
          <w:szCs w:val="21"/>
        </w:rPr>
      </w:pPr>
      <w:r>
        <w:rPr>
          <w:rFonts w:hint="eastAsia" w:ascii="宋体" w:hAnsi="宋体" w:cs="宋体"/>
          <w:b/>
          <w:bCs/>
          <w:color w:val="auto"/>
          <w:kern w:val="0"/>
          <w:sz w:val="21"/>
          <w:szCs w:val="21"/>
          <w:lang w:bidi="ar"/>
        </w:rPr>
        <w:t>表</w:t>
      </w:r>
      <w:r>
        <w:rPr>
          <w:rFonts w:hint="eastAsia"/>
          <w:b/>
          <w:bCs/>
          <w:color w:val="auto"/>
          <w:kern w:val="0"/>
          <w:sz w:val="21"/>
          <w:szCs w:val="21"/>
          <w:lang w:val="en-US" w:eastAsia="zh-CN" w:bidi="ar"/>
        </w:rPr>
        <w:t>6</w:t>
      </w:r>
      <w:r>
        <w:rPr>
          <w:b/>
          <w:bCs/>
          <w:color w:val="auto"/>
          <w:kern w:val="0"/>
          <w:sz w:val="21"/>
          <w:szCs w:val="21"/>
          <w:lang w:bidi="ar"/>
        </w:rPr>
        <w:t>.</w:t>
      </w:r>
      <w:r>
        <w:rPr>
          <w:rFonts w:hint="eastAsia"/>
          <w:b/>
          <w:bCs/>
          <w:color w:val="auto"/>
          <w:kern w:val="0"/>
          <w:sz w:val="21"/>
          <w:szCs w:val="21"/>
          <w:lang w:bidi="ar"/>
        </w:rPr>
        <w:t>3</w:t>
      </w:r>
      <w:r>
        <w:rPr>
          <w:b/>
          <w:bCs/>
          <w:color w:val="auto"/>
          <w:kern w:val="0"/>
          <w:sz w:val="21"/>
          <w:szCs w:val="21"/>
          <w:lang w:bidi="ar"/>
        </w:rPr>
        <w:t>-1</w:t>
      </w:r>
      <w:r>
        <w:rPr>
          <w:rFonts w:hint="eastAsia"/>
          <w:b/>
          <w:bCs/>
          <w:color w:val="auto"/>
          <w:kern w:val="0"/>
          <w:sz w:val="21"/>
          <w:szCs w:val="21"/>
          <w:lang w:bidi="ar"/>
        </w:rPr>
        <w:t xml:space="preserve">  </w:t>
      </w:r>
      <w:r>
        <w:rPr>
          <w:rFonts w:hint="eastAsia" w:ascii="宋体" w:hAnsi="宋体" w:cs="宋体"/>
          <w:b/>
          <w:bCs/>
          <w:color w:val="auto"/>
          <w:kern w:val="0"/>
          <w:sz w:val="21"/>
          <w:szCs w:val="21"/>
          <w:lang w:bidi="ar"/>
        </w:rPr>
        <w:t>危险货物分类情况一览表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413"/>
        <w:gridCol w:w="816"/>
        <w:gridCol w:w="5483"/>
      </w:tblGrid>
      <w:tr w14:paraId="76AD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29" w:type="dxa"/>
            <w:gridSpan w:val="2"/>
            <w:noWrap w:val="0"/>
            <w:vAlign w:val="center"/>
          </w:tcPr>
          <w:p w14:paraId="53C3B6EA">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类别</w:t>
            </w:r>
          </w:p>
        </w:tc>
        <w:tc>
          <w:tcPr>
            <w:tcW w:w="816" w:type="dxa"/>
            <w:noWrap w:val="0"/>
            <w:vAlign w:val="center"/>
          </w:tcPr>
          <w:p w14:paraId="151FB666">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序号</w:t>
            </w:r>
          </w:p>
        </w:tc>
        <w:tc>
          <w:tcPr>
            <w:tcW w:w="5484" w:type="dxa"/>
            <w:noWrap w:val="0"/>
            <w:vAlign w:val="center"/>
          </w:tcPr>
          <w:p w14:paraId="21C0EF4E">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属性</w:t>
            </w:r>
          </w:p>
        </w:tc>
      </w:tr>
      <w:tr w14:paraId="33A1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6904C8F9">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1413" w:type="dxa"/>
            <w:vMerge w:val="restart"/>
            <w:noWrap w:val="0"/>
            <w:vAlign w:val="center"/>
          </w:tcPr>
          <w:p w14:paraId="7CBDD9EC">
            <w:pPr>
              <w:widowControl/>
              <w:adjustRightInd w:val="0"/>
              <w:snapToGrid w:val="0"/>
              <w:spacing w:line="240" w:lineRule="auto"/>
              <w:ind w:firstLine="0" w:firstLineChars="0"/>
              <w:jc w:val="center"/>
              <w:rPr>
                <w:color w:val="auto"/>
                <w:sz w:val="21"/>
                <w:szCs w:val="21"/>
              </w:rPr>
            </w:pPr>
            <w:r>
              <w:rPr>
                <w:color w:val="auto"/>
                <w:kern w:val="0"/>
                <w:sz w:val="21"/>
                <w:szCs w:val="21"/>
                <w:lang w:bidi="ar"/>
              </w:rPr>
              <w:t>爆炸品</w:t>
            </w:r>
          </w:p>
        </w:tc>
        <w:tc>
          <w:tcPr>
            <w:tcW w:w="816" w:type="dxa"/>
            <w:noWrap w:val="0"/>
            <w:vAlign w:val="center"/>
          </w:tcPr>
          <w:p w14:paraId="5A385622">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3E454490">
            <w:pPr>
              <w:widowControl/>
              <w:adjustRightInd w:val="0"/>
              <w:snapToGrid w:val="0"/>
              <w:spacing w:line="240" w:lineRule="auto"/>
              <w:ind w:firstLine="0" w:firstLineChars="0"/>
              <w:jc w:val="center"/>
              <w:rPr>
                <w:color w:val="auto"/>
                <w:sz w:val="21"/>
                <w:szCs w:val="21"/>
              </w:rPr>
            </w:pPr>
            <w:r>
              <w:rPr>
                <w:color w:val="auto"/>
                <w:kern w:val="0"/>
                <w:sz w:val="21"/>
                <w:szCs w:val="21"/>
                <w:lang w:bidi="ar"/>
              </w:rPr>
              <w:t>具有整体爆炸危险</w:t>
            </w:r>
          </w:p>
        </w:tc>
      </w:tr>
      <w:tr w14:paraId="7F12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1D94E3D4">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4408D742">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5445E1B8">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7B9DCA40">
            <w:pPr>
              <w:widowControl/>
              <w:adjustRightInd w:val="0"/>
              <w:snapToGrid w:val="0"/>
              <w:spacing w:line="240" w:lineRule="auto"/>
              <w:ind w:firstLine="0" w:firstLineChars="0"/>
              <w:jc w:val="center"/>
              <w:rPr>
                <w:color w:val="auto"/>
                <w:sz w:val="21"/>
                <w:szCs w:val="21"/>
              </w:rPr>
            </w:pPr>
            <w:r>
              <w:rPr>
                <w:color w:val="auto"/>
                <w:kern w:val="0"/>
                <w:sz w:val="21"/>
                <w:szCs w:val="21"/>
                <w:lang w:bidi="ar"/>
              </w:rPr>
              <w:t>具有抛射危险，但无整体爆炸</w:t>
            </w:r>
          </w:p>
        </w:tc>
      </w:tr>
      <w:tr w14:paraId="71112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37BBF6CA">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15ABC5FE">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3205A2EF">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5484" w:type="dxa"/>
            <w:noWrap w:val="0"/>
            <w:vAlign w:val="center"/>
          </w:tcPr>
          <w:p w14:paraId="6362CB7B">
            <w:pPr>
              <w:widowControl/>
              <w:adjustRightInd w:val="0"/>
              <w:snapToGrid w:val="0"/>
              <w:spacing w:line="240" w:lineRule="auto"/>
              <w:ind w:firstLine="0" w:firstLineChars="0"/>
              <w:jc w:val="center"/>
              <w:rPr>
                <w:color w:val="auto"/>
                <w:sz w:val="21"/>
                <w:szCs w:val="21"/>
              </w:rPr>
            </w:pPr>
            <w:r>
              <w:rPr>
                <w:color w:val="auto"/>
                <w:kern w:val="0"/>
                <w:sz w:val="21"/>
                <w:szCs w:val="21"/>
                <w:lang w:bidi="ar"/>
              </w:rPr>
              <w:t>具有燃烧危险和较小爆炸或较小抛射危险、或两者兼有，但无整体爆炸危险</w:t>
            </w:r>
          </w:p>
        </w:tc>
      </w:tr>
      <w:tr w14:paraId="65E7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0CF92070">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22796E1F">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637AC41F">
            <w:pPr>
              <w:widowControl/>
              <w:adjustRightInd w:val="0"/>
              <w:snapToGrid w:val="0"/>
              <w:spacing w:line="240" w:lineRule="auto"/>
              <w:ind w:firstLine="0" w:firstLineChars="0"/>
              <w:jc w:val="center"/>
              <w:rPr>
                <w:color w:val="auto"/>
                <w:sz w:val="21"/>
                <w:szCs w:val="21"/>
              </w:rPr>
            </w:pPr>
            <w:r>
              <w:rPr>
                <w:color w:val="auto"/>
                <w:sz w:val="21"/>
                <w:szCs w:val="21"/>
              </w:rPr>
              <w:t>4</w:t>
            </w:r>
          </w:p>
        </w:tc>
        <w:tc>
          <w:tcPr>
            <w:tcW w:w="5484" w:type="dxa"/>
            <w:noWrap w:val="0"/>
            <w:vAlign w:val="center"/>
          </w:tcPr>
          <w:p w14:paraId="61F1FB7B">
            <w:pPr>
              <w:widowControl/>
              <w:adjustRightInd w:val="0"/>
              <w:snapToGrid w:val="0"/>
              <w:spacing w:line="240" w:lineRule="auto"/>
              <w:ind w:firstLine="0" w:firstLineChars="0"/>
              <w:jc w:val="center"/>
              <w:rPr>
                <w:color w:val="auto"/>
                <w:sz w:val="21"/>
                <w:szCs w:val="21"/>
              </w:rPr>
            </w:pPr>
            <w:r>
              <w:rPr>
                <w:color w:val="auto"/>
                <w:kern w:val="0"/>
                <w:sz w:val="21"/>
                <w:szCs w:val="21"/>
                <w:lang w:bidi="ar"/>
              </w:rPr>
              <w:t>无重大危险</w:t>
            </w:r>
          </w:p>
        </w:tc>
      </w:tr>
      <w:tr w14:paraId="7175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57A1CE38">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56332B04">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5A341612">
            <w:pPr>
              <w:widowControl/>
              <w:adjustRightInd w:val="0"/>
              <w:snapToGrid w:val="0"/>
              <w:spacing w:line="240" w:lineRule="auto"/>
              <w:ind w:firstLine="0" w:firstLineChars="0"/>
              <w:jc w:val="center"/>
              <w:rPr>
                <w:color w:val="auto"/>
                <w:sz w:val="21"/>
                <w:szCs w:val="21"/>
              </w:rPr>
            </w:pPr>
            <w:r>
              <w:rPr>
                <w:color w:val="auto"/>
                <w:sz w:val="21"/>
                <w:szCs w:val="21"/>
              </w:rPr>
              <w:t>5</w:t>
            </w:r>
          </w:p>
        </w:tc>
        <w:tc>
          <w:tcPr>
            <w:tcW w:w="5484" w:type="dxa"/>
            <w:noWrap w:val="0"/>
            <w:vAlign w:val="center"/>
          </w:tcPr>
          <w:p w14:paraId="2DB90B07">
            <w:pPr>
              <w:widowControl/>
              <w:adjustRightInd w:val="0"/>
              <w:snapToGrid w:val="0"/>
              <w:spacing w:line="240" w:lineRule="auto"/>
              <w:ind w:firstLine="0" w:firstLineChars="0"/>
              <w:jc w:val="center"/>
              <w:rPr>
                <w:color w:val="auto"/>
                <w:sz w:val="21"/>
                <w:szCs w:val="21"/>
              </w:rPr>
            </w:pPr>
            <w:r>
              <w:rPr>
                <w:color w:val="auto"/>
                <w:kern w:val="0"/>
                <w:sz w:val="21"/>
                <w:szCs w:val="21"/>
                <w:lang w:bidi="ar"/>
              </w:rPr>
              <w:t>非常不敏感的爆炸物质</w:t>
            </w:r>
          </w:p>
        </w:tc>
      </w:tr>
      <w:tr w14:paraId="2B14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131C93BE">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1413" w:type="dxa"/>
            <w:vMerge w:val="restart"/>
            <w:noWrap w:val="0"/>
            <w:vAlign w:val="center"/>
          </w:tcPr>
          <w:p w14:paraId="62E65A34">
            <w:pPr>
              <w:widowControl/>
              <w:adjustRightInd w:val="0"/>
              <w:snapToGrid w:val="0"/>
              <w:spacing w:line="240" w:lineRule="auto"/>
              <w:ind w:firstLine="0" w:firstLineChars="0"/>
              <w:jc w:val="center"/>
              <w:rPr>
                <w:color w:val="auto"/>
                <w:sz w:val="21"/>
                <w:szCs w:val="21"/>
              </w:rPr>
            </w:pPr>
            <w:r>
              <w:rPr>
                <w:color w:val="auto"/>
                <w:kern w:val="0"/>
                <w:sz w:val="21"/>
                <w:szCs w:val="21"/>
                <w:lang w:bidi="ar"/>
              </w:rPr>
              <w:t>压缩气体和液化气体</w:t>
            </w:r>
          </w:p>
        </w:tc>
        <w:tc>
          <w:tcPr>
            <w:tcW w:w="816" w:type="dxa"/>
            <w:noWrap w:val="0"/>
            <w:vAlign w:val="center"/>
          </w:tcPr>
          <w:p w14:paraId="777E0E8F">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431DC9CD">
            <w:pPr>
              <w:widowControl/>
              <w:adjustRightInd w:val="0"/>
              <w:snapToGrid w:val="0"/>
              <w:spacing w:line="240" w:lineRule="auto"/>
              <w:ind w:firstLine="0" w:firstLineChars="0"/>
              <w:jc w:val="center"/>
              <w:rPr>
                <w:color w:val="auto"/>
                <w:sz w:val="21"/>
                <w:szCs w:val="21"/>
              </w:rPr>
            </w:pPr>
            <w:r>
              <w:rPr>
                <w:color w:val="auto"/>
                <w:kern w:val="0"/>
                <w:sz w:val="21"/>
                <w:szCs w:val="21"/>
                <w:lang w:bidi="ar"/>
              </w:rPr>
              <w:t>易燃气体</w:t>
            </w:r>
          </w:p>
        </w:tc>
      </w:tr>
      <w:tr w14:paraId="11FC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191ED97F">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38C396A9">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06EE8273">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7B735BB1">
            <w:pPr>
              <w:widowControl/>
              <w:adjustRightInd w:val="0"/>
              <w:snapToGrid w:val="0"/>
              <w:spacing w:line="240" w:lineRule="auto"/>
              <w:ind w:firstLine="0" w:firstLineChars="0"/>
              <w:jc w:val="center"/>
              <w:rPr>
                <w:color w:val="auto"/>
                <w:sz w:val="21"/>
                <w:szCs w:val="21"/>
              </w:rPr>
            </w:pPr>
            <w:r>
              <w:rPr>
                <w:color w:val="auto"/>
                <w:kern w:val="0"/>
                <w:sz w:val="21"/>
                <w:szCs w:val="21"/>
                <w:lang w:bidi="ar"/>
              </w:rPr>
              <w:t>不燃气体</w:t>
            </w:r>
          </w:p>
        </w:tc>
      </w:tr>
      <w:tr w14:paraId="1F26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64F52494">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7E60C6EF">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450BBDA5">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5484" w:type="dxa"/>
            <w:noWrap w:val="0"/>
            <w:vAlign w:val="center"/>
          </w:tcPr>
          <w:p w14:paraId="5979AF38">
            <w:pPr>
              <w:widowControl/>
              <w:adjustRightInd w:val="0"/>
              <w:snapToGrid w:val="0"/>
              <w:spacing w:line="240" w:lineRule="auto"/>
              <w:ind w:firstLine="0" w:firstLineChars="0"/>
              <w:jc w:val="center"/>
              <w:rPr>
                <w:color w:val="auto"/>
                <w:sz w:val="21"/>
                <w:szCs w:val="21"/>
              </w:rPr>
            </w:pPr>
            <w:r>
              <w:rPr>
                <w:color w:val="auto"/>
                <w:kern w:val="0"/>
                <w:sz w:val="21"/>
                <w:szCs w:val="21"/>
                <w:lang w:bidi="ar"/>
              </w:rPr>
              <w:t>有毒气体</w:t>
            </w:r>
          </w:p>
        </w:tc>
      </w:tr>
      <w:tr w14:paraId="58C4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0782A809">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1413" w:type="dxa"/>
            <w:vMerge w:val="restart"/>
            <w:noWrap w:val="0"/>
            <w:vAlign w:val="center"/>
          </w:tcPr>
          <w:p w14:paraId="19A8D701">
            <w:pPr>
              <w:widowControl/>
              <w:adjustRightInd w:val="0"/>
              <w:snapToGrid w:val="0"/>
              <w:spacing w:line="240" w:lineRule="auto"/>
              <w:ind w:firstLine="0" w:firstLineChars="0"/>
              <w:jc w:val="center"/>
              <w:rPr>
                <w:color w:val="auto"/>
                <w:sz w:val="21"/>
                <w:szCs w:val="21"/>
              </w:rPr>
            </w:pPr>
            <w:r>
              <w:rPr>
                <w:color w:val="auto"/>
                <w:kern w:val="0"/>
                <w:sz w:val="21"/>
                <w:szCs w:val="21"/>
                <w:lang w:bidi="ar"/>
              </w:rPr>
              <w:t>易燃液体</w:t>
            </w:r>
          </w:p>
        </w:tc>
        <w:tc>
          <w:tcPr>
            <w:tcW w:w="816" w:type="dxa"/>
            <w:noWrap w:val="0"/>
            <w:vAlign w:val="center"/>
          </w:tcPr>
          <w:p w14:paraId="60D9AAD1">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15BC25E8">
            <w:pPr>
              <w:widowControl/>
              <w:adjustRightInd w:val="0"/>
              <w:snapToGrid w:val="0"/>
              <w:spacing w:line="240" w:lineRule="auto"/>
              <w:ind w:firstLine="0" w:firstLineChars="0"/>
              <w:jc w:val="center"/>
              <w:rPr>
                <w:color w:val="auto"/>
                <w:sz w:val="21"/>
                <w:szCs w:val="21"/>
              </w:rPr>
            </w:pPr>
            <w:r>
              <w:rPr>
                <w:color w:val="auto"/>
                <w:kern w:val="0"/>
                <w:sz w:val="21"/>
                <w:szCs w:val="21"/>
                <w:lang w:bidi="ar"/>
              </w:rPr>
              <w:t>低闪点液体（系指闭杯试验闪点低于－18℃的液体）</w:t>
            </w:r>
          </w:p>
        </w:tc>
      </w:tr>
      <w:tr w14:paraId="103A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43023887">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644031AD">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1BB4D8F3">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781B4F67">
            <w:pPr>
              <w:widowControl/>
              <w:adjustRightInd w:val="0"/>
              <w:snapToGrid w:val="0"/>
              <w:spacing w:line="240" w:lineRule="auto"/>
              <w:ind w:firstLine="0" w:firstLineChars="0"/>
              <w:jc w:val="center"/>
              <w:rPr>
                <w:color w:val="auto"/>
                <w:sz w:val="21"/>
                <w:szCs w:val="21"/>
              </w:rPr>
            </w:pPr>
            <w:r>
              <w:rPr>
                <w:color w:val="auto"/>
                <w:kern w:val="0"/>
                <w:sz w:val="21"/>
                <w:szCs w:val="21"/>
                <w:lang w:bidi="ar"/>
              </w:rPr>
              <w:t>中闪点液体（系指闭杯试验闪点低于－18℃至＜23℃的液＝</w:t>
            </w:r>
          </w:p>
        </w:tc>
      </w:tr>
      <w:tr w14:paraId="09B1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04A37E6C">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157EF628">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39931B26">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5484" w:type="dxa"/>
            <w:noWrap w:val="0"/>
            <w:vAlign w:val="center"/>
          </w:tcPr>
          <w:p w14:paraId="7A6083AD">
            <w:pPr>
              <w:widowControl/>
              <w:adjustRightInd w:val="0"/>
              <w:snapToGrid w:val="0"/>
              <w:spacing w:line="240" w:lineRule="auto"/>
              <w:ind w:firstLine="0" w:firstLineChars="0"/>
              <w:jc w:val="center"/>
              <w:rPr>
                <w:color w:val="auto"/>
                <w:sz w:val="21"/>
                <w:szCs w:val="21"/>
              </w:rPr>
            </w:pPr>
            <w:r>
              <w:rPr>
                <w:color w:val="auto"/>
                <w:kern w:val="0"/>
                <w:sz w:val="21"/>
                <w:szCs w:val="21"/>
                <w:lang w:bidi="ar"/>
              </w:rPr>
              <w:t>高闪点液体（系指闭杯试验闪点在23℃至61℃的液体）</w:t>
            </w:r>
          </w:p>
        </w:tc>
      </w:tr>
      <w:tr w14:paraId="50BA3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1EED84E0">
            <w:pPr>
              <w:widowControl/>
              <w:adjustRightInd w:val="0"/>
              <w:snapToGrid w:val="0"/>
              <w:spacing w:line="240" w:lineRule="auto"/>
              <w:ind w:firstLine="0" w:firstLineChars="0"/>
              <w:jc w:val="center"/>
              <w:rPr>
                <w:color w:val="auto"/>
                <w:sz w:val="21"/>
                <w:szCs w:val="21"/>
              </w:rPr>
            </w:pPr>
            <w:r>
              <w:rPr>
                <w:color w:val="auto"/>
                <w:sz w:val="21"/>
                <w:szCs w:val="21"/>
              </w:rPr>
              <w:t>4</w:t>
            </w:r>
          </w:p>
        </w:tc>
        <w:tc>
          <w:tcPr>
            <w:tcW w:w="1413" w:type="dxa"/>
            <w:vMerge w:val="restart"/>
            <w:noWrap w:val="0"/>
            <w:vAlign w:val="center"/>
          </w:tcPr>
          <w:p w14:paraId="1B27CBDF">
            <w:pPr>
              <w:widowControl/>
              <w:adjustRightInd w:val="0"/>
              <w:snapToGrid w:val="0"/>
              <w:spacing w:line="240" w:lineRule="auto"/>
              <w:ind w:firstLine="0" w:firstLineChars="0"/>
              <w:jc w:val="center"/>
              <w:rPr>
                <w:color w:val="auto"/>
                <w:sz w:val="21"/>
                <w:szCs w:val="21"/>
              </w:rPr>
            </w:pPr>
            <w:r>
              <w:rPr>
                <w:color w:val="auto"/>
                <w:kern w:val="0"/>
                <w:sz w:val="21"/>
                <w:szCs w:val="21"/>
                <w:lang w:bidi="ar"/>
              </w:rPr>
              <w:t>易燃固体、易燃物品和遇湿易燃物品</w:t>
            </w:r>
          </w:p>
        </w:tc>
        <w:tc>
          <w:tcPr>
            <w:tcW w:w="816" w:type="dxa"/>
            <w:noWrap w:val="0"/>
            <w:vAlign w:val="center"/>
          </w:tcPr>
          <w:p w14:paraId="6F23ADC3">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3EFB7710">
            <w:pPr>
              <w:widowControl/>
              <w:adjustRightInd w:val="0"/>
              <w:snapToGrid w:val="0"/>
              <w:spacing w:line="240" w:lineRule="auto"/>
              <w:ind w:firstLine="0" w:firstLineChars="0"/>
              <w:jc w:val="center"/>
              <w:rPr>
                <w:color w:val="auto"/>
                <w:sz w:val="21"/>
                <w:szCs w:val="21"/>
              </w:rPr>
            </w:pPr>
            <w:r>
              <w:rPr>
                <w:color w:val="auto"/>
                <w:kern w:val="0"/>
                <w:sz w:val="21"/>
                <w:szCs w:val="21"/>
                <w:lang w:bidi="ar"/>
              </w:rPr>
              <w:t>易燃固体（系指燃点低，对热、撞击、摩擦敏感，易被外部火源点燃，燃烧迅速，并可能散发出毒烟雾或有毒气体的固体，但不包括已列入爆炸品的物质）</w:t>
            </w:r>
          </w:p>
        </w:tc>
      </w:tr>
      <w:tr w14:paraId="25E9E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6395038B">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211A08FE">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31BEC478">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314073EB">
            <w:pPr>
              <w:widowControl/>
              <w:adjustRightInd w:val="0"/>
              <w:snapToGrid w:val="0"/>
              <w:spacing w:line="240" w:lineRule="auto"/>
              <w:ind w:firstLine="0" w:firstLineChars="0"/>
              <w:jc w:val="center"/>
              <w:rPr>
                <w:color w:val="auto"/>
                <w:sz w:val="21"/>
                <w:szCs w:val="21"/>
              </w:rPr>
            </w:pPr>
            <w:r>
              <w:rPr>
                <w:color w:val="auto"/>
                <w:kern w:val="0"/>
                <w:sz w:val="21"/>
                <w:szCs w:val="21"/>
                <w:lang w:bidi="ar"/>
              </w:rPr>
              <w:t>自燃物品（系指自燃点低，在空气中易于发生氧化反应，放出热量，而自行燃烧的物品）</w:t>
            </w:r>
          </w:p>
        </w:tc>
      </w:tr>
      <w:tr w14:paraId="3364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75E98712">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05B24A88">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57B7A6FC">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5484" w:type="dxa"/>
            <w:noWrap w:val="0"/>
            <w:vAlign w:val="center"/>
          </w:tcPr>
          <w:p w14:paraId="67638B6C">
            <w:pPr>
              <w:widowControl/>
              <w:adjustRightInd w:val="0"/>
              <w:snapToGrid w:val="0"/>
              <w:spacing w:line="240" w:lineRule="auto"/>
              <w:ind w:firstLine="0" w:firstLineChars="0"/>
              <w:jc w:val="center"/>
              <w:rPr>
                <w:color w:val="auto"/>
                <w:sz w:val="21"/>
                <w:szCs w:val="21"/>
              </w:rPr>
            </w:pPr>
            <w:r>
              <w:rPr>
                <w:color w:val="auto"/>
                <w:kern w:val="0"/>
                <w:sz w:val="21"/>
                <w:szCs w:val="21"/>
                <w:lang w:bidi="ar"/>
              </w:rPr>
              <w:t>氧化剂（系指遇水或受潮时，发生剧烈化学反应，放出大量的易燃气体和热量的物品。有些不需明火，即能燃烧或爆炸）</w:t>
            </w:r>
          </w:p>
        </w:tc>
      </w:tr>
      <w:tr w14:paraId="25A2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2A8AAFA1">
            <w:pPr>
              <w:widowControl/>
              <w:adjustRightInd w:val="0"/>
              <w:snapToGrid w:val="0"/>
              <w:spacing w:line="240" w:lineRule="auto"/>
              <w:ind w:firstLine="0" w:firstLineChars="0"/>
              <w:jc w:val="center"/>
              <w:rPr>
                <w:color w:val="auto"/>
                <w:sz w:val="21"/>
                <w:szCs w:val="21"/>
              </w:rPr>
            </w:pPr>
            <w:r>
              <w:rPr>
                <w:color w:val="auto"/>
                <w:sz w:val="21"/>
                <w:szCs w:val="21"/>
              </w:rPr>
              <w:t>5</w:t>
            </w:r>
          </w:p>
        </w:tc>
        <w:tc>
          <w:tcPr>
            <w:tcW w:w="1413" w:type="dxa"/>
            <w:vMerge w:val="restart"/>
            <w:noWrap w:val="0"/>
            <w:vAlign w:val="center"/>
          </w:tcPr>
          <w:p w14:paraId="6E8310E9">
            <w:pPr>
              <w:widowControl/>
              <w:adjustRightInd w:val="0"/>
              <w:snapToGrid w:val="0"/>
              <w:spacing w:line="240" w:lineRule="auto"/>
              <w:ind w:firstLine="0" w:firstLineChars="0"/>
              <w:jc w:val="center"/>
              <w:rPr>
                <w:color w:val="auto"/>
                <w:sz w:val="21"/>
                <w:szCs w:val="21"/>
              </w:rPr>
            </w:pPr>
            <w:r>
              <w:rPr>
                <w:color w:val="auto"/>
                <w:kern w:val="0"/>
                <w:sz w:val="21"/>
                <w:szCs w:val="21"/>
                <w:lang w:bidi="ar"/>
              </w:rPr>
              <w:t>氧化剂和有机过氧化物</w:t>
            </w:r>
          </w:p>
        </w:tc>
        <w:tc>
          <w:tcPr>
            <w:tcW w:w="816" w:type="dxa"/>
            <w:noWrap w:val="0"/>
            <w:vAlign w:val="center"/>
          </w:tcPr>
          <w:p w14:paraId="46512D99">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04EB662B">
            <w:pPr>
              <w:widowControl/>
              <w:adjustRightInd w:val="0"/>
              <w:snapToGrid w:val="0"/>
              <w:spacing w:line="240" w:lineRule="auto"/>
              <w:ind w:firstLine="0" w:firstLineChars="0"/>
              <w:jc w:val="center"/>
              <w:rPr>
                <w:color w:val="auto"/>
                <w:sz w:val="21"/>
                <w:szCs w:val="21"/>
              </w:rPr>
            </w:pPr>
            <w:r>
              <w:rPr>
                <w:color w:val="auto"/>
                <w:kern w:val="0"/>
                <w:sz w:val="21"/>
                <w:szCs w:val="21"/>
                <w:lang w:bidi="ar"/>
              </w:rPr>
              <w:t>氧化剂（系指处于高氧化态，具有强氧化性，易分解并放出氧和热量的物质。包括含有过氧基的有机物，其本身不一定可燃、但能导致可燃物的燃烧，与松软的粉末状可燃物能组成爆炸性混合物，对热、震动或摩擦较敏感）</w:t>
            </w:r>
          </w:p>
        </w:tc>
      </w:tr>
      <w:tr w14:paraId="7E67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3DAA35EA">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7DC1DD07">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4ED5EC66">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2E3BCB47">
            <w:pPr>
              <w:widowControl/>
              <w:adjustRightInd w:val="0"/>
              <w:snapToGrid w:val="0"/>
              <w:spacing w:line="240" w:lineRule="auto"/>
              <w:ind w:firstLine="0" w:firstLineChars="0"/>
              <w:jc w:val="center"/>
              <w:rPr>
                <w:color w:val="auto"/>
                <w:sz w:val="21"/>
                <w:szCs w:val="21"/>
              </w:rPr>
            </w:pPr>
            <w:r>
              <w:rPr>
                <w:color w:val="auto"/>
                <w:kern w:val="0"/>
                <w:sz w:val="21"/>
                <w:szCs w:val="21"/>
                <w:lang w:bidi="ar"/>
              </w:rPr>
              <w:t>过氧化物（系指分子组成中含有过氧基的有机物，其本身易燃易爆，极易分解，对热、震动或摩擦极为敏感）</w:t>
            </w:r>
          </w:p>
        </w:tc>
      </w:tr>
      <w:tr w14:paraId="1D98A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058C8748">
            <w:pPr>
              <w:widowControl/>
              <w:adjustRightInd w:val="0"/>
              <w:snapToGrid w:val="0"/>
              <w:spacing w:line="240" w:lineRule="auto"/>
              <w:ind w:firstLine="0" w:firstLineChars="0"/>
              <w:jc w:val="center"/>
              <w:rPr>
                <w:color w:val="auto"/>
                <w:sz w:val="21"/>
                <w:szCs w:val="21"/>
              </w:rPr>
            </w:pPr>
            <w:r>
              <w:rPr>
                <w:color w:val="auto"/>
                <w:sz w:val="21"/>
                <w:szCs w:val="21"/>
              </w:rPr>
              <w:t>6</w:t>
            </w:r>
          </w:p>
        </w:tc>
        <w:tc>
          <w:tcPr>
            <w:tcW w:w="1413" w:type="dxa"/>
            <w:vMerge w:val="restart"/>
            <w:noWrap w:val="0"/>
            <w:vAlign w:val="center"/>
          </w:tcPr>
          <w:p w14:paraId="6B33C315">
            <w:pPr>
              <w:widowControl/>
              <w:adjustRightInd w:val="0"/>
              <w:snapToGrid w:val="0"/>
              <w:spacing w:line="240" w:lineRule="auto"/>
              <w:ind w:firstLine="0" w:firstLineChars="0"/>
              <w:jc w:val="center"/>
              <w:rPr>
                <w:color w:val="auto"/>
                <w:sz w:val="21"/>
                <w:szCs w:val="21"/>
              </w:rPr>
            </w:pPr>
            <w:r>
              <w:rPr>
                <w:color w:val="auto"/>
                <w:kern w:val="0"/>
                <w:sz w:val="21"/>
                <w:szCs w:val="21"/>
                <w:lang w:bidi="ar"/>
              </w:rPr>
              <w:t>毒害品和感染性物品</w:t>
            </w:r>
          </w:p>
        </w:tc>
        <w:tc>
          <w:tcPr>
            <w:tcW w:w="816" w:type="dxa"/>
            <w:noWrap w:val="0"/>
            <w:vAlign w:val="center"/>
          </w:tcPr>
          <w:p w14:paraId="6AE772BC">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1B7662F7">
            <w:pPr>
              <w:widowControl/>
              <w:adjustRightInd w:val="0"/>
              <w:snapToGrid w:val="0"/>
              <w:spacing w:line="240" w:lineRule="auto"/>
              <w:ind w:firstLine="0" w:firstLineChars="0"/>
              <w:jc w:val="center"/>
              <w:rPr>
                <w:color w:val="auto"/>
                <w:sz w:val="21"/>
                <w:szCs w:val="21"/>
              </w:rPr>
            </w:pPr>
            <w:r>
              <w:rPr>
                <w:color w:val="auto"/>
                <w:kern w:val="0"/>
                <w:sz w:val="21"/>
                <w:szCs w:val="21"/>
                <w:lang w:bidi="ar"/>
              </w:rPr>
              <w:t>毒害品（系指进入肌体后，累积达一定的量，能与体液和组织发生生物化学作用或生物物理学变化，扰乱或破坏肌体的正常生理功能，引起暂 时性或持久性的病理状态，甚至危及生命的物品）</w:t>
            </w:r>
          </w:p>
        </w:tc>
      </w:tr>
      <w:tr w14:paraId="764D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1AFAD361">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0FB07D08">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012A3B9D">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283354B0">
            <w:pPr>
              <w:widowControl/>
              <w:adjustRightInd w:val="0"/>
              <w:snapToGrid w:val="0"/>
              <w:spacing w:line="240" w:lineRule="auto"/>
              <w:ind w:firstLine="0" w:firstLineChars="0"/>
              <w:jc w:val="center"/>
              <w:rPr>
                <w:color w:val="auto"/>
                <w:sz w:val="21"/>
                <w:szCs w:val="21"/>
              </w:rPr>
            </w:pPr>
            <w:r>
              <w:rPr>
                <w:color w:val="auto"/>
                <w:kern w:val="0"/>
                <w:sz w:val="21"/>
                <w:szCs w:val="21"/>
                <w:lang w:bidi="ar"/>
              </w:rPr>
              <w:t>感染性物品（系指含有致病的微生物，能引起病态，甚至死亡的物质）</w:t>
            </w:r>
          </w:p>
        </w:tc>
      </w:tr>
      <w:tr w14:paraId="160D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noWrap w:val="0"/>
            <w:vAlign w:val="center"/>
          </w:tcPr>
          <w:p w14:paraId="21C529FE">
            <w:pPr>
              <w:widowControl/>
              <w:adjustRightInd w:val="0"/>
              <w:snapToGrid w:val="0"/>
              <w:spacing w:line="240" w:lineRule="auto"/>
              <w:ind w:firstLine="0" w:firstLineChars="0"/>
              <w:jc w:val="center"/>
              <w:rPr>
                <w:color w:val="auto"/>
                <w:sz w:val="21"/>
                <w:szCs w:val="21"/>
              </w:rPr>
            </w:pPr>
            <w:r>
              <w:rPr>
                <w:color w:val="auto"/>
                <w:sz w:val="21"/>
                <w:szCs w:val="21"/>
              </w:rPr>
              <w:t>7</w:t>
            </w:r>
          </w:p>
        </w:tc>
        <w:tc>
          <w:tcPr>
            <w:tcW w:w="1413" w:type="dxa"/>
            <w:noWrap w:val="0"/>
            <w:vAlign w:val="center"/>
          </w:tcPr>
          <w:p w14:paraId="262F60C8">
            <w:pPr>
              <w:widowControl/>
              <w:adjustRightInd w:val="0"/>
              <w:snapToGrid w:val="0"/>
              <w:spacing w:line="240" w:lineRule="auto"/>
              <w:ind w:firstLine="0" w:firstLineChars="0"/>
              <w:jc w:val="center"/>
              <w:rPr>
                <w:color w:val="auto"/>
                <w:sz w:val="21"/>
                <w:szCs w:val="21"/>
              </w:rPr>
            </w:pPr>
            <w:r>
              <w:rPr>
                <w:color w:val="auto"/>
                <w:kern w:val="0"/>
                <w:sz w:val="21"/>
                <w:szCs w:val="21"/>
                <w:lang w:bidi="ar"/>
              </w:rPr>
              <w:t>放射性物品</w:t>
            </w:r>
          </w:p>
        </w:tc>
        <w:tc>
          <w:tcPr>
            <w:tcW w:w="816" w:type="dxa"/>
            <w:noWrap w:val="0"/>
            <w:vAlign w:val="center"/>
          </w:tcPr>
          <w:p w14:paraId="0F274D64">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1E3F8EE3">
            <w:pPr>
              <w:widowControl/>
              <w:adjustRightInd w:val="0"/>
              <w:snapToGrid w:val="0"/>
              <w:spacing w:line="240" w:lineRule="auto"/>
              <w:ind w:firstLine="0" w:firstLineChars="0"/>
              <w:jc w:val="center"/>
              <w:rPr>
                <w:color w:val="auto"/>
                <w:sz w:val="21"/>
                <w:szCs w:val="21"/>
              </w:rPr>
            </w:pPr>
            <w:r>
              <w:rPr>
                <w:color w:val="auto"/>
                <w:kern w:val="0"/>
                <w:sz w:val="21"/>
                <w:szCs w:val="21"/>
                <w:lang w:bidi="ar"/>
              </w:rPr>
              <w:t>本类货物放射性比活度大于7.4×104Bq/kg的物品</w:t>
            </w:r>
          </w:p>
        </w:tc>
      </w:tr>
      <w:tr w14:paraId="0C53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noWrap w:val="0"/>
            <w:vAlign w:val="center"/>
          </w:tcPr>
          <w:p w14:paraId="5AB78459">
            <w:pPr>
              <w:widowControl/>
              <w:adjustRightInd w:val="0"/>
              <w:snapToGrid w:val="0"/>
              <w:spacing w:line="240" w:lineRule="auto"/>
              <w:ind w:firstLine="0" w:firstLineChars="0"/>
              <w:jc w:val="center"/>
              <w:rPr>
                <w:color w:val="auto"/>
                <w:sz w:val="21"/>
                <w:szCs w:val="21"/>
              </w:rPr>
            </w:pPr>
            <w:r>
              <w:rPr>
                <w:color w:val="auto"/>
                <w:sz w:val="21"/>
                <w:szCs w:val="21"/>
              </w:rPr>
              <w:t>8</w:t>
            </w:r>
          </w:p>
        </w:tc>
        <w:tc>
          <w:tcPr>
            <w:tcW w:w="1413" w:type="dxa"/>
            <w:vMerge w:val="restart"/>
            <w:noWrap w:val="0"/>
            <w:vAlign w:val="center"/>
          </w:tcPr>
          <w:p w14:paraId="139E9418">
            <w:pPr>
              <w:widowControl/>
              <w:adjustRightInd w:val="0"/>
              <w:snapToGrid w:val="0"/>
              <w:spacing w:line="240" w:lineRule="auto"/>
              <w:ind w:firstLine="0" w:firstLineChars="0"/>
              <w:jc w:val="center"/>
              <w:rPr>
                <w:color w:val="auto"/>
                <w:sz w:val="21"/>
                <w:szCs w:val="21"/>
              </w:rPr>
            </w:pPr>
            <w:r>
              <w:rPr>
                <w:color w:val="auto"/>
                <w:kern w:val="0"/>
                <w:sz w:val="21"/>
                <w:szCs w:val="21"/>
                <w:lang w:bidi="ar"/>
              </w:rPr>
              <w:t>腐蚀品</w:t>
            </w:r>
          </w:p>
        </w:tc>
        <w:tc>
          <w:tcPr>
            <w:tcW w:w="816" w:type="dxa"/>
            <w:noWrap w:val="0"/>
            <w:vAlign w:val="center"/>
          </w:tcPr>
          <w:p w14:paraId="6B121D09">
            <w:pPr>
              <w:widowControl/>
              <w:adjustRightInd w:val="0"/>
              <w:snapToGrid w:val="0"/>
              <w:spacing w:line="240" w:lineRule="auto"/>
              <w:ind w:firstLine="0" w:firstLineChars="0"/>
              <w:jc w:val="center"/>
              <w:rPr>
                <w:color w:val="auto"/>
                <w:sz w:val="21"/>
                <w:szCs w:val="21"/>
              </w:rPr>
            </w:pPr>
            <w:r>
              <w:rPr>
                <w:color w:val="auto"/>
                <w:sz w:val="21"/>
                <w:szCs w:val="21"/>
              </w:rPr>
              <w:t>1</w:t>
            </w:r>
          </w:p>
        </w:tc>
        <w:tc>
          <w:tcPr>
            <w:tcW w:w="5484" w:type="dxa"/>
            <w:noWrap w:val="0"/>
            <w:vAlign w:val="center"/>
          </w:tcPr>
          <w:p w14:paraId="5205DE9A">
            <w:pPr>
              <w:widowControl/>
              <w:adjustRightInd w:val="0"/>
              <w:snapToGrid w:val="0"/>
              <w:spacing w:line="240" w:lineRule="auto"/>
              <w:ind w:firstLine="0" w:firstLineChars="0"/>
              <w:jc w:val="center"/>
              <w:rPr>
                <w:color w:val="auto"/>
                <w:sz w:val="21"/>
                <w:szCs w:val="21"/>
              </w:rPr>
            </w:pPr>
            <w:r>
              <w:rPr>
                <w:color w:val="auto"/>
                <w:kern w:val="0"/>
                <w:sz w:val="21"/>
                <w:szCs w:val="21"/>
                <w:lang w:bidi="ar"/>
              </w:rPr>
              <w:t>酸性腐蚀品</w:t>
            </w:r>
          </w:p>
        </w:tc>
      </w:tr>
      <w:tr w14:paraId="3EFA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21EB9FBE">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7AADD991">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6F09CCC7">
            <w:pPr>
              <w:widowControl/>
              <w:adjustRightInd w:val="0"/>
              <w:snapToGrid w:val="0"/>
              <w:spacing w:line="240" w:lineRule="auto"/>
              <w:ind w:firstLine="0" w:firstLineChars="0"/>
              <w:jc w:val="center"/>
              <w:rPr>
                <w:color w:val="auto"/>
                <w:sz w:val="21"/>
                <w:szCs w:val="21"/>
              </w:rPr>
            </w:pPr>
            <w:r>
              <w:rPr>
                <w:color w:val="auto"/>
                <w:sz w:val="21"/>
                <w:szCs w:val="21"/>
              </w:rPr>
              <w:t>2</w:t>
            </w:r>
          </w:p>
        </w:tc>
        <w:tc>
          <w:tcPr>
            <w:tcW w:w="5484" w:type="dxa"/>
            <w:noWrap w:val="0"/>
            <w:vAlign w:val="center"/>
          </w:tcPr>
          <w:p w14:paraId="299B229C">
            <w:pPr>
              <w:widowControl/>
              <w:adjustRightInd w:val="0"/>
              <w:snapToGrid w:val="0"/>
              <w:spacing w:line="240" w:lineRule="auto"/>
              <w:ind w:firstLine="0" w:firstLineChars="0"/>
              <w:jc w:val="center"/>
              <w:rPr>
                <w:color w:val="auto"/>
                <w:sz w:val="21"/>
                <w:szCs w:val="21"/>
              </w:rPr>
            </w:pPr>
            <w:r>
              <w:rPr>
                <w:color w:val="auto"/>
                <w:kern w:val="0"/>
                <w:sz w:val="21"/>
                <w:szCs w:val="21"/>
                <w:lang w:bidi="ar"/>
              </w:rPr>
              <w:t>碱性腐蚀品</w:t>
            </w:r>
          </w:p>
        </w:tc>
      </w:tr>
      <w:tr w14:paraId="78BB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noWrap w:val="0"/>
            <w:vAlign w:val="center"/>
          </w:tcPr>
          <w:p w14:paraId="306FC675">
            <w:pPr>
              <w:widowControl/>
              <w:adjustRightInd w:val="0"/>
              <w:snapToGrid w:val="0"/>
              <w:spacing w:line="240" w:lineRule="auto"/>
              <w:ind w:firstLine="0" w:firstLineChars="0"/>
              <w:jc w:val="center"/>
              <w:rPr>
                <w:color w:val="auto"/>
                <w:sz w:val="21"/>
                <w:szCs w:val="21"/>
              </w:rPr>
            </w:pPr>
          </w:p>
        </w:tc>
        <w:tc>
          <w:tcPr>
            <w:tcW w:w="1413" w:type="dxa"/>
            <w:vMerge w:val="continue"/>
            <w:noWrap w:val="0"/>
            <w:vAlign w:val="center"/>
          </w:tcPr>
          <w:p w14:paraId="77C76526">
            <w:pPr>
              <w:widowControl/>
              <w:adjustRightInd w:val="0"/>
              <w:snapToGrid w:val="0"/>
              <w:spacing w:line="240" w:lineRule="auto"/>
              <w:ind w:firstLine="0" w:firstLineChars="0"/>
              <w:jc w:val="center"/>
              <w:rPr>
                <w:color w:val="auto"/>
                <w:sz w:val="21"/>
                <w:szCs w:val="21"/>
              </w:rPr>
            </w:pPr>
          </w:p>
        </w:tc>
        <w:tc>
          <w:tcPr>
            <w:tcW w:w="816" w:type="dxa"/>
            <w:noWrap w:val="0"/>
            <w:vAlign w:val="center"/>
          </w:tcPr>
          <w:p w14:paraId="035B60CA">
            <w:pPr>
              <w:widowControl/>
              <w:adjustRightInd w:val="0"/>
              <w:snapToGrid w:val="0"/>
              <w:spacing w:line="240" w:lineRule="auto"/>
              <w:ind w:firstLine="0" w:firstLineChars="0"/>
              <w:jc w:val="center"/>
              <w:rPr>
                <w:color w:val="auto"/>
                <w:sz w:val="21"/>
                <w:szCs w:val="21"/>
              </w:rPr>
            </w:pPr>
            <w:r>
              <w:rPr>
                <w:color w:val="auto"/>
                <w:sz w:val="21"/>
                <w:szCs w:val="21"/>
              </w:rPr>
              <w:t>3</w:t>
            </w:r>
          </w:p>
        </w:tc>
        <w:tc>
          <w:tcPr>
            <w:tcW w:w="5484" w:type="dxa"/>
            <w:noWrap w:val="0"/>
            <w:vAlign w:val="center"/>
          </w:tcPr>
          <w:p w14:paraId="789AF301">
            <w:pPr>
              <w:widowControl/>
              <w:adjustRightInd w:val="0"/>
              <w:snapToGrid w:val="0"/>
              <w:spacing w:line="240" w:lineRule="auto"/>
              <w:ind w:firstLine="0" w:firstLineChars="0"/>
              <w:jc w:val="center"/>
              <w:rPr>
                <w:color w:val="auto"/>
                <w:sz w:val="21"/>
                <w:szCs w:val="21"/>
              </w:rPr>
            </w:pPr>
            <w:r>
              <w:rPr>
                <w:color w:val="auto"/>
                <w:kern w:val="0"/>
                <w:sz w:val="21"/>
                <w:szCs w:val="21"/>
                <w:lang w:bidi="ar"/>
              </w:rPr>
              <w:t>其它腐蚀品</w:t>
            </w:r>
          </w:p>
        </w:tc>
      </w:tr>
    </w:tbl>
    <w:p w14:paraId="0E36DF4B">
      <w:pPr>
        <w:widowControl/>
        <w:adjustRightInd w:val="0"/>
        <w:snapToGrid w:val="0"/>
        <w:spacing w:line="240" w:lineRule="auto"/>
        <w:ind w:firstLine="0" w:firstLineChars="0"/>
        <w:jc w:val="center"/>
        <w:rPr>
          <w:color w:val="auto"/>
          <w:sz w:val="21"/>
          <w:szCs w:val="21"/>
        </w:rPr>
      </w:pPr>
      <w:r>
        <w:rPr>
          <w:rFonts w:hint="eastAsia" w:ascii="宋体" w:hAnsi="宋体" w:cs="宋体"/>
          <w:b/>
          <w:bCs/>
          <w:color w:val="auto"/>
          <w:kern w:val="0"/>
          <w:sz w:val="21"/>
          <w:szCs w:val="21"/>
          <w:lang w:bidi="ar"/>
        </w:rPr>
        <w:t>表</w:t>
      </w:r>
      <w:r>
        <w:rPr>
          <w:rFonts w:hint="eastAsia"/>
          <w:b/>
          <w:bCs/>
          <w:color w:val="auto"/>
          <w:kern w:val="0"/>
          <w:sz w:val="21"/>
          <w:szCs w:val="21"/>
          <w:lang w:val="en-US" w:eastAsia="zh-CN" w:bidi="ar"/>
        </w:rPr>
        <w:t>6</w:t>
      </w:r>
      <w:r>
        <w:rPr>
          <w:b/>
          <w:bCs/>
          <w:color w:val="auto"/>
          <w:kern w:val="0"/>
          <w:sz w:val="21"/>
          <w:szCs w:val="21"/>
          <w:lang w:bidi="ar"/>
        </w:rPr>
        <w:t>.</w:t>
      </w:r>
      <w:r>
        <w:rPr>
          <w:rFonts w:hint="eastAsia"/>
          <w:b/>
          <w:bCs/>
          <w:color w:val="auto"/>
          <w:kern w:val="0"/>
          <w:sz w:val="21"/>
          <w:szCs w:val="21"/>
          <w:lang w:bidi="ar"/>
        </w:rPr>
        <w:t>3</w:t>
      </w:r>
      <w:r>
        <w:rPr>
          <w:b/>
          <w:bCs/>
          <w:color w:val="auto"/>
          <w:kern w:val="0"/>
          <w:sz w:val="21"/>
          <w:szCs w:val="21"/>
          <w:lang w:bidi="ar"/>
        </w:rPr>
        <w:t>-2</w:t>
      </w:r>
      <w:r>
        <w:rPr>
          <w:rFonts w:hint="eastAsia"/>
          <w:b/>
          <w:bCs/>
          <w:color w:val="auto"/>
          <w:kern w:val="0"/>
          <w:sz w:val="21"/>
          <w:szCs w:val="21"/>
          <w:lang w:bidi="ar"/>
        </w:rPr>
        <w:t xml:space="preserve">  </w:t>
      </w:r>
      <w:r>
        <w:rPr>
          <w:rFonts w:hint="eastAsia" w:ascii="宋体" w:hAnsi="宋体" w:cs="宋体"/>
          <w:b/>
          <w:bCs/>
          <w:color w:val="auto"/>
          <w:kern w:val="0"/>
          <w:sz w:val="21"/>
          <w:szCs w:val="21"/>
          <w:lang w:bidi="ar"/>
        </w:rPr>
        <w:t>汽油的理化性质及危险特性表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896"/>
        <w:gridCol w:w="136"/>
        <w:gridCol w:w="1957"/>
        <w:gridCol w:w="1016"/>
        <w:gridCol w:w="910"/>
        <w:gridCol w:w="1926"/>
      </w:tblGrid>
      <w:tr w14:paraId="5833E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restart"/>
            <w:noWrap w:val="0"/>
            <w:vAlign w:val="center"/>
          </w:tcPr>
          <w:p w14:paraId="375DE6C5">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标识</w:t>
            </w:r>
          </w:p>
        </w:tc>
        <w:tc>
          <w:tcPr>
            <w:tcW w:w="1896" w:type="dxa"/>
            <w:noWrap w:val="0"/>
            <w:vAlign w:val="center"/>
          </w:tcPr>
          <w:p w14:paraId="3B4ECF40">
            <w:pPr>
              <w:widowControl/>
              <w:adjustRightInd w:val="0"/>
              <w:snapToGrid w:val="0"/>
              <w:spacing w:line="240" w:lineRule="auto"/>
              <w:ind w:firstLine="0" w:firstLineChars="0"/>
              <w:jc w:val="center"/>
              <w:rPr>
                <w:color w:val="auto"/>
                <w:sz w:val="21"/>
                <w:szCs w:val="21"/>
              </w:rPr>
            </w:pPr>
            <w:r>
              <w:rPr>
                <w:color w:val="auto"/>
                <w:kern w:val="0"/>
                <w:sz w:val="21"/>
                <w:szCs w:val="21"/>
                <w:lang w:bidi="ar"/>
              </w:rPr>
              <w:t>英文名：gasoline</w:t>
            </w:r>
          </w:p>
        </w:tc>
        <w:tc>
          <w:tcPr>
            <w:tcW w:w="5945" w:type="dxa"/>
            <w:gridSpan w:val="5"/>
            <w:noWrap w:val="0"/>
            <w:vAlign w:val="center"/>
          </w:tcPr>
          <w:p w14:paraId="0B9F64C0">
            <w:pPr>
              <w:widowControl/>
              <w:adjustRightInd w:val="0"/>
              <w:snapToGrid w:val="0"/>
              <w:spacing w:line="240" w:lineRule="auto"/>
              <w:ind w:firstLine="0" w:firstLineChars="0"/>
              <w:jc w:val="center"/>
              <w:rPr>
                <w:color w:val="auto"/>
                <w:sz w:val="21"/>
                <w:szCs w:val="21"/>
              </w:rPr>
            </w:pPr>
            <w:r>
              <w:rPr>
                <w:color w:val="auto"/>
                <w:kern w:val="0"/>
                <w:sz w:val="21"/>
                <w:szCs w:val="21"/>
                <w:lang w:bidi="ar"/>
              </w:rPr>
              <w:t>分子式：C4C12（脂肪烃和环烃）</w:t>
            </w:r>
          </w:p>
        </w:tc>
      </w:tr>
      <w:tr w14:paraId="743A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1795753F">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7E916D49">
            <w:pPr>
              <w:widowControl/>
              <w:adjustRightInd w:val="0"/>
              <w:snapToGrid w:val="0"/>
              <w:spacing w:line="240" w:lineRule="auto"/>
              <w:ind w:firstLine="0" w:firstLineChars="0"/>
              <w:jc w:val="center"/>
              <w:rPr>
                <w:color w:val="auto"/>
                <w:sz w:val="21"/>
                <w:szCs w:val="21"/>
              </w:rPr>
            </w:pPr>
            <w:r>
              <w:rPr>
                <w:color w:val="auto"/>
                <w:kern w:val="0"/>
                <w:sz w:val="21"/>
                <w:szCs w:val="21"/>
                <w:lang w:bidi="ar"/>
              </w:rPr>
              <w:t>危险货物编号：31001</w:t>
            </w:r>
          </w:p>
        </w:tc>
        <w:tc>
          <w:tcPr>
            <w:tcW w:w="2093" w:type="dxa"/>
            <w:gridSpan w:val="2"/>
            <w:noWrap w:val="0"/>
            <w:vAlign w:val="center"/>
          </w:tcPr>
          <w:p w14:paraId="14C934AE">
            <w:pPr>
              <w:widowControl/>
              <w:adjustRightInd w:val="0"/>
              <w:snapToGrid w:val="0"/>
              <w:spacing w:line="240" w:lineRule="auto"/>
              <w:ind w:firstLine="0" w:firstLineChars="0"/>
              <w:jc w:val="center"/>
              <w:rPr>
                <w:color w:val="auto"/>
                <w:sz w:val="21"/>
                <w:szCs w:val="21"/>
              </w:rPr>
            </w:pPr>
            <w:r>
              <w:rPr>
                <w:color w:val="auto"/>
                <w:kern w:val="0"/>
                <w:sz w:val="21"/>
                <w:szCs w:val="21"/>
                <w:lang w:bidi="ar"/>
              </w:rPr>
              <w:t>UN编号：1203</w:t>
            </w:r>
          </w:p>
        </w:tc>
        <w:tc>
          <w:tcPr>
            <w:tcW w:w="1926" w:type="dxa"/>
            <w:gridSpan w:val="2"/>
            <w:noWrap w:val="0"/>
            <w:vAlign w:val="center"/>
          </w:tcPr>
          <w:p w14:paraId="7B2425CF">
            <w:pPr>
              <w:widowControl/>
              <w:adjustRightInd w:val="0"/>
              <w:snapToGrid w:val="0"/>
              <w:spacing w:line="240" w:lineRule="auto"/>
              <w:ind w:firstLine="0" w:firstLineChars="0"/>
              <w:jc w:val="center"/>
              <w:rPr>
                <w:color w:val="auto"/>
                <w:sz w:val="21"/>
                <w:szCs w:val="21"/>
              </w:rPr>
            </w:pPr>
            <w:r>
              <w:rPr>
                <w:color w:val="auto"/>
                <w:kern w:val="0"/>
                <w:sz w:val="21"/>
                <w:szCs w:val="21"/>
                <w:lang w:bidi="ar"/>
              </w:rPr>
              <w:t>CAS号：86290-81-5</w:t>
            </w:r>
          </w:p>
          <w:p w14:paraId="2DCB678B">
            <w:pPr>
              <w:widowControl/>
              <w:adjustRightInd w:val="0"/>
              <w:snapToGrid w:val="0"/>
              <w:spacing w:line="240" w:lineRule="auto"/>
              <w:ind w:firstLine="0" w:firstLineChars="0"/>
              <w:jc w:val="center"/>
              <w:rPr>
                <w:color w:val="auto"/>
                <w:sz w:val="21"/>
                <w:szCs w:val="21"/>
              </w:rPr>
            </w:pPr>
          </w:p>
        </w:tc>
        <w:tc>
          <w:tcPr>
            <w:tcW w:w="1926" w:type="dxa"/>
            <w:noWrap w:val="0"/>
            <w:vAlign w:val="center"/>
          </w:tcPr>
          <w:p w14:paraId="6D0200BE">
            <w:pPr>
              <w:widowControl/>
              <w:adjustRightInd w:val="0"/>
              <w:snapToGrid w:val="0"/>
              <w:spacing w:line="240" w:lineRule="auto"/>
              <w:ind w:firstLine="0" w:firstLineChars="0"/>
              <w:jc w:val="center"/>
              <w:rPr>
                <w:color w:val="auto"/>
                <w:sz w:val="21"/>
                <w:szCs w:val="21"/>
              </w:rPr>
            </w:pPr>
            <w:r>
              <w:rPr>
                <w:color w:val="auto"/>
                <w:kern w:val="0"/>
                <w:sz w:val="21"/>
                <w:szCs w:val="21"/>
                <w:lang w:bidi="ar"/>
              </w:rPr>
              <w:t>包装类别：Ⅱ</w:t>
            </w:r>
          </w:p>
        </w:tc>
      </w:tr>
      <w:tr w14:paraId="139F1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restart"/>
            <w:noWrap w:val="0"/>
            <w:vAlign w:val="center"/>
          </w:tcPr>
          <w:p w14:paraId="3CA919CD">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理化</w:t>
            </w:r>
          </w:p>
          <w:p w14:paraId="6DC84CF4">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性质</w:t>
            </w:r>
          </w:p>
        </w:tc>
        <w:tc>
          <w:tcPr>
            <w:tcW w:w="1896" w:type="dxa"/>
            <w:noWrap w:val="0"/>
            <w:vAlign w:val="center"/>
          </w:tcPr>
          <w:p w14:paraId="44C1B1F9">
            <w:pPr>
              <w:widowControl/>
              <w:adjustRightInd w:val="0"/>
              <w:snapToGrid w:val="0"/>
              <w:spacing w:line="240" w:lineRule="auto"/>
              <w:ind w:firstLine="0" w:firstLineChars="0"/>
              <w:jc w:val="center"/>
              <w:rPr>
                <w:color w:val="auto"/>
                <w:sz w:val="21"/>
                <w:szCs w:val="21"/>
              </w:rPr>
            </w:pPr>
            <w:r>
              <w:rPr>
                <w:color w:val="auto"/>
                <w:kern w:val="0"/>
                <w:sz w:val="21"/>
                <w:szCs w:val="21"/>
                <w:lang w:bidi="ar"/>
              </w:rPr>
              <w:t>外观及形状</w:t>
            </w:r>
          </w:p>
        </w:tc>
        <w:tc>
          <w:tcPr>
            <w:tcW w:w="5945" w:type="dxa"/>
            <w:gridSpan w:val="5"/>
            <w:noWrap w:val="0"/>
            <w:vAlign w:val="center"/>
          </w:tcPr>
          <w:p w14:paraId="63D0904E">
            <w:pPr>
              <w:widowControl/>
              <w:adjustRightInd w:val="0"/>
              <w:snapToGrid w:val="0"/>
              <w:spacing w:line="240" w:lineRule="auto"/>
              <w:ind w:firstLine="0" w:firstLineChars="0"/>
              <w:jc w:val="center"/>
              <w:rPr>
                <w:color w:val="auto"/>
                <w:sz w:val="21"/>
                <w:szCs w:val="21"/>
              </w:rPr>
            </w:pPr>
            <w:r>
              <w:rPr>
                <w:color w:val="auto"/>
                <w:kern w:val="0"/>
                <w:sz w:val="21"/>
                <w:szCs w:val="21"/>
                <w:lang w:bidi="ar"/>
              </w:rPr>
              <w:t>无色或淡黄色易挥发液体，具有特殊臭味。</w:t>
            </w:r>
          </w:p>
        </w:tc>
      </w:tr>
      <w:tr w14:paraId="70A34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5041045C">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40D2F246">
            <w:pPr>
              <w:widowControl/>
              <w:adjustRightInd w:val="0"/>
              <w:snapToGrid w:val="0"/>
              <w:spacing w:line="240" w:lineRule="auto"/>
              <w:ind w:firstLine="0" w:firstLineChars="0"/>
              <w:jc w:val="center"/>
              <w:rPr>
                <w:color w:val="auto"/>
                <w:sz w:val="21"/>
                <w:szCs w:val="21"/>
              </w:rPr>
            </w:pPr>
            <w:r>
              <w:rPr>
                <w:color w:val="auto"/>
                <w:kern w:val="0"/>
                <w:sz w:val="21"/>
                <w:szCs w:val="21"/>
                <w:lang w:bidi="ar"/>
              </w:rPr>
              <w:t>熔点：＜-60℃</w:t>
            </w:r>
          </w:p>
        </w:tc>
        <w:tc>
          <w:tcPr>
            <w:tcW w:w="3109" w:type="dxa"/>
            <w:gridSpan w:val="3"/>
            <w:vMerge w:val="restart"/>
            <w:noWrap w:val="0"/>
            <w:vAlign w:val="center"/>
          </w:tcPr>
          <w:p w14:paraId="3E0D115B">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相对密度（水＝1）：0.70～0.79</w:t>
            </w:r>
          </w:p>
          <w:p w14:paraId="065A0FD1">
            <w:pPr>
              <w:widowControl/>
              <w:adjustRightInd w:val="0"/>
              <w:snapToGrid w:val="0"/>
              <w:spacing w:line="240" w:lineRule="auto"/>
              <w:ind w:firstLine="0" w:firstLineChars="0"/>
              <w:jc w:val="center"/>
              <w:rPr>
                <w:color w:val="auto"/>
                <w:sz w:val="21"/>
                <w:szCs w:val="21"/>
              </w:rPr>
            </w:pPr>
            <w:r>
              <w:rPr>
                <w:color w:val="auto"/>
                <w:kern w:val="0"/>
                <w:sz w:val="21"/>
                <w:szCs w:val="21"/>
                <w:lang w:bidi="ar"/>
              </w:rPr>
              <w:t>相对密度（空气＝1）：3.5</w:t>
            </w:r>
          </w:p>
        </w:tc>
        <w:tc>
          <w:tcPr>
            <w:tcW w:w="2836" w:type="dxa"/>
            <w:gridSpan w:val="2"/>
            <w:noWrap w:val="0"/>
            <w:vAlign w:val="center"/>
          </w:tcPr>
          <w:p w14:paraId="396182BB">
            <w:pPr>
              <w:widowControl/>
              <w:adjustRightInd w:val="0"/>
              <w:snapToGrid w:val="0"/>
              <w:spacing w:line="240" w:lineRule="auto"/>
              <w:ind w:firstLine="0" w:firstLineChars="0"/>
              <w:jc w:val="center"/>
              <w:rPr>
                <w:color w:val="auto"/>
                <w:sz w:val="21"/>
                <w:szCs w:val="21"/>
              </w:rPr>
            </w:pPr>
            <w:r>
              <w:rPr>
                <w:color w:val="auto"/>
                <w:kern w:val="0"/>
                <w:sz w:val="21"/>
                <w:szCs w:val="21"/>
                <w:lang w:bidi="ar"/>
              </w:rPr>
              <w:t>燃烧热：无资料</w:t>
            </w:r>
          </w:p>
        </w:tc>
      </w:tr>
      <w:tr w14:paraId="5B54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32CA7E41">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253EA5BC">
            <w:pPr>
              <w:widowControl/>
              <w:adjustRightInd w:val="0"/>
              <w:snapToGrid w:val="0"/>
              <w:spacing w:line="240" w:lineRule="auto"/>
              <w:ind w:firstLine="0" w:firstLineChars="0"/>
              <w:jc w:val="center"/>
              <w:rPr>
                <w:color w:val="auto"/>
                <w:sz w:val="21"/>
                <w:szCs w:val="21"/>
              </w:rPr>
            </w:pPr>
            <w:r>
              <w:rPr>
                <w:color w:val="auto"/>
                <w:kern w:val="0"/>
                <w:sz w:val="21"/>
                <w:szCs w:val="21"/>
                <w:lang w:bidi="ar"/>
              </w:rPr>
              <w:t>沸点：40～200℃</w:t>
            </w:r>
          </w:p>
        </w:tc>
        <w:tc>
          <w:tcPr>
            <w:tcW w:w="3109" w:type="dxa"/>
            <w:gridSpan w:val="3"/>
            <w:vMerge w:val="continue"/>
            <w:noWrap w:val="0"/>
            <w:vAlign w:val="center"/>
          </w:tcPr>
          <w:p w14:paraId="670BADC2">
            <w:pPr>
              <w:widowControl/>
              <w:adjustRightInd w:val="0"/>
              <w:snapToGrid w:val="0"/>
              <w:spacing w:line="240" w:lineRule="auto"/>
              <w:ind w:firstLine="0" w:firstLineChars="0"/>
              <w:jc w:val="center"/>
              <w:rPr>
                <w:color w:val="auto"/>
                <w:sz w:val="21"/>
                <w:szCs w:val="21"/>
              </w:rPr>
            </w:pPr>
          </w:p>
        </w:tc>
        <w:tc>
          <w:tcPr>
            <w:tcW w:w="2836" w:type="dxa"/>
            <w:gridSpan w:val="2"/>
            <w:noWrap w:val="0"/>
            <w:vAlign w:val="center"/>
          </w:tcPr>
          <w:p w14:paraId="4D21A5A0">
            <w:pPr>
              <w:widowControl/>
              <w:adjustRightInd w:val="0"/>
              <w:snapToGrid w:val="0"/>
              <w:spacing w:line="240" w:lineRule="auto"/>
              <w:ind w:firstLine="0" w:firstLineChars="0"/>
              <w:jc w:val="center"/>
              <w:rPr>
                <w:color w:val="auto"/>
                <w:sz w:val="21"/>
                <w:szCs w:val="21"/>
              </w:rPr>
            </w:pPr>
            <w:r>
              <w:rPr>
                <w:color w:val="auto"/>
                <w:kern w:val="0"/>
                <w:sz w:val="21"/>
                <w:szCs w:val="21"/>
                <w:lang w:bidi="ar"/>
              </w:rPr>
              <w:t>临界压力：MPa</w:t>
            </w:r>
          </w:p>
        </w:tc>
      </w:tr>
      <w:tr w14:paraId="7A1AA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2357CC0B">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534EB5A7">
            <w:pPr>
              <w:widowControl/>
              <w:adjustRightInd w:val="0"/>
              <w:snapToGrid w:val="0"/>
              <w:spacing w:line="240" w:lineRule="auto"/>
              <w:ind w:firstLine="0" w:firstLineChars="0"/>
              <w:jc w:val="center"/>
              <w:rPr>
                <w:color w:val="auto"/>
                <w:sz w:val="21"/>
                <w:szCs w:val="21"/>
              </w:rPr>
            </w:pPr>
            <w:r>
              <w:rPr>
                <w:color w:val="auto"/>
                <w:kern w:val="0"/>
                <w:sz w:val="21"/>
                <w:szCs w:val="21"/>
                <w:lang w:bidi="ar"/>
              </w:rPr>
              <w:t>临界温度：℃</w:t>
            </w:r>
          </w:p>
        </w:tc>
        <w:tc>
          <w:tcPr>
            <w:tcW w:w="5945" w:type="dxa"/>
            <w:gridSpan w:val="5"/>
            <w:noWrap w:val="0"/>
            <w:vAlign w:val="center"/>
          </w:tcPr>
          <w:p w14:paraId="7B261D23">
            <w:pPr>
              <w:widowControl/>
              <w:adjustRightInd w:val="0"/>
              <w:snapToGrid w:val="0"/>
              <w:spacing w:line="240" w:lineRule="auto"/>
              <w:ind w:firstLine="0" w:firstLineChars="0"/>
              <w:jc w:val="center"/>
              <w:rPr>
                <w:color w:val="auto"/>
                <w:sz w:val="21"/>
                <w:szCs w:val="21"/>
              </w:rPr>
            </w:pPr>
            <w:r>
              <w:rPr>
                <w:color w:val="auto"/>
                <w:kern w:val="0"/>
                <w:sz w:val="21"/>
                <w:szCs w:val="21"/>
                <w:lang w:bidi="ar"/>
              </w:rPr>
              <w:t>燃烧（分解）产物：一氧化碳、二氧化碳</w:t>
            </w:r>
          </w:p>
        </w:tc>
      </w:tr>
      <w:tr w14:paraId="4473F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2DD44C01">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464BA44C">
            <w:pPr>
              <w:widowControl/>
              <w:adjustRightInd w:val="0"/>
              <w:snapToGrid w:val="0"/>
              <w:spacing w:line="240" w:lineRule="auto"/>
              <w:ind w:firstLine="0" w:firstLineChars="0"/>
              <w:jc w:val="center"/>
              <w:rPr>
                <w:color w:val="auto"/>
                <w:sz w:val="21"/>
                <w:szCs w:val="21"/>
              </w:rPr>
            </w:pPr>
            <w:r>
              <w:rPr>
                <w:color w:val="auto"/>
                <w:kern w:val="0"/>
                <w:sz w:val="21"/>
                <w:szCs w:val="21"/>
                <w:lang w:bidi="ar"/>
              </w:rPr>
              <w:t>溶解性</w:t>
            </w:r>
          </w:p>
        </w:tc>
        <w:tc>
          <w:tcPr>
            <w:tcW w:w="5945" w:type="dxa"/>
            <w:gridSpan w:val="5"/>
            <w:noWrap w:val="0"/>
            <w:vAlign w:val="center"/>
          </w:tcPr>
          <w:p w14:paraId="2060D0D8">
            <w:pPr>
              <w:widowControl/>
              <w:adjustRightInd w:val="0"/>
              <w:snapToGrid w:val="0"/>
              <w:spacing w:line="240" w:lineRule="auto"/>
              <w:ind w:firstLine="0" w:firstLineChars="0"/>
              <w:jc w:val="center"/>
              <w:rPr>
                <w:color w:val="auto"/>
                <w:sz w:val="21"/>
                <w:szCs w:val="21"/>
              </w:rPr>
            </w:pPr>
            <w:r>
              <w:rPr>
                <w:color w:val="auto"/>
                <w:kern w:val="0"/>
                <w:sz w:val="21"/>
                <w:szCs w:val="21"/>
                <w:lang w:bidi="ar"/>
              </w:rPr>
              <w:t>不溶于水，易溶于苯、二硫化碳、醇，易溶于脂肪。</w:t>
            </w:r>
          </w:p>
        </w:tc>
      </w:tr>
      <w:tr w14:paraId="6F3D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5BB07720">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130E7E36">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急性毒性</w:t>
            </w:r>
          </w:p>
        </w:tc>
        <w:tc>
          <w:tcPr>
            <w:tcW w:w="5945" w:type="dxa"/>
            <w:gridSpan w:val="5"/>
            <w:noWrap w:val="0"/>
            <w:vAlign w:val="center"/>
          </w:tcPr>
          <w:p w14:paraId="3FB0312F">
            <w:pPr>
              <w:widowControl/>
              <w:adjustRightInd w:val="0"/>
              <w:snapToGrid w:val="0"/>
              <w:spacing w:line="240" w:lineRule="auto"/>
              <w:ind w:firstLine="0" w:firstLineChars="0"/>
              <w:jc w:val="center"/>
              <w:rPr>
                <w:color w:val="auto"/>
                <w:sz w:val="21"/>
                <w:szCs w:val="21"/>
              </w:rPr>
            </w:pPr>
            <w:r>
              <w:rPr>
                <w:color w:val="auto"/>
                <w:kern w:val="0"/>
                <w:sz w:val="21"/>
                <w:szCs w:val="21"/>
                <w:lang w:bidi="ar"/>
              </w:rPr>
              <w:t>LD50：67000mg/kg（小鼠经口）；LC50：103000mg/m³，2小时（小鼠吸入）</w:t>
            </w:r>
          </w:p>
        </w:tc>
      </w:tr>
      <w:tr w14:paraId="0FB44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noWrap w:val="0"/>
            <w:vAlign w:val="center"/>
          </w:tcPr>
          <w:p w14:paraId="5407BF44">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健康危害</w:t>
            </w:r>
          </w:p>
        </w:tc>
        <w:tc>
          <w:tcPr>
            <w:tcW w:w="7841" w:type="dxa"/>
            <w:gridSpan w:val="6"/>
            <w:noWrap w:val="0"/>
            <w:vAlign w:val="center"/>
          </w:tcPr>
          <w:p w14:paraId="3B244AC7">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急性中毒：对中枢神经系统有麻醉作用。轻度中毒症状有头晕、头痛、恶心、呕吐、步态不稳、供给失调。高浓度吸入出现中毒性脑病。极高浓度吸入引起意识突然丧失、反射性呼吸停止。可伴有中毒性周围神经病及化学性肺炎。部分患者出现中毒性精神病。液体吸入呼吸道可引起吸入性肺炎。溅入眼内可致角膜溃疡、穿孔，甚至失明。皮肤接触致急性接触性皮炎，甚至灼伤</w:t>
            </w:r>
          </w:p>
          <w:p w14:paraId="53F75635">
            <w:pPr>
              <w:widowControl/>
              <w:adjustRightInd w:val="0"/>
              <w:snapToGrid w:val="0"/>
              <w:spacing w:line="240" w:lineRule="auto"/>
              <w:ind w:firstLine="0" w:firstLineChars="0"/>
              <w:jc w:val="center"/>
              <w:rPr>
                <w:color w:val="auto"/>
                <w:sz w:val="21"/>
                <w:szCs w:val="21"/>
              </w:rPr>
            </w:pPr>
            <w:r>
              <w:rPr>
                <w:color w:val="auto"/>
                <w:kern w:val="0"/>
                <w:sz w:val="21"/>
                <w:szCs w:val="21"/>
                <w:lang w:bidi="ar"/>
              </w:rPr>
              <w:t>。吞咽引起急性胃肠炎，重者出现类似急性吸入中毒症状，并可引起肝、肾损害。 慢性中毒：神经衰弱综合征、植物神经功能紊乱、周围神经病。严重中毒出现中毒性脑底症状类似精神分裂症；皮肤损害。</w:t>
            </w:r>
          </w:p>
        </w:tc>
      </w:tr>
      <w:tr w14:paraId="50BA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restart"/>
            <w:noWrap w:val="0"/>
            <w:vAlign w:val="center"/>
          </w:tcPr>
          <w:p w14:paraId="74288D93">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燃烧</w:t>
            </w:r>
          </w:p>
          <w:p w14:paraId="0C011D26">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爆炸</w:t>
            </w:r>
          </w:p>
          <w:p w14:paraId="2A87AF04">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危险</w:t>
            </w:r>
          </w:p>
          <w:p w14:paraId="4BCD9A55">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性</w:t>
            </w:r>
          </w:p>
        </w:tc>
        <w:tc>
          <w:tcPr>
            <w:tcW w:w="2032" w:type="dxa"/>
            <w:gridSpan w:val="2"/>
            <w:noWrap w:val="0"/>
            <w:vAlign w:val="center"/>
          </w:tcPr>
          <w:p w14:paraId="3FC43E89">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燃烧性：易燃</w:t>
            </w:r>
          </w:p>
        </w:tc>
        <w:tc>
          <w:tcPr>
            <w:tcW w:w="5809" w:type="dxa"/>
            <w:gridSpan w:val="4"/>
            <w:noWrap w:val="0"/>
            <w:vAlign w:val="center"/>
          </w:tcPr>
          <w:p w14:paraId="31C188F0">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危险性类别：第3.1类低闪点易燃液体。</w:t>
            </w:r>
          </w:p>
        </w:tc>
      </w:tr>
      <w:tr w14:paraId="3AA51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6B56A41B">
            <w:pPr>
              <w:widowControl/>
              <w:adjustRightInd w:val="0"/>
              <w:snapToGrid w:val="0"/>
              <w:spacing w:line="240" w:lineRule="auto"/>
              <w:ind w:firstLine="0" w:firstLineChars="0"/>
              <w:jc w:val="center"/>
              <w:rPr>
                <w:color w:val="auto"/>
                <w:sz w:val="21"/>
                <w:szCs w:val="21"/>
              </w:rPr>
            </w:pPr>
          </w:p>
        </w:tc>
        <w:tc>
          <w:tcPr>
            <w:tcW w:w="2032" w:type="dxa"/>
            <w:gridSpan w:val="2"/>
            <w:noWrap w:val="0"/>
            <w:vAlign w:val="center"/>
          </w:tcPr>
          <w:p w14:paraId="76852DDB">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闪点：-50℃</w:t>
            </w:r>
          </w:p>
        </w:tc>
        <w:tc>
          <w:tcPr>
            <w:tcW w:w="5809" w:type="dxa"/>
            <w:gridSpan w:val="4"/>
            <w:vMerge w:val="restart"/>
            <w:noWrap w:val="0"/>
            <w:vAlign w:val="center"/>
          </w:tcPr>
          <w:p w14:paraId="7E57D380">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危险特性：其蒸气与空气形成爆炸性混合物，遇明火、高热极易燃烧爆炸。与氧化剂能发生强烈反应。其蒸气比空气重，能在较低处扩散到相当远的地方，遇明火会引着回燃。</w:t>
            </w:r>
          </w:p>
        </w:tc>
      </w:tr>
      <w:tr w14:paraId="27B2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303812E1">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42788666">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爆炸极限(V％)：下限1.0；上限8.0</w:t>
            </w:r>
          </w:p>
        </w:tc>
        <w:tc>
          <w:tcPr>
            <w:tcW w:w="5809" w:type="dxa"/>
            <w:gridSpan w:val="4"/>
            <w:vMerge w:val="continue"/>
            <w:noWrap w:val="0"/>
            <w:vAlign w:val="center"/>
          </w:tcPr>
          <w:p w14:paraId="313DC865">
            <w:pPr>
              <w:widowControl/>
              <w:adjustRightInd w:val="0"/>
              <w:snapToGrid w:val="0"/>
              <w:spacing w:line="240" w:lineRule="auto"/>
              <w:ind w:firstLine="0" w:firstLineChars="0"/>
              <w:jc w:val="center"/>
              <w:rPr>
                <w:color w:val="auto"/>
                <w:kern w:val="0"/>
                <w:sz w:val="21"/>
                <w:szCs w:val="21"/>
                <w:lang w:bidi="ar"/>
              </w:rPr>
            </w:pPr>
          </w:p>
        </w:tc>
      </w:tr>
      <w:tr w14:paraId="190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2982C471">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78DA0EAC">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稳定性：稳定</w:t>
            </w:r>
          </w:p>
        </w:tc>
        <w:tc>
          <w:tcPr>
            <w:tcW w:w="5809" w:type="dxa"/>
            <w:gridSpan w:val="4"/>
            <w:vMerge w:val="restart"/>
            <w:noWrap w:val="0"/>
            <w:vAlign w:val="center"/>
          </w:tcPr>
          <w:p w14:paraId="3F56107A">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灭火方法：喷水冷却容器，可能的话将容器从火场移至空旷处。灭火剂：泡沫、二氧化碳、干粉。用水灭火无效。</w:t>
            </w:r>
          </w:p>
        </w:tc>
      </w:tr>
      <w:tr w14:paraId="61A1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088BB5AF">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0A7233F6">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引燃温度：415～530℃</w:t>
            </w:r>
          </w:p>
        </w:tc>
        <w:tc>
          <w:tcPr>
            <w:tcW w:w="5809" w:type="dxa"/>
            <w:gridSpan w:val="4"/>
            <w:vMerge w:val="continue"/>
            <w:noWrap w:val="0"/>
            <w:vAlign w:val="center"/>
          </w:tcPr>
          <w:p w14:paraId="3CB0AC1F">
            <w:pPr>
              <w:widowControl/>
              <w:adjustRightInd w:val="0"/>
              <w:snapToGrid w:val="0"/>
              <w:spacing w:line="240" w:lineRule="auto"/>
              <w:ind w:firstLine="0" w:firstLineChars="0"/>
              <w:jc w:val="center"/>
              <w:rPr>
                <w:color w:val="auto"/>
                <w:kern w:val="0"/>
                <w:sz w:val="21"/>
                <w:szCs w:val="21"/>
                <w:lang w:bidi="ar"/>
              </w:rPr>
            </w:pPr>
          </w:p>
        </w:tc>
      </w:tr>
      <w:tr w14:paraId="3A333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1F2A3BC8">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7BBC5B73">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聚合危险：不聚合</w:t>
            </w:r>
          </w:p>
        </w:tc>
        <w:tc>
          <w:tcPr>
            <w:tcW w:w="5809" w:type="dxa"/>
            <w:gridSpan w:val="4"/>
            <w:vMerge w:val="continue"/>
            <w:noWrap w:val="0"/>
            <w:vAlign w:val="center"/>
          </w:tcPr>
          <w:p w14:paraId="41B4D95B">
            <w:pPr>
              <w:widowControl/>
              <w:adjustRightInd w:val="0"/>
              <w:snapToGrid w:val="0"/>
              <w:spacing w:line="240" w:lineRule="auto"/>
              <w:ind w:firstLine="0" w:firstLineChars="0"/>
              <w:jc w:val="center"/>
              <w:rPr>
                <w:color w:val="auto"/>
                <w:kern w:val="0"/>
                <w:sz w:val="21"/>
                <w:szCs w:val="21"/>
                <w:lang w:bidi="ar"/>
              </w:rPr>
            </w:pPr>
          </w:p>
        </w:tc>
      </w:tr>
      <w:tr w14:paraId="6B1F8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12579A99">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265733C5">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禁忌物：强氧化剂。</w:t>
            </w:r>
          </w:p>
        </w:tc>
        <w:tc>
          <w:tcPr>
            <w:tcW w:w="5809" w:type="dxa"/>
            <w:gridSpan w:val="4"/>
            <w:vMerge w:val="continue"/>
            <w:noWrap w:val="0"/>
            <w:vAlign w:val="center"/>
          </w:tcPr>
          <w:p w14:paraId="7E94AFB9">
            <w:pPr>
              <w:widowControl/>
              <w:adjustRightInd w:val="0"/>
              <w:snapToGrid w:val="0"/>
              <w:spacing w:line="240" w:lineRule="auto"/>
              <w:ind w:firstLine="0" w:firstLineChars="0"/>
              <w:jc w:val="center"/>
              <w:rPr>
                <w:color w:val="auto"/>
                <w:kern w:val="0"/>
                <w:sz w:val="21"/>
                <w:szCs w:val="21"/>
                <w:lang w:bidi="ar"/>
              </w:rPr>
            </w:pPr>
          </w:p>
        </w:tc>
      </w:tr>
    </w:tbl>
    <w:p w14:paraId="4877811D">
      <w:pPr>
        <w:widowControl/>
        <w:adjustRightInd w:val="0"/>
        <w:snapToGrid w:val="0"/>
        <w:spacing w:line="240" w:lineRule="auto"/>
        <w:ind w:firstLine="0" w:firstLineChars="0"/>
        <w:jc w:val="center"/>
        <w:rPr>
          <w:color w:val="auto"/>
          <w:sz w:val="21"/>
          <w:szCs w:val="21"/>
        </w:rPr>
      </w:pPr>
      <w:r>
        <w:rPr>
          <w:b/>
          <w:bCs/>
          <w:color w:val="auto"/>
          <w:kern w:val="0"/>
          <w:sz w:val="21"/>
          <w:szCs w:val="21"/>
          <w:lang w:bidi="ar"/>
        </w:rPr>
        <w:t>表</w:t>
      </w:r>
      <w:r>
        <w:rPr>
          <w:rFonts w:hint="eastAsia"/>
          <w:b/>
          <w:bCs/>
          <w:color w:val="auto"/>
          <w:kern w:val="0"/>
          <w:sz w:val="21"/>
          <w:szCs w:val="21"/>
          <w:lang w:val="en-US" w:eastAsia="zh-CN" w:bidi="ar"/>
        </w:rPr>
        <w:t>6</w:t>
      </w:r>
      <w:r>
        <w:rPr>
          <w:b/>
          <w:bCs/>
          <w:color w:val="auto"/>
          <w:kern w:val="0"/>
          <w:sz w:val="21"/>
          <w:szCs w:val="21"/>
          <w:lang w:bidi="ar"/>
        </w:rPr>
        <w:t>.</w:t>
      </w:r>
      <w:r>
        <w:rPr>
          <w:rFonts w:hint="eastAsia"/>
          <w:b/>
          <w:bCs/>
          <w:color w:val="auto"/>
          <w:kern w:val="0"/>
          <w:sz w:val="21"/>
          <w:szCs w:val="21"/>
          <w:lang w:bidi="ar"/>
        </w:rPr>
        <w:t>3</w:t>
      </w:r>
      <w:r>
        <w:rPr>
          <w:b/>
          <w:bCs/>
          <w:color w:val="auto"/>
          <w:kern w:val="0"/>
          <w:sz w:val="21"/>
          <w:szCs w:val="21"/>
          <w:lang w:bidi="ar"/>
        </w:rPr>
        <w:t>-3 柴油的理化性质及危险特性表</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896"/>
        <w:gridCol w:w="136"/>
        <w:gridCol w:w="2973"/>
        <w:gridCol w:w="2836"/>
      </w:tblGrid>
      <w:tr w14:paraId="03B4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restart"/>
            <w:noWrap w:val="0"/>
            <w:vAlign w:val="center"/>
          </w:tcPr>
          <w:p w14:paraId="3442C26C">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标识</w:t>
            </w:r>
          </w:p>
        </w:tc>
        <w:tc>
          <w:tcPr>
            <w:tcW w:w="1896" w:type="dxa"/>
            <w:noWrap w:val="0"/>
            <w:vAlign w:val="center"/>
          </w:tcPr>
          <w:p w14:paraId="392A6B3E">
            <w:pPr>
              <w:widowControl/>
              <w:adjustRightInd w:val="0"/>
              <w:snapToGrid w:val="0"/>
              <w:spacing w:line="240" w:lineRule="auto"/>
              <w:ind w:firstLine="0" w:firstLineChars="0"/>
              <w:jc w:val="center"/>
              <w:rPr>
                <w:color w:val="auto"/>
                <w:sz w:val="21"/>
                <w:szCs w:val="21"/>
              </w:rPr>
            </w:pPr>
            <w:r>
              <w:rPr>
                <w:rFonts w:hint="eastAsia" w:ascii="宋体" w:hAnsi="宋体" w:cs="宋体"/>
                <w:color w:val="auto"/>
                <w:kern w:val="0"/>
                <w:sz w:val="21"/>
                <w:szCs w:val="21"/>
                <w:lang w:bidi="ar"/>
              </w:rPr>
              <w:t>中文名：柴油</w:t>
            </w:r>
          </w:p>
        </w:tc>
        <w:tc>
          <w:tcPr>
            <w:tcW w:w="5945" w:type="dxa"/>
            <w:gridSpan w:val="3"/>
            <w:noWrap w:val="0"/>
            <w:vAlign w:val="center"/>
          </w:tcPr>
          <w:p w14:paraId="5976174F">
            <w:pPr>
              <w:widowControl/>
              <w:adjustRightInd w:val="0"/>
              <w:snapToGrid w:val="0"/>
              <w:spacing w:line="240" w:lineRule="auto"/>
              <w:ind w:firstLine="0" w:firstLineChars="0"/>
              <w:jc w:val="center"/>
              <w:rPr>
                <w:color w:val="auto"/>
                <w:sz w:val="21"/>
                <w:szCs w:val="21"/>
              </w:rPr>
            </w:pPr>
            <w:r>
              <w:rPr>
                <w:rFonts w:hint="eastAsia" w:ascii="宋体" w:hAnsi="宋体" w:cs="宋体"/>
                <w:color w:val="auto"/>
                <w:kern w:val="0"/>
                <w:sz w:val="21"/>
                <w:szCs w:val="21"/>
                <w:lang w:bidi="ar"/>
              </w:rPr>
              <w:t>英文名：</w:t>
            </w:r>
            <w:r>
              <w:rPr>
                <w:color w:val="auto"/>
                <w:kern w:val="0"/>
                <w:sz w:val="21"/>
                <w:szCs w:val="21"/>
                <w:lang w:bidi="ar"/>
              </w:rPr>
              <w:t>Dieselfuel</w:t>
            </w:r>
          </w:p>
        </w:tc>
      </w:tr>
      <w:tr w14:paraId="39A12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2390F4B6">
            <w:pPr>
              <w:widowControl/>
              <w:adjustRightInd w:val="0"/>
              <w:snapToGrid w:val="0"/>
              <w:spacing w:line="240" w:lineRule="auto"/>
              <w:ind w:firstLine="0" w:firstLineChars="0"/>
              <w:jc w:val="center"/>
              <w:rPr>
                <w:b/>
                <w:bCs/>
                <w:color w:val="auto"/>
                <w:sz w:val="21"/>
                <w:szCs w:val="21"/>
              </w:rPr>
            </w:pPr>
          </w:p>
        </w:tc>
        <w:tc>
          <w:tcPr>
            <w:tcW w:w="7841" w:type="dxa"/>
            <w:gridSpan w:val="4"/>
            <w:noWrap w:val="0"/>
            <w:vAlign w:val="center"/>
          </w:tcPr>
          <w:p w14:paraId="095B9C3A">
            <w:pPr>
              <w:widowControl/>
              <w:adjustRightInd w:val="0"/>
              <w:snapToGrid w:val="0"/>
              <w:spacing w:line="240" w:lineRule="auto"/>
              <w:ind w:firstLine="0" w:firstLineChars="0"/>
              <w:jc w:val="center"/>
              <w:rPr>
                <w:color w:val="auto"/>
                <w:sz w:val="21"/>
                <w:szCs w:val="21"/>
              </w:rPr>
            </w:pPr>
            <w:r>
              <w:rPr>
                <w:color w:val="auto"/>
                <w:kern w:val="0"/>
                <w:sz w:val="21"/>
                <w:szCs w:val="21"/>
                <w:lang w:bidi="ar"/>
              </w:rPr>
              <w:t>RTECS</w:t>
            </w:r>
            <w:r>
              <w:rPr>
                <w:rFonts w:hint="eastAsia" w:ascii="宋体" w:hAnsi="宋体" w:cs="宋体"/>
                <w:color w:val="auto"/>
                <w:kern w:val="0"/>
                <w:sz w:val="21"/>
                <w:szCs w:val="21"/>
                <w:lang w:bidi="ar"/>
              </w:rPr>
              <w:t>号：</w:t>
            </w:r>
            <w:r>
              <w:rPr>
                <w:color w:val="auto"/>
                <w:kern w:val="0"/>
                <w:sz w:val="21"/>
                <w:szCs w:val="21"/>
                <w:lang w:bidi="ar"/>
              </w:rPr>
              <w:t>HL3770000</w:t>
            </w:r>
          </w:p>
        </w:tc>
      </w:tr>
      <w:tr w14:paraId="6597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restart"/>
            <w:noWrap w:val="0"/>
            <w:vAlign w:val="center"/>
          </w:tcPr>
          <w:p w14:paraId="2C5F56D4">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理化</w:t>
            </w:r>
          </w:p>
          <w:p w14:paraId="78872CBD">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性质</w:t>
            </w:r>
          </w:p>
        </w:tc>
        <w:tc>
          <w:tcPr>
            <w:tcW w:w="1896" w:type="dxa"/>
            <w:noWrap w:val="0"/>
            <w:vAlign w:val="center"/>
          </w:tcPr>
          <w:p w14:paraId="1824C7EB">
            <w:pPr>
              <w:widowControl/>
              <w:adjustRightInd w:val="0"/>
              <w:snapToGrid w:val="0"/>
              <w:spacing w:line="240" w:lineRule="auto"/>
              <w:ind w:firstLine="0" w:firstLineChars="0"/>
              <w:jc w:val="center"/>
              <w:rPr>
                <w:color w:val="auto"/>
                <w:sz w:val="21"/>
                <w:szCs w:val="21"/>
              </w:rPr>
            </w:pPr>
            <w:r>
              <w:rPr>
                <w:color w:val="auto"/>
                <w:kern w:val="0"/>
                <w:sz w:val="21"/>
                <w:szCs w:val="21"/>
                <w:lang w:bidi="ar"/>
              </w:rPr>
              <w:t>外观及形状</w:t>
            </w:r>
          </w:p>
        </w:tc>
        <w:tc>
          <w:tcPr>
            <w:tcW w:w="5945" w:type="dxa"/>
            <w:gridSpan w:val="3"/>
            <w:noWrap w:val="0"/>
            <w:vAlign w:val="center"/>
          </w:tcPr>
          <w:p w14:paraId="440CD161">
            <w:pPr>
              <w:widowControl/>
              <w:adjustRightInd w:val="0"/>
              <w:snapToGrid w:val="0"/>
              <w:spacing w:line="240" w:lineRule="auto"/>
              <w:ind w:firstLine="0" w:firstLineChars="0"/>
              <w:jc w:val="center"/>
              <w:rPr>
                <w:color w:val="auto"/>
                <w:sz w:val="21"/>
                <w:szCs w:val="21"/>
              </w:rPr>
            </w:pPr>
            <w:r>
              <w:rPr>
                <w:color w:val="auto"/>
                <w:kern w:val="0"/>
                <w:sz w:val="21"/>
                <w:szCs w:val="21"/>
                <w:lang w:bidi="ar"/>
              </w:rPr>
              <w:t>稍有粘性的棕色液体。</w:t>
            </w:r>
          </w:p>
        </w:tc>
      </w:tr>
      <w:tr w14:paraId="447D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79CECBA3">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1942A71E">
            <w:pPr>
              <w:widowControl/>
              <w:adjustRightInd w:val="0"/>
              <w:snapToGrid w:val="0"/>
              <w:spacing w:line="240" w:lineRule="auto"/>
              <w:ind w:firstLine="0" w:firstLineChars="0"/>
              <w:jc w:val="center"/>
              <w:rPr>
                <w:color w:val="auto"/>
                <w:sz w:val="21"/>
                <w:szCs w:val="21"/>
              </w:rPr>
            </w:pPr>
            <w:r>
              <w:rPr>
                <w:color w:val="auto"/>
                <w:kern w:val="0"/>
                <w:sz w:val="21"/>
                <w:szCs w:val="21"/>
                <w:lang w:bidi="ar"/>
              </w:rPr>
              <w:t>熔点：＜-</w:t>
            </w:r>
            <w:r>
              <w:rPr>
                <w:rFonts w:hint="eastAsia"/>
                <w:color w:val="auto"/>
                <w:kern w:val="0"/>
                <w:sz w:val="21"/>
                <w:szCs w:val="21"/>
                <w:lang w:bidi="ar"/>
              </w:rPr>
              <w:t>18</w:t>
            </w:r>
            <w:r>
              <w:rPr>
                <w:color w:val="auto"/>
                <w:kern w:val="0"/>
                <w:sz w:val="21"/>
                <w:szCs w:val="21"/>
                <w:lang w:bidi="ar"/>
              </w:rPr>
              <w:t>℃</w:t>
            </w:r>
          </w:p>
        </w:tc>
        <w:tc>
          <w:tcPr>
            <w:tcW w:w="3109" w:type="dxa"/>
            <w:gridSpan w:val="2"/>
            <w:vMerge w:val="restart"/>
            <w:noWrap w:val="0"/>
            <w:vAlign w:val="center"/>
          </w:tcPr>
          <w:p w14:paraId="7E8965A0">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相对密度（水＝1）：0.70～0.79</w:t>
            </w:r>
          </w:p>
          <w:p w14:paraId="3CF260FB">
            <w:pPr>
              <w:widowControl/>
              <w:adjustRightInd w:val="0"/>
              <w:snapToGrid w:val="0"/>
              <w:spacing w:line="240" w:lineRule="auto"/>
              <w:ind w:firstLine="0" w:firstLineChars="0"/>
              <w:jc w:val="center"/>
              <w:rPr>
                <w:color w:val="auto"/>
                <w:sz w:val="21"/>
                <w:szCs w:val="21"/>
              </w:rPr>
            </w:pPr>
            <w:r>
              <w:rPr>
                <w:color w:val="auto"/>
                <w:kern w:val="0"/>
                <w:sz w:val="21"/>
                <w:szCs w:val="21"/>
                <w:lang w:bidi="ar"/>
              </w:rPr>
              <w:t>相对密度（空气＝1）：3.5</w:t>
            </w:r>
          </w:p>
        </w:tc>
        <w:tc>
          <w:tcPr>
            <w:tcW w:w="2836" w:type="dxa"/>
            <w:noWrap w:val="0"/>
            <w:vAlign w:val="center"/>
          </w:tcPr>
          <w:p w14:paraId="4EC00755">
            <w:pPr>
              <w:widowControl/>
              <w:adjustRightInd w:val="0"/>
              <w:snapToGrid w:val="0"/>
              <w:spacing w:line="240" w:lineRule="auto"/>
              <w:ind w:firstLine="0" w:firstLineChars="0"/>
              <w:jc w:val="center"/>
              <w:rPr>
                <w:color w:val="auto"/>
                <w:sz w:val="21"/>
                <w:szCs w:val="21"/>
              </w:rPr>
            </w:pPr>
            <w:r>
              <w:rPr>
                <w:color w:val="auto"/>
                <w:kern w:val="0"/>
                <w:sz w:val="21"/>
                <w:szCs w:val="21"/>
                <w:lang w:bidi="ar"/>
              </w:rPr>
              <w:t>燃烧热：无资料</w:t>
            </w:r>
          </w:p>
        </w:tc>
      </w:tr>
      <w:tr w14:paraId="1AC7F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77BB9E2D">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6CE3AF45">
            <w:pPr>
              <w:widowControl/>
              <w:ind w:firstLine="0" w:firstLineChars="0"/>
              <w:jc w:val="left"/>
              <w:rPr>
                <w:color w:val="auto"/>
                <w:sz w:val="21"/>
                <w:szCs w:val="21"/>
              </w:rPr>
            </w:pPr>
            <w:r>
              <w:rPr>
                <w:color w:val="auto"/>
                <w:kern w:val="0"/>
                <w:sz w:val="21"/>
                <w:szCs w:val="21"/>
                <w:lang w:bidi="ar"/>
              </w:rPr>
              <w:t>沸点：282</w:t>
            </w:r>
            <w:r>
              <w:rPr>
                <w:rFonts w:hint="eastAsia" w:ascii="宋体" w:hAnsi="宋体" w:cs="宋体"/>
                <w:color w:val="auto"/>
                <w:kern w:val="0"/>
                <w:sz w:val="21"/>
                <w:szCs w:val="21"/>
                <w:lang w:bidi="ar"/>
              </w:rPr>
              <w:t>～</w:t>
            </w:r>
            <w:r>
              <w:rPr>
                <w:color w:val="auto"/>
                <w:kern w:val="0"/>
                <w:sz w:val="21"/>
                <w:szCs w:val="21"/>
                <w:lang w:bidi="ar"/>
              </w:rPr>
              <w:t>338℃</w:t>
            </w:r>
          </w:p>
        </w:tc>
        <w:tc>
          <w:tcPr>
            <w:tcW w:w="3109" w:type="dxa"/>
            <w:gridSpan w:val="2"/>
            <w:vMerge w:val="continue"/>
            <w:noWrap w:val="0"/>
            <w:vAlign w:val="center"/>
          </w:tcPr>
          <w:p w14:paraId="5DF95FE6">
            <w:pPr>
              <w:widowControl/>
              <w:adjustRightInd w:val="0"/>
              <w:snapToGrid w:val="0"/>
              <w:spacing w:line="240" w:lineRule="auto"/>
              <w:ind w:firstLine="0" w:firstLineChars="0"/>
              <w:jc w:val="center"/>
              <w:rPr>
                <w:color w:val="auto"/>
                <w:sz w:val="21"/>
                <w:szCs w:val="21"/>
              </w:rPr>
            </w:pPr>
          </w:p>
        </w:tc>
        <w:tc>
          <w:tcPr>
            <w:tcW w:w="2836" w:type="dxa"/>
            <w:noWrap w:val="0"/>
            <w:vAlign w:val="center"/>
          </w:tcPr>
          <w:p w14:paraId="70E1DCD5">
            <w:pPr>
              <w:widowControl/>
              <w:adjustRightInd w:val="0"/>
              <w:snapToGrid w:val="0"/>
              <w:spacing w:line="240" w:lineRule="auto"/>
              <w:ind w:firstLine="0" w:firstLineChars="0"/>
              <w:jc w:val="center"/>
              <w:rPr>
                <w:color w:val="auto"/>
                <w:sz w:val="21"/>
                <w:szCs w:val="21"/>
              </w:rPr>
            </w:pPr>
            <w:r>
              <w:rPr>
                <w:color w:val="auto"/>
                <w:kern w:val="0"/>
                <w:sz w:val="21"/>
                <w:szCs w:val="21"/>
                <w:lang w:bidi="ar"/>
              </w:rPr>
              <w:t>临界压力：MPa</w:t>
            </w:r>
          </w:p>
        </w:tc>
      </w:tr>
      <w:tr w14:paraId="72D7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4AFF9BDB">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63C14F9B">
            <w:pPr>
              <w:widowControl/>
              <w:adjustRightInd w:val="0"/>
              <w:snapToGrid w:val="0"/>
              <w:spacing w:line="240" w:lineRule="auto"/>
              <w:ind w:firstLine="0" w:firstLineChars="0"/>
              <w:jc w:val="center"/>
              <w:rPr>
                <w:color w:val="auto"/>
                <w:sz w:val="21"/>
                <w:szCs w:val="21"/>
              </w:rPr>
            </w:pPr>
            <w:r>
              <w:rPr>
                <w:color w:val="auto"/>
                <w:kern w:val="0"/>
                <w:sz w:val="21"/>
                <w:szCs w:val="21"/>
                <w:lang w:bidi="ar"/>
              </w:rPr>
              <w:t>临界温度：℃</w:t>
            </w:r>
          </w:p>
        </w:tc>
        <w:tc>
          <w:tcPr>
            <w:tcW w:w="5945" w:type="dxa"/>
            <w:gridSpan w:val="3"/>
            <w:noWrap w:val="0"/>
            <w:vAlign w:val="center"/>
          </w:tcPr>
          <w:p w14:paraId="3B0A24BE">
            <w:pPr>
              <w:widowControl/>
              <w:adjustRightInd w:val="0"/>
              <w:snapToGrid w:val="0"/>
              <w:spacing w:line="240" w:lineRule="auto"/>
              <w:ind w:firstLine="0" w:firstLineChars="0"/>
              <w:jc w:val="center"/>
              <w:rPr>
                <w:color w:val="auto"/>
                <w:sz w:val="21"/>
                <w:szCs w:val="21"/>
              </w:rPr>
            </w:pPr>
            <w:r>
              <w:rPr>
                <w:color w:val="auto"/>
                <w:kern w:val="0"/>
                <w:sz w:val="21"/>
                <w:szCs w:val="21"/>
                <w:lang w:bidi="ar"/>
              </w:rPr>
              <w:t>燃烧（分解）产物：一氧化碳、二氧化碳</w:t>
            </w:r>
          </w:p>
        </w:tc>
      </w:tr>
      <w:tr w14:paraId="0BEFC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480F1F36">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7A1A54C8">
            <w:pPr>
              <w:widowControl/>
              <w:adjustRightInd w:val="0"/>
              <w:snapToGrid w:val="0"/>
              <w:spacing w:line="240" w:lineRule="auto"/>
              <w:ind w:firstLine="0" w:firstLineChars="0"/>
              <w:jc w:val="center"/>
              <w:rPr>
                <w:color w:val="auto"/>
                <w:sz w:val="21"/>
                <w:szCs w:val="21"/>
              </w:rPr>
            </w:pPr>
            <w:r>
              <w:rPr>
                <w:color w:val="auto"/>
                <w:kern w:val="0"/>
                <w:sz w:val="21"/>
                <w:szCs w:val="21"/>
                <w:lang w:bidi="ar"/>
              </w:rPr>
              <w:t>溶解性</w:t>
            </w:r>
          </w:p>
        </w:tc>
        <w:tc>
          <w:tcPr>
            <w:tcW w:w="5945" w:type="dxa"/>
            <w:gridSpan w:val="3"/>
            <w:noWrap w:val="0"/>
            <w:vAlign w:val="center"/>
          </w:tcPr>
          <w:p w14:paraId="4E7DB5EC">
            <w:pPr>
              <w:widowControl/>
              <w:adjustRightInd w:val="0"/>
              <w:snapToGrid w:val="0"/>
              <w:spacing w:line="240" w:lineRule="auto"/>
              <w:ind w:firstLine="0" w:firstLineChars="0"/>
              <w:jc w:val="center"/>
              <w:rPr>
                <w:color w:val="auto"/>
                <w:sz w:val="21"/>
                <w:szCs w:val="21"/>
              </w:rPr>
            </w:pPr>
            <w:r>
              <w:rPr>
                <w:color w:val="auto"/>
                <w:kern w:val="0"/>
                <w:sz w:val="21"/>
                <w:szCs w:val="21"/>
                <w:lang w:bidi="ar"/>
              </w:rPr>
              <w:t>不溶于水，易溶于苯、二硫化碳、醇，易溶于脂肪。</w:t>
            </w:r>
          </w:p>
        </w:tc>
      </w:tr>
      <w:tr w14:paraId="72349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vMerge w:val="continue"/>
            <w:noWrap w:val="0"/>
            <w:vAlign w:val="center"/>
          </w:tcPr>
          <w:p w14:paraId="7F111B13">
            <w:pPr>
              <w:widowControl/>
              <w:adjustRightInd w:val="0"/>
              <w:snapToGrid w:val="0"/>
              <w:spacing w:line="240" w:lineRule="auto"/>
              <w:ind w:firstLine="0" w:firstLineChars="0"/>
              <w:jc w:val="center"/>
              <w:rPr>
                <w:b/>
                <w:bCs/>
                <w:color w:val="auto"/>
                <w:sz w:val="21"/>
                <w:szCs w:val="21"/>
              </w:rPr>
            </w:pPr>
          </w:p>
        </w:tc>
        <w:tc>
          <w:tcPr>
            <w:tcW w:w="1896" w:type="dxa"/>
            <w:noWrap w:val="0"/>
            <w:vAlign w:val="center"/>
          </w:tcPr>
          <w:p w14:paraId="4F5F2C77">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急性毒性</w:t>
            </w:r>
          </w:p>
        </w:tc>
        <w:tc>
          <w:tcPr>
            <w:tcW w:w="5945" w:type="dxa"/>
            <w:gridSpan w:val="3"/>
            <w:noWrap w:val="0"/>
            <w:vAlign w:val="center"/>
          </w:tcPr>
          <w:p w14:paraId="045862BB">
            <w:pPr>
              <w:widowControl/>
              <w:adjustRightInd w:val="0"/>
              <w:snapToGrid w:val="0"/>
              <w:spacing w:line="240" w:lineRule="auto"/>
              <w:ind w:firstLine="0" w:firstLineChars="0"/>
              <w:jc w:val="left"/>
              <w:rPr>
                <w:color w:val="auto"/>
                <w:sz w:val="21"/>
                <w:szCs w:val="21"/>
              </w:rPr>
            </w:pPr>
            <w:r>
              <w:rPr>
                <w:color w:val="auto"/>
                <w:kern w:val="0"/>
                <w:sz w:val="21"/>
                <w:szCs w:val="21"/>
                <w:lang w:bidi="ar"/>
              </w:rPr>
              <w:t>LD50</w:t>
            </w:r>
            <w:r>
              <w:rPr>
                <w:rFonts w:hint="eastAsia" w:ascii="宋体" w:hAnsi="宋体" w:cs="宋体"/>
                <w:color w:val="auto"/>
                <w:kern w:val="0"/>
                <w:sz w:val="21"/>
                <w:szCs w:val="21"/>
                <w:lang w:bidi="ar"/>
              </w:rPr>
              <w:t>：</w:t>
            </w:r>
            <w:r>
              <w:rPr>
                <w:color w:val="auto"/>
                <w:kern w:val="0"/>
                <w:sz w:val="21"/>
                <w:szCs w:val="21"/>
                <w:lang w:bidi="ar"/>
              </w:rPr>
              <w:t>7600mg/kg</w:t>
            </w:r>
            <w:r>
              <w:rPr>
                <w:rFonts w:hint="eastAsia" w:ascii="宋体" w:hAnsi="宋体" w:cs="宋体"/>
                <w:color w:val="auto"/>
                <w:kern w:val="0"/>
                <w:sz w:val="21"/>
                <w:szCs w:val="21"/>
                <w:lang w:bidi="ar"/>
              </w:rPr>
              <w:t xml:space="preserve">（大鼠经口） </w:t>
            </w:r>
          </w:p>
          <w:p w14:paraId="661D6FCE">
            <w:pPr>
              <w:widowControl/>
              <w:adjustRightInd w:val="0"/>
              <w:snapToGrid w:val="0"/>
              <w:spacing w:line="240" w:lineRule="auto"/>
              <w:ind w:firstLine="0" w:firstLineChars="0"/>
              <w:jc w:val="left"/>
              <w:rPr>
                <w:color w:val="auto"/>
                <w:sz w:val="21"/>
                <w:szCs w:val="21"/>
              </w:rPr>
            </w:pPr>
            <w:r>
              <w:rPr>
                <w:color w:val="auto"/>
                <w:kern w:val="0"/>
                <w:sz w:val="21"/>
                <w:szCs w:val="21"/>
                <w:lang w:bidi="ar"/>
              </w:rPr>
              <w:t>LC50</w:t>
            </w:r>
            <w:r>
              <w:rPr>
                <w:rFonts w:hint="eastAsia" w:ascii="宋体" w:hAnsi="宋体" w:cs="宋体"/>
                <w:color w:val="auto"/>
                <w:kern w:val="0"/>
                <w:sz w:val="21"/>
                <w:szCs w:val="21"/>
                <w:lang w:bidi="ar"/>
              </w:rPr>
              <w:t>：</w:t>
            </w:r>
            <w:r>
              <w:rPr>
                <w:color w:val="auto"/>
                <w:kern w:val="0"/>
                <w:sz w:val="21"/>
                <w:szCs w:val="21"/>
                <w:lang w:bidi="ar"/>
              </w:rPr>
              <w:t>4.1mg/L</w:t>
            </w:r>
            <w:r>
              <w:rPr>
                <w:rFonts w:hint="eastAsia" w:ascii="宋体" w:hAnsi="宋体" w:cs="宋体"/>
                <w:color w:val="auto"/>
                <w:kern w:val="0"/>
                <w:sz w:val="21"/>
                <w:szCs w:val="21"/>
                <w:lang w:bidi="ar"/>
              </w:rPr>
              <w:t>，</w:t>
            </w:r>
            <w:r>
              <w:rPr>
                <w:color w:val="auto"/>
                <w:kern w:val="0"/>
                <w:sz w:val="21"/>
                <w:szCs w:val="21"/>
                <w:lang w:bidi="ar"/>
              </w:rPr>
              <w:t>4</w:t>
            </w:r>
            <w:r>
              <w:rPr>
                <w:rFonts w:hint="eastAsia" w:ascii="宋体" w:hAnsi="宋体" w:cs="宋体"/>
                <w:color w:val="auto"/>
                <w:kern w:val="0"/>
                <w:sz w:val="21"/>
                <w:szCs w:val="21"/>
                <w:lang w:bidi="ar"/>
              </w:rPr>
              <w:t>小时（大鼠吸入）</w:t>
            </w:r>
          </w:p>
        </w:tc>
      </w:tr>
      <w:tr w14:paraId="7F70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noWrap w:val="0"/>
            <w:vAlign w:val="center"/>
          </w:tcPr>
          <w:p w14:paraId="67BE14AC">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健康危害</w:t>
            </w:r>
          </w:p>
        </w:tc>
        <w:tc>
          <w:tcPr>
            <w:tcW w:w="7841" w:type="dxa"/>
            <w:gridSpan w:val="4"/>
            <w:noWrap w:val="0"/>
            <w:vAlign w:val="center"/>
          </w:tcPr>
          <w:p w14:paraId="04D98A5D">
            <w:pPr>
              <w:widowControl/>
              <w:ind w:firstLine="0" w:firstLineChars="0"/>
              <w:jc w:val="left"/>
              <w:rPr>
                <w:color w:val="auto"/>
                <w:sz w:val="21"/>
                <w:szCs w:val="21"/>
              </w:rPr>
            </w:pPr>
            <w:r>
              <w:rPr>
                <w:rFonts w:hint="eastAsia" w:ascii="宋体" w:hAnsi="宋体" w:cs="宋体"/>
                <w:color w:val="auto"/>
                <w:kern w:val="0"/>
                <w:sz w:val="21"/>
                <w:szCs w:val="21"/>
                <w:lang w:bidi="ar"/>
              </w:rPr>
              <w:t>皮肤接触柴油可引起接触性皮炎、油性痤疮，吸入可引起吸入性肺炎。能经胎盘进入胎儿血中。柴油废气可引起眼、鼻刺激症状，头晕及头痛</w:t>
            </w:r>
            <w:r>
              <w:rPr>
                <w:color w:val="auto"/>
                <w:kern w:val="0"/>
                <w:sz w:val="21"/>
                <w:szCs w:val="21"/>
                <w:lang w:bidi="ar"/>
              </w:rPr>
              <w:t>。</w:t>
            </w:r>
          </w:p>
        </w:tc>
      </w:tr>
      <w:tr w14:paraId="7F2A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restart"/>
            <w:noWrap w:val="0"/>
            <w:vAlign w:val="center"/>
          </w:tcPr>
          <w:p w14:paraId="6C6D0AEC">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燃烧</w:t>
            </w:r>
          </w:p>
          <w:p w14:paraId="75AB3CC8">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爆炸</w:t>
            </w:r>
          </w:p>
          <w:p w14:paraId="7BB204C5">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危险</w:t>
            </w:r>
          </w:p>
          <w:p w14:paraId="601FA0A6">
            <w:pPr>
              <w:widowControl/>
              <w:adjustRightInd w:val="0"/>
              <w:snapToGrid w:val="0"/>
              <w:spacing w:line="240" w:lineRule="auto"/>
              <w:ind w:firstLine="0" w:firstLineChars="0"/>
              <w:jc w:val="center"/>
              <w:rPr>
                <w:b/>
                <w:bCs/>
                <w:color w:val="auto"/>
                <w:sz w:val="21"/>
                <w:szCs w:val="21"/>
              </w:rPr>
            </w:pPr>
            <w:r>
              <w:rPr>
                <w:b/>
                <w:bCs/>
                <w:color w:val="auto"/>
                <w:kern w:val="0"/>
                <w:sz w:val="21"/>
                <w:szCs w:val="21"/>
                <w:lang w:bidi="ar"/>
              </w:rPr>
              <w:t>性</w:t>
            </w:r>
          </w:p>
        </w:tc>
        <w:tc>
          <w:tcPr>
            <w:tcW w:w="2032" w:type="dxa"/>
            <w:gridSpan w:val="2"/>
            <w:noWrap w:val="0"/>
            <w:vAlign w:val="center"/>
          </w:tcPr>
          <w:p w14:paraId="46A98C55">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燃烧性：易燃</w:t>
            </w:r>
          </w:p>
        </w:tc>
        <w:tc>
          <w:tcPr>
            <w:tcW w:w="5809" w:type="dxa"/>
            <w:gridSpan w:val="2"/>
            <w:noWrap w:val="0"/>
            <w:vAlign w:val="center"/>
          </w:tcPr>
          <w:p w14:paraId="60D0CB09">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危险性类别：易燃液体。</w:t>
            </w:r>
          </w:p>
        </w:tc>
      </w:tr>
      <w:tr w14:paraId="543A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2B209768">
            <w:pPr>
              <w:widowControl/>
              <w:adjustRightInd w:val="0"/>
              <w:snapToGrid w:val="0"/>
              <w:spacing w:line="240" w:lineRule="auto"/>
              <w:ind w:firstLine="0" w:firstLineChars="0"/>
              <w:jc w:val="center"/>
              <w:rPr>
                <w:color w:val="auto"/>
                <w:sz w:val="21"/>
                <w:szCs w:val="21"/>
              </w:rPr>
            </w:pPr>
          </w:p>
        </w:tc>
        <w:tc>
          <w:tcPr>
            <w:tcW w:w="2032" w:type="dxa"/>
            <w:gridSpan w:val="2"/>
            <w:noWrap w:val="0"/>
            <w:vAlign w:val="center"/>
          </w:tcPr>
          <w:p w14:paraId="76971B26">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闪点：50℃</w:t>
            </w:r>
          </w:p>
        </w:tc>
        <w:tc>
          <w:tcPr>
            <w:tcW w:w="5809" w:type="dxa"/>
            <w:gridSpan w:val="2"/>
            <w:vMerge w:val="restart"/>
            <w:noWrap w:val="0"/>
            <w:vAlign w:val="center"/>
          </w:tcPr>
          <w:p w14:paraId="04054B7A">
            <w:pPr>
              <w:widowControl/>
              <w:jc w:val="left"/>
              <w:rPr>
                <w:color w:val="auto"/>
                <w:kern w:val="0"/>
                <w:sz w:val="21"/>
                <w:szCs w:val="21"/>
                <w:lang w:bidi="ar"/>
              </w:rPr>
            </w:pPr>
            <w:r>
              <w:rPr>
                <w:color w:val="auto"/>
                <w:kern w:val="0"/>
                <w:sz w:val="21"/>
                <w:szCs w:val="21"/>
                <w:lang w:bidi="ar"/>
              </w:rPr>
              <w:t>危险特性：</w:t>
            </w:r>
            <w:r>
              <w:rPr>
                <w:rFonts w:hint="eastAsia" w:ascii="宋体" w:hAnsi="宋体" w:cs="宋体"/>
                <w:color w:val="auto"/>
                <w:kern w:val="0"/>
                <w:sz w:val="21"/>
                <w:szCs w:val="21"/>
                <w:lang w:bidi="ar"/>
              </w:rPr>
              <w:t>遇明火、高热或与氧化剂接触，有引起燃烧爆炸的危险。若遇高热，容器内压增大，有开裂和爆炸的危险</w:t>
            </w:r>
            <w:r>
              <w:rPr>
                <w:color w:val="auto"/>
                <w:kern w:val="0"/>
                <w:sz w:val="21"/>
                <w:szCs w:val="21"/>
                <w:lang w:bidi="ar"/>
              </w:rPr>
              <w:t>。</w:t>
            </w:r>
          </w:p>
        </w:tc>
      </w:tr>
      <w:tr w14:paraId="4D27A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531BA0F3">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0EE8210B">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爆炸极限(V％)：</w:t>
            </w:r>
            <w:r>
              <w:rPr>
                <w:rFonts w:hint="eastAsia"/>
                <w:color w:val="auto"/>
                <w:kern w:val="0"/>
                <w:sz w:val="21"/>
                <w:szCs w:val="21"/>
                <w:lang w:bidi="ar"/>
              </w:rPr>
              <w:t>无资料</w:t>
            </w:r>
          </w:p>
        </w:tc>
        <w:tc>
          <w:tcPr>
            <w:tcW w:w="5809" w:type="dxa"/>
            <w:gridSpan w:val="2"/>
            <w:vMerge w:val="continue"/>
            <w:noWrap w:val="0"/>
            <w:vAlign w:val="center"/>
          </w:tcPr>
          <w:p w14:paraId="459E4030">
            <w:pPr>
              <w:widowControl/>
              <w:adjustRightInd w:val="0"/>
              <w:snapToGrid w:val="0"/>
              <w:spacing w:line="240" w:lineRule="auto"/>
              <w:ind w:firstLine="0" w:firstLineChars="0"/>
              <w:jc w:val="center"/>
              <w:rPr>
                <w:color w:val="auto"/>
                <w:kern w:val="0"/>
                <w:sz w:val="21"/>
                <w:szCs w:val="21"/>
                <w:lang w:bidi="ar"/>
              </w:rPr>
            </w:pPr>
          </w:p>
        </w:tc>
      </w:tr>
      <w:tr w14:paraId="432D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206D6989">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44708C6D">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稳定性：稳定</w:t>
            </w:r>
          </w:p>
        </w:tc>
        <w:tc>
          <w:tcPr>
            <w:tcW w:w="5809" w:type="dxa"/>
            <w:gridSpan w:val="2"/>
            <w:vMerge w:val="restart"/>
            <w:noWrap w:val="0"/>
            <w:vAlign w:val="center"/>
          </w:tcPr>
          <w:p w14:paraId="282E95B9">
            <w:pPr>
              <w:widowControl/>
              <w:ind w:firstLine="0" w:firstLineChars="0"/>
              <w:jc w:val="left"/>
              <w:rPr>
                <w:color w:val="auto"/>
                <w:kern w:val="0"/>
                <w:sz w:val="21"/>
                <w:szCs w:val="21"/>
                <w:lang w:bidi="ar"/>
              </w:rPr>
            </w:pPr>
            <w:r>
              <w:rPr>
                <w:rFonts w:hint="eastAsia" w:ascii="宋体" w:hAnsi="宋体" w:cs="宋体"/>
                <w:color w:val="auto"/>
                <w:kern w:val="0"/>
                <w:sz w:val="21"/>
                <w:szCs w:val="21"/>
                <w:lang w:bidi="ar"/>
              </w:rPr>
              <w:t>喷水冷却容器，可能的话将容器从火场移至空旷处。灭火剂：泡沫、二氧化碳、干粉。用水灭火无效</w:t>
            </w:r>
            <w:r>
              <w:rPr>
                <w:color w:val="auto"/>
                <w:kern w:val="0"/>
                <w:sz w:val="21"/>
                <w:szCs w:val="21"/>
                <w:lang w:bidi="ar"/>
              </w:rPr>
              <w:t>。</w:t>
            </w:r>
          </w:p>
        </w:tc>
      </w:tr>
      <w:tr w14:paraId="7D445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560237C6">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2228E5D4">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引燃温度：</w:t>
            </w:r>
            <w:r>
              <w:rPr>
                <w:rFonts w:hint="eastAsia"/>
                <w:color w:val="auto"/>
                <w:kern w:val="0"/>
                <w:sz w:val="21"/>
                <w:szCs w:val="21"/>
                <w:lang w:bidi="ar"/>
              </w:rPr>
              <w:t>257</w:t>
            </w:r>
            <w:r>
              <w:rPr>
                <w:color w:val="auto"/>
                <w:kern w:val="0"/>
                <w:sz w:val="21"/>
                <w:szCs w:val="21"/>
                <w:lang w:bidi="ar"/>
              </w:rPr>
              <w:t>℃</w:t>
            </w:r>
          </w:p>
        </w:tc>
        <w:tc>
          <w:tcPr>
            <w:tcW w:w="5809" w:type="dxa"/>
            <w:gridSpan w:val="2"/>
            <w:vMerge w:val="continue"/>
            <w:noWrap w:val="0"/>
            <w:vAlign w:val="center"/>
          </w:tcPr>
          <w:p w14:paraId="49DB31A0">
            <w:pPr>
              <w:widowControl/>
              <w:adjustRightInd w:val="0"/>
              <w:snapToGrid w:val="0"/>
              <w:spacing w:line="240" w:lineRule="auto"/>
              <w:ind w:firstLine="0" w:firstLineChars="0"/>
              <w:jc w:val="center"/>
              <w:rPr>
                <w:color w:val="auto"/>
                <w:kern w:val="0"/>
                <w:sz w:val="21"/>
                <w:szCs w:val="21"/>
                <w:lang w:bidi="ar"/>
              </w:rPr>
            </w:pPr>
          </w:p>
        </w:tc>
      </w:tr>
      <w:tr w14:paraId="004D8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419F1811">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718583E6">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聚合危险：不聚合</w:t>
            </w:r>
          </w:p>
        </w:tc>
        <w:tc>
          <w:tcPr>
            <w:tcW w:w="5809" w:type="dxa"/>
            <w:gridSpan w:val="2"/>
            <w:vMerge w:val="continue"/>
            <w:noWrap w:val="0"/>
            <w:vAlign w:val="center"/>
          </w:tcPr>
          <w:p w14:paraId="25254174">
            <w:pPr>
              <w:widowControl/>
              <w:adjustRightInd w:val="0"/>
              <w:snapToGrid w:val="0"/>
              <w:spacing w:line="240" w:lineRule="auto"/>
              <w:ind w:firstLine="0" w:firstLineChars="0"/>
              <w:jc w:val="center"/>
              <w:rPr>
                <w:color w:val="auto"/>
                <w:kern w:val="0"/>
                <w:sz w:val="21"/>
                <w:szCs w:val="21"/>
                <w:lang w:bidi="ar"/>
              </w:rPr>
            </w:pPr>
          </w:p>
        </w:tc>
      </w:tr>
      <w:tr w14:paraId="42E8B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688" w:type="dxa"/>
            <w:vMerge w:val="continue"/>
            <w:noWrap w:val="0"/>
            <w:vAlign w:val="center"/>
          </w:tcPr>
          <w:p w14:paraId="466ECA00">
            <w:pPr>
              <w:widowControl/>
              <w:adjustRightInd w:val="0"/>
              <w:snapToGrid w:val="0"/>
              <w:spacing w:line="240" w:lineRule="auto"/>
              <w:ind w:firstLine="0" w:firstLineChars="0"/>
              <w:jc w:val="center"/>
              <w:rPr>
                <w:color w:val="auto"/>
                <w:kern w:val="0"/>
                <w:sz w:val="21"/>
                <w:szCs w:val="21"/>
                <w:lang w:bidi="ar"/>
              </w:rPr>
            </w:pPr>
          </w:p>
        </w:tc>
        <w:tc>
          <w:tcPr>
            <w:tcW w:w="2032" w:type="dxa"/>
            <w:gridSpan w:val="2"/>
            <w:noWrap w:val="0"/>
            <w:vAlign w:val="center"/>
          </w:tcPr>
          <w:p w14:paraId="5381B93B">
            <w:pPr>
              <w:widowControl/>
              <w:adjustRightInd w:val="0"/>
              <w:snapToGrid w:val="0"/>
              <w:spacing w:line="240" w:lineRule="auto"/>
              <w:ind w:firstLine="0" w:firstLineChars="0"/>
              <w:jc w:val="center"/>
              <w:rPr>
                <w:color w:val="auto"/>
                <w:kern w:val="0"/>
                <w:sz w:val="21"/>
                <w:szCs w:val="21"/>
                <w:lang w:bidi="ar"/>
              </w:rPr>
            </w:pPr>
            <w:r>
              <w:rPr>
                <w:color w:val="auto"/>
                <w:kern w:val="0"/>
                <w:sz w:val="21"/>
                <w:szCs w:val="21"/>
                <w:lang w:bidi="ar"/>
              </w:rPr>
              <w:t>禁忌物：强氧化剂</w:t>
            </w:r>
            <w:r>
              <w:rPr>
                <w:rFonts w:hint="eastAsia"/>
                <w:color w:val="auto"/>
                <w:kern w:val="0"/>
                <w:sz w:val="21"/>
                <w:szCs w:val="21"/>
                <w:lang w:bidi="ar"/>
              </w:rPr>
              <w:t>、</w:t>
            </w:r>
            <w:r>
              <w:rPr>
                <w:color w:val="auto"/>
                <w:kern w:val="0"/>
                <w:sz w:val="21"/>
                <w:szCs w:val="21"/>
                <w:lang w:bidi="ar"/>
              </w:rPr>
              <w:t>卤素</w:t>
            </w:r>
          </w:p>
        </w:tc>
        <w:tc>
          <w:tcPr>
            <w:tcW w:w="5809" w:type="dxa"/>
            <w:gridSpan w:val="2"/>
            <w:vMerge w:val="continue"/>
            <w:noWrap w:val="0"/>
            <w:vAlign w:val="center"/>
          </w:tcPr>
          <w:p w14:paraId="26393C8F">
            <w:pPr>
              <w:widowControl/>
              <w:adjustRightInd w:val="0"/>
              <w:snapToGrid w:val="0"/>
              <w:spacing w:line="240" w:lineRule="auto"/>
              <w:ind w:firstLine="0" w:firstLineChars="0"/>
              <w:jc w:val="center"/>
              <w:rPr>
                <w:color w:val="auto"/>
                <w:kern w:val="0"/>
                <w:sz w:val="21"/>
                <w:szCs w:val="21"/>
                <w:lang w:bidi="ar"/>
              </w:rPr>
            </w:pPr>
          </w:p>
        </w:tc>
      </w:tr>
    </w:tbl>
    <w:p w14:paraId="0856A0E5">
      <w:pPr>
        <w:pStyle w:val="3"/>
        <w:bidi w:val="0"/>
        <w:rPr>
          <w:color w:val="auto"/>
        </w:rPr>
      </w:pPr>
      <w:bookmarkStart w:id="140" w:name="_Toc6848"/>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.4</w:t>
      </w:r>
      <w:r>
        <w:rPr>
          <w:rFonts w:hint="eastAsia" w:ascii="宋体" w:hAnsi="宋体" w:eastAsia="宋体" w:cs="宋体"/>
          <w:b/>
          <w:bCs/>
          <w:color w:val="auto"/>
          <w:kern w:val="0"/>
          <w:sz w:val="24"/>
          <w:szCs w:val="24"/>
          <w:lang w:val="en-US" w:eastAsia="zh-CN" w:bidi="ar"/>
        </w:rPr>
        <w:t>环境风险分析</w:t>
      </w:r>
      <w:bookmarkEnd w:id="140"/>
    </w:p>
    <w:p w14:paraId="4C3C8F1D">
      <w:pPr>
        <w:keepNext w:val="0"/>
        <w:keepLines w:val="0"/>
        <w:widowControl/>
        <w:suppressLineNumbers w:val="0"/>
        <w:ind w:left="0" w:leftChars="0" w:firstLine="0" w:firstLineChars="0"/>
        <w:jc w:val="left"/>
        <w:rPr>
          <w:color w:val="auto"/>
        </w:rPr>
      </w:pP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.4.1</w:t>
      </w:r>
      <w:r>
        <w:rPr>
          <w:rFonts w:hint="eastAsia" w:ascii="宋体" w:hAnsi="宋体" w:eastAsia="宋体" w:cs="宋体"/>
          <w:b/>
          <w:bCs/>
          <w:color w:val="auto"/>
          <w:kern w:val="0"/>
          <w:sz w:val="24"/>
          <w:szCs w:val="24"/>
          <w:lang w:val="en-US" w:eastAsia="zh-CN" w:bidi="ar"/>
        </w:rPr>
        <w:t>水环境</w:t>
      </w:r>
    </w:p>
    <w:p w14:paraId="0F538054">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本工程不涉及跨水体桥梁，与本工程距离最近的地表水体为</w:t>
      </w:r>
      <w:r>
        <w:rPr>
          <w:rFonts w:hint="default" w:ascii="Times New Roman" w:hAnsi="Times New Roman" w:eastAsia="宋体" w:cs="Times New Roman"/>
          <w:color w:val="auto"/>
          <w:kern w:val="0"/>
        </w:rPr>
        <w:t>南侧345m处的</w:t>
      </w:r>
      <w:r>
        <w:rPr>
          <w:rFonts w:hint="default" w:ascii="Times New Roman" w:hAnsi="Times New Roman" w:eastAsia="宋体" w:cs="Times New Roman"/>
          <w:color w:val="auto"/>
        </w:rPr>
        <w:t>甘庄河</w:t>
      </w:r>
      <w:r>
        <w:rPr>
          <w:rFonts w:hint="eastAsia" w:ascii="宋体" w:hAnsi="宋体" w:eastAsia="宋体" w:cs="宋体"/>
          <w:color w:val="auto"/>
          <w:kern w:val="0"/>
          <w:sz w:val="24"/>
          <w:szCs w:val="24"/>
          <w:lang w:val="en-US" w:eastAsia="zh-CN" w:bidi="ar"/>
        </w:rPr>
        <w:t>。若危险品运输车辆在道路区域发生交通事故，有毒有害物质（如危险化学品等）及消防废水可能泄漏进入周边水体污染水质。有毒有害物质及消防废水泄漏进入水体，对水体水质也将造成不同程度的污染，影响周边居民的生产生活。</w:t>
      </w:r>
    </w:p>
    <w:p w14:paraId="47E6F598">
      <w:pPr>
        <w:keepNext w:val="0"/>
        <w:keepLines w:val="0"/>
        <w:widowControl/>
        <w:suppressLineNumbers w:val="0"/>
        <w:ind w:left="0" w:leftChars="0" w:firstLine="0" w:firstLineChars="0"/>
        <w:jc w:val="left"/>
        <w:rPr>
          <w:color w:val="auto"/>
        </w:rPr>
      </w:pP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.4.2</w:t>
      </w:r>
      <w:r>
        <w:rPr>
          <w:rFonts w:hint="eastAsia" w:ascii="宋体" w:hAnsi="宋体" w:eastAsia="宋体" w:cs="宋体"/>
          <w:b/>
          <w:bCs/>
          <w:color w:val="auto"/>
          <w:kern w:val="0"/>
          <w:sz w:val="24"/>
          <w:szCs w:val="24"/>
          <w:lang w:val="en-US" w:eastAsia="zh-CN" w:bidi="ar"/>
        </w:rPr>
        <w:t>大气环境</w:t>
      </w:r>
    </w:p>
    <w:p w14:paraId="4FBD0DB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在危化品运输过程中，从装卸、运输到保管，工序长，参与人员多，运输方式和工具多，运输范围广，行程长，气温、压力、干湿变化范围大，这些复杂众多的外界因素是运输过程中造成风险的诱发条件。在运输、车辆装卸以及储存等过程有可能发生交通事故、运输过程设备故障性泄漏、装卸化学品操作失误等事故会造成火灾爆炸风险，使有毒有害物质进入到空气中，对周边居民或生态造成损害，引发大气环境事件。</w:t>
      </w:r>
    </w:p>
    <w:p w14:paraId="40C30959">
      <w:pPr>
        <w:keepNext w:val="0"/>
        <w:keepLines w:val="0"/>
        <w:widowControl/>
        <w:suppressLineNumbers w:val="0"/>
        <w:ind w:left="0" w:leftChars="0" w:firstLine="0" w:firstLineChars="0"/>
        <w:jc w:val="left"/>
        <w:rPr>
          <w:color w:val="auto"/>
        </w:rPr>
      </w:pP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.4.3</w:t>
      </w:r>
      <w:r>
        <w:rPr>
          <w:rFonts w:hint="eastAsia" w:ascii="宋体" w:hAnsi="宋体" w:eastAsia="宋体" w:cs="宋体"/>
          <w:b/>
          <w:bCs/>
          <w:color w:val="auto"/>
          <w:kern w:val="0"/>
          <w:sz w:val="24"/>
          <w:szCs w:val="24"/>
          <w:lang w:val="en-US" w:eastAsia="zh-CN" w:bidi="ar"/>
        </w:rPr>
        <w:t>生态环境</w:t>
      </w:r>
    </w:p>
    <w:p w14:paraId="173F0F91">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工程区域植被类型组成成分较少，结构稀疏简单，一旦发生火灾事故，将破坏区域生态系统，危害野生动植物生存，燃烧产生的烟雾造成空气污染。</w:t>
      </w:r>
    </w:p>
    <w:p w14:paraId="781FF921">
      <w:pPr>
        <w:keepNext w:val="0"/>
        <w:keepLines w:val="0"/>
        <w:widowControl/>
        <w:suppressLineNumbers w:val="0"/>
        <w:ind w:left="0" w:leftChars="0" w:firstLine="0" w:firstLineChars="0"/>
        <w:jc w:val="left"/>
        <w:rPr>
          <w:rFonts w:hint="eastAsia" w:ascii="Times New Roman" w:hAnsi="Times New Roman" w:eastAsia="宋体" w:cs="Times New Roman"/>
          <w:b/>
          <w:bCs/>
          <w:color w:val="auto"/>
          <w:kern w:val="0"/>
          <w:sz w:val="24"/>
          <w:szCs w:val="24"/>
          <w:lang w:val="en-US" w:eastAsia="zh-CN" w:bidi="ar"/>
        </w:rPr>
      </w:pPr>
      <w:r>
        <w:rPr>
          <w:rFonts w:hint="eastAsia" w:ascii="Times New Roman" w:hAnsi="Times New Roman" w:eastAsia="宋体" w:cs="Times New Roman"/>
          <w:b/>
          <w:bCs/>
          <w:color w:val="auto"/>
          <w:kern w:val="0"/>
          <w:sz w:val="24"/>
          <w:szCs w:val="24"/>
          <w:lang w:val="en-US" w:eastAsia="zh-CN" w:bidi="ar"/>
        </w:rPr>
        <w:t>6.4.4危化品泄漏事故的环境风险影响</w:t>
      </w:r>
    </w:p>
    <w:p w14:paraId="2747C770">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危险化学品在道路运输过程中，由于设备缺陷、撞击、挤压等原因，盛装易燃、易爆、有毒危险品的容器及相关辅助设施有可能被击穿或破裂、损坏，泄漏出所运的大量易燃、易爆、有毒化学品，进而导致火灾、爆炸、中毒等重大事故发生。另外，危险化学品道路运输车辆有时必须通过人口聚集区域，从而对沿途的居民、行人、其他车辆及设施等构成潜在的巨大威胁，一旦发生事故将会造成较大范围的人员伤亡和财产损失。</w:t>
      </w:r>
    </w:p>
    <w:p w14:paraId="67A77C7E">
      <w:pPr>
        <w:pStyle w:val="3"/>
        <w:bidi w:val="0"/>
        <w:rPr>
          <w:color w:val="auto"/>
        </w:rPr>
      </w:pPr>
      <w:bookmarkStart w:id="141" w:name="_Toc782"/>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.5</w:t>
      </w:r>
      <w:r>
        <w:rPr>
          <w:rFonts w:hint="eastAsia" w:ascii="宋体" w:hAnsi="宋体" w:eastAsia="宋体" w:cs="宋体"/>
          <w:b/>
          <w:bCs/>
          <w:color w:val="auto"/>
          <w:kern w:val="0"/>
          <w:sz w:val="24"/>
          <w:szCs w:val="24"/>
          <w:lang w:val="en-US" w:eastAsia="zh-CN" w:bidi="ar"/>
        </w:rPr>
        <w:t>环境风险防控</w:t>
      </w:r>
      <w:bookmarkEnd w:id="141"/>
    </w:p>
    <w:p w14:paraId="5A09B4FE">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本公路不涉及跨越水体，工程距离较短，为高铁站前广场公路，不是主要的危化品运输路线，根据风险分析，环境风险较小，建议从以下几方面进行风险防控。</w:t>
      </w:r>
    </w:p>
    <w:p w14:paraId="1BF8F639">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环境风险防治</w:t>
      </w:r>
    </w:p>
    <w:p w14:paraId="0DD503EE">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为防止意外事故发生，道路管理部门应做好危险品运输车辆上路前检查、途中运输监控。</w:t>
      </w:r>
    </w:p>
    <w:p w14:paraId="56884B2C">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事故处理方面</w:t>
      </w:r>
    </w:p>
    <w:p w14:paraId="31ECB3D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①管理措施</w:t>
      </w:r>
    </w:p>
    <w:p w14:paraId="1F8B0CB4">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事故发生时，在现场采取一切可能的警示措施，并积极配合有关部门进行处置；运输企业或者单位立即启动应急预案；充分利用道路紧急电话系统尽快与安全管理部门、消防部门、公安系统等相关部门取得联系，遏制事故污染蔓延。</w:t>
      </w:r>
    </w:p>
    <w:p w14:paraId="3129ADC3">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疏导交通，实现道路交通、车辆一体化管理，确保车辆便捷、顺利、安全通过。</w:t>
      </w:r>
    </w:p>
    <w:p w14:paraId="4E4A842F">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c.</w:t>
      </w:r>
      <w:r>
        <w:rPr>
          <w:rFonts w:hint="eastAsia" w:ascii="宋体" w:hAnsi="宋体" w:eastAsia="宋体" w:cs="宋体"/>
          <w:color w:val="auto"/>
          <w:kern w:val="0"/>
          <w:sz w:val="24"/>
          <w:szCs w:val="24"/>
          <w:lang w:val="en-US" w:eastAsia="zh-CN" w:bidi="ar"/>
        </w:rPr>
        <w:t>运输企业有条件的应当安装行驶记录仪、“</w:t>
      </w:r>
      <w:r>
        <w:rPr>
          <w:rFonts w:hint="default" w:ascii="Times New Roman" w:hAnsi="Times New Roman" w:eastAsia="宋体" w:cs="Times New Roman"/>
          <w:color w:val="auto"/>
          <w:kern w:val="0"/>
          <w:sz w:val="24"/>
          <w:szCs w:val="24"/>
          <w:lang w:val="en-US" w:eastAsia="zh-CN" w:bidi="ar"/>
        </w:rPr>
        <w:t>GPS</w:t>
      </w:r>
      <w:r>
        <w:rPr>
          <w:rFonts w:hint="eastAsia" w:ascii="宋体" w:hAnsi="宋体" w:eastAsia="宋体" w:cs="宋体"/>
          <w:color w:val="auto"/>
          <w:kern w:val="0"/>
          <w:sz w:val="24"/>
          <w:szCs w:val="24"/>
          <w:lang w:val="en-US" w:eastAsia="zh-CN" w:bidi="ar"/>
        </w:rPr>
        <w:t>”卫星定位系统。</w:t>
      </w:r>
    </w:p>
    <w:p w14:paraId="4ED36367">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②其他措施</w:t>
      </w:r>
    </w:p>
    <w:p w14:paraId="1E5F640E">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建设完善的道路安全设施，包括道路交通标志、标线、护栏、隔离栅、防眩设施等；建设道路监控设施，监控设施能及时收集数据和信息，进行信息发布，并配合巡逻车进行交通管制和疏导，目标是稳定交通流、减少拥挤和堵塞，及时消除事故隐患，及时处理和发现交通事故，减少二次事故发生。</w:t>
      </w:r>
    </w:p>
    <w:p w14:paraId="4ED66447">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发生事故时，道路管理部门根据应急响应程序及时作出响应，及时围堵泄漏物质，疏散周边人群等，有效控制风险影响范围。</w:t>
      </w:r>
    </w:p>
    <w:p w14:paraId="272604C2">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通过以上分析，在落实环境风险防范措施后，本项目环境风险可控。根据《建设项目环境风险评价技术导则》（</w:t>
      </w:r>
      <w:r>
        <w:rPr>
          <w:rFonts w:hint="default" w:ascii="Times New Roman" w:hAnsi="Times New Roman" w:eastAsia="宋体" w:cs="Times New Roman"/>
          <w:color w:val="auto"/>
          <w:kern w:val="0"/>
          <w:sz w:val="24"/>
          <w:szCs w:val="24"/>
          <w:lang w:val="en-US" w:eastAsia="zh-CN" w:bidi="ar"/>
        </w:rPr>
        <w:t>HJ</w:t>
      </w:r>
      <w:r>
        <w:rPr>
          <w:rFonts w:hint="eastAsia" w:cs="Times New Roman"/>
          <w:color w:val="auto"/>
          <w:kern w:val="0"/>
          <w:sz w:val="24"/>
          <w:szCs w:val="24"/>
          <w:lang w:val="en-US" w:eastAsia="zh-CN" w:bidi="ar"/>
        </w:rPr>
        <w:t xml:space="preserve"> </w:t>
      </w:r>
      <w:r>
        <w:rPr>
          <w:rFonts w:hint="default" w:ascii="Times New Roman" w:hAnsi="Times New Roman" w:eastAsia="宋体" w:cs="Times New Roman"/>
          <w:color w:val="auto"/>
          <w:kern w:val="0"/>
          <w:sz w:val="24"/>
          <w:szCs w:val="24"/>
          <w:lang w:val="en-US" w:eastAsia="zh-CN" w:bidi="ar"/>
        </w:rPr>
        <w:t>169-2018</w:t>
      </w:r>
      <w:r>
        <w:rPr>
          <w:rFonts w:hint="eastAsia" w:ascii="宋体" w:hAnsi="宋体" w:eastAsia="宋体" w:cs="宋体"/>
          <w:color w:val="auto"/>
          <w:kern w:val="0"/>
          <w:sz w:val="24"/>
          <w:szCs w:val="24"/>
          <w:lang w:val="en-US" w:eastAsia="zh-CN" w:bidi="ar"/>
        </w:rPr>
        <w:t>）简单分析要求，根据以上内容填写建设项目环境风险简单分析内容表如下：</w:t>
      </w:r>
    </w:p>
    <w:p w14:paraId="472E1CB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color w:val="auto"/>
          <w:kern w:val="2"/>
          <w:sz w:val="21"/>
          <w:szCs w:val="24"/>
          <w:lang w:val="en-US" w:eastAsia="zh-CN" w:bidi="ar-SA"/>
        </w:rPr>
      </w:pPr>
      <w:r>
        <w:rPr>
          <w:rFonts w:hint="eastAsia" w:ascii="Times New Roman" w:hAnsi="Times New Roman" w:eastAsia="宋体" w:cs="Times New Roman"/>
          <w:b/>
          <w:color w:val="auto"/>
          <w:kern w:val="2"/>
          <w:sz w:val="21"/>
          <w:szCs w:val="24"/>
          <w:lang w:val="en-US" w:eastAsia="zh-CN" w:bidi="ar-SA"/>
        </w:rPr>
        <w:t xml:space="preserve">表6.5-1    </w:t>
      </w:r>
      <w:r>
        <w:rPr>
          <w:rFonts w:hint="eastAsia" w:cs="Times New Roman"/>
          <w:b/>
          <w:color w:val="auto"/>
          <w:kern w:val="2"/>
          <w:sz w:val="21"/>
          <w:szCs w:val="24"/>
          <w:lang w:val="en-US" w:eastAsia="zh-CN" w:bidi="ar-SA"/>
        </w:rPr>
        <w:t>建设</w:t>
      </w:r>
      <w:r>
        <w:rPr>
          <w:rFonts w:hint="eastAsia" w:ascii="Times New Roman" w:hAnsi="Times New Roman" w:eastAsia="宋体" w:cs="Times New Roman"/>
          <w:b/>
          <w:color w:val="auto"/>
          <w:kern w:val="2"/>
          <w:sz w:val="21"/>
          <w:szCs w:val="24"/>
          <w:lang w:val="en-US" w:eastAsia="zh-CN" w:bidi="ar-SA"/>
        </w:rPr>
        <w:t>项目</w:t>
      </w:r>
      <w:r>
        <w:rPr>
          <w:rFonts w:hint="eastAsia" w:cs="Times New Roman"/>
          <w:b/>
          <w:color w:val="auto"/>
          <w:kern w:val="2"/>
          <w:sz w:val="21"/>
          <w:szCs w:val="24"/>
          <w:lang w:val="en-US" w:eastAsia="zh-CN" w:bidi="ar-SA"/>
        </w:rPr>
        <w:t>环境风险简单分析内容表</w:t>
      </w:r>
    </w:p>
    <w:tbl>
      <w:tblPr>
        <w:tblStyle w:val="5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6913"/>
      </w:tblGrid>
      <w:tr w14:paraId="4A6AF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pct"/>
            <w:noWrap w:val="0"/>
            <w:vAlign w:val="center"/>
          </w:tcPr>
          <w:p w14:paraId="6D3F1303">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建设项目名称</w:t>
            </w:r>
          </w:p>
        </w:tc>
        <w:tc>
          <w:tcPr>
            <w:tcW w:w="4053" w:type="pct"/>
            <w:noWrap w:val="0"/>
            <w:vAlign w:val="center"/>
          </w:tcPr>
          <w:p w14:paraId="5DE5787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元江火车站站前广场配套道路5号路建设项目</w:t>
            </w:r>
          </w:p>
        </w:tc>
      </w:tr>
      <w:tr w14:paraId="67C50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pct"/>
            <w:noWrap w:val="0"/>
            <w:vAlign w:val="center"/>
          </w:tcPr>
          <w:p w14:paraId="059363D0">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建设地点</w:t>
            </w:r>
          </w:p>
        </w:tc>
        <w:tc>
          <w:tcPr>
            <w:tcW w:w="4053" w:type="pct"/>
            <w:noWrap w:val="0"/>
            <w:vAlign w:val="center"/>
          </w:tcPr>
          <w:p w14:paraId="0A8C0741">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云南省玉溪市元江县甘庄街道</w:t>
            </w:r>
          </w:p>
        </w:tc>
      </w:tr>
      <w:tr w14:paraId="2366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946" w:type="pct"/>
            <w:noWrap w:val="0"/>
            <w:vAlign w:val="center"/>
          </w:tcPr>
          <w:p w14:paraId="35D498F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地理坐标</w:t>
            </w:r>
          </w:p>
        </w:tc>
        <w:tc>
          <w:tcPr>
            <w:tcW w:w="4053" w:type="pct"/>
            <w:noWrap w:val="0"/>
            <w:vAlign w:val="center"/>
          </w:tcPr>
          <w:p w14:paraId="2011143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起点E101°59′42.351″,N24°15′17.711″</w:t>
            </w:r>
          </w:p>
          <w:p w14:paraId="2CEB0ED9">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终点</w:t>
            </w:r>
            <w:r>
              <w:rPr>
                <w:rFonts w:hint="default" w:ascii="Times New Roman" w:hAnsi="Times New Roman" w:eastAsia="宋体" w:cs="Times New Roman"/>
                <w:b w:val="0"/>
                <w:bCs/>
                <w:color w:val="auto"/>
                <w:sz w:val="21"/>
                <w:szCs w:val="21"/>
                <w:lang w:val="en-US" w:eastAsia="zh-CN"/>
              </w:rPr>
              <w:t>E101°59′50.201″,N24°42′17.915″</w:t>
            </w:r>
          </w:p>
        </w:tc>
      </w:tr>
      <w:tr w14:paraId="0513D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pct"/>
            <w:noWrap w:val="0"/>
            <w:vAlign w:val="center"/>
          </w:tcPr>
          <w:p w14:paraId="7050F1B4">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主要危险物质及分布</w:t>
            </w:r>
          </w:p>
        </w:tc>
        <w:tc>
          <w:tcPr>
            <w:tcW w:w="4053" w:type="pct"/>
            <w:noWrap w:val="0"/>
            <w:vAlign w:val="center"/>
          </w:tcPr>
          <w:p w14:paraId="26397C95">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车辆本身携带的汽油（柴油）和机油，危险化学品运输车辆</w:t>
            </w:r>
          </w:p>
        </w:tc>
      </w:tr>
      <w:tr w14:paraId="4383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pct"/>
            <w:noWrap w:val="0"/>
            <w:vAlign w:val="center"/>
          </w:tcPr>
          <w:p w14:paraId="5CEA4C54">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环境影响途径及危害后果</w:t>
            </w:r>
          </w:p>
        </w:tc>
        <w:tc>
          <w:tcPr>
            <w:tcW w:w="4053" w:type="pct"/>
            <w:noWrap w:val="0"/>
            <w:vAlign w:val="center"/>
          </w:tcPr>
          <w:p w14:paraId="305C6F93">
            <w:pPr>
              <w:keepNext w:val="0"/>
              <w:keepLines w:val="0"/>
              <w:widowControl/>
              <w:suppressLineNumbers w:val="0"/>
              <w:ind w:left="0" w:leftChars="0" w:firstLine="0" w:firstLineChars="0"/>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根据风险识别结果，环境风险类型主要有</w:t>
            </w:r>
          </w:p>
          <w:p w14:paraId="316A2809">
            <w:pPr>
              <w:keepNext w:val="0"/>
              <w:keepLines w:val="0"/>
              <w:widowControl/>
              <w:numPr>
                <w:ilvl w:val="0"/>
                <w:numId w:val="2"/>
              </w:numPr>
              <w:suppressLineNumbers w:val="0"/>
              <w:ind w:left="0" w:leftChars="0" w:firstLine="0" w:firstLineChars="0"/>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车辆本身携带的汽油（柴油）和机油泄漏，排入附近水体；</w:t>
            </w:r>
          </w:p>
          <w:p w14:paraId="63D11A50">
            <w:pPr>
              <w:keepNext w:val="0"/>
              <w:keepLines w:val="0"/>
              <w:widowControl/>
              <w:numPr>
                <w:ilvl w:val="0"/>
                <w:numId w:val="0"/>
              </w:numPr>
              <w:suppressLineNumbers w:val="0"/>
              <w:ind w:leftChars="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2）危险化学品的运输车辆发生交通事故后，有毒有害固态、液态危险品发生泄漏或易燃易爆物质引起爆炸，引起大气环境、生态环境和附近水体污染；（3）汽油（柴油）在小区域范围内蒸汽浓度过高，引起爆炸，引起大气环境污染。</w:t>
            </w:r>
          </w:p>
          <w:p w14:paraId="0C361679">
            <w:pPr>
              <w:keepNext w:val="0"/>
              <w:keepLines w:val="0"/>
              <w:widowControl/>
              <w:suppressLineNumbers w:val="0"/>
              <w:ind w:left="0" w:leftChars="0" w:firstLine="0" w:firstLineChars="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1、对地表水环境风险影响</w:t>
            </w:r>
          </w:p>
          <w:p w14:paraId="15D56F17">
            <w:pPr>
              <w:keepNext w:val="0"/>
              <w:keepLines w:val="0"/>
              <w:widowControl/>
              <w:suppressLineNumbers w:val="0"/>
              <w:ind w:left="0" w:leftChars="0" w:firstLine="420" w:firstLineChars="20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本工程不涉及跨水体桥梁，与本工程距离最近的地表水体为南侧345m处的甘庄河。若危险品运输车辆在道路区域发生交通事故，有毒有害物质（如危险化学品等）及消防废水可能泄漏进入周边水体污染水质。有毒有害物质及消防废水泄漏进入水体，对水体水质也将造成不同程度的污染，影响周边居民的生产生活。</w:t>
            </w:r>
          </w:p>
          <w:p w14:paraId="26988E57">
            <w:pPr>
              <w:keepNext w:val="0"/>
              <w:keepLines w:val="0"/>
              <w:widowControl/>
              <w:suppressLineNumbers w:val="0"/>
              <w:ind w:left="0" w:leftChars="0" w:firstLine="0" w:firstLineChars="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2、对大气环境风险影响</w:t>
            </w:r>
          </w:p>
          <w:p w14:paraId="5378B1EA">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在危化品运输过程中，从装卸、运输到保管，工序长，参与人员多，运输方式和工具多，运输范围广，行程长，气温、压力、干湿变化范围大，这些复杂众多的外界因素是运输过程中造成风险的诱发条件。在运输、车辆装卸以及储存等过程有可能发生交通事故、运输过程设备故障性泄漏、装卸化学品操作失误等事故会造成火灾爆炸风险，使有毒有害物质进入到空气中，对周边居民或生态造成损害，引发大气环境事件。</w:t>
            </w:r>
          </w:p>
          <w:p w14:paraId="73E26BE4">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3、对生态环境影响</w:t>
            </w:r>
          </w:p>
          <w:p w14:paraId="540F7757">
            <w:pPr>
              <w:keepNext w:val="0"/>
              <w:keepLines w:val="0"/>
              <w:widowControl/>
              <w:suppressLineNumbers w:val="0"/>
              <w:jc w:val="left"/>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工程区域植被类型组成成分较少，结构稀疏简单，一旦发生火灾事故，将破坏区域生态系统，危害野生动植物生存，燃烧产生的烟雾造成空气污染。</w:t>
            </w:r>
          </w:p>
        </w:tc>
      </w:tr>
      <w:tr w14:paraId="5798A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pct"/>
            <w:noWrap w:val="0"/>
            <w:vAlign w:val="center"/>
          </w:tcPr>
          <w:p w14:paraId="1A720D5C">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风险防范措施要求</w:t>
            </w:r>
          </w:p>
        </w:tc>
        <w:tc>
          <w:tcPr>
            <w:tcW w:w="4053" w:type="pct"/>
            <w:noWrap w:val="0"/>
            <w:vAlign w:val="center"/>
          </w:tcPr>
          <w:p w14:paraId="54609A21">
            <w:pPr>
              <w:keepNext w:val="0"/>
              <w:keepLines w:val="0"/>
              <w:widowControl/>
              <w:numPr>
                <w:ilvl w:val="0"/>
                <w:numId w:val="0"/>
              </w:numPr>
              <w:suppressLineNumbers w:val="0"/>
              <w:ind w:firstLine="420" w:firstLineChars="200"/>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（1）环境风险防治</w:t>
            </w:r>
          </w:p>
          <w:p w14:paraId="6B0A4591">
            <w:pPr>
              <w:keepNext w:val="0"/>
              <w:keepLines w:val="0"/>
              <w:widowControl/>
              <w:numPr>
                <w:ilvl w:val="0"/>
                <w:numId w:val="0"/>
              </w:numPr>
              <w:suppressLineNumbers w:val="0"/>
              <w:ind w:firstLine="420" w:firstLineChars="20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为防止意外事故发生，道路管理部门应做好危险品运输车辆上路前检查、途中运输监控。</w:t>
            </w:r>
          </w:p>
          <w:p w14:paraId="527F81A2">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（2）事故处理方面</w:t>
            </w:r>
          </w:p>
          <w:p w14:paraId="1A838CD2">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①管理措施</w:t>
            </w:r>
          </w:p>
          <w:p w14:paraId="2B1D7962">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a.事故发生时，在现场采取一切可能的警示措施，并积极配合有关部门进行处置；运输企业或者单位立即启动应急预案；充分利用道路紧急电话系统尽快与安全管理部门、消防部门、公安系统等相关部门取得联系，遏制事故污染蔓延。</w:t>
            </w:r>
          </w:p>
          <w:p w14:paraId="197614F0">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b.疏导交通，实现道路交通、车辆一体化管理，确保车辆便捷、顺利、安全通过。</w:t>
            </w:r>
          </w:p>
          <w:p w14:paraId="6734B323">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c.运输企业有条件的应当安装行驶记录仪、“GPS”卫星定位系统。</w:t>
            </w:r>
          </w:p>
          <w:p w14:paraId="2F82A7AD">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②其他措施</w:t>
            </w:r>
          </w:p>
          <w:p w14:paraId="7FC438E6">
            <w:pPr>
              <w:keepNext w:val="0"/>
              <w:keepLines w:val="0"/>
              <w:widowControl/>
              <w:suppressLineNumbers w:val="0"/>
              <w:jc w:val="left"/>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a.建设完善的道路安全设施，包括道路交通标志、标线、护栏、隔离栅、防眩设施等；建设道路监控设施，监控设施能及时收集数据和信息，进行信息发布，并配合巡逻车进行交通管制和疏导，目标是稳定交通流、减少拥挤和堵塞，及时消除事故隐患，及时处理和发现交通事故，减少二次事故发生。</w:t>
            </w:r>
          </w:p>
          <w:p w14:paraId="6C2623D8">
            <w:pPr>
              <w:keepNext w:val="0"/>
              <w:keepLines w:val="0"/>
              <w:widowControl/>
              <w:suppressLineNumbers w:val="0"/>
              <w:jc w:val="left"/>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color w:val="auto"/>
                <w:kern w:val="0"/>
                <w:sz w:val="21"/>
                <w:szCs w:val="21"/>
                <w:lang w:val="en-US" w:eastAsia="zh-CN" w:bidi="ar"/>
              </w:rPr>
              <w:t>b.发生事故时，道路管理部门根据应急响应程序及时作出响应，及时围堵泄漏物质，疏散周边人群等，有效控制风险影响范围。</w:t>
            </w:r>
          </w:p>
        </w:tc>
      </w:tr>
      <w:tr w14:paraId="37FB8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center"/>
          </w:tcPr>
          <w:p w14:paraId="120465EC">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填表说明（列出项目相关信息及评价说明）：依据《建设项目环境风险评价技术导则》（HJ</w:t>
            </w:r>
            <w:r>
              <w:rPr>
                <w:rFonts w:hint="eastAsia" w:ascii="Times New Roman" w:cs="Times New Roman"/>
                <w:b w:val="0"/>
                <w:bCs/>
                <w:color w:val="auto"/>
                <w:sz w:val="21"/>
                <w:szCs w:val="21"/>
                <w:lang w:val="en-US" w:eastAsia="zh-CN"/>
              </w:rPr>
              <w:t xml:space="preserve"> </w:t>
            </w:r>
            <w:r>
              <w:rPr>
                <w:rFonts w:hint="default" w:ascii="Times New Roman" w:hAnsi="Times New Roman" w:eastAsia="宋体" w:cs="Times New Roman"/>
                <w:b w:val="0"/>
                <w:bCs/>
                <w:color w:val="auto"/>
                <w:sz w:val="21"/>
                <w:szCs w:val="21"/>
                <w:lang w:val="en-US" w:eastAsia="zh-CN"/>
              </w:rPr>
              <w:t>169-2018），工程属于非污染型项目，不</w:t>
            </w:r>
          </w:p>
          <w:p w14:paraId="23D59617">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存在危险物质生产、使用、储存，危险物质数量与临界量比值Q&lt;1，本工程环境风险潜势为</w:t>
            </w:r>
          </w:p>
          <w:p w14:paraId="1BD53ABF">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Ⅰ，评价等级为简单分析。</w:t>
            </w:r>
          </w:p>
          <w:p w14:paraId="48AD74E4">
            <w:pPr>
              <w:pStyle w:val="462"/>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val="0"/>
                <w:bCs/>
                <w:color w:val="auto"/>
                <w:sz w:val="21"/>
                <w:szCs w:val="21"/>
                <w:lang w:val="en-US" w:eastAsia="zh-CN"/>
              </w:rPr>
            </w:pPr>
            <w:r>
              <w:rPr>
                <w:rFonts w:hint="default" w:ascii="Times New Roman" w:hAnsi="Times New Roman" w:eastAsia="宋体" w:cs="Times New Roman"/>
                <w:b w:val="0"/>
                <w:bCs/>
                <w:color w:val="auto"/>
                <w:sz w:val="21"/>
                <w:szCs w:val="21"/>
                <w:lang w:val="en-US" w:eastAsia="zh-CN"/>
              </w:rPr>
              <w:t>本项目拟采取的环境风险防范措施有效可行，项目环境风险可防控。</w:t>
            </w:r>
          </w:p>
        </w:tc>
      </w:tr>
    </w:tbl>
    <w:p w14:paraId="641C7FCE">
      <w:pPr>
        <w:pStyle w:val="3"/>
        <w:numPr>
          <w:ilvl w:val="0"/>
          <w:numId w:val="0"/>
        </w:numPr>
        <w:bidi w:val="0"/>
        <w:ind w:leftChars="0"/>
        <w:rPr>
          <w:rFonts w:hint="default" w:ascii="Times New Roman" w:hAnsi="Times New Roman" w:eastAsia="宋体" w:cs="Times New Roman"/>
          <w:color w:val="auto"/>
          <w:lang w:val="en-US" w:eastAsia="zh-CN"/>
        </w:rPr>
      </w:pPr>
      <w:bookmarkStart w:id="142" w:name="_Toc22738"/>
      <w:r>
        <w:rPr>
          <w:rFonts w:hint="default" w:ascii="Times New Roman" w:hAnsi="Times New Roman" w:eastAsia="宋体" w:cs="Times New Roman"/>
          <w:color w:val="auto"/>
          <w:lang w:val="en-US" w:eastAsia="zh-CN"/>
        </w:rPr>
        <w:t>6.</w:t>
      </w:r>
      <w:r>
        <w:rPr>
          <w:rFonts w:hint="eastAsia" w:cs="Times New Roman"/>
          <w:color w:val="auto"/>
          <w:lang w:val="en-US" w:eastAsia="zh-CN"/>
        </w:rPr>
        <w:t>6</w:t>
      </w:r>
      <w:r>
        <w:rPr>
          <w:rFonts w:hint="default" w:ascii="Times New Roman" w:hAnsi="Times New Roman" w:eastAsia="宋体" w:cs="Times New Roman"/>
          <w:color w:val="auto"/>
          <w:lang w:val="en-US" w:eastAsia="zh-CN"/>
        </w:rPr>
        <w:t>其他</w:t>
      </w:r>
      <w:r>
        <w:rPr>
          <w:rFonts w:hint="default" w:ascii="Times New Roman" w:hAnsi="Times New Roman" w:eastAsia="宋体" w:cs="Times New Roman"/>
          <w:color w:val="auto"/>
        </w:rPr>
        <w:t>影响评价</w:t>
      </w:r>
      <w:bookmarkEnd w:id="142"/>
    </w:p>
    <w:p w14:paraId="7B8219AC">
      <w:pPr>
        <w:bidi w:val="0"/>
        <w:ind w:left="0" w:leftChars="0"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lang w:val="en-US" w:eastAsia="zh-CN"/>
        </w:rPr>
        <w:t>6.</w:t>
      </w:r>
      <w:r>
        <w:rPr>
          <w:rFonts w:hint="eastAsia" w:cs="Times New Roman"/>
          <w:b/>
          <w:bCs/>
          <w:color w:val="auto"/>
          <w:lang w:val="en-US" w:eastAsia="zh-CN"/>
        </w:rPr>
        <w:t>6</w:t>
      </w:r>
      <w:r>
        <w:rPr>
          <w:rFonts w:hint="default"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rPr>
        <w:t>社会环境影响评价</w:t>
      </w:r>
      <w:bookmarkEnd w:id="130"/>
      <w:bookmarkEnd w:id="131"/>
      <w:bookmarkEnd w:id="132"/>
      <w:bookmarkEnd w:id="133"/>
      <w:bookmarkEnd w:id="134"/>
      <w:bookmarkEnd w:id="135"/>
    </w:p>
    <w:p w14:paraId="24430BF8">
      <w:pPr>
        <w:bidi w:val="0"/>
        <w:ind w:left="0" w:leftChars="0" w:firstLine="0" w:firstLineChars="0"/>
        <w:rPr>
          <w:rFonts w:hint="default" w:ascii="Times New Roman" w:hAnsi="Times New Roman" w:eastAsia="宋体" w:cs="Times New Roman"/>
          <w:b/>
          <w:bCs/>
          <w:color w:val="auto"/>
        </w:rPr>
      </w:pPr>
      <w:bookmarkStart w:id="143" w:name="_Toc330759208"/>
      <w:bookmarkStart w:id="144" w:name="_Toc327801056"/>
      <w:bookmarkStart w:id="145" w:name="_Toc352320804"/>
      <w:bookmarkStart w:id="146" w:name="_Toc351046705"/>
      <w:r>
        <w:rPr>
          <w:rFonts w:hint="default" w:ascii="Times New Roman" w:hAnsi="Times New Roman" w:eastAsia="宋体" w:cs="Times New Roman"/>
          <w:b/>
          <w:bCs/>
          <w:color w:val="auto"/>
          <w:lang w:val="en-US" w:eastAsia="zh-CN"/>
        </w:rPr>
        <w:t>6.</w:t>
      </w:r>
      <w:r>
        <w:rPr>
          <w:rFonts w:hint="eastAsia" w:cs="Times New Roman"/>
          <w:b/>
          <w:bCs/>
          <w:color w:val="auto"/>
          <w:lang w:val="en-US" w:eastAsia="zh-CN"/>
        </w:rPr>
        <w:t>6</w:t>
      </w:r>
      <w:r>
        <w:rPr>
          <w:rFonts w:hint="default" w:ascii="Times New Roman" w:hAnsi="Times New Roman" w:eastAsia="宋体" w:cs="Times New Roman"/>
          <w:b/>
          <w:bCs/>
          <w:color w:val="auto"/>
        </w:rPr>
        <w:t>.</w:t>
      </w:r>
      <w:r>
        <w:rPr>
          <w:rFonts w:hint="default"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rPr>
        <w:t>.1对区域经济的影响分析</w:t>
      </w:r>
      <w:bookmarkEnd w:id="143"/>
      <w:bookmarkEnd w:id="144"/>
      <w:bookmarkEnd w:id="145"/>
      <w:bookmarkEnd w:id="146"/>
    </w:p>
    <w:p w14:paraId="6B4584E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项目的实施不仅推动了元江县路网扩张建设，同时有利于促进沿线土地的开发利用，带动</w:t>
      </w:r>
      <w:r>
        <w:rPr>
          <w:rFonts w:hint="eastAsia" w:cs="Times New Roman"/>
          <w:color w:val="auto"/>
          <w:lang w:val="en-US" w:eastAsia="zh-CN"/>
        </w:rPr>
        <w:t>城镇</w:t>
      </w:r>
      <w:r>
        <w:rPr>
          <w:rFonts w:hint="default" w:ascii="Times New Roman" w:hAnsi="Times New Roman" w:eastAsia="宋体" w:cs="Times New Roman"/>
          <w:color w:val="auto"/>
        </w:rPr>
        <w:t>建设发展与经济增长。本项目全面建成投入运营后，将改善区域交通现状、环境质量及城市景观。</w:t>
      </w:r>
    </w:p>
    <w:p w14:paraId="2A12D057">
      <w:pPr>
        <w:pStyle w:val="503"/>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①本项目的建设在定性上，可减少运输成本，节约运输费用，包括货物的时间效益及时间节约效益；</w:t>
      </w:r>
    </w:p>
    <w:p w14:paraId="26A4DA5C">
      <w:pPr>
        <w:pStyle w:val="503"/>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②本项目竣工后，可实现沿线土地价值的增值，</w:t>
      </w:r>
      <w:r>
        <w:rPr>
          <w:rFonts w:hint="default" w:ascii="Times New Roman" w:hAnsi="Times New Roman" w:eastAsia="宋体" w:cs="Times New Roman"/>
          <w:color w:val="auto"/>
          <w:lang w:eastAsia="zh-CN"/>
        </w:rPr>
        <w:t>从而</w:t>
      </w:r>
      <w:r>
        <w:rPr>
          <w:rFonts w:hint="default" w:ascii="Times New Roman" w:hAnsi="Times New Roman" w:eastAsia="宋体" w:cs="Times New Roman"/>
          <w:color w:val="auto"/>
        </w:rPr>
        <w:t>促进周边土地的财政收入的增长。</w:t>
      </w:r>
    </w:p>
    <w:p w14:paraId="54039A3B">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③</w:t>
      </w:r>
      <w:r>
        <w:rPr>
          <w:rFonts w:hint="eastAsia" w:cs="Times New Roman"/>
          <w:color w:val="auto"/>
          <w:lang w:val="en-US" w:eastAsia="zh-CN"/>
        </w:rPr>
        <w:t>本项目</w:t>
      </w:r>
      <w:r>
        <w:rPr>
          <w:rFonts w:hint="default" w:ascii="Times New Roman" w:hAnsi="Times New Roman" w:eastAsia="宋体" w:cs="Times New Roman"/>
          <w:color w:val="auto"/>
          <w:kern w:val="0"/>
          <w:sz w:val="24"/>
          <w:szCs w:val="24"/>
          <w:lang w:val="en-US" w:eastAsia="zh-CN" w:bidi="ar"/>
        </w:rPr>
        <w:t>作为连接</w:t>
      </w:r>
      <w:r>
        <w:rPr>
          <w:rFonts w:hint="eastAsia" w:ascii="Times New Roman" w:hAnsi="Times New Roman" w:eastAsia="宋体"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站与城市交通网络的关键纽带，对于提升</w:t>
      </w:r>
      <w:r>
        <w:rPr>
          <w:rFonts w:hint="eastAsia" w:ascii="Times New Roman" w:hAnsi="Times New Roman" w:eastAsia="宋体"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站的交通疏解能力起着至关重要的作用</w:t>
      </w:r>
      <w:r>
        <w:rPr>
          <w:rFonts w:hint="eastAsia" w:ascii="Times New Roman" w:hAnsi="Times New Roman" w:eastAsia="宋体" w:cs="Times New Roman"/>
          <w:color w:val="auto"/>
          <w:kern w:val="0"/>
          <w:sz w:val="24"/>
          <w:szCs w:val="24"/>
          <w:lang w:val="en-US" w:eastAsia="zh-CN" w:bidi="ar"/>
        </w:rPr>
        <w:t>，而且本项目的建设有利于加强</w:t>
      </w:r>
      <w:r>
        <w:rPr>
          <w:rFonts w:hint="default" w:ascii="Times New Roman" w:hAnsi="Times New Roman" w:eastAsia="宋体" w:cs="Times New Roman"/>
          <w:color w:val="auto"/>
          <w:kern w:val="0"/>
          <w:sz w:val="24"/>
          <w:szCs w:val="24"/>
          <w:lang w:val="en-US" w:eastAsia="zh-CN" w:bidi="ar"/>
        </w:rPr>
        <w:t>元江火车站铁路</w:t>
      </w:r>
      <w:r>
        <w:rPr>
          <w:rFonts w:hint="eastAsia" w:cs="Times New Roman"/>
          <w:color w:val="auto"/>
          <w:kern w:val="0"/>
          <w:sz w:val="24"/>
          <w:szCs w:val="24"/>
          <w:lang w:val="en-US" w:eastAsia="zh-CN" w:bidi="ar"/>
        </w:rPr>
        <w:t>货运站</w:t>
      </w:r>
      <w:r>
        <w:rPr>
          <w:rFonts w:hint="default" w:ascii="Times New Roman" w:hAnsi="Times New Roman" w:eastAsia="宋体" w:cs="Times New Roman"/>
          <w:color w:val="auto"/>
          <w:kern w:val="0"/>
          <w:sz w:val="24"/>
          <w:szCs w:val="24"/>
          <w:lang w:val="en-US" w:eastAsia="zh-CN" w:bidi="ar"/>
        </w:rPr>
        <w:t>与甘庄工业园区的衔接，增加物流运输能力</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且</w:t>
      </w:r>
      <w:r>
        <w:rPr>
          <w:rFonts w:hint="default" w:ascii="Times New Roman" w:hAnsi="Times New Roman" w:eastAsia="宋体" w:cs="Times New Roman"/>
          <w:color w:val="auto"/>
        </w:rPr>
        <w:t>G213线甘庄段道路穿越集镇核心区，交通安全隐患突出</w:t>
      </w:r>
      <w:r>
        <w:rPr>
          <w:rFonts w:hint="default"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对集镇居民影响较大，本项目的建设能</w:t>
      </w:r>
      <w:r>
        <w:rPr>
          <w:rFonts w:hint="default" w:ascii="Times New Roman" w:hAnsi="Times New Roman" w:eastAsia="宋体" w:cs="Times New Roman"/>
          <w:color w:val="auto"/>
        </w:rPr>
        <w:t>提高国道</w:t>
      </w:r>
      <w:r>
        <w:rPr>
          <w:rFonts w:hint="default" w:ascii="Times New Roman" w:hAnsi="Times New Roman" w:eastAsia="宋体" w:cs="Times New Roman"/>
          <w:color w:val="auto"/>
          <w:lang w:val="en-US" w:eastAsia="zh-CN"/>
        </w:rPr>
        <w:t>213</w:t>
      </w:r>
      <w:r>
        <w:rPr>
          <w:rFonts w:hint="default" w:ascii="Times New Roman" w:hAnsi="Times New Roman" w:eastAsia="宋体" w:cs="Times New Roman"/>
          <w:color w:val="auto"/>
        </w:rPr>
        <w:t>交通承载能力，</w:t>
      </w:r>
      <w:r>
        <w:rPr>
          <w:rFonts w:hint="eastAsia" w:ascii="Times New Roman" w:hAnsi="Times New Roman" w:eastAsia="宋体" w:cs="Times New Roman"/>
          <w:color w:val="auto"/>
          <w:lang w:val="en-US" w:eastAsia="zh-CN"/>
        </w:rPr>
        <w:t>并</w:t>
      </w:r>
      <w:r>
        <w:rPr>
          <w:rFonts w:hint="default" w:ascii="Times New Roman" w:hAnsi="Times New Roman" w:eastAsia="宋体" w:cs="Times New Roman"/>
          <w:color w:val="auto"/>
        </w:rPr>
        <w:t>减轻</w:t>
      </w:r>
      <w:r>
        <w:rPr>
          <w:rFonts w:hint="default" w:ascii="Times New Roman" w:hAnsi="Times New Roman" w:eastAsia="宋体" w:cs="Times New Roman"/>
          <w:color w:val="auto"/>
          <w:lang w:val="en-US" w:eastAsia="zh-CN"/>
        </w:rPr>
        <w:t>集镇</w:t>
      </w:r>
      <w:r>
        <w:rPr>
          <w:rFonts w:hint="eastAsia" w:ascii="Times New Roman" w:hAnsi="Times New Roman" w:eastAsia="宋体" w:cs="Times New Roman"/>
          <w:color w:val="auto"/>
          <w:lang w:val="en-US" w:eastAsia="zh-CN"/>
        </w:rPr>
        <w:t>交通</w:t>
      </w:r>
      <w:r>
        <w:rPr>
          <w:rFonts w:hint="default" w:ascii="Times New Roman" w:hAnsi="Times New Roman" w:eastAsia="宋体" w:cs="Times New Roman"/>
          <w:color w:val="auto"/>
        </w:rPr>
        <w:t>管理压力。</w:t>
      </w:r>
    </w:p>
    <w:p w14:paraId="2508F9C6">
      <w:pPr>
        <w:bidi w:val="0"/>
        <w:ind w:left="0" w:leftChars="0"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lang w:val="en-US" w:eastAsia="zh-CN"/>
        </w:rPr>
        <w:t>6.</w:t>
      </w:r>
      <w:r>
        <w:rPr>
          <w:rFonts w:hint="eastAsia" w:cs="Times New Roman"/>
          <w:b/>
          <w:bCs/>
          <w:color w:val="auto"/>
          <w:lang w:val="en-US" w:eastAsia="zh-CN"/>
        </w:rPr>
        <w:t>6</w:t>
      </w:r>
      <w:r>
        <w:rPr>
          <w:rFonts w:hint="default" w:ascii="Times New Roman" w:hAnsi="Times New Roman" w:eastAsia="宋体" w:cs="Times New Roman"/>
          <w:b/>
          <w:bCs/>
          <w:color w:val="auto"/>
          <w:lang w:val="en-US" w:eastAsia="zh-CN"/>
        </w:rPr>
        <w:t>.1</w:t>
      </w:r>
      <w:r>
        <w:rPr>
          <w:rFonts w:hint="default" w:ascii="Times New Roman" w:hAnsi="Times New Roman" w:eastAsia="宋体" w:cs="Times New Roman"/>
          <w:b/>
          <w:bCs/>
          <w:color w:val="auto"/>
        </w:rPr>
        <w:t>.2对居民生活的影响</w:t>
      </w:r>
    </w:p>
    <w:p w14:paraId="6374A27D">
      <w:pPr>
        <w:ind w:firstLine="480"/>
        <w:rPr>
          <w:rFonts w:hint="default" w:ascii="Times New Roman" w:hAnsi="Times New Roman" w:eastAsia="宋体" w:cs="Times New Roman"/>
          <w:color w:val="auto"/>
        </w:rPr>
      </w:pPr>
      <w:bookmarkStart w:id="147" w:name="_Toc352320805"/>
      <w:bookmarkStart w:id="148" w:name="_Toc327801061"/>
      <w:bookmarkStart w:id="149" w:name="_Toc330759209"/>
      <w:bookmarkStart w:id="150" w:name="_Toc351046706"/>
      <w:r>
        <w:rPr>
          <w:rFonts w:hint="default" w:ascii="Times New Roman" w:hAnsi="Times New Roman" w:eastAsia="宋体" w:cs="Times New Roman"/>
          <w:color w:val="auto"/>
        </w:rPr>
        <w:t>区域道路投入运营后，对居民生活质量的影响以正面有利影响为主。</w:t>
      </w:r>
    </w:p>
    <w:p w14:paraId="6A264DC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（1）道路投入运营后，施工期不利影响随之消除；</w:t>
      </w:r>
    </w:p>
    <w:p w14:paraId="1005C09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（2）道路的建设将改善原有的道路状况和运输条件，并使相应的基础设施得到改善，改善交通条件；</w:t>
      </w:r>
    </w:p>
    <w:p w14:paraId="6CDB680E">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（3）道路的运营将在一定程度上方便当地居民的生产和生活，促进道路沿线经济的发展，使居民生活质量得到一定程度的提高。</w:t>
      </w:r>
    </w:p>
    <w:bookmarkEnd w:id="147"/>
    <w:bookmarkEnd w:id="148"/>
    <w:bookmarkEnd w:id="149"/>
    <w:bookmarkEnd w:id="150"/>
    <w:p w14:paraId="678E4FAD">
      <w:pPr>
        <w:bidi w:val="0"/>
        <w:ind w:left="0" w:leftChars="0" w:firstLine="0" w:firstLineChars="0"/>
        <w:rPr>
          <w:rFonts w:hint="default" w:ascii="Times New Roman" w:hAnsi="Times New Roman" w:eastAsia="宋体" w:cs="Times New Roman"/>
          <w:b/>
          <w:bCs/>
          <w:color w:val="auto"/>
        </w:rPr>
      </w:pPr>
      <w:bookmarkStart w:id="151" w:name="_Toc352320806"/>
      <w:bookmarkStart w:id="152" w:name="_Toc351046707"/>
      <w:r>
        <w:rPr>
          <w:rFonts w:hint="default" w:ascii="Times New Roman" w:hAnsi="Times New Roman" w:eastAsia="宋体" w:cs="Times New Roman"/>
          <w:b/>
          <w:bCs/>
          <w:color w:val="auto"/>
          <w:lang w:val="en-US" w:eastAsia="zh-CN"/>
        </w:rPr>
        <w:t>6.</w:t>
      </w:r>
      <w:r>
        <w:rPr>
          <w:rFonts w:hint="eastAsia" w:cs="Times New Roman"/>
          <w:b/>
          <w:bCs/>
          <w:color w:val="auto"/>
          <w:lang w:val="en-US" w:eastAsia="zh-CN"/>
        </w:rPr>
        <w:t>6</w:t>
      </w:r>
      <w:r>
        <w:rPr>
          <w:rFonts w:hint="default" w:ascii="Times New Roman" w:hAnsi="Times New Roman" w:eastAsia="宋体" w:cs="Times New Roman"/>
          <w:b/>
          <w:bCs/>
          <w:color w:val="auto"/>
          <w:lang w:val="en-US" w:eastAsia="zh-CN"/>
        </w:rPr>
        <w:t>.1.3</w:t>
      </w:r>
      <w:r>
        <w:rPr>
          <w:rFonts w:hint="default" w:ascii="Times New Roman" w:hAnsi="Times New Roman" w:eastAsia="宋体" w:cs="Times New Roman"/>
          <w:b/>
          <w:bCs/>
          <w:color w:val="auto"/>
        </w:rPr>
        <w:t>对人群的影响</w:t>
      </w:r>
      <w:bookmarkEnd w:id="151"/>
      <w:bookmarkEnd w:id="152"/>
      <w:r>
        <w:rPr>
          <w:rFonts w:hint="default" w:ascii="Times New Roman" w:hAnsi="Times New Roman" w:eastAsia="宋体" w:cs="Times New Roman"/>
          <w:b/>
          <w:bCs/>
          <w:color w:val="auto"/>
        </w:rPr>
        <w:t>分析</w:t>
      </w:r>
    </w:p>
    <w:p w14:paraId="694D7305">
      <w:pPr>
        <w:pStyle w:val="458"/>
        <w:tabs>
          <w:tab w:val="left" w:pos="1498"/>
        </w:tabs>
        <w:spacing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本项目建成通车后，车辆噪声及汽车尾气会对周边环境造成一定的影响，根据前面分析可知，运行过程中车辆噪声及汽车尾气对周边环境影响不大，通过采取本环评提出的环保措施后，对周边环境及居民影响小。</w:t>
      </w:r>
    </w:p>
    <w:p w14:paraId="6B4E05AA">
      <w:pPr>
        <w:pStyle w:val="458"/>
        <w:tabs>
          <w:tab w:val="left" w:pos="1498"/>
        </w:tabs>
        <w:spacing w:line="360" w:lineRule="auto"/>
        <w:ind w:firstLine="480"/>
        <w:rPr>
          <w:rFonts w:hint="default" w:ascii="Times New Roman" w:hAnsi="Times New Roman" w:eastAsia="宋体" w:cs="Times New Roman"/>
          <w:color w:val="auto"/>
          <w:sz w:val="24"/>
          <w:szCs w:val="24"/>
        </w:rPr>
        <w:sectPr>
          <w:headerReference r:id="rId13" w:type="default"/>
          <w:footerReference r:id="rId14" w:type="default"/>
          <w:pgSz w:w="11906" w:h="16838"/>
          <w:pgMar w:top="1440" w:right="1797" w:bottom="1440" w:left="1797" w:header="851" w:footer="992" w:gutter="0"/>
          <w:pgNumType w:fmt="decimal"/>
          <w:cols w:space="720" w:num="1"/>
          <w:docGrid w:linePitch="312" w:charSpace="0"/>
        </w:sectPr>
      </w:pPr>
      <w:r>
        <w:rPr>
          <w:rFonts w:hint="default" w:ascii="Times New Roman" w:hAnsi="Times New Roman" w:eastAsia="宋体" w:cs="Times New Roman"/>
          <w:color w:val="auto"/>
          <w:sz w:val="24"/>
          <w:szCs w:val="24"/>
        </w:rPr>
        <w:t>且项目</w:t>
      </w:r>
      <w:r>
        <w:rPr>
          <w:rFonts w:hint="eastAsia" w:cs="Times New Roman"/>
          <w:color w:val="auto"/>
          <w:sz w:val="24"/>
          <w:szCs w:val="24"/>
          <w:lang w:eastAsia="zh-CN"/>
        </w:rPr>
        <w:t>营运期</w:t>
      </w:r>
      <w:r>
        <w:rPr>
          <w:rFonts w:hint="default" w:ascii="Times New Roman" w:hAnsi="Times New Roman" w:eastAsia="宋体" w:cs="Times New Roman"/>
          <w:color w:val="auto"/>
          <w:sz w:val="24"/>
          <w:szCs w:val="24"/>
        </w:rPr>
        <w:t>有利影响主要有改善</w:t>
      </w:r>
      <w:r>
        <w:rPr>
          <w:rFonts w:hint="default" w:ascii="Times New Roman" w:hAnsi="Times New Roman" w:eastAsia="宋体" w:cs="Times New Roman"/>
          <w:color w:val="auto"/>
          <w:sz w:val="24"/>
          <w:szCs w:val="24"/>
          <w:lang w:val="en-US" w:eastAsia="zh-CN"/>
        </w:rPr>
        <w:t>甘庄街道及元江站前广场</w:t>
      </w:r>
      <w:r>
        <w:rPr>
          <w:rFonts w:hint="default" w:ascii="Times New Roman" w:hAnsi="Times New Roman" w:eastAsia="宋体" w:cs="Times New Roman"/>
          <w:color w:val="auto"/>
          <w:sz w:val="24"/>
          <w:szCs w:val="24"/>
        </w:rPr>
        <w:t>交通现状，方便沿线居民出行，给周边居民的生产、生活条件带来了极大的实惠。</w:t>
      </w:r>
    </w:p>
    <w:p w14:paraId="3503D8BA">
      <w:pPr>
        <w:pStyle w:val="2"/>
        <w:rPr>
          <w:rFonts w:hint="default" w:ascii="Times New Roman" w:hAnsi="Times New Roman" w:eastAsia="宋体" w:cs="Times New Roman"/>
          <w:color w:val="auto"/>
        </w:rPr>
      </w:pPr>
      <w:bookmarkStart w:id="153" w:name="_Toc323909068"/>
      <w:bookmarkStart w:id="154" w:name="_Toc352320987"/>
      <w:bookmarkStart w:id="155" w:name="_Toc294958836"/>
      <w:bookmarkStart w:id="156" w:name="_Toc8749"/>
      <w:bookmarkStart w:id="157" w:name="_Toc260057078"/>
      <w:bookmarkStart w:id="158" w:name="_Toc352320877"/>
      <w:bookmarkStart w:id="159" w:name="_Toc367844713"/>
      <w:bookmarkStart w:id="160" w:name="_Toc351046791"/>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 xml:space="preserve"> 环境污染防治措施与对策建议</w:t>
      </w:r>
      <w:bookmarkEnd w:id="153"/>
      <w:bookmarkEnd w:id="154"/>
      <w:bookmarkEnd w:id="155"/>
      <w:bookmarkEnd w:id="156"/>
      <w:bookmarkEnd w:id="157"/>
      <w:bookmarkEnd w:id="158"/>
      <w:bookmarkEnd w:id="159"/>
      <w:bookmarkEnd w:id="160"/>
    </w:p>
    <w:p w14:paraId="5246295A">
      <w:pPr>
        <w:pStyle w:val="3"/>
        <w:numPr>
          <w:ilvl w:val="0"/>
          <w:numId w:val="0"/>
        </w:numPr>
        <w:rPr>
          <w:rFonts w:hint="default" w:ascii="Times New Roman" w:hAnsi="Times New Roman" w:eastAsia="宋体" w:cs="Times New Roman"/>
          <w:color w:val="auto"/>
          <w:sz w:val="30"/>
          <w:szCs w:val="30"/>
        </w:rPr>
      </w:pPr>
      <w:bookmarkStart w:id="161" w:name="_Toc16920"/>
      <w:bookmarkStart w:id="162" w:name="_Toc253050303"/>
      <w:bookmarkStart w:id="163" w:name="_Toc352320878"/>
      <w:bookmarkStart w:id="164" w:name="_Toc294958837"/>
      <w:bookmarkStart w:id="165" w:name="_Toc323909069"/>
      <w:bookmarkStart w:id="166" w:name="_Toc227360429"/>
      <w:bookmarkStart w:id="167" w:name="_Toc352320988"/>
      <w:bookmarkStart w:id="168" w:name="_Toc351046792"/>
      <w:bookmarkStart w:id="169" w:name="_Toc260057079"/>
      <w:bookmarkStart w:id="170" w:name="_Toc246761956"/>
      <w:bookmarkStart w:id="171" w:name="_Toc367844714"/>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.1生态保护措施</w:t>
      </w:r>
      <w:bookmarkEnd w:id="161"/>
    </w:p>
    <w:p w14:paraId="03A20D1E">
      <w:pPr>
        <w:pStyle w:val="5"/>
        <w:ind w:left="0" w:leftChars="0" w:firstLine="0" w:firstLineChars="0"/>
        <w:rPr>
          <w:rFonts w:hint="default" w:ascii="Times New Roman" w:hAnsi="Times New Roman" w:eastAsia="宋体" w:cs="Times New Roman"/>
          <w:color w:val="auto"/>
        </w:rPr>
      </w:pPr>
      <w:bookmarkStart w:id="172" w:name="_Toc6799"/>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.1.1施工期保护措施</w:t>
      </w:r>
      <w:bookmarkEnd w:id="172"/>
    </w:p>
    <w:p w14:paraId="478E896A">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避让措施</w:t>
      </w:r>
    </w:p>
    <w:p w14:paraId="223B2BBE">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①施工严格控制施工范围，优化施工布置，临时设施尽量设置于永久占地范围内，尽量避让植被较好区域，减少对耕地、自然植被以及陆生野生动物生境的破坏。</w:t>
      </w:r>
    </w:p>
    <w:p w14:paraId="4E40E4E4">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②增强施工人员的保护意识，严禁捕猎野生动物。施工人员必须遵守《中华人民共和国野生动物保护法》，严禁在施工区及其周围捕猎野生动物，特别是国家级野生保护动物，在施工时严禁进行猎捕，严禁施工人员和当地居民捕杀两栖和爬行类动物。</w:t>
      </w:r>
    </w:p>
    <w:p w14:paraId="6E492D30">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在施工前对施工区及影响区的动物进行轰赶，减少施工过程中造成对动物的伤害；根据野生动物活动规律，合理规划施工、爆破等时间，降低施工中噪声对动物的影响；对在施工中遇到受伤或年幼的野生动物需交由森林公安或林业局的专业人员妥善处理；合理规划管理，避免工程中不必要的树木砍伐和生境开挖等破坏野生动物栖息环境的活动。</w:t>
      </w:r>
    </w:p>
    <w:p w14:paraId="0344C4E4">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减缓措施</w:t>
      </w:r>
    </w:p>
    <w:p w14:paraId="502A087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①合理安排工程用地，节约土地资源，合理设计、尽量缩小用地规模。</w:t>
      </w:r>
    </w:p>
    <w:p w14:paraId="27FC621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②路基施工尽可能保护表层有肥力的土壤，集中堆放并采取临时防护措施，以便于后期绿化和土地复垦用。对于坡面工程还应及时采取工程或植物措施加以防护以减少水土流失现象发生。</w:t>
      </w:r>
    </w:p>
    <w:p w14:paraId="0260F3E4">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③优化施工组织和制定严格的施工作业制度，尽量将挖填施工安排在非雨汛期，并缩短挖填土石方的堆置时间，控制在征用的土地范围之内；挖填方边坡、路堤和路堑边坡等还应进行防护，减少水土流失。</w:t>
      </w:r>
    </w:p>
    <w:p w14:paraId="67FEF83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④加强施工队伍组织和管理，明确施工范围和行动路线，禁止扩大施工活动区域，进行文明施工。</w:t>
      </w:r>
    </w:p>
    <w:p w14:paraId="08FABF2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⑤施工做好表土剥离及堆存工作，做好施工后的植被恢复工作。</w:t>
      </w:r>
    </w:p>
    <w:p w14:paraId="6F882032">
      <w:pPr>
        <w:bidi w:val="0"/>
        <w:ind w:left="0" w:leftChars="0" w:firstLine="480" w:firstLineChars="200"/>
        <w:rPr>
          <w:rFonts w:hint="eastAsia"/>
          <w:color w:val="auto"/>
          <w:lang w:val="en-US" w:eastAsia="zh-CN"/>
        </w:rPr>
      </w:pPr>
      <w:r>
        <w:rPr>
          <w:rFonts w:hint="eastAsia"/>
          <w:color w:val="auto"/>
          <w:lang w:val="en-US" w:eastAsia="zh-CN"/>
        </w:rPr>
        <w:t>（3）恢复与补偿措施：</w:t>
      </w:r>
    </w:p>
    <w:p w14:paraId="0889CA67">
      <w:pPr>
        <w:bidi w:val="0"/>
        <w:ind w:left="0" w:leftChars="0" w:firstLine="480" w:firstLineChars="200"/>
        <w:rPr>
          <w:rFonts w:hint="eastAsia"/>
          <w:color w:val="auto"/>
          <w:lang w:val="en-US" w:eastAsia="zh-CN"/>
        </w:rPr>
      </w:pPr>
      <w:r>
        <w:rPr>
          <w:rFonts w:hint="eastAsia"/>
          <w:color w:val="auto"/>
          <w:lang w:val="en-US" w:eastAsia="zh-CN"/>
        </w:rPr>
        <w:t>①对于永久用地、临时用地占地的表层土予以收集保存，待工程完工后再回填用于植被恢复。②在施工过程中，如发现有国家重点保护和云南省级重点保护野生植物需铲除的，应事先征得当地林业部门同意，或按照林业部门要求采取移栽处理，在环境保护经费预算中要安排保护物种保护经费，用于紧急抢救和监测工作之用。③为确保植被恢复措施的有效性，避免植被恢复过程中引发新的环境问题，在工程开工前，需根据工程区环境特点，制定本项目工程区植被恢复专项设计方案，且应与主体工程同时设计。④工程施工开挖时，应将表层土与下层土分开，单独收集并保存表层土，暂时堆放于施工区，用于今后的植被恢复覆土，以恢复土壤理性；临时表土堆采取苫布覆盖等临时防护措施。对于在坡度大于15°的区域，施工时应及时在坡脚处设置草袋挡土墙挡护或坡面种植草本植物等防护措施加以防护，以减少水土流失现象发生；在施工结束后，临时占地应立即覆土恢复植被。⑤施工结束后应及时进行植被恢复。⑥植被恢复方案设计应遵循“恢复功能性强，经济可行”等原则，主要从修复区内植被的生态功能的角度出发，重点考虑区内植被涵养水源、保持水土、保护环境及护路等生态功能和作用。植被恢复树种应选择本地种，禁止引入外来物种。</w:t>
      </w:r>
    </w:p>
    <w:p w14:paraId="1D4C19A4">
      <w:pPr>
        <w:numPr>
          <w:ilvl w:val="0"/>
          <w:numId w:val="0"/>
        </w:numPr>
        <w:bidi w:val="0"/>
        <w:ind w:left="0" w:leftChars="0" w:firstLine="480" w:firstLineChars="200"/>
        <w:rPr>
          <w:rFonts w:hint="eastAsia"/>
          <w:color w:val="auto"/>
          <w:lang w:val="en-US" w:eastAsia="zh-CN"/>
        </w:rPr>
      </w:pPr>
      <w:r>
        <w:rPr>
          <w:rFonts w:hint="eastAsia" w:ascii="Times New Roman" w:hAnsi="Times New Roman" w:eastAsia="宋体" w:cs="Times New Roman"/>
          <w:color w:val="auto"/>
          <w:sz w:val="24"/>
          <w:lang w:val="en-US" w:eastAsia="zh-CN" w:bidi="ar-SA"/>
        </w:rPr>
        <w:t>（4）</w:t>
      </w:r>
      <w:r>
        <w:rPr>
          <w:rFonts w:hint="eastAsia"/>
          <w:color w:val="auto"/>
          <w:lang w:val="en-US" w:eastAsia="zh-CN"/>
        </w:rPr>
        <w:t>管理措施：</w:t>
      </w:r>
    </w:p>
    <w:p w14:paraId="13E2FCC1">
      <w:pPr>
        <w:numPr>
          <w:ilvl w:val="0"/>
          <w:numId w:val="0"/>
        </w:numPr>
        <w:bidi w:val="0"/>
        <w:ind w:left="0" w:leftChars="0" w:firstLine="480" w:firstLineChars="200"/>
        <w:rPr>
          <w:color w:val="auto"/>
        </w:rPr>
      </w:pPr>
      <w:r>
        <w:rPr>
          <w:rFonts w:hint="eastAsia"/>
          <w:color w:val="auto"/>
          <w:lang w:val="en-US" w:eastAsia="zh-CN"/>
        </w:rPr>
        <w:t>①工程占地范围内如有林地需要砍伐，在砍伐林地之前，须向有权限的林业主管部门办理相关审批手续。施工道路选线如在今后的施工方案设计阶段发生重大变更，则应根据《中华人民共和国环境影响评价法》第二十四条和</w:t>
      </w:r>
      <w:r>
        <w:rPr>
          <w:rFonts w:hint="eastAsia"/>
          <w:color w:val="auto"/>
          <w:lang w:val="en-US" w:eastAsia="zh-CN"/>
        </w:rPr>
        <w:t>第</w:t>
      </w:r>
      <w:r>
        <w:rPr>
          <w:rFonts w:hint="eastAsia"/>
          <w:color w:val="auto"/>
          <w:lang w:val="en-US" w:eastAsia="zh-CN"/>
        </w:rPr>
        <w:t>二十七条有关要求，以及环保部门要求重新编报环境影响评价文件。</w:t>
      </w:r>
    </w:p>
    <w:p w14:paraId="5F7085B8">
      <w:pPr>
        <w:bidi w:val="0"/>
        <w:ind w:left="0" w:leftChars="0" w:firstLine="480" w:firstLineChars="20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w:t>
      </w:r>
      <w:r>
        <w:rPr>
          <w:rFonts w:hint="eastAsia" w:cs="Times New Roman"/>
          <w:color w:val="auto"/>
          <w:lang w:val="en-US" w:eastAsia="zh-CN"/>
        </w:rPr>
        <w:t>5</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rPr>
        <w:t>水土保持防治措施</w:t>
      </w:r>
    </w:p>
    <w:p w14:paraId="791CE7F2">
      <w:pPr>
        <w:widowControl/>
        <w:ind w:firstLine="480"/>
        <w:jc w:val="left"/>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1）道路工程区</w:t>
      </w:r>
    </w:p>
    <w:p w14:paraId="798101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①边沟：本项目挖方段采用浆砌片石矩形边沟形式，沟底宽60cm，沟深60cm，浇筑厚度25cm。经统计，全线共设置排水边沟长2132.858m，工程量为：C20混凝土浇筑1097.086m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311BBD9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②排水沟：排水沟主要设置在路基的坡脚处，与边沟相连通。排水沟采用浆砌片石矩形断面，断面分别是：60×60cm、100×100cm，浇筑厚度25cm。经统计，断面为60×60cm的排水沟设计长度435m，工程量为：C20混凝土浇筑226.20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；断面为100×100cm的排水沟设计长度53m，工程量为：C20混凝土浇筑42.40m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6816A84C">
      <w:pPr>
        <w:widowControl/>
        <w:ind w:firstLine="480"/>
        <w:jc w:val="left"/>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 3 \* GB3 \* MERGEFORMAT </w:instrText>
      </w:r>
      <w:r>
        <w:rPr>
          <w:rFonts w:hint="default" w:ascii="Times New Roman" w:hAnsi="Times New Roman" w:eastAsia="宋体" w:cs="Times New Roman"/>
          <w:color w:val="auto"/>
        </w:rPr>
        <w:fldChar w:fldCharType="separate"/>
      </w:r>
      <w:r>
        <w:rPr>
          <w:color w:val="auto"/>
        </w:rPr>
        <w:t>③</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表土剥离</w:t>
      </w:r>
    </w:p>
    <w:p w14:paraId="1AE090C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根据土石方平衡分析，路基路面区需收集表土4300m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，剥离面积1.34hm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，用于边坡区绿化覆土。施工前对建设区范围占压园地区域表层耕植土进行剥离，剥离厚度20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35cm左右，表土临时堆存于弃渣场内一角。</w:t>
      </w:r>
    </w:p>
    <w:p w14:paraId="257AF573">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 4 \* GB3 \* MERGEFORMAT </w:instrText>
      </w:r>
      <w:r>
        <w:rPr>
          <w:rFonts w:hint="eastAsia" w:ascii="Times New Roman" w:hAnsi="Times New Roman" w:eastAsia="宋体" w:cs="Times New Roman"/>
          <w:color w:val="auto"/>
          <w:lang w:val="en-US" w:eastAsia="zh-CN"/>
        </w:rPr>
        <w:fldChar w:fldCharType="separate"/>
      </w:r>
      <w:r>
        <w:rPr>
          <w:color w:val="auto"/>
        </w:rPr>
        <w:t>④</w:t>
      </w:r>
      <w:r>
        <w:rPr>
          <w:rFonts w:hint="eastAsia"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rPr>
        <w:t>车辆清洁池设施</w:t>
      </w:r>
    </w:p>
    <w:p w14:paraId="11BDA90D">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施工车辆在场内将夹带大量的泥土，因此在出施工作业区前，需对车辆轮胎进行清洗，避免对项目区及周边环境造成影响。施工期在道路起点、止点处设置施工出入口各设置1座车辆清洗池，配备1套高压水枪使用，车辆清洗池采用混凝土浇筑，断面尺寸为：长×宽×深=8m×4m×0.8m，在车辆清洗池右侧出水口布设1座循环水池实现水资源的再利用，循环水池采用混凝土浇筑，断面尺寸为：长×宽×深=5.1m×1.5m×1.5m。</w:t>
      </w:r>
    </w:p>
    <w:p w14:paraId="7401B177">
      <w:pPr>
        <w:widowControl/>
        <w:ind w:firstLine="480"/>
        <w:jc w:val="left"/>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2</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绿化工程</w:t>
      </w:r>
    </w:p>
    <w:p w14:paraId="3FCECB1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 1 \* GB3 \* MERGEFORMAT </w:instrText>
      </w:r>
      <w:r>
        <w:rPr>
          <w:rFonts w:hint="default" w:ascii="Times New Roman" w:hAnsi="Times New Roman" w:eastAsia="宋体" w:cs="Times New Roman"/>
          <w:color w:val="auto"/>
        </w:rPr>
        <w:fldChar w:fldCharType="separate"/>
      </w:r>
      <w:r>
        <w:rPr>
          <w:color w:val="auto"/>
        </w:rPr>
        <w:t>①</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表土剥离及回覆</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根据土石方平衡分析，道路绿化区需收集表土600m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，剥离面积0.18hm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，用于本</w:t>
      </w:r>
      <w:r>
        <w:rPr>
          <w:rFonts w:hint="default" w:ascii="Times New Roman" w:hAnsi="Times New Roman" w:eastAsia="宋体" w:cs="Times New Roman"/>
          <w:color w:val="auto"/>
          <w:lang w:eastAsia="zh-CN"/>
        </w:rPr>
        <w:t>区</w:t>
      </w:r>
      <w:r>
        <w:rPr>
          <w:rFonts w:hint="default" w:ascii="Times New Roman" w:hAnsi="Times New Roman" w:eastAsia="宋体" w:cs="Times New Roman"/>
          <w:color w:val="auto"/>
        </w:rPr>
        <w:t>绿化覆土。施工前对建设区范围占压园地区域表层耕植土进行剥离，剥离厚度20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35cm左右，表土临时堆存于弃渣场内一角。绿化实施阶段，对0.63hm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进行绿化覆土，覆土量2400m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，表土临时堆存于弃渣场内一角。</w:t>
      </w:r>
    </w:p>
    <w:p w14:paraId="26E11136">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 2 \* GB3 \* MERGEFORMAT </w:instrText>
      </w:r>
      <w:r>
        <w:rPr>
          <w:rFonts w:hint="eastAsia" w:ascii="Times New Roman" w:hAnsi="Times New Roman" w:eastAsia="宋体" w:cs="Times New Roman"/>
          <w:color w:val="auto"/>
          <w:lang w:val="en-US" w:eastAsia="zh-CN"/>
        </w:rPr>
        <w:fldChar w:fldCharType="separate"/>
      </w:r>
      <w:r>
        <w:rPr>
          <w:color w:val="auto"/>
        </w:rPr>
        <w:t>②</w:t>
      </w:r>
      <w:r>
        <w:rPr>
          <w:rFonts w:hint="eastAsia"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rPr>
        <w:t>景观绿化</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道路绿化环境景观设计结合项目区的地理特点，两侧混行车道与非机动车道间各设置2.5m绿化带。道路采用连体树池营造景观，乔木种植间距4.2m，连体树池以4株乔木为一个基准单元（长14.8m），每单元</w:t>
      </w:r>
      <w:r>
        <w:rPr>
          <w:rFonts w:hint="default" w:ascii="Times New Roman" w:hAnsi="Times New Roman" w:eastAsia="宋体" w:cs="Times New Roman"/>
          <w:color w:val="auto"/>
          <w:lang w:eastAsia="zh-CN"/>
        </w:rPr>
        <w:t>之间</w:t>
      </w:r>
      <w:r>
        <w:rPr>
          <w:rFonts w:hint="default" w:ascii="Times New Roman" w:hAnsi="Times New Roman" w:eastAsia="宋体" w:cs="Times New Roman"/>
          <w:color w:val="auto"/>
        </w:rPr>
        <w:t>增设2m开口，金森女贞与红叶石楠间隔设置。树池种植的乔木采用芒果树，灌木选用金森女贞与红叶石楠品种混搭。道路绿化面积为0.63hm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w:t>
      </w:r>
    </w:p>
    <w:p w14:paraId="73095A4D">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3</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边坡工程</w:t>
      </w:r>
    </w:p>
    <w:p w14:paraId="3C1D018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①截水沟：截水沟主要布设于路基边坡工程区域边坡平台上，便于有效拦截坡面汇流。断面尺寸为40×40cm，浇筑厚度25cm。边坡平台截水沟采取浆砌片石矩形断面，设计长度3914m，工程量为：C20混凝土浇筑1479.90m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62DDA4D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②急流槽：急流槽用于深路堑地段，挖方边坡上有山坡截水沟、平台截水沟，且无低处排泄时，将水引入路堑边沟。急流槽为矩形断面，尺寸为60×40cm，浇筑厚度25cm。设计长度382m，工程量为：C20混凝土浇筑165.14m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68FCE6AF">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 3 \* GB3 \* MERGEFORMAT </w:instrText>
      </w:r>
      <w:r>
        <w:rPr>
          <w:rFonts w:hint="eastAsia" w:ascii="Times New Roman" w:hAnsi="Times New Roman" w:eastAsia="宋体" w:cs="Times New Roman"/>
          <w:color w:val="auto"/>
          <w:lang w:val="en-US" w:eastAsia="zh-CN"/>
        </w:rPr>
        <w:fldChar w:fldCharType="separate"/>
      </w:r>
      <w:r>
        <w:rPr>
          <w:color w:val="auto"/>
        </w:rPr>
        <w:t>③</w:t>
      </w:r>
      <w:r>
        <w:rPr>
          <w:rFonts w:hint="eastAsia"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rPr>
        <w:t>拱形骨架护坡</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路堑边坡以边坡稳定、美化环境、经济合理为原则，在确保边坡稳定的前提下，路堑边坡防护型式的选择优先考虑放缓边坡，以生态植物防护为主，工程防护为辅。坡脚采用矮挡土墙加固，挡土墙上采用石笼绿格网箱客土绿化；以上各级边坡采用拱形骨架护坡防护。经统计，设计实施C20现浇混凝土拱形综合护坡2078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5065DD86">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 4 \* GB3 \* MERGEFORMAT </w:instrText>
      </w:r>
      <w:r>
        <w:rPr>
          <w:rFonts w:hint="eastAsia" w:ascii="Times New Roman" w:hAnsi="Times New Roman" w:eastAsia="宋体" w:cs="Times New Roman"/>
          <w:color w:val="auto"/>
          <w:lang w:val="en-US" w:eastAsia="zh-CN"/>
        </w:rPr>
        <w:fldChar w:fldCharType="separate"/>
      </w:r>
      <w:r>
        <w:rPr>
          <w:color w:val="auto"/>
        </w:rPr>
        <w:t>④</w:t>
      </w:r>
      <w:r>
        <w:rPr>
          <w:rFonts w:hint="eastAsia" w:ascii="Times New Roman" w:hAnsi="Times New Roman" w:eastAsia="宋体" w:cs="Times New Roman"/>
          <w:color w:val="auto"/>
          <w:lang w:val="en-US" w:eastAsia="zh-CN"/>
        </w:rPr>
        <w:fldChar w:fldCharType="end"/>
      </w:r>
      <w:r>
        <w:rPr>
          <w:rFonts w:hint="default" w:ascii="Times New Roman" w:hAnsi="Times New Roman" w:eastAsia="宋体" w:cs="Times New Roman"/>
          <w:color w:val="auto"/>
        </w:rPr>
        <w:t>表土剥离及回覆</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根据土石方平衡分析，边坡工程区需收集表土8500m³，剥离面积2.71hm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，用于边坡区绿化覆土。施工前对建设区范围占压园地区域表层耕植土进行剥离，剥离厚度20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35cm左右，表土临时堆存于弃渣场内一角，作为后续绿化覆土。本期后期绿化覆土量11000m³，覆土面积</w:t>
      </w:r>
      <w:r>
        <w:rPr>
          <w:rFonts w:hint="default" w:ascii="Times New Roman" w:hAnsi="Times New Roman" w:eastAsia="宋体" w:cs="Times New Roman"/>
          <w:color w:val="auto"/>
        </w:rPr>
        <w:t>4.41hm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。表土临时堆存于弃渣场内一角。</w:t>
      </w:r>
    </w:p>
    <w:p w14:paraId="0CFE7231">
      <w:pPr>
        <w:widowControl/>
        <w:ind w:firstLine="480"/>
        <w:jc w:val="left"/>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4</w:t>
      </w:r>
      <w:r>
        <w:rPr>
          <w:rFonts w:hint="default" w:ascii="Times New Roman" w:hAnsi="Times New Roman" w:eastAsia="宋体" w:cs="Times New Roman"/>
          <w:color w:val="auto"/>
        </w:rPr>
        <w:t>）</w:t>
      </w:r>
      <w:r>
        <w:rPr>
          <w:rFonts w:hint="eastAsia" w:ascii="Times New Roman" w:hAnsi="Times New Roman" w:eastAsia="宋体" w:cs="Times New Roman"/>
          <w:color w:val="auto"/>
          <w:lang w:val="en-US" w:eastAsia="zh-CN"/>
        </w:rPr>
        <w:t>弃渣场</w:t>
      </w:r>
    </w:p>
    <w:p w14:paraId="0BF4D70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①挡渣墙</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rPr>
        <w:t>主体设计根据各渣场实际地形条件，结合渣场弃渣量、占地面积、容量、堆渣高程、堆渣坡比等基本特性，针对各弃渣场实际特点布置挡渣墙3道。挡渣墙设置总长度102m，墙高2.0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6.0m，基础置于原地面以下1.0m的基岩上；顶宽0.80</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1.2m，在挡渣墙基础以上布设Φ10排水孔，上、下</w:t>
      </w:r>
      <w:r>
        <w:rPr>
          <w:rFonts w:hint="default" w:ascii="Times New Roman" w:hAnsi="Times New Roman" w:eastAsia="宋体" w:cs="Times New Roman"/>
          <w:color w:val="auto"/>
          <w:lang w:eastAsia="zh-CN"/>
        </w:rPr>
        <w:t>排</w:t>
      </w:r>
      <w:r>
        <w:rPr>
          <w:rFonts w:hint="default" w:ascii="Times New Roman" w:hAnsi="Times New Roman" w:eastAsia="宋体" w:cs="Times New Roman"/>
          <w:color w:val="auto"/>
        </w:rPr>
        <w:t>水孔</w:t>
      </w:r>
      <w:r>
        <w:rPr>
          <w:rFonts w:hint="default" w:ascii="Times New Roman" w:hAnsi="Times New Roman" w:eastAsia="宋体" w:cs="Times New Roman"/>
          <w:color w:val="auto"/>
          <w:lang w:eastAsia="zh-CN"/>
        </w:rPr>
        <w:t>呈</w:t>
      </w:r>
      <w:r>
        <w:rPr>
          <w:rFonts w:hint="default" w:ascii="Times New Roman" w:hAnsi="Times New Roman" w:eastAsia="宋体" w:cs="Times New Roman"/>
          <w:color w:val="auto"/>
        </w:rPr>
        <w:t>“品”字形排列，间排距为2m×2m，比降5%，向下游倾。工程量为：M7.5浆砌片石1688.46m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w:t>
      </w:r>
    </w:p>
    <w:p w14:paraId="59BFBCA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不能正常排水，</w:t>
      </w:r>
      <w:r>
        <w:rPr>
          <w:rFonts w:hint="default" w:ascii="Times New Roman" w:hAnsi="Times New Roman" w:eastAsia="宋体" w:cs="Times New Roman"/>
          <w:color w:val="auto"/>
          <w:lang w:eastAsia="zh-CN"/>
        </w:rPr>
        <w:t>需</w:t>
      </w:r>
      <w:r>
        <w:rPr>
          <w:rFonts w:hint="default" w:ascii="Times New Roman" w:hAnsi="Times New Roman" w:eastAsia="宋体" w:cs="Times New Roman"/>
          <w:color w:val="auto"/>
        </w:rPr>
        <w:t>进一步检查修缮，恢复排水功能。</w:t>
      </w:r>
    </w:p>
    <w:p w14:paraId="5C2AAE2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 2 \* GB3 \* MERGEFORMAT </w:instrText>
      </w:r>
      <w:r>
        <w:rPr>
          <w:rFonts w:hint="default" w:ascii="Times New Roman" w:hAnsi="Times New Roman" w:eastAsia="宋体" w:cs="Times New Roman"/>
          <w:color w:val="auto"/>
        </w:rPr>
        <w:fldChar w:fldCharType="separate"/>
      </w:r>
      <w:r>
        <w:rPr>
          <w:color w:val="auto"/>
        </w:rPr>
        <w:t>②</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排水盲沟</w:t>
      </w:r>
    </w:p>
    <w:p w14:paraId="6885DD0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主体设计在渣场底部布置排水盲沟以排除渣场内部的渗水，排水盲沟采用梯形断面开挖沟槽，底宽1.0m，深1.0m，坡比为1</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0.5，沟内填筑石块，顶面铺砌平整后铺设土工布。排水盲沟设置长度655.40m，工程量：片石655.40m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，土工布1310.80m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。根据现场调查，现状堆渣尾部有积水，疑似排水盲沟出现淤堵，截水沟断面设计</w:t>
      </w:r>
    </w:p>
    <w:p w14:paraId="1BEE6174">
      <w:pPr>
        <w:widowControl/>
        <w:ind w:firstLine="480"/>
        <w:jc w:val="left"/>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fldChar w:fldCharType="begin"/>
      </w:r>
      <w:r>
        <w:rPr>
          <w:rFonts w:hint="eastAsia" w:ascii="Times New Roman" w:hAnsi="Times New Roman" w:eastAsia="宋体" w:cs="Times New Roman"/>
          <w:color w:val="auto"/>
          <w:lang w:val="en-US" w:eastAsia="zh-CN"/>
        </w:rPr>
        <w:instrText xml:space="preserve"> = 3 \* GB3 \* MERGEFORMAT </w:instrText>
      </w:r>
      <w:r>
        <w:rPr>
          <w:rFonts w:hint="eastAsia" w:ascii="Times New Roman" w:hAnsi="Times New Roman" w:eastAsia="宋体" w:cs="Times New Roman"/>
          <w:color w:val="auto"/>
          <w:lang w:val="en-US" w:eastAsia="zh-CN"/>
        </w:rPr>
        <w:fldChar w:fldCharType="separate"/>
      </w:r>
      <w:r>
        <w:rPr>
          <w:color w:val="auto"/>
        </w:rPr>
        <w:t>③</w:t>
      </w:r>
      <w:r>
        <w:rPr>
          <w:rFonts w:hint="eastAsia" w:ascii="Times New Roman" w:hAnsi="Times New Roman" w:eastAsia="宋体" w:cs="Times New Roman"/>
          <w:color w:val="auto"/>
          <w:lang w:val="en-US" w:eastAsia="zh-CN"/>
        </w:rPr>
        <w:fldChar w:fldCharType="end"/>
      </w:r>
      <w:r>
        <w:rPr>
          <w:rFonts w:hint="eastAsia" w:ascii="Times New Roman" w:hAnsi="Times New Roman" w:eastAsia="宋体" w:cs="Times New Roman"/>
          <w:color w:val="auto"/>
          <w:lang w:val="en-US" w:eastAsia="zh-CN"/>
        </w:rPr>
        <w:t>截水沟：</w:t>
      </w:r>
      <w:r>
        <w:rPr>
          <w:rFonts w:hint="default" w:ascii="Times New Roman" w:hAnsi="Times New Roman" w:eastAsia="宋体" w:cs="Times New Roman"/>
          <w:color w:val="auto"/>
        </w:rPr>
        <w:t>右侧截水沟布置情况与主体设计一致，现仅修改断面尺寸。方案新增截水沟为梯形断面，采用C20砼浇筑。排水沟粗糙率取0.015，坡降取0.015，初步拟定排水沟的断面为底宽1.8m，深1.2m（0.2m安全超高），边坡比1:0.5，C20砼浇筑筑厚30cm。</w:t>
      </w:r>
    </w:p>
    <w:p w14:paraId="6FB15BB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左侧截水沟上游为国道213，堆渣体与国道213之间汇流面积0.01km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，汇流面积较小。方案新增梯形断面C20浇筑截水沟。截水沟粗糙率取0.015，最小坡降取0.015，初步拟定排水沟的断面为深0.40m（0.1m安全超高），底宽0.40m，边坡比1:0.5，M7.5浆砌石砌筑厚30cm。</w:t>
      </w:r>
    </w:p>
    <w:p w14:paraId="2BDB99A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fldChar w:fldCharType="begin"/>
      </w:r>
      <w:r>
        <w:rPr>
          <w:rFonts w:hint="default" w:ascii="Times New Roman" w:hAnsi="Times New Roman" w:eastAsia="宋体" w:cs="Times New Roman"/>
          <w:color w:val="auto"/>
          <w:kern w:val="0"/>
          <w:lang w:bidi="ar"/>
        </w:rPr>
        <w:instrText xml:space="preserve"> = 4 \* GB3 \* MERGEFORMAT </w:instrText>
      </w:r>
      <w:r>
        <w:rPr>
          <w:rFonts w:hint="default" w:ascii="Times New Roman" w:hAnsi="Times New Roman" w:eastAsia="宋体" w:cs="Times New Roman"/>
          <w:color w:val="auto"/>
          <w:kern w:val="0"/>
          <w:lang w:bidi="ar"/>
        </w:rPr>
        <w:fldChar w:fldCharType="separate"/>
      </w:r>
      <w:r>
        <w:rPr>
          <w:color w:val="auto"/>
        </w:rPr>
        <w:t>④</w:t>
      </w:r>
      <w:r>
        <w:rPr>
          <w:rFonts w:hint="default" w:ascii="Times New Roman" w:hAnsi="Times New Roman" w:eastAsia="宋体" w:cs="Times New Roman"/>
          <w:color w:val="auto"/>
          <w:kern w:val="0"/>
          <w:lang w:bidi="ar"/>
        </w:rPr>
        <w:fldChar w:fldCharType="end"/>
      </w:r>
      <w:r>
        <w:rPr>
          <w:rFonts w:hint="default" w:ascii="Times New Roman" w:hAnsi="Times New Roman" w:eastAsia="宋体" w:cs="Times New Roman"/>
          <w:color w:val="auto"/>
          <w:kern w:val="0"/>
          <w:lang w:bidi="ar"/>
        </w:rPr>
        <w:t>土地整治</w:t>
      </w:r>
      <w:r>
        <w:rPr>
          <w:rFonts w:hint="eastAsia" w:ascii="Times New Roman" w:hAnsi="Times New Roman" w:eastAsia="宋体" w:cs="Times New Roman"/>
          <w:color w:val="auto"/>
          <w:kern w:val="0"/>
          <w:lang w:eastAsia="zh-CN" w:bidi="ar"/>
        </w:rPr>
        <w:t>：</w:t>
      </w:r>
      <w:r>
        <w:rPr>
          <w:rFonts w:hint="default" w:ascii="Times New Roman" w:hAnsi="Times New Roman" w:eastAsia="宋体" w:cs="Times New Roman"/>
          <w:color w:val="auto"/>
        </w:rPr>
        <w:t>弃渣场使用结束后，主体考虑进行复耕处理，复耕面积5.47hm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rPr>
        <w:t>。主体考虑复耕措施，但未做具体设计，从项目周边情况和经济效益角度考虑，建议复耕为经济林，栽植芒果树。</w:t>
      </w:r>
      <w:r>
        <w:rPr>
          <w:rFonts w:hint="default" w:ascii="Times New Roman" w:hAnsi="Times New Roman" w:eastAsia="宋体" w:cs="Times New Roman"/>
          <w:color w:val="auto"/>
          <w:kern w:val="0"/>
          <w:lang w:bidi="ar"/>
        </w:rPr>
        <w:t>芒果树株行距2m，栽植密度2500株/</w:t>
      </w:r>
      <w:r>
        <w:rPr>
          <w:rFonts w:hint="default" w:ascii="Times New Roman" w:hAnsi="Times New Roman" w:eastAsia="宋体" w:cs="Times New Roman"/>
          <w:color w:val="auto"/>
        </w:rPr>
        <w:t>hm</w:t>
      </w:r>
      <w:r>
        <w:rPr>
          <w:rFonts w:hint="default" w:ascii="Times New Roman" w:hAnsi="Times New Roman" w:eastAsia="宋体" w:cs="Times New Roman"/>
          <w:color w:val="auto"/>
          <w:vertAlign w:val="superscript"/>
        </w:rPr>
        <w:t>2</w:t>
      </w:r>
      <w:r>
        <w:rPr>
          <w:rFonts w:hint="default" w:ascii="Times New Roman" w:hAnsi="Times New Roman" w:eastAsia="宋体" w:cs="Times New Roman"/>
          <w:color w:val="auto"/>
          <w:kern w:val="0"/>
          <w:lang w:bidi="ar"/>
        </w:rPr>
        <w:t>。</w:t>
      </w:r>
    </w:p>
    <w:p w14:paraId="1B8B922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采取</w:t>
      </w:r>
      <w:r>
        <w:rPr>
          <w:rFonts w:hint="default" w:ascii="Times New Roman" w:hAnsi="Times New Roman" w:eastAsia="宋体" w:cs="Times New Roman"/>
          <w:color w:val="auto"/>
          <w:kern w:val="0"/>
          <w:lang w:eastAsia="zh-CN" w:bidi="ar"/>
        </w:rPr>
        <w:t>植苗</w:t>
      </w:r>
      <w:r>
        <w:rPr>
          <w:rFonts w:hint="default" w:ascii="Times New Roman" w:hAnsi="Times New Roman" w:eastAsia="宋体" w:cs="Times New Roman"/>
          <w:color w:val="auto"/>
          <w:kern w:val="0"/>
          <w:lang w:bidi="ar"/>
        </w:rPr>
        <w:t>种植的方式、在全面整地的基础上进行覆土、按照定点位置进行穴状整地，芒果树采用品字形栽植，实施时段尽量安排在雨季（5-10月），乔木每穴定植1株，栽植扶正苗木。种植后，首先要做好松土肥水管理，促进苗木根系的发育和迅速长高；病虫害的防治必须贯彻“预防为主，综合防治”的方针，认真搞好病虫害预测预报和防治工作：认真做好土壤和种苗消毒工作，种苗要经检疫才能用；加强田间管理，减少病虫害的滋生条件，使苗健壮生长，增强抗性；合理种植密度，适当疏剪，改善通透条件，减少病虫害的发生；发生病虫害应及时防治。</w:t>
      </w:r>
    </w:p>
    <w:p w14:paraId="01F4F43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fldChar w:fldCharType="begin"/>
      </w:r>
      <w:r>
        <w:rPr>
          <w:rFonts w:hint="default" w:ascii="Times New Roman" w:hAnsi="Times New Roman" w:eastAsia="宋体" w:cs="Times New Roman"/>
          <w:color w:val="auto"/>
          <w:kern w:val="0"/>
          <w:lang w:bidi="ar"/>
        </w:rPr>
        <w:instrText xml:space="preserve"> = 5 \* GB3 \* MERGEFORMAT </w:instrText>
      </w:r>
      <w:r>
        <w:rPr>
          <w:rFonts w:hint="default" w:ascii="Times New Roman" w:hAnsi="Times New Roman" w:eastAsia="宋体" w:cs="Times New Roman"/>
          <w:color w:val="auto"/>
          <w:kern w:val="0"/>
          <w:lang w:bidi="ar"/>
        </w:rPr>
        <w:fldChar w:fldCharType="separate"/>
      </w:r>
      <w:r>
        <w:rPr>
          <w:color w:val="auto"/>
        </w:rPr>
        <w:t>⑤</w:t>
      </w:r>
      <w:r>
        <w:rPr>
          <w:rFonts w:hint="default" w:ascii="Times New Roman" w:hAnsi="Times New Roman" w:eastAsia="宋体" w:cs="Times New Roman"/>
          <w:color w:val="auto"/>
          <w:kern w:val="0"/>
          <w:lang w:bidi="ar"/>
        </w:rPr>
        <w:fldChar w:fldCharType="end"/>
      </w:r>
      <w:r>
        <w:rPr>
          <w:rFonts w:hint="default" w:ascii="Times New Roman" w:hAnsi="Times New Roman" w:eastAsia="宋体" w:cs="Times New Roman"/>
          <w:color w:val="auto"/>
          <w:kern w:val="0"/>
          <w:lang w:bidi="ar"/>
        </w:rPr>
        <w:t>表土剥离及回覆</w:t>
      </w:r>
      <w:r>
        <w:rPr>
          <w:rFonts w:hint="eastAsia"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施工前对弃渣场用地区范围占压耕地区域表层耕植土进行剥离，剥离厚度30</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40cm左右，表土临时堆存于弃渣场内一角。根据土石方平衡分析，本区需收集表土20500m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，剥离面积5.86hm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，全部用于本区绿化、复耕覆土。</w:t>
      </w:r>
    </w:p>
    <w:p w14:paraId="40EDBAA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fldChar w:fldCharType="begin"/>
      </w:r>
      <w:r>
        <w:rPr>
          <w:rFonts w:hint="default" w:ascii="Times New Roman" w:hAnsi="Times New Roman" w:eastAsia="宋体" w:cs="Times New Roman"/>
          <w:color w:val="auto"/>
          <w:kern w:val="0"/>
          <w:lang w:bidi="ar"/>
        </w:rPr>
        <w:instrText xml:space="preserve"> = 6 \* GB3 \* MERGEFORMAT </w:instrText>
      </w:r>
      <w:r>
        <w:rPr>
          <w:rFonts w:hint="default" w:ascii="Times New Roman" w:hAnsi="Times New Roman" w:eastAsia="宋体" w:cs="Times New Roman"/>
          <w:color w:val="auto"/>
          <w:kern w:val="0"/>
          <w:lang w:bidi="ar"/>
        </w:rPr>
        <w:fldChar w:fldCharType="separate"/>
      </w:r>
      <w:r>
        <w:rPr>
          <w:color w:val="auto"/>
        </w:rPr>
        <w:t>⑥</w:t>
      </w:r>
      <w:r>
        <w:rPr>
          <w:rFonts w:hint="default" w:ascii="Times New Roman" w:hAnsi="Times New Roman" w:eastAsia="宋体" w:cs="Times New Roman"/>
          <w:color w:val="auto"/>
          <w:kern w:val="0"/>
          <w:lang w:bidi="ar"/>
        </w:rPr>
        <w:fldChar w:fldCharType="end"/>
      </w:r>
      <w:r>
        <w:rPr>
          <w:rFonts w:hint="default" w:ascii="Times New Roman" w:hAnsi="Times New Roman" w:eastAsia="宋体" w:cs="Times New Roman"/>
          <w:color w:val="auto"/>
          <w:kern w:val="0"/>
          <w:lang w:bidi="ar"/>
        </w:rPr>
        <w:t>边坡绿化</w:t>
      </w:r>
      <w:r>
        <w:rPr>
          <w:rFonts w:hint="eastAsia"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弃渣场区植被建设工程按3级标准进行设计。弃渣场植物措施只布设于弃渣场堆渣边坡区域，可绿化面积为0.60hm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。施工结束后，平整场地，将原剥离土层回填覆盖并保留一定的排水坡度，在渣场可绿化区域内撒播草籽。</w:t>
      </w:r>
    </w:p>
    <w:p w14:paraId="58693D4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fldChar w:fldCharType="begin"/>
      </w:r>
      <w:r>
        <w:rPr>
          <w:rFonts w:hint="default" w:ascii="Times New Roman" w:hAnsi="Times New Roman" w:eastAsia="宋体" w:cs="Times New Roman"/>
          <w:color w:val="auto"/>
          <w:kern w:val="0"/>
          <w:lang w:bidi="ar"/>
        </w:rPr>
        <w:instrText xml:space="preserve"> = 7 \* GB3 \* MERGEFORMAT </w:instrText>
      </w:r>
      <w:r>
        <w:rPr>
          <w:rFonts w:hint="default" w:ascii="Times New Roman" w:hAnsi="Times New Roman" w:eastAsia="宋体" w:cs="Times New Roman"/>
          <w:color w:val="auto"/>
          <w:kern w:val="0"/>
          <w:lang w:bidi="ar"/>
        </w:rPr>
        <w:fldChar w:fldCharType="separate"/>
      </w:r>
      <w:r>
        <w:rPr>
          <w:color w:val="auto"/>
        </w:rPr>
        <w:t>⑦</w:t>
      </w:r>
      <w:r>
        <w:rPr>
          <w:rFonts w:hint="default" w:ascii="Times New Roman" w:hAnsi="Times New Roman" w:eastAsia="宋体" w:cs="Times New Roman"/>
          <w:color w:val="auto"/>
          <w:kern w:val="0"/>
          <w:lang w:bidi="ar"/>
        </w:rPr>
        <w:fldChar w:fldCharType="end"/>
      </w:r>
      <w:r>
        <w:rPr>
          <w:rFonts w:hint="default" w:ascii="Times New Roman" w:hAnsi="Times New Roman" w:eastAsia="宋体" w:cs="Times New Roman"/>
          <w:color w:val="auto"/>
          <w:kern w:val="0"/>
          <w:lang w:bidi="ar"/>
        </w:rPr>
        <w:t>弃渣场区临时措施</w:t>
      </w:r>
      <w:r>
        <w:rPr>
          <w:rFonts w:hint="eastAsia"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弃渣场区施工前进行了剥离，并在施工期间集中堆存；对于堆存表土本方案设计临时拦挡对堆体进行拦挡；由于堆存时间较长，设计在堆体表面撒播狗牙根、黄茅混合草籽60kg/hm²进行临时绿化。</w:t>
      </w:r>
    </w:p>
    <w:p w14:paraId="23FF045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临时拦挡采用编织土袋分层错位堆砌，按“品”字形紧密排列，临时拦挡采用编织袋挡墙，砌筑断面为梯形断面，挡护高度1.0m，挡护墙顶宽0.5m，底宽1.5m。</w:t>
      </w:r>
    </w:p>
    <w:p w14:paraId="2544C0E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经统计，本区共设置编织袋挡墙435m，临时绿化面积1.38hm</w:t>
      </w:r>
      <w:r>
        <w:rPr>
          <w:rFonts w:hint="default" w:ascii="Times New Roman" w:hAnsi="Times New Roman" w:eastAsia="宋体" w:cs="Times New Roman"/>
          <w:color w:val="auto"/>
          <w:kern w:val="0"/>
          <w:vertAlign w:val="superscript"/>
          <w:lang w:bidi="ar"/>
        </w:rPr>
        <w:t>2</w:t>
      </w:r>
      <w:r>
        <w:rPr>
          <w:rFonts w:hint="default" w:ascii="Times New Roman" w:hAnsi="Times New Roman" w:eastAsia="宋体" w:cs="Times New Roman"/>
          <w:color w:val="auto"/>
          <w:kern w:val="0"/>
          <w:lang w:bidi="ar"/>
        </w:rPr>
        <w:t>，工程量：编织袋装土填筑/拆除435.00m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，撒播草籽5.40kg。</w:t>
      </w:r>
    </w:p>
    <w:p w14:paraId="104FBE92">
      <w:pPr>
        <w:widowControl/>
        <w:spacing w:line="240" w:lineRule="auto"/>
        <w:ind w:firstLine="0" w:firstLineChars="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kern w:val="0"/>
          <w:sz w:val="21"/>
          <w:szCs w:val="21"/>
          <w:lang w:bidi="ar"/>
        </w:rPr>
        <w:t>表</w:t>
      </w:r>
      <w:r>
        <w:rPr>
          <w:rFonts w:hint="eastAsia" w:ascii="Times New Roman" w:hAnsi="Times New Roman" w:eastAsia="宋体" w:cs="Times New Roman"/>
          <w:b/>
          <w:bCs/>
          <w:color w:val="auto"/>
          <w:kern w:val="0"/>
          <w:sz w:val="21"/>
          <w:szCs w:val="21"/>
          <w:lang w:val="en-US" w:eastAsia="zh-CN" w:bidi="ar"/>
        </w:rPr>
        <w:t>7</w:t>
      </w:r>
      <w:r>
        <w:rPr>
          <w:rFonts w:hint="default" w:ascii="Times New Roman" w:hAnsi="Times New Roman" w:eastAsia="宋体" w:cs="Times New Roman"/>
          <w:b/>
          <w:bCs/>
          <w:color w:val="auto"/>
          <w:kern w:val="0"/>
          <w:sz w:val="21"/>
          <w:szCs w:val="21"/>
          <w:lang w:bidi="ar"/>
        </w:rPr>
        <w:t>.</w:t>
      </w:r>
      <w:r>
        <w:rPr>
          <w:rFonts w:hint="eastAsia" w:ascii="Times New Roman" w:hAnsi="Times New Roman" w:eastAsia="宋体" w:cs="Times New Roman"/>
          <w:b/>
          <w:bCs/>
          <w:color w:val="auto"/>
          <w:kern w:val="0"/>
          <w:sz w:val="21"/>
          <w:szCs w:val="21"/>
          <w:lang w:val="en-US" w:eastAsia="zh-CN" w:bidi="ar"/>
        </w:rPr>
        <w:t>1</w:t>
      </w:r>
      <w:r>
        <w:rPr>
          <w:rFonts w:hint="default" w:ascii="Times New Roman" w:hAnsi="Times New Roman" w:eastAsia="宋体" w:cs="Times New Roman"/>
          <w:b/>
          <w:bCs/>
          <w:color w:val="auto"/>
          <w:kern w:val="0"/>
          <w:sz w:val="21"/>
          <w:szCs w:val="21"/>
          <w:lang w:bidi="ar"/>
        </w:rPr>
        <w:t>-</w:t>
      </w:r>
      <w:r>
        <w:rPr>
          <w:rFonts w:hint="eastAsia" w:ascii="Times New Roman" w:hAnsi="Times New Roman" w:eastAsia="宋体" w:cs="Times New Roman"/>
          <w:b/>
          <w:bCs/>
          <w:color w:val="auto"/>
          <w:kern w:val="0"/>
          <w:sz w:val="21"/>
          <w:szCs w:val="21"/>
          <w:lang w:val="en-US" w:eastAsia="zh-CN" w:bidi="ar"/>
        </w:rPr>
        <w:t xml:space="preserve">1  </w:t>
      </w:r>
      <w:r>
        <w:rPr>
          <w:rFonts w:hint="default" w:ascii="Times New Roman" w:hAnsi="Times New Roman" w:eastAsia="宋体" w:cs="Times New Roman"/>
          <w:b/>
          <w:bCs/>
          <w:color w:val="auto"/>
          <w:kern w:val="0"/>
          <w:sz w:val="21"/>
          <w:szCs w:val="21"/>
          <w:lang w:bidi="ar"/>
        </w:rPr>
        <w:t>弃渣场区临时措施工程量表</w:t>
      </w:r>
    </w:p>
    <w:tbl>
      <w:tblPr>
        <w:tblStyle w:val="5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9"/>
        <w:gridCol w:w="1322"/>
        <w:gridCol w:w="1005"/>
        <w:gridCol w:w="1488"/>
        <w:gridCol w:w="1636"/>
        <w:gridCol w:w="1515"/>
      </w:tblGrid>
      <w:tr w14:paraId="080A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914" w:type="pct"/>
            <w:vMerge w:val="restart"/>
            <w:noWrap w:val="0"/>
            <w:vAlign w:val="center"/>
          </w:tcPr>
          <w:p w14:paraId="665D2F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布置区域</w:t>
            </w:r>
          </w:p>
        </w:tc>
        <w:tc>
          <w:tcPr>
            <w:tcW w:w="775" w:type="pct"/>
            <w:vMerge w:val="restart"/>
            <w:noWrap w:val="0"/>
            <w:vAlign w:val="center"/>
          </w:tcPr>
          <w:p w14:paraId="3C4899A6">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措施名称</w:t>
            </w:r>
          </w:p>
        </w:tc>
        <w:tc>
          <w:tcPr>
            <w:tcW w:w="589" w:type="pct"/>
            <w:vMerge w:val="restart"/>
            <w:noWrap w:val="0"/>
            <w:vAlign w:val="center"/>
          </w:tcPr>
          <w:p w14:paraId="0309880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数量</w:t>
            </w:r>
          </w:p>
        </w:tc>
        <w:tc>
          <w:tcPr>
            <w:tcW w:w="872" w:type="pct"/>
            <w:noWrap w:val="0"/>
            <w:vAlign w:val="center"/>
          </w:tcPr>
          <w:p w14:paraId="4D5749E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编织土袋填筑</w:t>
            </w:r>
          </w:p>
        </w:tc>
        <w:tc>
          <w:tcPr>
            <w:tcW w:w="959" w:type="pct"/>
            <w:noWrap w:val="0"/>
            <w:vAlign w:val="center"/>
          </w:tcPr>
          <w:p w14:paraId="6380FB2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编织土袋拆除</w:t>
            </w:r>
          </w:p>
        </w:tc>
        <w:tc>
          <w:tcPr>
            <w:tcW w:w="888" w:type="pct"/>
            <w:noWrap w:val="0"/>
            <w:vAlign w:val="center"/>
          </w:tcPr>
          <w:p w14:paraId="1B02A28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撒播混合草籽</w:t>
            </w:r>
          </w:p>
        </w:tc>
      </w:tr>
      <w:tr w14:paraId="1BF1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914" w:type="pct"/>
            <w:vMerge w:val="continue"/>
            <w:noWrap w:val="0"/>
            <w:vAlign w:val="center"/>
          </w:tcPr>
          <w:p w14:paraId="66526D4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5" w:type="pct"/>
            <w:vMerge w:val="continue"/>
            <w:noWrap w:val="0"/>
            <w:vAlign w:val="center"/>
          </w:tcPr>
          <w:p w14:paraId="28D9EF1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589" w:type="pct"/>
            <w:vMerge w:val="continue"/>
            <w:noWrap w:val="0"/>
            <w:vAlign w:val="center"/>
          </w:tcPr>
          <w:p w14:paraId="05D14BC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72" w:type="pct"/>
            <w:noWrap w:val="0"/>
            <w:vAlign w:val="center"/>
          </w:tcPr>
          <w:p w14:paraId="5844ACC2">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p>
        </w:tc>
        <w:tc>
          <w:tcPr>
            <w:tcW w:w="959" w:type="pct"/>
            <w:noWrap w:val="0"/>
            <w:vAlign w:val="center"/>
          </w:tcPr>
          <w:p w14:paraId="760A5BA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p>
        </w:tc>
        <w:tc>
          <w:tcPr>
            <w:tcW w:w="888" w:type="pct"/>
            <w:noWrap w:val="0"/>
            <w:vAlign w:val="center"/>
          </w:tcPr>
          <w:p w14:paraId="56A20B65">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m</w:t>
            </w:r>
            <w:r>
              <w:rPr>
                <w:rFonts w:hint="default" w:ascii="Times New Roman" w:hAnsi="Times New Roman" w:eastAsia="宋体" w:cs="Times New Roman"/>
                <w:color w:val="auto"/>
                <w:sz w:val="21"/>
                <w:szCs w:val="21"/>
                <w:vertAlign w:val="superscript"/>
              </w:rPr>
              <w:t>3</w:t>
            </w:r>
          </w:p>
        </w:tc>
      </w:tr>
      <w:tr w14:paraId="425A8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vMerge w:val="restart"/>
            <w:noWrap w:val="0"/>
            <w:vAlign w:val="center"/>
          </w:tcPr>
          <w:p w14:paraId="5C2EFB5F">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弃渣场区表土</w:t>
            </w:r>
          </w:p>
          <w:p w14:paraId="55A5139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堆场</w:t>
            </w:r>
          </w:p>
        </w:tc>
        <w:tc>
          <w:tcPr>
            <w:tcW w:w="775" w:type="pct"/>
            <w:noWrap w:val="0"/>
            <w:vAlign w:val="center"/>
          </w:tcPr>
          <w:p w14:paraId="4A675E0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编织袋挡墙</w:t>
            </w:r>
          </w:p>
        </w:tc>
        <w:tc>
          <w:tcPr>
            <w:tcW w:w="589" w:type="pct"/>
            <w:noWrap w:val="0"/>
            <w:vAlign w:val="center"/>
          </w:tcPr>
          <w:p w14:paraId="45A71C5E">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435m</w:t>
            </w:r>
          </w:p>
        </w:tc>
        <w:tc>
          <w:tcPr>
            <w:tcW w:w="872" w:type="pct"/>
            <w:noWrap w:val="0"/>
            <w:vAlign w:val="center"/>
          </w:tcPr>
          <w:p w14:paraId="29A3F08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435.00</w:t>
            </w:r>
          </w:p>
        </w:tc>
        <w:tc>
          <w:tcPr>
            <w:tcW w:w="959" w:type="pct"/>
            <w:noWrap w:val="0"/>
            <w:vAlign w:val="center"/>
          </w:tcPr>
          <w:p w14:paraId="72699081">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435.00</w:t>
            </w:r>
          </w:p>
        </w:tc>
        <w:tc>
          <w:tcPr>
            <w:tcW w:w="888" w:type="pct"/>
            <w:noWrap w:val="0"/>
            <w:vAlign w:val="center"/>
          </w:tcPr>
          <w:p w14:paraId="33571F2D">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r>
      <w:tr w14:paraId="4B23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4" w:type="pct"/>
            <w:vMerge w:val="continue"/>
            <w:noWrap w:val="0"/>
            <w:vAlign w:val="center"/>
          </w:tcPr>
          <w:p w14:paraId="7D7E47E8">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775" w:type="pct"/>
            <w:noWrap w:val="0"/>
            <w:vAlign w:val="center"/>
          </w:tcPr>
          <w:p w14:paraId="651C510C">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临时绿化</w:t>
            </w:r>
          </w:p>
        </w:tc>
        <w:tc>
          <w:tcPr>
            <w:tcW w:w="589" w:type="pct"/>
            <w:noWrap w:val="0"/>
            <w:vAlign w:val="center"/>
          </w:tcPr>
          <w:p w14:paraId="0D573D8B">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1.38hm²</w:t>
            </w:r>
          </w:p>
        </w:tc>
        <w:tc>
          <w:tcPr>
            <w:tcW w:w="872" w:type="pct"/>
            <w:noWrap w:val="0"/>
            <w:vAlign w:val="center"/>
          </w:tcPr>
          <w:p w14:paraId="5C2049ED">
            <w:pPr>
              <w:widowControl/>
              <w:adjustRightInd w:val="0"/>
              <w:snapToGrid w:val="0"/>
              <w:spacing w:line="240" w:lineRule="auto"/>
              <w:ind w:firstLine="0" w:firstLineChars="0"/>
              <w:rPr>
                <w:rFonts w:hint="default" w:ascii="Times New Roman" w:hAnsi="Times New Roman" w:eastAsia="宋体" w:cs="Times New Roman"/>
                <w:color w:val="auto"/>
                <w:sz w:val="21"/>
                <w:szCs w:val="21"/>
              </w:rPr>
            </w:pPr>
          </w:p>
        </w:tc>
        <w:tc>
          <w:tcPr>
            <w:tcW w:w="959" w:type="pct"/>
            <w:noWrap w:val="0"/>
            <w:vAlign w:val="center"/>
          </w:tcPr>
          <w:p w14:paraId="32A7A664">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p>
        </w:tc>
        <w:tc>
          <w:tcPr>
            <w:tcW w:w="888" w:type="pct"/>
            <w:noWrap w:val="0"/>
            <w:vAlign w:val="center"/>
          </w:tcPr>
          <w:p w14:paraId="2427DD09">
            <w:pPr>
              <w:widowControl/>
              <w:adjustRightInd w:val="0"/>
              <w:snapToGrid w:val="0"/>
              <w:spacing w:line="240" w:lineRule="auto"/>
              <w:ind w:firstLine="0" w:firstLineChars="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82.80</w:t>
            </w:r>
          </w:p>
        </w:tc>
      </w:tr>
    </w:tbl>
    <w:p w14:paraId="269954F9">
      <w:pPr>
        <w:bidi w:val="0"/>
        <w:rPr>
          <w:rFonts w:hint="eastAsia"/>
          <w:color w:val="auto"/>
          <w:lang w:val="en-US" w:eastAsia="zh-CN"/>
        </w:rPr>
      </w:pPr>
      <w:r>
        <w:rPr>
          <w:rFonts w:hint="eastAsia"/>
          <w:color w:val="auto"/>
          <w:lang w:val="en-US" w:eastAsia="zh-CN"/>
        </w:rPr>
        <w:t>注：道路绿化工程、边坡工程应选取本地物种，禁止采用外来物种种植，防止生物入侵、确保生态安全。</w:t>
      </w:r>
    </w:p>
    <w:p w14:paraId="2BDB77A0">
      <w:pPr>
        <w:pStyle w:val="5"/>
        <w:ind w:left="0" w:leftChars="0" w:firstLine="0" w:firstLineChars="0"/>
        <w:rPr>
          <w:rFonts w:hint="default" w:ascii="Times New Roman" w:hAnsi="Times New Roman" w:eastAsia="宋体" w:cs="Times New Roman"/>
          <w:color w:val="auto"/>
        </w:rPr>
      </w:pPr>
      <w:bookmarkStart w:id="173" w:name="_Toc9202"/>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.1.2</w:t>
      </w:r>
      <w:r>
        <w:rPr>
          <w:rFonts w:hint="eastAsia" w:cs="Times New Roman"/>
          <w:color w:val="auto"/>
          <w:lang w:eastAsia="zh-CN"/>
        </w:rPr>
        <w:t>营运期</w:t>
      </w:r>
      <w:r>
        <w:rPr>
          <w:rFonts w:hint="default" w:ascii="Times New Roman" w:hAnsi="Times New Roman" w:eastAsia="宋体" w:cs="Times New Roman"/>
          <w:color w:val="auto"/>
        </w:rPr>
        <w:t>保护措施</w:t>
      </w:r>
      <w:bookmarkEnd w:id="173"/>
    </w:p>
    <w:p w14:paraId="361D9274">
      <w:pPr>
        <w:bidi w:val="0"/>
        <w:ind w:left="0" w:leftChars="0" w:firstLine="0" w:firstLineChars="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.1.2.1</w:t>
      </w:r>
      <w:r>
        <w:rPr>
          <w:rFonts w:hint="eastAsia" w:cs="Times New Roman"/>
          <w:color w:val="auto"/>
          <w:lang w:eastAsia="zh-CN"/>
        </w:rPr>
        <w:t>营运期</w:t>
      </w:r>
      <w:r>
        <w:rPr>
          <w:rFonts w:hint="default" w:ascii="Times New Roman" w:hAnsi="Times New Roman" w:eastAsia="宋体" w:cs="Times New Roman"/>
          <w:color w:val="auto"/>
        </w:rPr>
        <w:t>生态影响减缓措施</w:t>
      </w:r>
    </w:p>
    <w:p w14:paraId="49A9DFE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（1）应按公路绿化设计的要求，完成项目边坡及公路征地范围内可绿化地面的植树种草工作，对穿越森林植被路段采用加密绿化带，减缓车辆行驶灯光和噪声对沿线野生动物的不利影响；</w:t>
      </w:r>
    </w:p>
    <w:p w14:paraId="7B38F71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（2）加强林草植被的管理，确保沿线植被恢复和水土保持效果；</w:t>
      </w:r>
    </w:p>
    <w:p w14:paraId="26CE04F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（3）做好施工场地等临时占地的植被恢复和绿化的维护；</w:t>
      </w:r>
    </w:p>
    <w:p w14:paraId="664777B7">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（4）加强沿线绿化恢复，做到公路绿化与现有自然景观协调，避免选用外来物种进行该路段边坡绿化。</w:t>
      </w:r>
    </w:p>
    <w:p w14:paraId="0D0176CA">
      <w:pPr>
        <w:bidi w:val="0"/>
        <w:ind w:left="0" w:leftChars="0" w:firstLine="0" w:firstLineChars="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.1.2.2生态影响补偿措施</w:t>
      </w:r>
    </w:p>
    <w:p w14:paraId="531BF1D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应根据有关政策对占用的园地进行补偿，本工程的生产安置采取土地整理，调整种植结构，提高复种指数的方式完成占补平衡，同时缴纳土地补偿费。</w:t>
      </w:r>
    </w:p>
    <w:p w14:paraId="04ADDC37">
      <w:pPr>
        <w:pStyle w:val="3"/>
        <w:numPr>
          <w:ilvl w:val="0"/>
          <w:numId w:val="0"/>
        </w:numPr>
        <w:rPr>
          <w:rFonts w:hint="default" w:ascii="Times New Roman" w:hAnsi="Times New Roman" w:eastAsia="宋体" w:cs="Times New Roman"/>
          <w:color w:val="auto"/>
          <w:sz w:val="30"/>
          <w:szCs w:val="30"/>
        </w:rPr>
      </w:pPr>
      <w:bookmarkStart w:id="174" w:name="_Toc23842"/>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.2噪声污染防治措施</w:t>
      </w:r>
      <w:bookmarkEnd w:id="162"/>
      <w:bookmarkEnd w:id="163"/>
      <w:bookmarkEnd w:id="164"/>
      <w:bookmarkEnd w:id="165"/>
      <w:bookmarkEnd w:id="166"/>
      <w:bookmarkEnd w:id="167"/>
      <w:bookmarkEnd w:id="168"/>
      <w:bookmarkEnd w:id="169"/>
      <w:bookmarkEnd w:id="170"/>
      <w:bookmarkEnd w:id="171"/>
      <w:bookmarkEnd w:id="174"/>
    </w:p>
    <w:p w14:paraId="3A2A71A5">
      <w:pPr>
        <w:pStyle w:val="5"/>
        <w:ind w:left="0" w:leftChars="0" w:firstLine="0" w:firstLineChars="0"/>
        <w:rPr>
          <w:rStyle w:val="78"/>
          <w:rFonts w:hint="default" w:ascii="Times New Roman" w:hAnsi="Times New Roman" w:eastAsia="宋体" w:cs="Times New Roman"/>
          <w:b/>
          <w:bCs w:val="0"/>
          <w:color w:val="auto"/>
          <w:szCs w:val="28"/>
        </w:rPr>
      </w:pPr>
      <w:bookmarkStart w:id="175" w:name="_Toc246761957"/>
      <w:bookmarkStart w:id="176" w:name="_Toc351046793"/>
      <w:bookmarkStart w:id="177" w:name="_Toc253050304"/>
      <w:bookmarkStart w:id="178" w:name="_Toc323909070"/>
      <w:bookmarkStart w:id="179" w:name="_Toc18552"/>
      <w:bookmarkStart w:id="180" w:name="_Toc260057080"/>
      <w:bookmarkStart w:id="181" w:name="_Toc227360430"/>
      <w:bookmarkStart w:id="182" w:name="_Toc352320879"/>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.2.1施工期噪声污染防治措施</w:t>
      </w:r>
      <w:bookmarkEnd w:id="175"/>
      <w:bookmarkEnd w:id="176"/>
      <w:bookmarkEnd w:id="177"/>
      <w:bookmarkEnd w:id="178"/>
      <w:bookmarkEnd w:id="179"/>
      <w:bookmarkEnd w:id="180"/>
      <w:bookmarkEnd w:id="181"/>
      <w:bookmarkEnd w:id="182"/>
    </w:p>
    <w:p w14:paraId="372B2F6D">
      <w:pPr>
        <w:ind w:firstLine="480"/>
        <w:rPr>
          <w:rFonts w:hint="default" w:ascii="Times New Roman" w:hAnsi="Times New Roman" w:eastAsia="宋体" w:cs="Times New Roman"/>
          <w:color w:val="auto"/>
        </w:rPr>
      </w:pPr>
      <w:bookmarkStart w:id="183" w:name="_Toc352320880"/>
      <w:bookmarkStart w:id="184" w:name="_Toc323909071"/>
      <w:bookmarkStart w:id="185" w:name="_Toc253050305"/>
      <w:bookmarkStart w:id="186" w:name="_Toc246761958"/>
      <w:bookmarkStart w:id="187" w:name="_Toc351046794"/>
      <w:bookmarkStart w:id="188" w:name="_Toc260057081"/>
      <w:bookmarkStart w:id="189" w:name="_Toc227360431"/>
      <w:r>
        <w:rPr>
          <w:rFonts w:hint="default" w:ascii="Times New Roman" w:hAnsi="Times New Roman" w:eastAsia="宋体" w:cs="Times New Roman"/>
          <w:color w:val="auto"/>
        </w:rPr>
        <w:t>为了减少项目施工噪声对周边环境的影响，建议采取以下措施：</w:t>
      </w:r>
    </w:p>
    <w:p w14:paraId="0CE3AAE6">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（1）合理布局施工现场：避免在同一地点安排大量动力机械设备，以避免局部累积声级过高；高噪声机械应置于离敏感点较远的位置。</w:t>
      </w:r>
    </w:p>
    <w:p w14:paraId="5E1AA12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（2）合理安排施工时间：制订施工计划时，应尽可能避免大量高噪声设备同时施工；禁止在12时至14时、22时至次日6时进行建筑施工作业。</w:t>
      </w:r>
    </w:p>
    <w:p w14:paraId="32F7DA3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（3）施工时采用降噪作业方式：施工机械选型时尽量选用可替代的低噪声的设备，对动力机械设备进行定期的维修、养护，避免设备因松动部件的振动或</w:t>
      </w:r>
      <w:r>
        <w:rPr>
          <w:rFonts w:hint="default" w:ascii="Times New Roman" w:hAnsi="Times New Roman" w:eastAsia="宋体" w:cs="Times New Roman"/>
          <w:color w:val="auto"/>
          <w:lang w:eastAsia="zh-CN"/>
        </w:rPr>
        <w:t>消声器</w:t>
      </w:r>
      <w:r>
        <w:rPr>
          <w:rFonts w:hint="default" w:ascii="Times New Roman" w:hAnsi="Times New Roman" w:eastAsia="宋体" w:cs="Times New Roman"/>
          <w:color w:val="auto"/>
        </w:rPr>
        <w:t>的损坏而增加其工作时的声压级；设备用完后或不用时应立即关闭。</w:t>
      </w:r>
    </w:p>
    <w:p w14:paraId="2322F2A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（4）合理安排运输路线和时间：应合理安排施工物料的运输时间。运输车辆进入现场应减速、并减少鸣笛等等。</w:t>
      </w:r>
    </w:p>
    <w:p w14:paraId="0E238C69">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（5）加强施工管理：合理制定施工计划。监理单位应做好施工期噪声监理工作，配备一定数量的简易噪声测量仪器，对施工场所附近的居民点进行监测，以保证其不受噪声超标影响。</w:t>
      </w:r>
    </w:p>
    <w:p w14:paraId="1063B1B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（6）施工单位应当在工程开工前十五日向工程所在地的</w:t>
      </w:r>
      <w:r>
        <w:rPr>
          <w:rFonts w:hint="default" w:ascii="Times New Roman" w:hAnsi="Times New Roman" w:eastAsia="宋体" w:cs="Times New Roman"/>
          <w:color w:val="auto"/>
          <w:lang w:eastAsia="zh-CN"/>
        </w:rPr>
        <w:t>县（市、区）</w:t>
      </w:r>
      <w:r>
        <w:rPr>
          <w:rFonts w:hint="default" w:ascii="Times New Roman" w:hAnsi="Times New Roman" w:eastAsia="宋体" w:cs="Times New Roman"/>
          <w:color w:val="auto"/>
        </w:rPr>
        <w:t>环境保护行政主管部门申报该工程的项目名称、施工场所和期限、可能产生的环境噪声值以及所采取的环境噪声污染防治措施的情况。</w:t>
      </w:r>
    </w:p>
    <w:p w14:paraId="5521B053">
      <w:pPr>
        <w:pStyle w:val="5"/>
        <w:ind w:left="0" w:leftChars="0" w:firstLine="0" w:firstLineChars="0"/>
        <w:rPr>
          <w:rFonts w:hint="default" w:ascii="Times New Roman" w:hAnsi="Times New Roman" w:eastAsia="宋体" w:cs="Times New Roman"/>
          <w:color w:val="auto"/>
        </w:rPr>
      </w:pPr>
      <w:bookmarkStart w:id="190" w:name="_Toc15605"/>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.2.2</w:t>
      </w:r>
      <w:bookmarkEnd w:id="183"/>
      <w:bookmarkEnd w:id="184"/>
      <w:bookmarkEnd w:id="185"/>
      <w:bookmarkEnd w:id="186"/>
      <w:bookmarkEnd w:id="187"/>
      <w:bookmarkEnd w:id="188"/>
      <w:bookmarkEnd w:id="189"/>
      <w:r>
        <w:rPr>
          <w:rFonts w:hint="default" w:ascii="Times New Roman" w:hAnsi="Times New Roman" w:eastAsia="宋体" w:cs="Times New Roman"/>
          <w:color w:val="auto"/>
        </w:rPr>
        <w:t>营运期声环境影响减缓措施</w:t>
      </w:r>
      <w:bookmarkEnd w:id="190"/>
    </w:p>
    <w:p w14:paraId="4D74B271">
      <w:pPr>
        <w:adjustRightInd w:val="0"/>
        <w:snapToGrid w:val="0"/>
        <w:ind w:firstLine="480"/>
        <w:rPr>
          <w:rFonts w:hint="default" w:ascii="Times New Roman" w:hAnsi="Times New Roman" w:eastAsia="宋体" w:cs="Times New Roman"/>
          <w:snapToGrid w:val="0"/>
          <w:color w:val="auto"/>
        </w:rPr>
      </w:pPr>
      <w:bookmarkStart w:id="191" w:name="_Toc253050306"/>
      <w:bookmarkStart w:id="192" w:name="_Toc352320989"/>
      <w:bookmarkStart w:id="193" w:name="_Toc246761959"/>
      <w:bookmarkStart w:id="194" w:name="_Toc367844715"/>
      <w:bookmarkStart w:id="195" w:name="_Toc351046795"/>
      <w:bookmarkStart w:id="196" w:name="_Toc323909072"/>
      <w:bookmarkStart w:id="197" w:name="_Toc227360432"/>
      <w:bookmarkStart w:id="198" w:name="_Toc352320881"/>
      <w:bookmarkStart w:id="199" w:name="_Toc294958839"/>
      <w:bookmarkStart w:id="200" w:name="_Toc260057082"/>
      <w:r>
        <w:rPr>
          <w:rFonts w:hint="default" w:ascii="Times New Roman" w:hAnsi="Times New Roman" w:eastAsia="宋体" w:cs="Times New Roman"/>
          <w:snapToGrid w:val="0"/>
          <w:color w:val="auto"/>
        </w:rPr>
        <w:t>参照《地面交通噪声污染防治技术政策》，交通噪声管理从以下方面开展：</w:t>
      </w:r>
    </w:p>
    <w:p w14:paraId="4F85653D">
      <w:pPr>
        <w:keepNext w:val="0"/>
        <w:keepLines w:val="0"/>
        <w:widowControl/>
        <w:suppressLineNumbers w:val="0"/>
        <w:jc w:val="left"/>
        <w:rPr>
          <w:color w:val="auto"/>
        </w:rPr>
      </w:pPr>
      <w:r>
        <w:rPr>
          <w:rFonts w:hint="eastAsia" w:ascii="Times New Roman" w:hAnsi="Times New Roman" w:eastAsia="宋体" w:cs="Times New Roman"/>
          <w:snapToGrid w:val="0"/>
          <w:color w:val="auto"/>
          <w:lang w:eastAsia="zh-CN"/>
        </w:rPr>
        <w:t>（</w:t>
      </w:r>
      <w:r>
        <w:rPr>
          <w:rFonts w:hint="eastAsia" w:ascii="Times New Roman" w:hAnsi="Times New Roman" w:eastAsia="宋体" w:cs="Times New Roman"/>
          <w:snapToGrid w:val="0"/>
          <w:color w:val="auto"/>
          <w:lang w:val="en-US" w:eastAsia="zh-CN"/>
        </w:rPr>
        <w:t>1</w:t>
      </w:r>
      <w:r>
        <w:rPr>
          <w:rFonts w:hint="eastAsia" w:ascii="Times New Roman" w:hAnsi="Times New Roman" w:eastAsia="宋体" w:cs="Times New Roman"/>
          <w:snapToGrid w:val="0"/>
          <w:color w:val="auto"/>
          <w:lang w:eastAsia="zh-CN"/>
        </w:rPr>
        <w:t>）</w:t>
      </w:r>
      <w:r>
        <w:rPr>
          <w:rFonts w:hint="eastAsia" w:ascii="宋体" w:hAnsi="宋体" w:eastAsia="宋体" w:cs="宋体"/>
          <w:color w:val="auto"/>
          <w:kern w:val="0"/>
          <w:sz w:val="24"/>
          <w:szCs w:val="24"/>
          <w:lang w:val="en-US" w:eastAsia="zh-CN" w:bidi="ar"/>
        </w:rPr>
        <w:t>噪声防护应首先从源头控制，削减噪声源强。在保证安全情况下，优化线形、降低纵坡，保持路面平整，减少车辆爬坡时的噪声级增量；部分噪声预测值超标路段通过加强管理降低噪声源强。</w:t>
      </w:r>
    </w:p>
    <w:p w14:paraId="4B943274">
      <w:pPr>
        <w:keepNext w:val="0"/>
        <w:keepLines w:val="0"/>
        <w:widowControl/>
        <w:suppressLineNumbers w:val="0"/>
        <w:jc w:val="left"/>
        <w:rPr>
          <w:rFonts w:hint="default" w:ascii="Times New Roman" w:hAnsi="Times New Roman" w:eastAsia="宋体" w:cs="Times New Roman"/>
          <w:snapToGrid w:val="0"/>
          <w:color w:val="auto"/>
        </w:rPr>
      </w:pPr>
      <w:r>
        <w:rPr>
          <w:rFonts w:hint="eastAsia" w:ascii="Times New Roman" w:hAnsi="Times New Roman" w:eastAsia="宋体" w:cs="Times New Roman"/>
          <w:snapToGrid w:val="0"/>
          <w:color w:val="auto"/>
          <w:lang w:eastAsia="zh-CN"/>
        </w:rPr>
        <w:t>（</w:t>
      </w:r>
      <w:r>
        <w:rPr>
          <w:rFonts w:hint="eastAsia" w:ascii="Times New Roman" w:hAnsi="Times New Roman" w:eastAsia="宋体" w:cs="Times New Roman"/>
          <w:snapToGrid w:val="0"/>
          <w:color w:val="auto"/>
          <w:lang w:val="en-US" w:eastAsia="zh-CN"/>
        </w:rPr>
        <w:t>2</w:t>
      </w:r>
      <w:r>
        <w:rPr>
          <w:rFonts w:hint="eastAsia" w:ascii="Times New Roman" w:hAnsi="Times New Roman" w:eastAsia="宋体" w:cs="Times New Roman"/>
          <w:snapToGrid w:val="0"/>
          <w:color w:val="auto"/>
          <w:lang w:eastAsia="zh-CN"/>
        </w:rPr>
        <w:t>）</w:t>
      </w:r>
      <w:r>
        <w:rPr>
          <w:rFonts w:hint="eastAsia" w:ascii="宋体" w:hAnsi="宋体" w:eastAsia="宋体" w:cs="宋体"/>
          <w:color w:val="auto"/>
          <w:kern w:val="0"/>
          <w:sz w:val="24"/>
          <w:szCs w:val="24"/>
          <w:lang w:val="en-US" w:eastAsia="zh-CN" w:bidi="ar"/>
        </w:rPr>
        <w:t>根据敏感点的预测结果，考虑到区域发展，道路两侧敏感点也会发生相应的变化，</w:t>
      </w:r>
      <w:r>
        <w:rPr>
          <w:rFonts w:hint="eastAsia" w:ascii="宋体" w:hAnsi="宋体" w:eastAsia="宋体" w:cs="宋体"/>
          <w:color w:val="auto"/>
          <w:kern w:val="0"/>
          <w:sz w:val="24"/>
          <w:szCs w:val="24"/>
          <w:lang w:val="en-US" w:eastAsia="zh-CN" w:bidi="ar"/>
        </w:rPr>
        <w:t>环评对营运</w:t>
      </w:r>
      <w:r>
        <w:rPr>
          <w:rFonts w:hint="eastAsia" w:ascii="宋体" w:hAnsi="宋体" w:cs="宋体"/>
          <w:color w:val="auto"/>
          <w:kern w:val="0"/>
          <w:sz w:val="24"/>
          <w:szCs w:val="24"/>
          <w:lang w:val="en-US" w:eastAsia="zh-CN" w:bidi="ar"/>
        </w:rPr>
        <w:t>远</w:t>
      </w:r>
      <w:r>
        <w:rPr>
          <w:rFonts w:hint="eastAsia" w:ascii="宋体" w:hAnsi="宋体" w:eastAsia="宋体" w:cs="宋体"/>
          <w:color w:val="auto"/>
          <w:kern w:val="0"/>
          <w:sz w:val="24"/>
          <w:szCs w:val="24"/>
          <w:lang w:val="en-US" w:eastAsia="zh-CN" w:bidi="ar"/>
        </w:rPr>
        <w:t>期</w:t>
      </w:r>
      <w:r>
        <w:rPr>
          <w:rFonts w:hint="eastAsia" w:ascii="宋体" w:hAnsi="宋体" w:cs="宋体"/>
          <w:color w:val="auto"/>
          <w:kern w:val="0"/>
          <w:sz w:val="24"/>
          <w:szCs w:val="24"/>
          <w:lang w:val="en-US" w:eastAsia="zh-CN" w:bidi="ar"/>
        </w:rPr>
        <w:t>靠近公路集镇居民区夜间</w:t>
      </w:r>
      <w:r>
        <w:rPr>
          <w:rFonts w:hint="eastAsia" w:ascii="宋体" w:hAnsi="宋体" w:eastAsia="宋体" w:cs="宋体"/>
          <w:color w:val="auto"/>
          <w:kern w:val="0"/>
          <w:sz w:val="24"/>
          <w:szCs w:val="24"/>
          <w:lang w:val="en-US" w:eastAsia="zh-CN" w:bidi="ar"/>
        </w:rPr>
        <w:t>预测</w:t>
      </w:r>
      <w:r>
        <w:rPr>
          <w:rFonts w:hint="eastAsia" w:ascii="宋体" w:hAnsi="宋体" w:cs="宋体"/>
          <w:color w:val="auto"/>
          <w:kern w:val="0"/>
          <w:sz w:val="24"/>
          <w:szCs w:val="24"/>
          <w:lang w:val="en-US" w:eastAsia="zh-CN" w:bidi="ar"/>
        </w:rPr>
        <w:t>值会出现</w:t>
      </w:r>
      <w:r>
        <w:rPr>
          <w:rFonts w:hint="eastAsia" w:ascii="宋体" w:hAnsi="宋体" w:eastAsia="宋体" w:cs="宋体"/>
          <w:color w:val="auto"/>
          <w:kern w:val="0"/>
          <w:sz w:val="24"/>
          <w:szCs w:val="24"/>
          <w:lang w:val="en-US" w:eastAsia="zh-CN" w:bidi="ar"/>
        </w:rPr>
        <w:t>超标</w:t>
      </w:r>
      <w:r>
        <w:rPr>
          <w:rFonts w:hint="eastAsia" w:ascii="宋体" w:hAnsi="宋体" w:cs="宋体"/>
          <w:color w:val="auto"/>
          <w:kern w:val="0"/>
          <w:sz w:val="24"/>
          <w:szCs w:val="24"/>
          <w:lang w:val="en-US" w:eastAsia="zh-CN" w:bidi="ar"/>
        </w:rPr>
        <w:t>情况，本项目</w:t>
      </w:r>
      <w:r>
        <w:rPr>
          <w:rFonts w:hint="eastAsia" w:ascii="宋体" w:hAnsi="宋体" w:eastAsia="宋体" w:cs="宋体"/>
          <w:color w:val="auto"/>
          <w:kern w:val="0"/>
          <w:sz w:val="24"/>
          <w:szCs w:val="24"/>
          <w:lang w:val="en-US" w:eastAsia="zh-CN" w:bidi="ar"/>
        </w:rPr>
        <w:t>采取</w:t>
      </w:r>
      <w:r>
        <w:rPr>
          <w:rFonts w:hint="eastAsia" w:ascii="宋体" w:hAnsi="宋体" w:cs="宋体"/>
          <w:color w:val="auto"/>
          <w:kern w:val="0"/>
          <w:sz w:val="24"/>
          <w:szCs w:val="24"/>
          <w:lang w:val="en-US" w:eastAsia="zh-CN" w:bidi="ar"/>
        </w:rPr>
        <w:t>设置声屏障的</w:t>
      </w:r>
      <w:r>
        <w:rPr>
          <w:rFonts w:hint="eastAsia" w:ascii="宋体" w:hAnsi="宋体" w:eastAsia="宋体" w:cs="宋体"/>
          <w:color w:val="auto"/>
          <w:kern w:val="0"/>
          <w:sz w:val="24"/>
          <w:szCs w:val="24"/>
          <w:lang w:val="en-US" w:eastAsia="zh-CN" w:bidi="ar"/>
        </w:rPr>
        <w:t>噪声防治措施</w:t>
      </w:r>
      <w:r>
        <w:rPr>
          <w:rFonts w:hint="default" w:ascii="Times New Roman" w:hAnsi="Times New Roman" w:eastAsia="宋体" w:cs="Times New Roman"/>
          <w:snapToGrid w:val="0"/>
          <w:color w:val="auto"/>
        </w:rPr>
        <w:t>。</w:t>
      </w:r>
    </w:p>
    <w:p w14:paraId="211D95F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）加强交通管理，严格执行限速和禁止超载等交通规则，在通过人口密</w:t>
      </w:r>
    </w:p>
    <w:p w14:paraId="025B2DC8">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度较大的居民区及学校附近设置禁鸣标志，以减少交通噪声扰民</w:t>
      </w:r>
      <w:r>
        <w:rPr>
          <w:rFonts w:hint="eastAsia" w:ascii="宋体" w:hAnsi="宋体" w:eastAsia="宋体" w:cs="宋体"/>
          <w:color w:val="auto"/>
          <w:kern w:val="0"/>
          <w:sz w:val="24"/>
          <w:szCs w:val="24"/>
          <w:lang w:val="en-US" w:eastAsia="zh-CN" w:bidi="ar"/>
        </w:rPr>
        <w:t>问题</w:t>
      </w:r>
      <w:r>
        <w:rPr>
          <w:rFonts w:hint="eastAsia" w:ascii="宋体" w:hAnsi="宋体" w:cs="宋体"/>
          <w:color w:val="auto"/>
          <w:kern w:val="0"/>
          <w:sz w:val="24"/>
          <w:szCs w:val="24"/>
          <w:lang w:val="en-US" w:eastAsia="zh-CN" w:bidi="ar"/>
        </w:rPr>
        <w:t>。</w:t>
      </w:r>
    </w:p>
    <w:p w14:paraId="2754443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）加强市政路沿线的声环境质量的环境监测工作，对噪声敏感目标实施</w:t>
      </w:r>
    </w:p>
    <w:p w14:paraId="035C1472">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firstLine="0" w:firstLineChars="0"/>
        <w:jc w:val="left"/>
        <w:textAlignment w:val="auto"/>
        <w:rPr>
          <w:color w:val="auto"/>
        </w:rPr>
      </w:pPr>
      <w:r>
        <w:rPr>
          <w:rFonts w:hint="eastAsia" w:ascii="宋体" w:hAnsi="宋体" w:eastAsia="宋体" w:cs="宋体"/>
          <w:color w:val="auto"/>
          <w:kern w:val="0"/>
          <w:sz w:val="24"/>
          <w:szCs w:val="24"/>
          <w:lang w:val="en-US" w:eastAsia="zh-CN" w:bidi="ar"/>
        </w:rPr>
        <w:t>噪声跟踪监测制度，根据因交通量增大引起的声环境影响程度，及时采取相应的减缓</w:t>
      </w:r>
      <w:r>
        <w:rPr>
          <w:rFonts w:hint="eastAsia" w:ascii="宋体" w:hAnsi="宋体" w:eastAsia="宋体" w:cs="宋体"/>
          <w:color w:val="auto"/>
          <w:kern w:val="0"/>
          <w:sz w:val="24"/>
          <w:szCs w:val="24"/>
          <w:lang w:val="en-US" w:eastAsia="zh-CN" w:bidi="ar"/>
        </w:rPr>
        <w:t>措施</w:t>
      </w:r>
      <w:r>
        <w:rPr>
          <w:rFonts w:hint="eastAsia" w:ascii="宋体" w:hAnsi="宋体" w:cs="宋体"/>
          <w:color w:val="auto"/>
          <w:kern w:val="0"/>
          <w:sz w:val="24"/>
          <w:szCs w:val="24"/>
          <w:lang w:val="en-US" w:eastAsia="zh-CN" w:bidi="ar"/>
        </w:rPr>
        <w:t>。</w:t>
      </w:r>
    </w:p>
    <w:p w14:paraId="456B780B">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）加强道路两侧绿化。</w:t>
      </w:r>
    </w:p>
    <w:p w14:paraId="689864E6">
      <w:pPr>
        <w:pStyle w:val="3"/>
        <w:numPr>
          <w:ilvl w:val="0"/>
          <w:numId w:val="0"/>
        </w:numPr>
        <w:rPr>
          <w:rFonts w:hint="default" w:ascii="Times New Roman" w:hAnsi="Times New Roman" w:eastAsia="宋体" w:cs="Times New Roman"/>
          <w:color w:val="auto"/>
          <w:sz w:val="30"/>
          <w:szCs w:val="30"/>
        </w:rPr>
      </w:pPr>
      <w:bookmarkStart w:id="201" w:name="_Toc2667"/>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.3空气污染防治措施</w:t>
      </w:r>
      <w:bookmarkEnd w:id="191"/>
      <w:bookmarkEnd w:id="192"/>
      <w:bookmarkEnd w:id="193"/>
      <w:bookmarkEnd w:id="194"/>
      <w:bookmarkEnd w:id="195"/>
      <w:bookmarkEnd w:id="196"/>
      <w:bookmarkEnd w:id="197"/>
      <w:bookmarkEnd w:id="198"/>
      <w:bookmarkEnd w:id="199"/>
      <w:bookmarkEnd w:id="200"/>
      <w:bookmarkEnd w:id="201"/>
    </w:p>
    <w:p w14:paraId="03AE9BE7">
      <w:pPr>
        <w:pStyle w:val="5"/>
        <w:ind w:left="0" w:leftChars="0" w:firstLine="0" w:firstLineChars="0"/>
        <w:rPr>
          <w:rFonts w:hint="default" w:ascii="Times New Roman" w:hAnsi="Times New Roman" w:eastAsia="宋体" w:cs="Times New Roman"/>
          <w:color w:val="auto"/>
        </w:rPr>
      </w:pPr>
      <w:bookmarkStart w:id="202" w:name="_Toc260057083"/>
      <w:bookmarkStart w:id="203" w:name="_Toc253050307"/>
      <w:bookmarkStart w:id="204" w:name="_Toc323909073"/>
      <w:bookmarkStart w:id="205" w:name="_Toc351046796"/>
      <w:bookmarkStart w:id="206" w:name="_Toc227360433"/>
      <w:bookmarkStart w:id="207" w:name="_Toc246761960"/>
      <w:bookmarkStart w:id="208" w:name="_Toc352320882"/>
      <w:bookmarkStart w:id="209" w:name="_Toc30193"/>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.3.1</w:t>
      </w:r>
      <w:bookmarkEnd w:id="202"/>
      <w:bookmarkEnd w:id="203"/>
      <w:bookmarkEnd w:id="204"/>
      <w:bookmarkEnd w:id="205"/>
      <w:bookmarkEnd w:id="206"/>
      <w:bookmarkEnd w:id="207"/>
      <w:bookmarkEnd w:id="208"/>
      <w:bookmarkStart w:id="210" w:name="_Toc352320883"/>
      <w:bookmarkStart w:id="211" w:name="_Toc260057084"/>
      <w:bookmarkStart w:id="212" w:name="_Toc323909074"/>
      <w:bookmarkStart w:id="213" w:name="_Toc351046797"/>
      <w:bookmarkStart w:id="214" w:name="_Toc253050308"/>
      <w:bookmarkStart w:id="215" w:name="_Toc227360434"/>
      <w:bookmarkStart w:id="216" w:name="_Toc246761961"/>
      <w:r>
        <w:rPr>
          <w:rFonts w:hint="default" w:ascii="Times New Roman" w:hAnsi="Times New Roman" w:eastAsia="宋体" w:cs="Times New Roman"/>
          <w:color w:val="auto"/>
        </w:rPr>
        <w:t>施工期环境空气影响减缓措施</w:t>
      </w:r>
      <w:bookmarkEnd w:id="209"/>
    </w:p>
    <w:p w14:paraId="2C208452">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为有效减轻施工期大气环境污染的不利影响，根据《中华人民共和国大气污染防治法》《云南省大气污染防治条例》等相关法规，结合《云南省生态环境厅、云南省交通运输厅关于加强高速公路建设项目施工扬尘污染防治的通知》（云环发〔</w:t>
      </w:r>
      <w:r>
        <w:rPr>
          <w:rFonts w:hint="default" w:ascii="Times New Roman" w:hAnsi="Times New Roman" w:eastAsia="宋体" w:cs="Times New Roman"/>
          <w:color w:val="auto"/>
          <w:kern w:val="0"/>
          <w:sz w:val="24"/>
          <w:szCs w:val="24"/>
          <w:lang w:val="en-US" w:eastAsia="zh-CN" w:bidi="ar"/>
        </w:rPr>
        <w:t>2021</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号）提出以下大气污染防治措施：</w:t>
      </w:r>
    </w:p>
    <w:p w14:paraId="319095D3">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lang w:val="en-US" w:eastAsia="zh-CN"/>
        </w:rPr>
        <w:t>项目建设单位严格执行环境保护“三同时”制度，防治施工扬尘污染的费用列入工程投资，施工合同中明确施工单位扬尘污染防治责任，施工图交底时将施工扬尘污染防治措施一并纳入，并督促施工单位落实施工扬尘污染防治措施</w:t>
      </w:r>
      <w:r>
        <w:rPr>
          <w:rFonts w:hint="default" w:ascii="Times New Roman" w:hAnsi="Times New Roman" w:eastAsia="宋体" w:cs="Times New Roman"/>
          <w:color w:val="auto"/>
        </w:rPr>
        <w:t>。</w:t>
      </w:r>
    </w:p>
    <w:p w14:paraId="49FF5EBA">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lang w:val="en-US" w:eastAsia="zh-CN"/>
        </w:rPr>
        <w:t>施工单位要制定具体的施工扬尘污染防治实施方案，在施工现场明显位置设置公示牌，内容包括：施工现场负责人、环保监督员、防尘措施、扬尘监督管理部门、举报投诉电话等信息。</w:t>
      </w:r>
    </w:p>
    <w:p w14:paraId="27E5CD63">
      <w:pPr>
        <w:ind w:firstLine="480"/>
        <w:rPr>
          <w:rFonts w:hint="default" w:ascii="Times New Roman" w:hAnsi="Times New Roman" w:eastAsia="宋体" w:cs="Times New Roman"/>
          <w:color w:val="auto"/>
          <w:lang w:val="en-US"/>
        </w:rPr>
      </w:pP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土石方施工作业过程中，施工作业面要采取防尘抑尘措施，对已完成的并可能产生扬尘污染的作业面，要采取洒水或喷雾等防尘措施。对土石方、建筑垃圾能够回填利用的及时回填，无法利用的及时清运至</w:t>
      </w:r>
      <w:r>
        <w:rPr>
          <w:rFonts w:hint="eastAsia" w:ascii="Times New Roman" w:hAnsi="Times New Roman" w:eastAsia="宋体" w:cs="Times New Roman"/>
          <w:color w:val="auto"/>
          <w:lang w:val="en-US" w:eastAsia="zh-CN"/>
        </w:rPr>
        <w:t>弃渣场。</w:t>
      </w:r>
    </w:p>
    <w:p w14:paraId="7A5ECDF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加强物料堆存及运输管理。在施工工地内堆放水泥、灰土、砂石、建筑土方等易产生扬尘的粉状、粒状和块状建筑材料的，应按照“粉状入仓、块状入棚”的原则，采取封闭或者遮盖等防尘措施，现场搅拌混凝土、砂浆等建筑材料的，物料落料点应采取湿法除尘、收尘等措施；运输物料、渣土的车辆应采用密闭或其他措施防止物料遗撒造成扬尘污染。</w:t>
      </w:r>
    </w:p>
    <w:p w14:paraId="5E4FE438">
      <w:pPr>
        <w:ind w:firstLine="48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5</w:t>
      </w:r>
      <w:r>
        <w:rPr>
          <w:rFonts w:hint="default" w:ascii="Times New Roman" w:hAnsi="Times New Roman" w:eastAsia="宋体" w:cs="Times New Roman"/>
          <w:color w:val="auto"/>
        </w:rPr>
        <w:t>）落实施工路段及施工便道防尘措施。施工路段及施工便道应适时洒水，减轻扬尘污染。其中，施工便道应尽量利用现有公路，确需新建的，宜分段采取措施；经过村庄及人口密集区的，应采用不易产尘的物料进行硬化。施工便道使用结束后，根据与地方政府的协商情况，可作为地方道路使用的，交由地方进行管理，如不能作为地方道路继续使用的，应根据原占地类型开展生态恢复或复垦。</w:t>
      </w:r>
    </w:p>
    <w:p w14:paraId="1DD55AF6">
      <w:pPr>
        <w:ind w:firstLine="480"/>
        <w:rPr>
          <w:rFonts w:hint="default" w:ascii="Times New Roman" w:hAnsi="Times New Roman" w:eastAsia="宋体" w:cs="Times New Roman"/>
          <w:color w:val="auto"/>
        </w:rPr>
      </w:pPr>
      <w:r>
        <w:rPr>
          <w:rFonts w:hint="eastAsia" w:ascii="Times New Roman" w:hAnsi="Times New Roman" w:eastAsia="宋体" w:cs="Times New Roman"/>
          <w:color w:val="auto"/>
          <w:lang w:val="en-US" w:eastAsia="zh-CN"/>
        </w:rPr>
        <w:t>6</w:t>
      </w:r>
      <w:r>
        <w:rPr>
          <w:rFonts w:hint="default" w:ascii="Times New Roman" w:hAnsi="Times New Roman" w:eastAsia="宋体" w:cs="Times New Roman"/>
          <w:color w:val="auto"/>
        </w:rPr>
        <w:t>）合理设置弃渣场，弃渣场应远离以居住、医疗卫生、文化教育、科研、行政办公等为主要功能的敏感区。</w:t>
      </w:r>
      <w:r>
        <w:rPr>
          <w:rFonts w:hint="default" w:ascii="Times New Roman" w:hAnsi="Times New Roman" w:eastAsia="宋体" w:cs="Times New Roman"/>
          <w:color w:val="auto"/>
        </w:rPr>
        <w:t>项目弃渣场</w:t>
      </w:r>
      <w:r>
        <w:rPr>
          <w:rFonts w:hint="eastAsia" w:cs="Times New Roman"/>
          <w:color w:val="auto"/>
          <w:lang w:val="en-US" w:eastAsia="zh-CN"/>
        </w:rPr>
        <w:t>2</w:t>
      </w:r>
      <w:r>
        <w:rPr>
          <w:rFonts w:hint="default" w:ascii="Times New Roman" w:hAnsi="Times New Roman" w:eastAsia="宋体" w:cs="Times New Roman"/>
          <w:color w:val="auto"/>
        </w:rPr>
        <w:t>00m</w:t>
      </w:r>
      <w:r>
        <w:rPr>
          <w:rFonts w:hint="default" w:ascii="Times New Roman" w:hAnsi="Times New Roman" w:eastAsia="宋体" w:cs="Times New Roman"/>
          <w:color w:val="auto"/>
        </w:rPr>
        <w:t>范围内无居民点，为防止扬尘对周围环境造成影响，需进行洒水降尘，大风天气设置防尘网进行遮盖，减轻对周围环境的影响。</w:t>
      </w:r>
    </w:p>
    <w:p w14:paraId="5ED1917F">
      <w:pPr>
        <w:pStyle w:val="5"/>
        <w:ind w:left="0" w:leftChars="0" w:firstLine="0" w:firstLineChars="0"/>
        <w:rPr>
          <w:rFonts w:hint="default" w:ascii="Times New Roman" w:hAnsi="Times New Roman" w:eastAsia="宋体" w:cs="Times New Roman"/>
          <w:color w:val="auto"/>
        </w:rPr>
      </w:pPr>
      <w:bookmarkStart w:id="217" w:name="_Toc31129"/>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.3.2</w:t>
      </w:r>
      <w:r>
        <w:rPr>
          <w:rFonts w:hint="eastAsia" w:cs="Times New Roman"/>
          <w:color w:val="auto"/>
          <w:lang w:eastAsia="zh-CN"/>
        </w:rPr>
        <w:t>营运期</w:t>
      </w:r>
      <w:r>
        <w:rPr>
          <w:rFonts w:hint="default" w:ascii="Times New Roman" w:hAnsi="Times New Roman" w:eastAsia="宋体" w:cs="Times New Roman"/>
          <w:color w:val="auto"/>
        </w:rPr>
        <w:t>空气污染防治措施</w:t>
      </w:r>
      <w:bookmarkEnd w:id="210"/>
      <w:bookmarkEnd w:id="211"/>
      <w:bookmarkEnd w:id="212"/>
      <w:bookmarkEnd w:id="213"/>
      <w:bookmarkEnd w:id="214"/>
      <w:bookmarkEnd w:id="215"/>
      <w:bookmarkEnd w:id="216"/>
      <w:bookmarkEnd w:id="217"/>
    </w:p>
    <w:p w14:paraId="7C404880">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（1）在道路两侧，特别是关心点临路较近的路段附近多植树、植灌木、种草，绿化，这样既可净化吸收车辆尾气中的污染物，又可美化环境和改善道路沿线景观。</w:t>
      </w:r>
    </w:p>
    <w:p w14:paraId="57AC4D69">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（2）加强组织管理，对上路车辆进行检查，禁止车况差、超载、遮盖不严容易洒落的车辆上路。</w:t>
      </w:r>
    </w:p>
    <w:p w14:paraId="1FC4CA20">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（3）加强路面养护和清洁，维护良好的路况，保证汽车在良好的路况下行驶，减少扬尘和尾气污染。加强对城市道路沿线绿化的养护，维护绿化的减污功能。</w:t>
      </w:r>
    </w:p>
    <w:p w14:paraId="7AF93229">
      <w:pPr>
        <w:pStyle w:val="3"/>
        <w:numPr>
          <w:ilvl w:val="0"/>
          <w:numId w:val="0"/>
        </w:numPr>
        <w:rPr>
          <w:rFonts w:hint="default" w:ascii="Times New Roman" w:hAnsi="Times New Roman" w:eastAsia="宋体" w:cs="Times New Roman"/>
          <w:color w:val="auto"/>
          <w:sz w:val="30"/>
          <w:szCs w:val="30"/>
          <w:lang w:val="en-US" w:eastAsia="zh-CN"/>
        </w:rPr>
      </w:pPr>
      <w:bookmarkStart w:id="218" w:name="_Toc5672"/>
      <w:bookmarkStart w:id="219" w:name="_Toc351046798"/>
      <w:bookmarkStart w:id="220" w:name="_Toc367844716"/>
      <w:bookmarkStart w:id="221" w:name="_Toc260057085"/>
      <w:bookmarkStart w:id="222" w:name="_Toc253050309"/>
      <w:bookmarkStart w:id="223" w:name="_Toc352320884"/>
      <w:bookmarkStart w:id="224" w:name="_Toc246761962"/>
      <w:bookmarkStart w:id="225" w:name="_Toc227360435"/>
      <w:bookmarkStart w:id="226" w:name="_Toc323909075"/>
      <w:bookmarkStart w:id="227" w:name="_Toc352320990"/>
      <w:bookmarkStart w:id="228" w:name="_Toc294958840"/>
      <w:r>
        <w:rPr>
          <w:rFonts w:hint="eastAsia" w:cs="Times New Roman"/>
          <w:color w:val="auto"/>
          <w:sz w:val="30"/>
          <w:szCs w:val="30"/>
          <w:lang w:val="en-US" w:eastAsia="zh-CN"/>
        </w:rPr>
        <w:t>7.4废水污染防治措施</w:t>
      </w:r>
      <w:bookmarkEnd w:id="218"/>
    </w:p>
    <w:p w14:paraId="6EABF853">
      <w:pPr>
        <w:pStyle w:val="5"/>
        <w:ind w:left="0" w:leftChars="0" w:firstLine="0" w:firstLineChars="0"/>
        <w:rPr>
          <w:rFonts w:hint="default" w:ascii="Times New Roman" w:hAnsi="Times New Roman" w:eastAsia="宋体" w:cs="Times New Roman"/>
          <w:color w:val="auto"/>
        </w:rPr>
      </w:pPr>
      <w:bookmarkStart w:id="229" w:name="_Toc7002"/>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cs="Times New Roman"/>
          <w:color w:val="auto"/>
          <w:lang w:val="en-US" w:eastAsia="zh-CN"/>
        </w:rPr>
        <w:t>4</w:t>
      </w:r>
      <w:r>
        <w:rPr>
          <w:rFonts w:hint="default" w:ascii="Times New Roman" w:hAnsi="Times New Roman" w:eastAsia="宋体" w:cs="Times New Roman"/>
          <w:color w:val="auto"/>
        </w:rPr>
        <w:t>.</w:t>
      </w:r>
      <w:r>
        <w:rPr>
          <w:rFonts w:hint="eastAsia" w:cs="Times New Roman"/>
          <w:color w:val="auto"/>
          <w:lang w:val="en-US" w:eastAsia="zh-CN"/>
        </w:rPr>
        <w:t>1施工</w:t>
      </w:r>
      <w:r>
        <w:rPr>
          <w:rFonts w:hint="eastAsia" w:cs="Times New Roman"/>
          <w:color w:val="auto"/>
          <w:lang w:eastAsia="zh-CN"/>
        </w:rPr>
        <w:t>期</w:t>
      </w:r>
      <w:r>
        <w:rPr>
          <w:rFonts w:hint="eastAsia" w:cs="Times New Roman"/>
          <w:color w:val="auto"/>
          <w:lang w:val="en-US" w:eastAsia="zh-CN"/>
        </w:rPr>
        <w:t>水</w:t>
      </w:r>
      <w:r>
        <w:rPr>
          <w:rFonts w:hint="default" w:ascii="Times New Roman" w:hAnsi="Times New Roman" w:eastAsia="宋体" w:cs="Times New Roman"/>
          <w:color w:val="auto"/>
        </w:rPr>
        <w:t>污染防治措施</w:t>
      </w:r>
      <w:bookmarkEnd w:id="229"/>
    </w:p>
    <w:p w14:paraId="1F12F3FD">
      <w:pPr>
        <w:bidi w:val="0"/>
        <w:rPr>
          <w:rFonts w:hint="eastAsia"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施工场地生产废水、混凝土拌和场含SS的碱性废水等直接排放，将会导致水体的泥沙、石油类等污染物含量增加，对水体产生污染影响。本环评建议</w:t>
      </w:r>
      <w:r>
        <w:rPr>
          <w:rFonts w:hint="eastAsia" w:cs="Times New Roman"/>
          <w:b w:val="0"/>
          <w:bCs w:val="0"/>
          <w:color w:val="auto"/>
          <w:sz w:val="24"/>
          <w:szCs w:val="24"/>
          <w:lang w:eastAsia="zh-CN"/>
        </w:rPr>
        <w:t>：</w:t>
      </w:r>
    </w:p>
    <w:p w14:paraId="4B99D3FA">
      <w:pPr>
        <w:bidi w:val="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 1 \* GB3 \* MERGEFORMAT </w:instrText>
      </w:r>
      <w:r>
        <w:rPr>
          <w:rFonts w:hint="default" w:ascii="Times New Roman" w:hAnsi="Times New Roman" w:eastAsia="宋体" w:cs="Times New Roman"/>
          <w:b w:val="0"/>
          <w:bCs w:val="0"/>
          <w:color w:val="auto"/>
          <w:sz w:val="24"/>
          <w:szCs w:val="24"/>
        </w:rPr>
        <w:fldChar w:fldCharType="separate"/>
      </w:r>
      <w:r>
        <w:rPr>
          <w:color w:val="auto"/>
        </w:rPr>
        <w:t>①</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t>在生活营地单独设置生活污水沉淀池1个，容积设置为5m</w:t>
      </w:r>
      <w:r>
        <w:rPr>
          <w:rFonts w:hint="default" w:ascii="Times New Roman" w:hAnsi="Times New Roman" w:eastAsia="宋体" w:cs="Times New Roman"/>
          <w:b w:val="0"/>
          <w:bCs w:val="0"/>
          <w:color w:val="auto"/>
          <w:sz w:val="24"/>
          <w:szCs w:val="24"/>
          <w:vertAlign w:val="superscript"/>
        </w:rPr>
        <w:t>3</w:t>
      </w:r>
      <w:r>
        <w:rPr>
          <w:rFonts w:hint="default" w:ascii="Times New Roman" w:hAnsi="Times New Roman" w:eastAsia="宋体" w:cs="Times New Roman"/>
          <w:b w:val="0"/>
          <w:bCs w:val="0"/>
          <w:color w:val="auto"/>
          <w:sz w:val="24"/>
          <w:szCs w:val="24"/>
        </w:rPr>
        <w:t>。项目施工过程中生活营地设置沉淀池，生活废水经沉淀处理后，回用于场地洒水抑尘，不外排，对地表水环境影响小。</w:t>
      </w:r>
    </w:p>
    <w:p w14:paraId="73C689B5">
      <w:pPr>
        <w:bidi w:val="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 2 \* GB3 \* MERGEFORMAT </w:instrText>
      </w:r>
      <w:r>
        <w:rPr>
          <w:rFonts w:hint="default" w:ascii="Times New Roman" w:hAnsi="Times New Roman" w:eastAsia="宋体" w:cs="Times New Roman"/>
          <w:b w:val="0"/>
          <w:bCs w:val="0"/>
          <w:color w:val="auto"/>
          <w:sz w:val="24"/>
          <w:szCs w:val="24"/>
        </w:rPr>
        <w:fldChar w:fldCharType="separate"/>
      </w:r>
      <w:r>
        <w:rPr>
          <w:color w:val="auto"/>
        </w:rPr>
        <w:t>②</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t>在施工场地布置沉淀池，对混凝土拌和、预制过程中产生的含SS的碱性废水进行收集处理。</w:t>
      </w:r>
    </w:p>
    <w:p w14:paraId="19954BE4">
      <w:pPr>
        <w:bidi w:val="0"/>
        <w:rPr>
          <w:rFonts w:hint="eastAsia"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fldChar w:fldCharType="begin"/>
      </w:r>
      <w:r>
        <w:rPr>
          <w:rFonts w:hint="default" w:ascii="Times New Roman" w:hAnsi="Times New Roman" w:eastAsia="宋体" w:cs="Times New Roman"/>
          <w:b w:val="0"/>
          <w:bCs w:val="0"/>
          <w:color w:val="auto"/>
          <w:sz w:val="24"/>
          <w:szCs w:val="24"/>
        </w:rPr>
        <w:instrText xml:space="preserve"> = 3 \* GB3 \* MERGEFORMAT </w:instrText>
      </w:r>
      <w:r>
        <w:rPr>
          <w:rFonts w:hint="default" w:ascii="Times New Roman" w:hAnsi="Times New Roman" w:eastAsia="宋体" w:cs="Times New Roman"/>
          <w:b w:val="0"/>
          <w:bCs w:val="0"/>
          <w:color w:val="auto"/>
          <w:sz w:val="24"/>
          <w:szCs w:val="24"/>
        </w:rPr>
        <w:fldChar w:fldCharType="separate"/>
      </w:r>
      <w:r>
        <w:rPr>
          <w:color w:val="auto"/>
        </w:rPr>
        <w:t>③</w:t>
      </w:r>
      <w:r>
        <w:rPr>
          <w:rFonts w:hint="default" w:ascii="Times New Roman" w:hAnsi="Times New Roman" w:eastAsia="宋体" w:cs="Times New Roman"/>
          <w:b w:val="0"/>
          <w:bCs w:val="0"/>
          <w:color w:val="auto"/>
          <w:sz w:val="24"/>
          <w:szCs w:val="24"/>
        </w:rPr>
        <w:fldChar w:fldCharType="end"/>
      </w:r>
      <w:r>
        <w:rPr>
          <w:rFonts w:hint="default" w:ascii="Times New Roman" w:hAnsi="Times New Roman" w:eastAsia="宋体" w:cs="Times New Roman"/>
          <w:b w:val="0"/>
          <w:bCs w:val="0"/>
          <w:color w:val="auto"/>
          <w:sz w:val="24"/>
          <w:szCs w:val="24"/>
        </w:rPr>
        <w:t>不得在跨越水体的河流管理范围内设置任何弃渣场地、料场及施工场地、施工营地。</w:t>
      </w:r>
      <w:r>
        <w:rPr>
          <w:rFonts w:hint="default" w:ascii="Times New Roman" w:hAnsi="Times New Roman" w:eastAsia="宋体" w:cs="Times New Roman"/>
          <w:b w:val="0"/>
          <w:bCs w:val="0"/>
          <w:color w:val="auto"/>
          <w:sz w:val="24"/>
          <w:szCs w:val="24"/>
        </w:rPr>
        <w:t>施工时应尽量租用当地民房</w:t>
      </w:r>
      <w:r>
        <w:rPr>
          <w:rFonts w:hint="default" w:ascii="Times New Roman" w:hAnsi="Times New Roman" w:eastAsia="宋体" w:cs="Times New Roman"/>
          <w:b w:val="0"/>
          <w:bCs w:val="0"/>
          <w:color w:val="auto"/>
          <w:sz w:val="24"/>
          <w:szCs w:val="24"/>
        </w:rPr>
        <w:t>，生活污水利用现有设施处理，若确实需要建设施工临时住房，施工生活营地选址应距河流岸边300m远，可采取设置化粪池进行收集处理，经处理后做农肥使用，严禁外排。</w:t>
      </w:r>
    </w:p>
    <w:p w14:paraId="01C70616">
      <w:pPr>
        <w:pStyle w:val="5"/>
        <w:ind w:left="0" w:leftChars="0" w:firstLine="0" w:firstLineChars="0"/>
        <w:rPr>
          <w:rFonts w:hint="default" w:ascii="Times New Roman" w:hAnsi="Times New Roman" w:eastAsia="宋体" w:cs="Times New Roman"/>
          <w:color w:val="auto"/>
        </w:rPr>
      </w:pPr>
      <w:bookmarkStart w:id="230" w:name="_Toc18134"/>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cs="Times New Roman"/>
          <w:color w:val="auto"/>
          <w:lang w:val="en-US" w:eastAsia="zh-CN"/>
        </w:rPr>
        <w:t>4</w:t>
      </w:r>
      <w:r>
        <w:rPr>
          <w:rFonts w:hint="default" w:ascii="Times New Roman" w:hAnsi="Times New Roman" w:eastAsia="宋体" w:cs="Times New Roman"/>
          <w:color w:val="auto"/>
        </w:rPr>
        <w:t>.2</w:t>
      </w:r>
      <w:r>
        <w:rPr>
          <w:rFonts w:hint="eastAsia" w:cs="Times New Roman"/>
          <w:color w:val="auto"/>
          <w:lang w:eastAsia="zh-CN"/>
        </w:rPr>
        <w:t>营运期</w:t>
      </w:r>
      <w:r>
        <w:rPr>
          <w:rFonts w:hint="eastAsia" w:cs="Times New Roman"/>
          <w:color w:val="auto"/>
          <w:lang w:val="en-US" w:eastAsia="zh-CN"/>
        </w:rPr>
        <w:t>水</w:t>
      </w:r>
      <w:r>
        <w:rPr>
          <w:rFonts w:hint="default" w:ascii="Times New Roman" w:hAnsi="Times New Roman" w:eastAsia="宋体" w:cs="Times New Roman"/>
          <w:color w:val="auto"/>
        </w:rPr>
        <w:t>污染防治措施</w:t>
      </w:r>
      <w:bookmarkEnd w:id="230"/>
    </w:p>
    <w:p w14:paraId="3DA6D5F3">
      <w:pPr>
        <w:ind w:firstLine="480"/>
        <w:rPr>
          <w:rFonts w:hint="eastAsia" w:ascii="Times New Roman" w:hAnsi="Times New Roman" w:eastAsia="宋体" w:cs="Times New Roman"/>
          <w:color w:val="auto"/>
          <w:sz w:val="30"/>
          <w:szCs w:val="30"/>
          <w:lang w:val="en-US" w:eastAsia="zh-CN"/>
        </w:rPr>
      </w:pPr>
      <w:r>
        <w:rPr>
          <w:rFonts w:hint="default" w:ascii="Times New Roman" w:hAnsi="Times New Roman" w:eastAsia="宋体" w:cs="Times New Roman"/>
          <w:color w:val="auto"/>
        </w:rPr>
        <w:t>项目建成营运后，路面污染物随路面径流进入附近水体造成污染，其主要影响因素为：pH、SS、石油类，</w:t>
      </w:r>
      <w:r>
        <w:rPr>
          <w:rFonts w:hint="eastAsia" w:cs="Times New Roman"/>
          <w:color w:val="auto"/>
          <w:lang w:val="en-US" w:eastAsia="zh-CN"/>
        </w:rPr>
        <w:t>通过加强管理，减少随初期雨水冲刷而进入到路面径流污水中的SS和石油类等污染物量，</w:t>
      </w:r>
      <w:r>
        <w:rPr>
          <w:rFonts w:hint="default" w:ascii="Times New Roman" w:hAnsi="Times New Roman" w:eastAsia="宋体" w:cs="Times New Roman"/>
          <w:color w:val="auto"/>
        </w:rPr>
        <w:t>总体上影响轻微。</w:t>
      </w:r>
    </w:p>
    <w:p w14:paraId="2E7EA9FE">
      <w:pPr>
        <w:bidi w:val="0"/>
        <w:rPr>
          <w:rFonts w:hint="eastAsia"/>
          <w:color w:val="auto"/>
          <w:lang w:val="en-US" w:eastAsia="zh-CN"/>
        </w:rPr>
      </w:pPr>
      <w:r>
        <w:rPr>
          <w:rFonts w:hint="eastAsia"/>
          <w:color w:val="auto"/>
          <w:lang w:val="en-US" w:eastAsia="zh-CN"/>
        </w:rPr>
        <w:t>（1）完善路面径流的排水系统。</w:t>
      </w:r>
    </w:p>
    <w:p w14:paraId="5C42D0DF">
      <w:pPr>
        <w:bidi w:val="0"/>
        <w:rPr>
          <w:rFonts w:hint="eastAsia"/>
          <w:color w:val="auto"/>
          <w:lang w:val="en-US" w:eastAsia="zh-CN"/>
        </w:rPr>
      </w:pPr>
      <w:r>
        <w:rPr>
          <w:rFonts w:hint="eastAsia"/>
          <w:color w:val="auto"/>
          <w:lang w:val="en-US" w:eastAsia="zh-CN"/>
        </w:rPr>
        <w:t>（2）加强对路面和桥面的日常维护与管理。</w:t>
      </w:r>
    </w:p>
    <w:p w14:paraId="57D00C5C">
      <w:pPr>
        <w:bidi w:val="0"/>
        <w:rPr>
          <w:rFonts w:hint="eastAsia"/>
          <w:color w:val="auto"/>
          <w:lang w:val="en-US" w:eastAsia="zh-CN"/>
        </w:rPr>
      </w:pPr>
      <w:r>
        <w:rPr>
          <w:rFonts w:hint="eastAsia"/>
          <w:color w:val="auto"/>
          <w:lang w:val="en-US" w:eastAsia="zh-CN"/>
        </w:rPr>
        <w:t>（3）加强机动车辆的运输管理，设置限速和警示标识。</w:t>
      </w:r>
    </w:p>
    <w:p w14:paraId="323A31FC">
      <w:pPr>
        <w:bidi w:val="0"/>
        <w:rPr>
          <w:rFonts w:hint="eastAsia"/>
          <w:color w:val="auto"/>
          <w:lang w:val="en-US" w:eastAsia="zh-CN"/>
        </w:rPr>
      </w:pPr>
      <w:r>
        <w:rPr>
          <w:rFonts w:hint="eastAsia"/>
          <w:color w:val="auto"/>
          <w:lang w:val="en-US" w:eastAsia="zh-CN"/>
        </w:rPr>
        <w:t>（4）加强对路面的日常维护与管理，减少随初期雨水冲刷而进入到路面径流污水中的SS、石油类等污染物量。</w:t>
      </w:r>
    </w:p>
    <w:p w14:paraId="7232C645">
      <w:pPr>
        <w:bidi w:val="0"/>
        <w:rPr>
          <w:rFonts w:hint="eastAsia"/>
          <w:color w:val="auto"/>
          <w:lang w:val="en-US" w:eastAsia="zh-CN"/>
        </w:rPr>
      </w:pPr>
      <w:r>
        <w:rPr>
          <w:rFonts w:hint="eastAsia"/>
          <w:color w:val="auto"/>
          <w:lang w:val="en-US" w:eastAsia="zh-CN"/>
        </w:rPr>
        <w:t>（5）营运期突发性事故应按照环境风险事故防范措施及应急预案，采取应急措施。</w:t>
      </w:r>
    </w:p>
    <w:p w14:paraId="618636B4">
      <w:pPr>
        <w:pStyle w:val="3"/>
        <w:numPr>
          <w:ilvl w:val="0"/>
          <w:numId w:val="0"/>
        </w:numPr>
        <w:rPr>
          <w:rFonts w:hint="default" w:ascii="Times New Roman" w:hAnsi="Times New Roman" w:eastAsia="宋体" w:cs="Times New Roman"/>
          <w:color w:val="auto"/>
          <w:sz w:val="30"/>
          <w:szCs w:val="30"/>
        </w:rPr>
      </w:pPr>
      <w:bookmarkStart w:id="231" w:name="_Toc28699"/>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w:t>
      </w:r>
      <w:r>
        <w:rPr>
          <w:rFonts w:hint="eastAsia" w:cs="Times New Roman"/>
          <w:color w:val="auto"/>
          <w:sz w:val="30"/>
          <w:szCs w:val="30"/>
          <w:lang w:val="en-US" w:eastAsia="zh-CN"/>
        </w:rPr>
        <w:t>5</w:t>
      </w:r>
      <w:r>
        <w:rPr>
          <w:rFonts w:hint="default" w:ascii="Times New Roman" w:hAnsi="Times New Roman" w:eastAsia="宋体" w:cs="Times New Roman"/>
          <w:color w:val="auto"/>
          <w:sz w:val="30"/>
          <w:szCs w:val="30"/>
        </w:rPr>
        <w:t>固体废物防治措施</w:t>
      </w:r>
      <w:bookmarkEnd w:id="231"/>
    </w:p>
    <w:p w14:paraId="6FBD8F98">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（1）施工期间，运送散装建筑材料的车辆，用</w:t>
      </w:r>
      <w:r>
        <w:rPr>
          <w:rFonts w:hint="default" w:ascii="Times New Roman" w:hAnsi="Times New Roman" w:eastAsia="宋体" w:cs="Times New Roman"/>
          <w:color w:val="auto"/>
          <w:kern w:val="0"/>
          <w:lang w:eastAsia="zh-CN" w:bidi="ar"/>
        </w:rPr>
        <w:t>篷布</w:t>
      </w:r>
      <w:r>
        <w:rPr>
          <w:rFonts w:hint="default" w:ascii="Times New Roman" w:hAnsi="Times New Roman" w:eastAsia="宋体" w:cs="Times New Roman"/>
          <w:color w:val="auto"/>
          <w:kern w:val="0"/>
          <w:lang w:bidi="ar"/>
        </w:rPr>
        <w:t>遮盖，以防物料洒落；</w:t>
      </w:r>
    </w:p>
    <w:p w14:paraId="1DA6C74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（2）本工程共计产生土石方开挖71.76万m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（其中，表土剥离3.39万m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，建筑垃圾0.04万m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，一般土方开挖42.50万m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，一般石方开挖25.83万m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），土石方回填利用9.81万m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（其中，表土回覆3.39万m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，一般土石方回填6.42万m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），本工程产生永久弃渣61.95万m</w:t>
      </w:r>
      <w:r>
        <w:rPr>
          <w:rFonts w:hint="default" w:ascii="Times New Roman" w:hAnsi="Times New Roman" w:eastAsia="宋体" w:cs="Times New Roman"/>
          <w:color w:val="auto"/>
          <w:kern w:val="0"/>
          <w:vertAlign w:val="superscript"/>
          <w:lang w:bidi="ar"/>
        </w:rPr>
        <w:t>3</w:t>
      </w:r>
      <w:r>
        <w:rPr>
          <w:rFonts w:hint="default" w:ascii="Times New Roman" w:hAnsi="Times New Roman" w:eastAsia="宋体" w:cs="Times New Roman"/>
          <w:color w:val="auto"/>
          <w:kern w:val="0"/>
          <w:lang w:bidi="ar"/>
        </w:rPr>
        <w:t>，无外借土石方。本工程产生的弃渣运至项目规划的弃渣场堆放。</w:t>
      </w:r>
    </w:p>
    <w:p w14:paraId="3C63E22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项目内产生的拆迁建筑垃圾及废弃建筑材料经分拣、剔除后，废钢材等可以回收利用的，集中收集后外售综合利用；砖石、混凝土不可回收利用的，应妥善保管，优先供周边地区修补乡村道路或建筑使用，无法利用时运至政府指定地点堆存，在运输过程中为防止建筑垃圾沿路泼洒，应对运输车辆加盖篷布；</w:t>
      </w:r>
    </w:p>
    <w:p w14:paraId="716A8AA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建设单位需按照《云南省人民政府办公厅关于印发《云南省建筑垃圾管理办法（试行）》的通知》（云政办规〔2024〕4号）文件要求，以减量化、资源化、无害化为原则，编制建筑垃圾处理方案，报当地建筑垃圾主管部门备案；</w:t>
      </w:r>
    </w:p>
    <w:p w14:paraId="02CBBEF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5）合理安排施工时间。土方施工应尽量避开在雨季进行，并在雨季来临前将已开挖回填土方的边坡排水设施处理好。如在雨季施工，应尽量减小施工面坡度，并做到施工料随取、随运、随铺、随压，以减少雨水</w:t>
      </w:r>
      <w:r>
        <w:rPr>
          <w:rFonts w:hint="eastAsia" w:cs="Times New Roman"/>
          <w:color w:val="auto"/>
          <w:kern w:val="0"/>
          <w:lang w:val="en-US" w:eastAsia="zh-CN" w:bidi="ar"/>
        </w:rPr>
        <w:t>对地表水、地下水和土壤的污染影响</w:t>
      </w:r>
      <w:r>
        <w:rPr>
          <w:rFonts w:hint="default" w:ascii="Times New Roman" w:hAnsi="Times New Roman" w:eastAsia="宋体" w:cs="Times New Roman"/>
          <w:color w:val="auto"/>
          <w:kern w:val="0"/>
          <w:lang w:bidi="ar"/>
        </w:rPr>
        <w:t>；</w:t>
      </w:r>
    </w:p>
    <w:p w14:paraId="42930E5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（6）工程不设置施工营地，施工人员主要租住在沿线的居民房，生活垃圾依托沿线居民的垃圾收集设施进行处置；在施工场地周围适当增设垃圾收集桶，统一收集后委托当地环卫部门清运处置。</w:t>
      </w:r>
    </w:p>
    <w:p w14:paraId="3685D44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（7）土石方运输污染防治措施</w:t>
      </w:r>
    </w:p>
    <w:p w14:paraId="2286F199">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1）所有土石方运输车辆必须采用封闭式渣土车，严禁车辆超载运输；及时对运输车辆进行清洗，保持车身整洁，并严格控制运输过程中</w:t>
      </w:r>
      <w:r>
        <w:rPr>
          <w:rFonts w:hint="default" w:ascii="Times New Roman" w:hAnsi="Times New Roman" w:eastAsia="宋体" w:cs="Times New Roman"/>
          <w:color w:val="auto"/>
          <w:kern w:val="0"/>
          <w:lang w:eastAsia="zh-CN" w:bidi="ar"/>
        </w:rPr>
        <w:t>抛撒</w:t>
      </w:r>
      <w:r>
        <w:rPr>
          <w:rFonts w:hint="default" w:ascii="Times New Roman" w:hAnsi="Times New Roman" w:eastAsia="宋体" w:cs="Times New Roman"/>
          <w:color w:val="auto"/>
          <w:kern w:val="0"/>
          <w:lang w:bidi="ar"/>
        </w:rPr>
        <w:t>等现象的发生。以控制运输过程中的扬尘产生量。</w:t>
      </w:r>
    </w:p>
    <w:p w14:paraId="43067FA0">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2）加强对运输作业人员的素质培训教育，运输作业严格遵守交通规则，文明行车，不超载、不超速，并及时对车辆进行检测维修，使运输车辆保持良好的车况，以减轻运输过程中的交通噪声导致的环境影响。</w:t>
      </w:r>
    </w:p>
    <w:p w14:paraId="6405FF4C">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3）要求运输单位或个人购置低排放、低噪声、大运力车辆，严禁车辆超载运输；同时加强车辆维护，以减少汽车尾气污染、交通噪声污染和扬尘污染等。</w:t>
      </w:r>
    </w:p>
    <w:p w14:paraId="3ED172A9">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4）项目运输车辆经过居民区时应限速、禁鸣，保持运输道路路面的平整，禁止夜间运输。</w:t>
      </w:r>
    </w:p>
    <w:p w14:paraId="0B799D91">
      <w:pPr>
        <w:widowControl/>
        <w:ind w:firstLine="720" w:firstLineChars="30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5）运输车辆设置明显的标志并经常维护保养，保证车况良好和行车安全。</w:t>
      </w:r>
    </w:p>
    <w:p w14:paraId="4ECF1824">
      <w:pPr>
        <w:pStyle w:val="3"/>
        <w:numPr>
          <w:ilvl w:val="0"/>
          <w:numId w:val="0"/>
        </w:numPr>
        <w:rPr>
          <w:rFonts w:hint="default" w:ascii="Times New Roman" w:hAnsi="Times New Roman" w:eastAsia="宋体" w:cs="Times New Roman"/>
          <w:color w:val="auto"/>
          <w:sz w:val="30"/>
          <w:szCs w:val="30"/>
        </w:rPr>
      </w:pPr>
      <w:bookmarkStart w:id="232" w:name="_Toc6737"/>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w:t>
      </w:r>
      <w:r>
        <w:rPr>
          <w:rFonts w:hint="eastAsia" w:cs="Times New Roman"/>
          <w:color w:val="auto"/>
          <w:sz w:val="30"/>
          <w:szCs w:val="30"/>
          <w:lang w:val="en-US" w:eastAsia="zh-CN"/>
        </w:rPr>
        <w:t>6</w:t>
      </w:r>
      <w:r>
        <w:rPr>
          <w:rFonts w:hint="default" w:ascii="Times New Roman" w:hAnsi="Times New Roman" w:eastAsia="宋体" w:cs="Times New Roman"/>
          <w:color w:val="auto"/>
          <w:sz w:val="30"/>
          <w:szCs w:val="30"/>
        </w:rPr>
        <w:t>环境风险防范措施</w:t>
      </w:r>
      <w:bookmarkEnd w:id="232"/>
    </w:p>
    <w:p w14:paraId="546A07AC">
      <w:pPr>
        <w:widowControl/>
        <w:ind w:firstLine="0" w:firstLineChars="0"/>
        <w:jc w:val="left"/>
        <w:rPr>
          <w:rFonts w:hint="default" w:ascii="Times New Roman" w:hAnsi="Times New Roman" w:eastAsia="宋体" w:cs="Times New Roman"/>
          <w:b/>
          <w:bCs/>
          <w:color w:val="auto"/>
          <w:kern w:val="0"/>
          <w:lang w:bidi="ar"/>
        </w:rPr>
      </w:pPr>
      <w:r>
        <w:rPr>
          <w:rFonts w:hint="eastAsia" w:ascii="Times New Roman" w:hAnsi="Times New Roman" w:eastAsia="宋体" w:cs="Times New Roman"/>
          <w:b/>
          <w:bCs/>
          <w:color w:val="auto"/>
          <w:kern w:val="0"/>
          <w:lang w:val="en-US" w:eastAsia="zh-CN" w:bidi="ar"/>
        </w:rPr>
        <w:t>7</w:t>
      </w: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6</w:t>
      </w:r>
      <w:r>
        <w:rPr>
          <w:rFonts w:hint="default" w:ascii="Times New Roman" w:hAnsi="Times New Roman" w:eastAsia="宋体" w:cs="Times New Roman"/>
          <w:b/>
          <w:bCs/>
          <w:color w:val="auto"/>
          <w:kern w:val="0"/>
          <w:lang w:bidi="ar"/>
        </w:rPr>
        <w:t>.1运输危险品管理措施</w:t>
      </w:r>
    </w:p>
    <w:p w14:paraId="38DAACD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具体措施如下：</w:t>
      </w:r>
    </w:p>
    <w:p w14:paraId="59CEA24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（1）加强对从事危险货物运输业主、驾驶员及押运员的安全教育和运输车辆的安全检查，使从业人员具有高度责任感，使车辆处于完好的技术状态。</w:t>
      </w:r>
    </w:p>
    <w:p w14:paraId="7B834944">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危险化学品运输车辆在进入公路前，应向当地公路运输管理部门领取申报表，在入口处接受公安或交通管理部门的抽查，并提交申报表。申报表主要报告项目有危险货物运输执照号码、货物品种、等级和编号、收发货人姓名、装卸地点、货物特性等。危险化学品运输车辆一般应安排在交通量较少时段通行，在气候不好的条件下应禁止其上路，从而加强对运输车辆进行有效管理。</w:t>
      </w:r>
    </w:p>
    <w:p w14:paraId="6500EE0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（3）实行危险化学品运输车辆的检查制度，在入口处的超宽车道（一般为最外侧车道）设置危化品运输申报点。对申报运输危险品的车辆进行“准运证</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驾驶员证</w:t>
      </w:r>
      <w:r>
        <w:rPr>
          <w:rFonts w:hint="default" w:ascii="Times New Roman" w:hAnsi="Times New Roman" w:eastAsia="宋体" w:cs="Times New Roman"/>
          <w:color w:val="auto"/>
          <w:kern w:val="0"/>
          <w:lang w:eastAsia="zh-CN" w:bidi="ar"/>
        </w:rPr>
        <w:t>”“</w:t>
      </w:r>
      <w:r>
        <w:rPr>
          <w:rFonts w:hint="default" w:ascii="Times New Roman" w:hAnsi="Times New Roman" w:eastAsia="宋体" w:cs="Times New Roman"/>
          <w:color w:val="auto"/>
          <w:kern w:val="0"/>
          <w:lang w:bidi="ar"/>
        </w:rPr>
        <w:t>押运员证”和危化品运输行车路单检查，“三证一单”不全的车辆将不允许驶上公路。除证件检查外，必要时应对运输危险品的车辆进行安全检查。如《压力容器使用证》的有效性及检验合格证等，对有安全隐患的车辆进行安全检查，在未排除隐患前不允许进入公路。</w:t>
      </w:r>
    </w:p>
    <w:p w14:paraId="192320BC">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（4）拟建公路在沿线设置</w:t>
      </w:r>
      <w:r>
        <w:rPr>
          <w:rFonts w:hint="eastAsia"/>
          <w:color w:val="auto"/>
          <w:vertAlign w:val="baseline"/>
          <w:lang w:val="en-US" w:eastAsia="zh-CN"/>
        </w:rPr>
        <w:t>危险警示标志、防护栏、防撞墩及事故池</w:t>
      </w:r>
      <w:r>
        <w:rPr>
          <w:rFonts w:hint="default" w:ascii="Times New Roman" w:hAnsi="Times New Roman" w:eastAsia="宋体" w:cs="Times New Roman"/>
          <w:color w:val="auto"/>
          <w:kern w:val="0"/>
          <w:lang w:bidi="ar"/>
        </w:rPr>
        <w:t>，提醒危险化学品运输车辆司机缓慢行驶，运输车辆左前方悬挂有黄底黑字“危险品”字样的信号旗。</w:t>
      </w:r>
    </w:p>
    <w:p w14:paraId="2217F8EA">
      <w:pPr>
        <w:widowControl/>
        <w:ind w:firstLine="480"/>
        <w:jc w:val="left"/>
        <w:rPr>
          <w:rFonts w:hint="default" w:ascii="Times New Roman" w:hAnsi="Times New Roman" w:eastAsia="宋体" w:cs="Times New Roman"/>
          <w:b/>
          <w:bCs/>
          <w:color w:val="auto"/>
          <w:kern w:val="0"/>
          <w:lang w:bidi="ar"/>
        </w:rPr>
      </w:pPr>
      <w:r>
        <w:rPr>
          <w:rFonts w:hint="default" w:ascii="Times New Roman" w:hAnsi="Times New Roman" w:eastAsia="宋体" w:cs="Times New Roman"/>
          <w:color w:val="auto"/>
          <w:kern w:val="0"/>
          <w:lang w:bidi="ar"/>
        </w:rPr>
        <w:t>（5）交通、公安、环保部门要相互配合，提高快速反应、处置能力，要改善和提高相应的装备水平。</w:t>
      </w:r>
    </w:p>
    <w:p w14:paraId="38FC3828">
      <w:pPr>
        <w:widowControl/>
        <w:ind w:firstLine="0" w:firstLineChars="0"/>
        <w:jc w:val="left"/>
        <w:rPr>
          <w:rFonts w:hint="default" w:ascii="Times New Roman" w:hAnsi="Times New Roman" w:eastAsia="宋体" w:cs="Times New Roman"/>
          <w:b/>
          <w:bCs/>
          <w:color w:val="auto"/>
          <w:kern w:val="0"/>
          <w:lang w:bidi="ar"/>
        </w:rPr>
      </w:pPr>
      <w:r>
        <w:rPr>
          <w:rFonts w:hint="eastAsia" w:ascii="Times New Roman" w:hAnsi="Times New Roman" w:eastAsia="宋体" w:cs="Times New Roman"/>
          <w:b/>
          <w:bCs/>
          <w:color w:val="auto"/>
          <w:kern w:val="0"/>
          <w:lang w:val="en-US" w:eastAsia="zh-CN" w:bidi="ar"/>
        </w:rPr>
        <w:t>7</w:t>
      </w: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6</w:t>
      </w:r>
      <w:r>
        <w:rPr>
          <w:rFonts w:hint="default" w:ascii="Times New Roman" w:hAnsi="Times New Roman" w:eastAsia="宋体" w:cs="Times New Roman"/>
          <w:b/>
          <w:bCs/>
          <w:color w:val="auto"/>
          <w:kern w:val="0"/>
          <w:lang w:bidi="ar"/>
        </w:rPr>
        <w:t>.2危险品运输事故处置措施</w:t>
      </w:r>
    </w:p>
    <w:p w14:paraId="2AE264B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一旦运输危险品车辆在跨越水体路段发生事故时，应急队伍的应急响应时间必须控制在20min之内，保证在充足的施救时间投放围油栏、采用拦截和诱导溢油的方式清除油污。</w:t>
      </w:r>
    </w:p>
    <w:p w14:paraId="36AACD42">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 xml:space="preserve">（1）进入泄漏现场进行处理时，应注意安全防护 </w:t>
      </w:r>
    </w:p>
    <w:p w14:paraId="5FBD279F">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①进入现场救援人员必须配备必要的个人防护器具。</w:t>
      </w:r>
    </w:p>
    <w:p w14:paraId="1246C72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②如果泄漏物是易燃易爆的，事故区应严禁火种、切断电源、禁止车辆进入、立即在边界设置警戒线。根据事故情况和发展，确定事故波及区人员的撤离。</w:t>
      </w:r>
    </w:p>
    <w:p w14:paraId="5B5FD825">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③如果泄漏时有毒的，应使用专用防护服、隔绝式空气面具。为了在现场上能正确使用和适应，平时应进行严格的适应性训练。立即在事故中心区边界设置警戒线。根据事故情况和事故发展，确定事故波及区人员的撤离。</w:t>
      </w:r>
    </w:p>
    <w:p w14:paraId="486CAB3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泄漏源控制：堵漏，采用合适的材料和技术手段堵住泄漏处。</w:t>
      </w:r>
    </w:p>
    <w:p w14:paraId="1CA50DE0">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（2）泄漏物处理</w:t>
      </w:r>
    </w:p>
    <w:p w14:paraId="604E05D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①围堤堵截：</w:t>
      </w:r>
      <w:r>
        <w:rPr>
          <w:rFonts w:hint="default" w:ascii="Times New Roman" w:hAnsi="Times New Roman" w:eastAsia="宋体" w:cs="Times New Roman"/>
          <w:color w:val="auto"/>
          <w:kern w:val="0"/>
          <w:lang w:bidi="ar"/>
        </w:rPr>
        <w:t>筑堤堵截泄漏液体或者引流到</w:t>
      </w:r>
      <w:r>
        <w:rPr>
          <w:rFonts w:hint="eastAsia" w:cs="Times New Roman"/>
          <w:color w:val="auto"/>
          <w:kern w:val="0"/>
          <w:lang w:val="en-US" w:eastAsia="zh-CN" w:bidi="ar"/>
        </w:rPr>
        <w:t>应急池</w:t>
      </w:r>
      <w:r>
        <w:rPr>
          <w:rFonts w:hint="default" w:ascii="Times New Roman" w:hAnsi="Times New Roman" w:eastAsia="宋体" w:cs="Times New Roman"/>
          <w:color w:val="auto"/>
          <w:kern w:val="0"/>
          <w:lang w:bidi="ar"/>
        </w:rPr>
        <w:t>。</w:t>
      </w:r>
      <w:r>
        <w:rPr>
          <w:rFonts w:hint="default" w:ascii="Times New Roman" w:hAnsi="Times New Roman" w:eastAsia="宋体" w:cs="Times New Roman"/>
          <w:color w:val="auto"/>
          <w:kern w:val="0"/>
          <w:lang w:bidi="ar"/>
        </w:rPr>
        <w:t>储罐发生液体泄漏时，要及时堵住泄漏处，防止物料外流污染环境。</w:t>
      </w:r>
    </w:p>
    <w:p w14:paraId="5B82275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②稀释与覆盖：向有害物蒸汽云喷射雾状水，加速气体向高空扩散。对于可燃物，也可以在现状</w:t>
      </w:r>
      <w:r>
        <w:rPr>
          <w:rFonts w:hint="default" w:ascii="Times New Roman" w:hAnsi="Times New Roman" w:eastAsia="宋体" w:cs="Times New Roman"/>
          <w:color w:val="auto"/>
          <w:kern w:val="0"/>
          <w:lang w:eastAsia="zh-CN" w:bidi="ar"/>
        </w:rPr>
        <w:t>释放</w:t>
      </w:r>
      <w:r>
        <w:rPr>
          <w:rFonts w:hint="default" w:ascii="Times New Roman" w:hAnsi="Times New Roman" w:eastAsia="宋体" w:cs="Times New Roman"/>
          <w:color w:val="auto"/>
          <w:kern w:val="0"/>
          <w:lang w:bidi="ar"/>
        </w:rPr>
        <w:t>大量水蒸气或氮气，破坏燃烧条件。对于液体泄漏，为降低物料向大气中蒸汽速度，可用泡沫或其他覆盖物品覆盖外泄的物料，在其表面形成覆盖层，抑制其蒸发。</w:t>
      </w:r>
    </w:p>
    <w:p w14:paraId="1D89782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③收容：将泄漏出的物料抽入容器内或槽车内，当泄漏量小时，可用沙子、吸附材料、中和材料等吸收中和。</w:t>
      </w:r>
    </w:p>
    <w:p w14:paraId="04BDADD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④废弃：将收集的泄漏物运至废物处置场所处置。用消防水冲洗剩下的少量物料，冲洗水排入污水系统处理。</w:t>
      </w:r>
    </w:p>
    <w:p w14:paraId="706186AD">
      <w:pPr>
        <w:widowControl/>
        <w:ind w:firstLine="0" w:firstLineChars="0"/>
        <w:jc w:val="left"/>
        <w:rPr>
          <w:rFonts w:hint="default" w:ascii="Times New Roman" w:hAnsi="Times New Roman" w:eastAsia="宋体" w:cs="Times New Roman"/>
          <w:color w:val="auto"/>
        </w:rPr>
      </w:pPr>
      <w:r>
        <w:rPr>
          <w:rFonts w:hint="eastAsia" w:ascii="Times New Roman" w:hAnsi="Times New Roman" w:eastAsia="宋体" w:cs="Times New Roman"/>
          <w:b/>
          <w:bCs/>
          <w:color w:val="auto"/>
          <w:kern w:val="0"/>
          <w:lang w:val="en-US" w:eastAsia="zh-CN" w:bidi="ar"/>
        </w:rPr>
        <w:t>7</w:t>
      </w: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6</w:t>
      </w:r>
      <w:r>
        <w:rPr>
          <w:rFonts w:hint="default" w:ascii="Times New Roman" w:hAnsi="Times New Roman" w:eastAsia="宋体" w:cs="Times New Roman"/>
          <w:b/>
          <w:bCs/>
          <w:color w:val="auto"/>
          <w:kern w:val="0"/>
          <w:lang w:bidi="ar"/>
        </w:rPr>
        <w:t>.3危险品火灾事故处置措施</w:t>
      </w:r>
    </w:p>
    <w:p w14:paraId="66BE7DD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先控制，后消灭。针对危险品火灾的火势发展蔓延快燃烧面积大的特点，积极采取统一指挥、以快制快；堵截蔓延；重点突破、排除险情；分割包围、速战速决的灭火战术。扑救人员应占领上风或侧风阵地。</w:t>
      </w:r>
    </w:p>
    <w:p w14:paraId="5E3CDBFE">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进行火情侦察、火灾扑救、火灾疏散人员应有针对性地采取自我防护措施。如佩戴防护面具、穿戴专用防护服等。</w:t>
      </w:r>
    </w:p>
    <w:p w14:paraId="2042516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应迅速查明燃烧物品及其周围物品的品名和主要危险特性、火势蔓延的主要途径，燃烧的危险品及燃烧产物是否有毒。</w:t>
      </w:r>
    </w:p>
    <w:p w14:paraId="1B0F35CB">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正确选择最适合的灭火剂和灭火方法。火势较大时，应先堵截火势蔓延，控制燃烧范围，然后逐步扑灭火势。</w:t>
      </w:r>
    </w:p>
    <w:p w14:paraId="3044EC59">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对有可能发生爆炸、爆裂、喷溅等特别危险需紧急撤退的情况，应按照统一的撤退信号和撤退方法进行撤退。撤退信号应格外醒目，能使现场所有人员全部看到或听到，并应经常演练。</w:t>
      </w:r>
    </w:p>
    <w:p w14:paraId="532EAC16">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火灾扑灭后，仍然要派人监护现场，消灭余火。起火人员应当保护现场，接受事故调查，协助公安消防督查部门和上级安全管理部门调查火灾原因，核定火灾损失，查明火灾责任，未经公安监督部门和上级安全监督部门的同意，不得擅自清理火灾现场。</w:t>
      </w:r>
    </w:p>
    <w:p w14:paraId="2AFBF450">
      <w:pPr>
        <w:bidi w:val="0"/>
        <w:ind w:left="0" w:leftChars="0" w:firstLine="0" w:firstLineChars="0"/>
        <w:rPr>
          <w:rFonts w:hint="eastAsia" w:cs="Times New Roman"/>
          <w:b/>
          <w:bCs/>
          <w:color w:val="auto"/>
          <w:kern w:val="0"/>
          <w:lang w:val="en-US" w:eastAsia="zh-CN" w:bidi="ar"/>
        </w:rPr>
      </w:pPr>
      <w:r>
        <w:rPr>
          <w:rFonts w:hint="eastAsia" w:ascii="Times New Roman" w:hAnsi="Times New Roman" w:eastAsia="宋体" w:cs="Times New Roman"/>
          <w:b/>
          <w:bCs/>
          <w:color w:val="auto"/>
          <w:kern w:val="0"/>
          <w:lang w:val="en-US" w:eastAsia="zh-CN" w:bidi="ar"/>
        </w:rPr>
        <w:t>7</w:t>
      </w: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6</w:t>
      </w:r>
      <w:r>
        <w:rPr>
          <w:rFonts w:hint="default" w:ascii="Times New Roman" w:hAnsi="Times New Roman" w:eastAsia="宋体" w:cs="Times New Roman"/>
          <w:b/>
          <w:bCs/>
          <w:color w:val="auto"/>
          <w:kern w:val="0"/>
          <w:lang w:bidi="ar"/>
        </w:rPr>
        <w:t>.</w:t>
      </w:r>
      <w:r>
        <w:rPr>
          <w:rFonts w:hint="eastAsia" w:cs="Times New Roman"/>
          <w:b/>
          <w:bCs/>
          <w:color w:val="auto"/>
          <w:kern w:val="0"/>
          <w:lang w:val="en-US" w:eastAsia="zh-CN" w:bidi="ar"/>
        </w:rPr>
        <w:t>4应急预案</w:t>
      </w:r>
    </w:p>
    <w:p w14:paraId="241CA9FF">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为保护沿线水体水质、居民安全，本次公路建成通车时，建设单位应制订危险品运输交通事故应急预案，事故发生后第一时间启动应急预案，采取相关措施，以最大限度减少危险品对水体的污染及沿线居民的影响。</w:t>
      </w:r>
    </w:p>
    <w:p w14:paraId="60617CEC">
      <w:pPr>
        <w:keepNext w:val="0"/>
        <w:keepLines w:val="0"/>
        <w:widowControl/>
        <w:suppressLineNumbers w:val="0"/>
        <w:ind w:left="0" w:leftChars="0" w:firstLine="0" w:firstLineChars="0"/>
        <w:jc w:val="left"/>
        <w:rPr>
          <w:color w:val="auto"/>
        </w:rPr>
      </w:pPr>
      <w:r>
        <w:rPr>
          <w:rFonts w:hint="default" w:ascii="Times New Roman" w:hAnsi="Times New Roman" w:eastAsia="宋体" w:cs="Times New Roman"/>
          <w:b/>
          <w:bCs/>
          <w:color w:val="auto"/>
          <w:kern w:val="0"/>
          <w:sz w:val="24"/>
          <w:szCs w:val="24"/>
          <w:lang w:val="en-US" w:eastAsia="zh-CN" w:bidi="ar"/>
        </w:rPr>
        <w:t>7.</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.1</w:t>
      </w:r>
      <w:r>
        <w:rPr>
          <w:rFonts w:hint="eastAsia" w:ascii="宋体" w:hAnsi="宋体" w:eastAsia="宋体" w:cs="宋体"/>
          <w:b/>
          <w:bCs/>
          <w:color w:val="auto"/>
          <w:kern w:val="0"/>
          <w:sz w:val="24"/>
          <w:szCs w:val="24"/>
          <w:lang w:val="en-US" w:eastAsia="zh-CN" w:bidi="ar"/>
        </w:rPr>
        <w:t>应急组织体系及职责</w:t>
      </w:r>
    </w:p>
    <w:p w14:paraId="6FBB0495">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应急领导机构</w:t>
      </w:r>
    </w:p>
    <w:p w14:paraId="36A29CF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应急领导机构为建设单位主管突发公共事件应急的部门，作为协调指挥机构，统一领导突发公共事件的应急处置工作。水务、安监、生态环境、水利、卫生、消防、公安、电力、交通、建设等相关部门参与。</w:t>
      </w:r>
    </w:p>
    <w:p w14:paraId="6D785546">
      <w:pPr>
        <w:keepNext w:val="0"/>
        <w:keepLines w:val="0"/>
        <w:widowControl/>
        <w:suppressLineNumbers w:val="0"/>
        <w:jc w:val="left"/>
        <w:rPr>
          <w:color w:val="auto"/>
        </w:rPr>
      </w:pPr>
      <w:r>
        <w:rPr>
          <w:rFonts w:hint="eastAsia"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现场指挥</w:t>
      </w:r>
    </w:p>
    <w:p w14:paraId="3BF8BF3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由应急领导机构现场指挥，各类事故应急行动由应急负责单位负责人负责指挥。如遇突发事件，指挥调度员要做好事发现场信息收集工作，了解事发时间、方位、信息来源、事件种类，</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分钟内将现场情况报上级部门以及生态环境、消防、公安等相关部门。</w:t>
      </w:r>
    </w:p>
    <w:p w14:paraId="358A0A2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应急领导机构主要职责：</w:t>
      </w:r>
    </w:p>
    <w:p w14:paraId="087A64AB">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、根据突发性风险事故情况和级别，下达应急命令，指挥应急行动；</w:t>
      </w:r>
    </w:p>
    <w:p w14:paraId="11BCC519">
      <w:pPr>
        <w:keepNext w:val="0"/>
        <w:keepLines w:val="0"/>
        <w:widowControl/>
        <w:suppressLineNumbers w:val="0"/>
        <w:jc w:val="left"/>
        <w:rPr>
          <w:rFonts w:hint="eastAsia" w:ascii="宋体" w:hAnsi="宋体" w:eastAsia="宋体" w:cs="宋体"/>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、调动人力、物力，协调应急服务组的应急活动；</w:t>
      </w:r>
    </w:p>
    <w:p w14:paraId="2E6C16A9">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C</w:t>
      </w:r>
      <w:r>
        <w:rPr>
          <w:rFonts w:hint="eastAsia" w:ascii="宋体" w:hAnsi="宋体" w:eastAsia="宋体" w:cs="宋体"/>
          <w:color w:val="auto"/>
          <w:kern w:val="0"/>
          <w:sz w:val="24"/>
          <w:szCs w:val="24"/>
          <w:lang w:val="en-US" w:eastAsia="zh-CN" w:bidi="ar"/>
        </w:rPr>
        <w:t>、负责对外联络及发布消息；</w:t>
      </w:r>
    </w:p>
    <w:p w14:paraId="12EB5997">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D</w:t>
      </w:r>
      <w:r>
        <w:rPr>
          <w:rFonts w:hint="eastAsia" w:ascii="宋体" w:hAnsi="宋体" w:eastAsia="宋体" w:cs="宋体"/>
          <w:color w:val="auto"/>
          <w:kern w:val="0"/>
          <w:sz w:val="24"/>
          <w:szCs w:val="24"/>
          <w:lang w:val="en-US" w:eastAsia="zh-CN" w:bidi="ar"/>
        </w:rPr>
        <w:t>、组织事故调查，总结应急救援工作经验及事故的善后工作；</w:t>
      </w:r>
    </w:p>
    <w:p w14:paraId="2F7357EF">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E</w:t>
      </w:r>
      <w:r>
        <w:rPr>
          <w:rFonts w:hint="eastAsia" w:ascii="宋体" w:hAnsi="宋体" w:eastAsia="宋体" w:cs="宋体"/>
          <w:color w:val="auto"/>
          <w:kern w:val="0"/>
          <w:sz w:val="24"/>
          <w:szCs w:val="24"/>
          <w:lang w:val="en-US" w:eastAsia="zh-CN" w:bidi="ar"/>
        </w:rPr>
        <w:t>、组织应急培训和演习。</w:t>
      </w:r>
    </w:p>
    <w:p w14:paraId="147E6723">
      <w:pPr>
        <w:keepNext w:val="0"/>
        <w:keepLines w:val="0"/>
        <w:widowControl/>
        <w:suppressLineNumbers w:val="0"/>
        <w:ind w:left="0" w:leftChars="0" w:firstLine="0" w:firstLineChars="0"/>
        <w:jc w:val="left"/>
        <w:rPr>
          <w:color w:val="auto"/>
        </w:rPr>
      </w:pPr>
      <w:r>
        <w:rPr>
          <w:rFonts w:hint="default" w:ascii="Times New Roman" w:hAnsi="Times New Roman" w:eastAsia="宋体" w:cs="Times New Roman"/>
          <w:b/>
          <w:bCs/>
          <w:color w:val="auto"/>
          <w:kern w:val="0"/>
          <w:sz w:val="24"/>
          <w:szCs w:val="24"/>
          <w:lang w:val="en-US" w:eastAsia="zh-CN" w:bidi="ar"/>
        </w:rPr>
        <w:t>7.</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.2</w:t>
      </w:r>
      <w:r>
        <w:rPr>
          <w:rFonts w:hint="eastAsia" w:ascii="宋体" w:hAnsi="宋体" w:eastAsia="宋体" w:cs="宋体"/>
          <w:b/>
          <w:bCs/>
          <w:color w:val="auto"/>
          <w:kern w:val="0"/>
          <w:sz w:val="24"/>
          <w:szCs w:val="24"/>
          <w:lang w:val="en-US" w:eastAsia="zh-CN" w:bidi="ar"/>
        </w:rPr>
        <w:t>环境事件分类与分级</w:t>
      </w:r>
    </w:p>
    <w:p w14:paraId="56BDC7EF">
      <w:pPr>
        <w:keepNext w:val="0"/>
        <w:keepLines w:val="0"/>
        <w:widowControl/>
        <w:suppressLineNumbers w:val="0"/>
        <w:jc w:val="left"/>
        <w:rPr>
          <w:color w:val="auto"/>
          <w:sz w:val="24"/>
          <w:szCs w:val="24"/>
        </w:rPr>
      </w:pPr>
      <w:r>
        <w:rPr>
          <w:rFonts w:hint="eastAsia" w:ascii="宋体" w:hAnsi="宋体" w:eastAsia="宋体" w:cs="宋体"/>
          <w:color w:val="auto"/>
          <w:kern w:val="0"/>
          <w:sz w:val="24"/>
          <w:szCs w:val="24"/>
          <w:lang w:val="en-US" w:eastAsia="zh-CN" w:bidi="ar"/>
        </w:rPr>
        <w:t>工程事故分为以下</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个等级：特大（Ⅰ级），重大（Ⅱ级），较大（Ⅲ级），一般（Ⅳ级）。针对不同事故等级，实行分级响应。</w:t>
      </w:r>
    </w:p>
    <w:p w14:paraId="74F3B132">
      <w:pPr>
        <w:keepNext w:val="0"/>
        <w:keepLines w:val="0"/>
        <w:widowControl/>
        <w:suppressLineNumbers w:val="0"/>
        <w:ind w:left="0" w:leftChars="0" w:firstLine="0" w:firstLineChars="0"/>
        <w:jc w:val="left"/>
        <w:rPr>
          <w:color w:val="auto"/>
        </w:rPr>
      </w:pPr>
      <w:r>
        <w:rPr>
          <w:rFonts w:hint="default" w:ascii="Times New Roman" w:hAnsi="Times New Roman" w:eastAsia="宋体" w:cs="Times New Roman"/>
          <w:b/>
          <w:bCs/>
          <w:color w:val="auto"/>
          <w:kern w:val="0"/>
          <w:sz w:val="24"/>
          <w:szCs w:val="24"/>
          <w:lang w:val="en-US" w:eastAsia="zh-CN" w:bidi="ar"/>
        </w:rPr>
        <w:t>7.</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.3</w:t>
      </w:r>
      <w:r>
        <w:rPr>
          <w:rFonts w:hint="eastAsia" w:ascii="宋体" w:hAnsi="宋体" w:eastAsia="宋体" w:cs="宋体"/>
          <w:b/>
          <w:bCs/>
          <w:color w:val="auto"/>
          <w:kern w:val="0"/>
          <w:sz w:val="24"/>
          <w:szCs w:val="24"/>
          <w:lang w:val="en-US" w:eastAsia="zh-CN" w:bidi="ar"/>
        </w:rPr>
        <w:t>应急响应程序</w:t>
      </w:r>
    </w:p>
    <w:p w14:paraId="0F84BFDE">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）迅速报告</w:t>
      </w:r>
    </w:p>
    <w:p w14:paraId="148D291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一旦事故发生，立即向相关部门管理人发出警报通知，任何发现人员应及时通过路侧紧急电话或其它通讯方式向突发事件指挥中心报告。</w:t>
      </w:r>
    </w:p>
    <w:p w14:paraId="020B81FE">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接到突发环境事件报告后，领导小组须在第一时间向省、市生态环境主管部门应急领导组报告。并立即启动应急指挥小组，检查所需仪器装备，了解重要保护目标及其分布情况。</w:t>
      </w:r>
    </w:p>
    <w:p w14:paraId="01529AF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）快速出动</w:t>
      </w:r>
    </w:p>
    <w:p w14:paraId="3442B472">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接到报告后，应急现场指挥部率应急人员，携带污染事故专用应急监察、监测设备，在最短时间内赶赴现场，应急现场指挥部同时通知环境或卫生监测部门，组织应急监测小组赶赴现场监测污染情况。</w:t>
      </w:r>
    </w:p>
    <w:p w14:paraId="534BAA65">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）现场控制</w:t>
      </w:r>
    </w:p>
    <w:p w14:paraId="26D7569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在应急现场指挥部到达现场时，如果公安、消防部门尚未对现场进行处置，应急现场指挥部应对现场进行控制和处理，尽可能减少污染物产生，防止污染物扩散；并根据现场勘验情况，配合划定警戒线范围，禁止无关人员靠近。</w:t>
      </w:r>
    </w:p>
    <w:p w14:paraId="3CA62B8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）现场调查</w:t>
      </w:r>
    </w:p>
    <w:p w14:paraId="64E9E56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应急现场指挥部到达现场，应立即开展现场调查，寻找污染源，通过对事故现场的监察、监测、拍照、摄像、录音及个案分析，全面掌握事故现场的特点，根据各方面因素，寻找因果关系，做好现场调查记录。</w:t>
      </w:r>
    </w:p>
    <w:p w14:paraId="53AEA854">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）提出调查分析结论和处置方案</w:t>
      </w:r>
    </w:p>
    <w:p w14:paraId="476D751D">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应急现场指挥部根据现场调查和查阅有关资料并参考专家意见，提出调查分析结论，制定污染处置方案，对事故影响范围内的污染进行处理处置，以减少污染。</w:t>
      </w:r>
    </w:p>
    <w:p w14:paraId="7DB58FD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6</w:t>
      </w:r>
      <w:r>
        <w:rPr>
          <w:rFonts w:hint="eastAsia" w:ascii="宋体" w:hAnsi="宋体" w:eastAsia="宋体" w:cs="宋体"/>
          <w:color w:val="auto"/>
          <w:kern w:val="0"/>
          <w:sz w:val="24"/>
          <w:szCs w:val="24"/>
          <w:lang w:val="en-US" w:eastAsia="zh-CN" w:bidi="ar"/>
        </w:rPr>
        <w:t>）污染跟踪</w:t>
      </w:r>
    </w:p>
    <w:p w14:paraId="272D457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应急现场指挥部要根据监测数据和其他有关数据编制分析图表，预测污染迁移强度、速度和影响范围，进行跟踪调查，及时调整对策。每</w:t>
      </w:r>
      <w:r>
        <w:rPr>
          <w:rFonts w:hint="default" w:ascii="Times New Roman" w:hAnsi="Times New Roman" w:eastAsia="宋体" w:cs="Times New Roman"/>
          <w:color w:val="auto"/>
          <w:kern w:val="0"/>
          <w:sz w:val="24"/>
          <w:szCs w:val="24"/>
          <w:lang w:val="en-US" w:eastAsia="zh-CN" w:bidi="ar"/>
        </w:rPr>
        <w:t>24</w:t>
      </w:r>
      <w:r>
        <w:rPr>
          <w:rFonts w:hint="eastAsia" w:ascii="宋体" w:hAnsi="宋体" w:eastAsia="宋体" w:cs="宋体"/>
          <w:color w:val="auto"/>
          <w:kern w:val="0"/>
          <w:sz w:val="24"/>
          <w:szCs w:val="24"/>
          <w:lang w:val="en-US" w:eastAsia="zh-CN" w:bidi="ar"/>
        </w:rPr>
        <w:t>小时向上级部门报告一次污染事故处理动态和下一步对策，直至污染事故警报解除。</w:t>
      </w:r>
    </w:p>
    <w:p w14:paraId="142649DF">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7</w:t>
      </w:r>
      <w:r>
        <w:rPr>
          <w:rFonts w:hint="eastAsia" w:ascii="宋体" w:hAnsi="宋体" w:eastAsia="宋体" w:cs="宋体"/>
          <w:color w:val="auto"/>
          <w:kern w:val="0"/>
          <w:sz w:val="24"/>
          <w:szCs w:val="24"/>
          <w:lang w:val="en-US" w:eastAsia="zh-CN" w:bidi="ar"/>
        </w:rPr>
        <w:t>）调查取证</w:t>
      </w:r>
    </w:p>
    <w:p w14:paraId="3F6F273F">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应急现场指挥部要根据污染事故的性质，组织相关部门，调查、分析事故原</w:t>
      </w:r>
    </w:p>
    <w:p w14:paraId="4798B1FC">
      <w:pPr>
        <w:keepNext w:val="0"/>
        <w:keepLines w:val="0"/>
        <w:widowControl/>
        <w:suppressLineNumbers w:val="0"/>
        <w:ind w:left="0" w:leftChars="0" w:firstLine="0" w:firstLineChars="0"/>
        <w:jc w:val="left"/>
        <w:rPr>
          <w:color w:val="auto"/>
        </w:rPr>
      </w:pPr>
      <w:r>
        <w:rPr>
          <w:rFonts w:hint="eastAsia" w:ascii="宋体" w:hAnsi="宋体" w:eastAsia="宋体" w:cs="宋体"/>
          <w:color w:val="auto"/>
          <w:kern w:val="0"/>
          <w:sz w:val="24"/>
          <w:szCs w:val="24"/>
          <w:lang w:val="en-US" w:eastAsia="zh-CN" w:bidi="ar"/>
        </w:rPr>
        <w:t>因。实地取证，对涉案人员做调查询问笔录，立案查处。</w:t>
      </w:r>
    </w:p>
    <w:p w14:paraId="37028235">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8</w:t>
      </w:r>
      <w:r>
        <w:rPr>
          <w:rFonts w:hint="eastAsia" w:ascii="宋体" w:hAnsi="宋体" w:eastAsia="宋体" w:cs="宋体"/>
          <w:color w:val="auto"/>
          <w:kern w:val="0"/>
          <w:sz w:val="24"/>
          <w:szCs w:val="24"/>
          <w:lang w:val="en-US" w:eastAsia="zh-CN" w:bidi="ar"/>
        </w:rPr>
        <w:t>）行政处罚</w:t>
      </w:r>
    </w:p>
    <w:p w14:paraId="2414A2B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生态环境、卫生、水政、公安等部门应根据</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水污染防治法</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传染病防治法</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生活饮用水卫生监督管理办法</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刑法</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突发公共卫生事件应急条例</w:t>
      </w:r>
      <w:r>
        <w:rPr>
          <w:rFonts w:hint="eastAsia" w:ascii="宋体" w:hAnsi="宋体" w:cs="宋体"/>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等法律、行政法规，对事故单位和责任人实施处罚。</w:t>
      </w:r>
    </w:p>
    <w:p w14:paraId="0CBB28E6">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9</w:t>
      </w:r>
      <w:r>
        <w:rPr>
          <w:rFonts w:hint="eastAsia" w:ascii="宋体" w:hAnsi="宋体" w:eastAsia="宋体" w:cs="宋体"/>
          <w:color w:val="auto"/>
          <w:kern w:val="0"/>
          <w:sz w:val="24"/>
          <w:szCs w:val="24"/>
          <w:lang w:val="en-US" w:eastAsia="zh-CN" w:bidi="ar"/>
        </w:rPr>
        <w:t>）事件处理总结报告</w:t>
      </w:r>
    </w:p>
    <w:p w14:paraId="4FCEB5E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负责实施行政处罚的职能部门应将事故处理情况向上级主管部门写出总结报告，并做好案件归档工作。</w:t>
      </w:r>
    </w:p>
    <w:p w14:paraId="32B6556C">
      <w:pPr>
        <w:keepNext w:val="0"/>
        <w:keepLines w:val="0"/>
        <w:widowControl/>
        <w:suppressLineNumbers w:val="0"/>
        <w:ind w:left="0" w:leftChars="0" w:firstLine="0" w:firstLineChars="0"/>
        <w:jc w:val="left"/>
        <w:rPr>
          <w:color w:val="auto"/>
        </w:rPr>
      </w:pPr>
      <w:r>
        <w:rPr>
          <w:rFonts w:hint="default" w:ascii="Times New Roman" w:hAnsi="Times New Roman" w:eastAsia="宋体" w:cs="Times New Roman"/>
          <w:b/>
          <w:bCs/>
          <w:color w:val="auto"/>
          <w:kern w:val="0"/>
          <w:sz w:val="24"/>
          <w:szCs w:val="24"/>
          <w:lang w:val="en-US" w:eastAsia="zh-CN" w:bidi="ar"/>
        </w:rPr>
        <w:t>7.</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.4</w:t>
      </w:r>
      <w:r>
        <w:rPr>
          <w:rFonts w:hint="eastAsia" w:ascii="宋体" w:hAnsi="宋体" w:eastAsia="宋体" w:cs="宋体"/>
          <w:b/>
          <w:bCs/>
          <w:color w:val="auto"/>
          <w:kern w:val="0"/>
          <w:sz w:val="24"/>
          <w:szCs w:val="24"/>
          <w:lang w:val="en-US" w:eastAsia="zh-CN" w:bidi="ar"/>
        </w:rPr>
        <w:t>应急保障</w:t>
      </w:r>
    </w:p>
    <w:p w14:paraId="76BE6557">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）成立现场应急处理队伍</w:t>
      </w:r>
    </w:p>
    <w:p w14:paraId="7BAA13F9">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A</w:t>
      </w:r>
      <w:r>
        <w:rPr>
          <w:rFonts w:hint="eastAsia" w:ascii="宋体" w:hAnsi="宋体" w:eastAsia="宋体" w:cs="宋体"/>
          <w:color w:val="auto"/>
          <w:kern w:val="0"/>
          <w:sz w:val="24"/>
          <w:szCs w:val="24"/>
          <w:lang w:val="en-US" w:eastAsia="zh-CN" w:bidi="ar"/>
        </w:rPr>
        <w:t>、危险源控制组，主要是负责在紧急状态下的现场抢险作业，发生危险事故及时通知周边居民，由建设单位安全部门负责，必要时包括地方专业防护队伍；</w:t>
      </w:r>
    </w:p>
    <w:p w14:paraId="6D0DADFA">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B</w:t>
      </w:r>
      <w:r>
        <w:rPr>
          <w:rFonts w:hint="eastAsia" w:ascii="宋体" w:hAnsi="宋体" w:eastAsia="宋体" w:cs="宋体"/>
          <w:color w:val="auto"/>
          <w:kern w:val="0"/>
          <w:sz w:val="24"/>
          <w:szCs w:val="24"/>
          <w:lang w:val="en-US" w:eastAsia="zh-CN" w:bidi="ar"/>
        </w:rPr>
        <w:t>、清污组，主要负责各类水质污染事故的污染清除工作，由建设单位环境保护管理办公室和当地生态环境部门、水利部门及专业单位组成；</w:t>
      </w:r>
    </w:p>
    <w:p w14:paraId="6B245C3A">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C</w:t>
      </w:r>
      <w:r>
        <w:rPr>
          <w:rFonts w:hint="eastAsia" w:ascii="宋体" w:hAnsi="宋体" w:eastAsia="宋体" w:cs="宋体"/>
          <w:color w:val="auto"/>
          <w:kern w:val="0"/>
          <w:sz w:val="24"/>
          <w:szCs w:val="24"/>
          <w:lang w:val="en-US" w:eastAsia="zh-CN" w:bidi="ar"/>
        </w:rPr>
        <w:t>、消防组，负责现场灭火、设备容器的冷却、喷水隔爆、抢救伤员及事故后对被污染区域的清洗工作，人员由建设单位安全部门和当地公安消防队伍组成；</w:t>
      </w:r>
    </w:p>
    <w:p w14:paraId="6EBEE675">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D</w:t>
      </w:r>
      <w:r>
        <w:rPr>
          <w:rFonts w:hint="eastAsia" w:ascii="宋体" w:hAnsi="宋体" w:eastAsia="宋体" w:cs="宋体"/>
          <w:color w:val="auto"/>
          <w:kern w:val="0"/>
          <w:sz w:val="24"/>
          <w:szCs w:val="24"/>
          <w:lang w:val="en-US" w:eastAsia="zh-CN" w:bidi="ar"/>
        </w:rPr>
        <w:t>、安全警戒组，负责布置安全警戒，禁止无关人员进入危险区域，由建设单位安全保卫人员和当地公安部门负责；</w:t>
      </w:r>
    </w:p>
    <w:p w14:paraId="6FF1DCC3">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E</w:t>
      </w:r>
      <w:r>
        <w:rPr>
          <w:rFonts w:hint="eastAsia" w:ascii="宋体" w:hAnsi="宋体" w:eastAsia="宋体" w:cs="宋体"/>
          <w:color w:val="auto"/>
          <w:kern w:val="0"/>
          <w:sz w:val="24"/>
          <w:szCs w:val="24"/>
          <w:lang w:val="en-US" w:eastAsia="zh-CN" w:bidi="ar"/>
        </w:rPr>
        <w:t>、物资供应组，负责组织相关应急物资、工器具的市场供应，组织运送应急物资和人员，由建设单位和当地政府相关部门负责；</w:t>
      </w:r>
    </w:p>
    <w:p w14:paraId="3D24284C">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F</w:t>
      </w:r>
      <w:r>
        <w:rPr>
          <w:rFonts w:hint="eastAsia" w:ascii="宋体" w:hAnsi="宋体" w:eastAsia="宋体" w:cs="宋体"/>
          <w:color w:val="auto"/>
          <w:kern w:val="0"/>
          <w:sz w:val="24"/>
          <w:szCs w:val="24"/>
          <w:lang w:val="en-US" w:eastAsia="zh-CN" w:bidi="ar"/>
        </w:rPr>
        <w:t>、环境监测组，负责对大气、水质、土壤等进行环境应急监测，确定影响区域范围和危险物质浓度，对事故造成的环境影响做出正确评估，为指挥人员决策和消除事故污染提供依据，并负责对事故现场危险物质的处置，由建设单位生态环境保护管理办公室和当地生态环境局负责；</w:t>
      </w:r>
    </w:p>
    <w:p w14:paraId="0D1BAEE5">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G</w:t>
      </w:r>
      <w:r>
        <w:rPr>
          <w:rFonts w:hint="eastAsia" w:ascii="宋体" w:hAnsi="宋体" w:eastAsia="宋体" w:cs="宋体"/>
          <w:color w:val="auto"/>
          <w:kern w:val="0"/>
          <w:sz w:val="24"/>
          <w:szCs w:val="24"/>
          <w:lang w:val="en-US" w:eastAsia="zh-CN" w:bidi="ar"/>
        </w:rPr>
        <w:t>、专家咨询组，负责对事故应急救援提出方案和安全措施，现场指导救援工作，参与事故的调查分析并制定防范措施，由建设单位安全监督部门、当地各相关部门技术专家组成，由领导机构负责组织；</w:t>
      </w:r>
    </w:p>
    <w:p w14:paraId="2F06A4AA">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H</w:t>
      </w:r>
      <w:r>
        <w:rPr>
          <w:rFonts w:hint="eastAsia" w:ascii="宋体" w:hAnsi="宋体" w:eastAsia="宋体" w:cs="宋体"/>
          <w:color w:val="auto"/>
          <w:kern w:val="0"/>
          <w:sz w:val="24"/>
          <w:szCs w:val="24"/>
          <w:lang w:val="en-US" w:eastAsia="zh-CN" w:bidi="ar"/>
        </w:rPr>
        <w:t>、综合协调组，负责综合协调、信息沟通、事故新闻和应急公告发布，由建设单位、当地宣传部门组成；</w:t>
      </w:r>
    </w:p>
    <w:p w14:paraId="53E28613">
      <w:pPr>
        <w:keepNext w:val="0"/>
        <w:keepLines w:val="0"/>
        <w:widowControl/>
        <w:suppressLineNumbers w:val="0"/>
        <w:jc w:val="left"/>
        <w:rPr>
          <w:color w:val="auto"/>
        </w:rPr>
      </w:pPr>
      <w:r>
        <w:rPr>
          <w:rFonts w:hint="default" w:ascii="Times New Roman" w:hAnsi="Times New Roman" w:eastAsia="宋体" w:cs="Times New Roman"/>
          <w:color w:val="auto"/>
          <w:kern w:val="0"/>
          <w:sz w:val="24"/>
          <w:szCs w:val="24"/>
          <w:lang w:val="en-US" w:eastAsia="zh-CN" w:bidi="ar"/>
        </w:rPr>
        <w:t>I</w:t>
      </w:r>
      <w:r>
        <w:rPr>
          <w:rFonts w:hint="eastAsia" w:ascii="宋体" w:hAnsi="宋体" w:eastAsia="宋体" w:cs="宋体"/>
          <w:color w:val="auto"/>
          <w:kern w:val="0"/>
          <w:sz w:val="24"/>
          <w:szCs w:val="24"/>
          <w:lang w:val="en-US" w:eastAsia="zh-CN" w:bidi="ar"/>
        </w:rPr>
        <w:t>、善后处理组，负责现场处置、善后工作，由建设单位、当地政府相关部门组成。</w:t>
      </w:r>
    </w:p>
    <w:p w14:paraId="2C223EFB">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）培训和演练</w:t>
      </w:r>
    </w:p>
    <w:p w14:paraId="1ECF89C2">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建设单位定期组织内部水源污染突发事件应急小组成员，定期进行相关知识的培训。</w:t>
      </w:r>
    </w:p>
    <w:p w14:paraId="36A75A1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w:t>
      </w:r>
      <w:r>
        <w:rPr>
          <w:rFonts w:hint="eastAsia" w:ascii="宋体" w:hAnsi="宋体" w:eastAsia="宋体" w:cs="宋体"/>
          <w:color w:val="auto"/>
          <w:kern w:val="0"/>
          <w:sz w:val="24"/>
          <w:szCs w:val="24"/>
          <w:lang w:val="en-US" w:eastAsia="zh-CN" w:bidi="ar"/>
        </w:rPr>
        <w:t>）信息系统</w:t>
      </w:r>
    </w:p>
    <w:p w14:paraId="17E146F7">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 xml:space="preserve">建设单位配备必要通讯设施，建立通讯联络制度，明确通讯联络方法。 </w:t>
      </w:r>
    </w:p>
    <w:p w14:paraId="18B3354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4</w:t>
      </w:r>
      <w:r>
        <w:rPr>
          <w:rFonts w:hint="eastAsia" w:ascii="宋体" w:hAnsi="宋体" w:eastAsia="宋体" w:cs="宋体"/>
          <w:color w:val="auto"/>
          <w:kern w:val="0"/>
          <w:sz w:val="24"/>
          <w:szCs w:val="24"/>
          <w:lang w:val="en-US" w:eastAsia="zh-CN" w:bidi="ar"/>
        </w:rPr>
        <w:t>）应急设备和</w:t>
      </w:r>
      <w:r>
        <w:rPr>
          <w:rFonts w:hint="eastAsia" w:ascii="宋体" w:hAnsi="宋体" w:cs="宋体"/>
          <w:color w:val="auto"/>
          <w:kern w:val="0"/>
          <w:sz w:val="24"/>
          <w:szCs w:val="24"/>
          <w:lang w:val="en-US" w:eastAsia="zh-CN" w:bidi="ar"/>
        </w:rPr>
        <w:t>物资</w:t>
      </w:r>
    </w:p>
    <w:p w14:paraId="2932148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需配备的</w:t>
      </w:r>
      <w:r>
        <w:rPr>
          <w:rFonts w:hint="eastAsia" w:ascii="宋体" w:hAnsi="宋体" w:cs="宋体"/>
          <w:color w:val="auto"/>
          <w:kern w:val="0"/>
          <w:sz w:val="24"/>
          <w:szCs w:val="24"/>
          <w:lang w:val="en-US" w:eastAsia="zh-CN" w:bidi="ar"/>
        </w:rPr>
        <w:t>物资</w:t>
      </w:r>
      <w:r>
        <w:rPr>
          <w:rFonts w:hint="eastAsia" w:ascii="宋体" w:hAnsi="宋体" w:eastAsia="宋体" w:cs="宋体"/>
          <w:color w:val="auto"/>
          <w:kern w:val="0"/>
          <w:sz w:val="24"/>
          <w:szCs w:val="24"/>
          <w:lang w:val="en-US" w:eastAsia="zh-CN" w:bidi="ar"/>
        </w:rPr>
        <w:t>有：编织袋、吸油材料等。</w:t>
      </w:r>
    </w:p>
    <w:p w14:paraId="120F03EA">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需配备的设备有：拖油网、收油机、储油罐、围油栏、作业船等。</w:t>
      </w:r>
    </w:p>
    <w:p w14:paraId="65B315CC">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5</w:t>
      </w:r>
      <w:r>
        <w:rPr>
          <w:rFonts w:hint="eastAsia" w:ascii="宋体" w:hAnsi="宋体" w:eastAsia="宋体" w:cs="宋体"/>
          <w:color w:val="auto"/>
          <w:kern w:val="0"/>
          <w:sz w:val="24"/>
          <w:szCs w:val="24"/>
          <w:lang w:val="en-US" w:eastAsia="zh-CN" w:bidi="ar"/>
        </w:rPr>
        <w:t>）应急监测、救援及控制措施</w:t>
      </w:r>
    </w:p>
    <w:p w14:paraId="54769A39">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环境监测组负责人带领环境监测人员及应急查询资料到达现场，对事故原因、性质进行初步分析、取样、送样、并做好样品快速检测工作，及时提供监测数据、污染物种类、性质、控制方法及防护、处理意见，并发布应急监测简报，对事故出现后周围的安全防护距离、应急人员进出现场的要求等提供科学依据。</w:t>
      </w:r>
    </w:p>
    <w:p w14:paraId="364AA0F1">
      <w:pPr>
        <w:keepNext w:val="0"/>
        <w:keepLines w:val="0"/>
        <w:widowControl/>
        <w:suppressLineNumbers w:val="0"/>
        <w:ind w:left="0" w:leftChars="0" w:firstLine="0" w:firstLineChars="0"/>
        <w:jc w:val="left"/>
        <w:rPr>
          <w:color w:val="auto"/>
        </w:rPr>
      </w:pPr>
      <w:r>
        <w:rPr>
          <w:rFonts w:hint="default" w:ascii="Times New Roman" w:hAnsi="Times New Roman" w:eastAsia="宋体" w:cs="Times New Roman"/>
          <w:b/>
          <w:bCs/>
          <w:color w:val="auto"/>
          <w:kern w:val="0"/>
          <w:sz w:val="24"/>
          <w:szCs w:val="24"/>
          <w:lang w:val="en-US" w:eastAsia="zh-CN" w:bidi="ar"/>
        </w:rPr>
        <w:t>7.</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val="en-US" w:eastAsia="zh-CN" w:bidi="ar"/>
        </w:rPr>
        <w:t>.</w:t>
      </w:r>
      <w:r>
        <w:rPr>
          <w:rFonts w:hint="eastAsia" w:ascii="Times New Roman" w:hAnsi="Times New Roman" w:eastAsia="宋体" w:cs="Times New Roman"/>
          <w:b/>
          <w:bCs/>
          <w:color w:val="auto"/>
          <w:kern w:val="0"/>
          <w:sz w:val="24"/>
          <w:szCs w:val="24"/>
          <w:lang w:val="en-US" w:eastAsia="zh-CN" w:bidi="ar"/>
        </w:rPr>
        <w:t>4</w:t>
      </w:r>
      <w:r>
        <w:rPr>
          <w:rFonts w:hint="default" w:ascii="Times New Roman" w:hAnsi="Times New Roman" w:eastAsia="宋体" w:cs="Times New Roman"/>
          <w:b/>
          <w:bCs/>
          <w:color w:val="auto"/>
          <w:kern w:val="0"/>
          <w:sz w:val="24"/>
          <w:szCs w:val="24"/>
          <w:lang w:val="en-US" w:eastAsia="zh-CN" w:bidi="ar"/>
        </w:rPr>
        <w:t>.5</w:t>
      </w:r>
      <w:r>
        <w:rPr>
          <w:rFonts w:hint="eastAsia" w:ascii="宋体" w:hAnsi="宋体" w:eastAsia="宋体" w:cs="宋体"/>
          <w:b/>
          <w:bCs/>
          <w:color w:val="auto"/>
          <w:kern w:val="0"/>
          <w:sz w:val="24"/>
          <w:szCs w:val="24"/>
          <w:lang w:val="en-US" w:eastAsia="zh-CN" w:bidi="ar"/>
        </w:rPr>
        <w:t>应急终止</w:t>
      </w:r>
    </w:p>
    <w:p w14:paraId="4489174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现场指挥部根据环境监测部门提供的监测数据和水质水情分析报告，确认污染水质是否恢复并报告领导小组办公室，由办公室向领导小组提出应急终止的建议，经领导小组批准后，下达应急终止命令。</w:t>
      </w:r>
    </w:p>
    <w:p w14:paraId="2FA05401">
      <w:pPr>
        <w:pStyle w:val="3"/>
        <w:numPr>
          <w:ilvl w:val="0"/>
          <w:numId w:val="0"/>
        </w:numPr>
        <w:rPr>
          <w:rFonts w:hint="default" w:ascii="Times New Roman" w:hAnsi="Times New Roman" w:eastAsia="宋体" w:cs="Times New Roman"/>
          <w:color w:val="auto"/>
          <w:sz w:val="30"/>
          <w:szCs w:val="30"/>
        </w:rPr>
      </w:pPr>
      <w:bookmarkStart w:id="233" w:name="_Toc28174"/>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w:t>
      </w:r>
      <w:r>
        <w:rPr>
          <w:rFonts w:hint="eastAsia" w:cs="Times New Roman"/>
          <w:color w:val="auto"/>
          <w:sz w:val="30"/>
          <w:szCs w:val="30"/>
          <w:lang w:val="en-US" w:eastAsia="zh-CN"/>
        </w:rPr>
        <w:t>7</w:t>
      </w:r>
      <w:r>
        <w:rPr>
          <w:rFonts w:hint="default" w:ascii="Times New Roman" w:hAnsi="Times New Roman" w:eastAsia="宋体" w:cs="Times New Roman"/>
          <w:color w:val="auto"/>
          <w:sz w:val="30"/>
          <w:szCs w:val="30"/>
        </w:rPr>
        <w:t>社会不利影响减缓措施</w:t>
      </w:r>
      <w:bookmarkEnd w:id="219"/>
      <w:bookmarkEnd w:id="220"/>
      <w:bookmarkEnd w:id="221"/>
      <w:bookmarkEnd w:id="222"/>
      <w:bookmarkEnd w:id="223"/>
      <w:bookmarkEnd w:id="224"/>
      <w:bookmarkEnd w:id="225"/>
      <w:bookmarkEnd w:id="226"/>
      <w:bookmarkEnd w:id="227"/>
      <w:bookmarkEnd w:id="228"/>
      <w:bookmarkEnd w:id="233"/>
    </w:p>
    <w:p w14:paraId="31340F66">
      <w:pPr>
        <w:pStyle w:val="5"/>
        <w:ind w:left="0" w:leftChars="0" w:firstLine="0" w:firstLineChars="0"/>
        <w:rPr>
          <w:rFonts w:hint="default" w:ascii="Times New Roman" w:hAnsi="Times New Roman" w:eastAsia="宋体" w:cs="Times New Roman"/>
          <w:color w:val="auto"/>
        </w:rPr>
      </w:pPr>
      <w:bookmarkStart w:id="234" w:name="_Toc323909076"/>
      <w:bookmarkStart w:id="235" w:name="_Toc227360437"/>
      <w:bookmarkStart w:id="236" w:name="_Toc28271"/>
      <w:bookmarkStart w:id="237" w:name="_Toc253050312"/>
      <w:bookmarkStart w:id="238" w:name="_Toc351046799"/>
      <w:bookmarkStart w:id="239" w:name="_Toc260057086"/>
      <w:bookmarkStart w:id="240" w:name="_Toc246761965"/>
      <w:bookmarkStart w:id="241" w:name="_Toc352320885"/>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cs="Times New Roman"/>
          <w:color w:val="auto"/>
          <w:lang w:val="en-US" w:eastAsia="zh-CN"/>
        </w:rPr>
        <w:t>7</w:t>
      </w:r>
      <w:r>
        <w:rPr>
          <w:rFonts w:hint="default" w:ascii="Times New Roman" w:hAnsi="Times New Roman" w:eastAsia="宋体" w:cs="Times New Roman"/>
          <w:color w:val="auto"/>
        </w:rPr>
        <w:t>.1交通方面</w:t>
      </w:r>
      <w:bookmarkEnd w:id="234"/>
      <w:bookmarkEnd w:id="235"/>
      <w:bookmarkEnd w:id="236"/>
      <w:bookmarkEnd w:id="237"/>
      <w:bookmarkEnd w:id="238"/>
      <w:bookmarkEnd w:id="239"/>
      <w:bookmarkEnd w:id="240"/>
      <w:bookmarkEnd w:id="241"/>
    </w:p>
    <w:p w14:paraId="43E994DD">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（1）项目建设时应做好相交路段的保通及安全施工，</w:t>
      </w:r>
      <w:r>
        <w:rPr>
          <w:rFonts w:hint="default" w:ascii="Times New Roman" w:hAnsi="Times New Roman" w:eastAsia="宋体" w:cs="Times New Roman"/>
          <w:color w:val="auto"/>
          <w:lang w:eastAsia="zh-CN"/>
        </w:rPr>
        <w:t>尽量减少</w:t>
      </w:r>
      <w:r>
        <w:rPr>
          <w:rFonts w:hint="default" w:ascii="Times New Roman" w:hAnsi="Times New Roman" w:eastAsia="宋体" w:cs="Times New Roman"/>
          <w:color w:val="auto"/>
        </w:rPr>
        <w:t>对现有城市道路的交通干扰。</w:t>
      </w:r>
    </w:p>
    <w:p w14:paraId="32A90618">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2）项目施工期间，在交叉路段，应设置安全警示牌，提醒当地居民或过往车辆注意慢行；并合理设置临时围挡，将施工场地与外界分隔，以保障施工安全。在必要的情况下，安排专人对过往车辆的现场指挥、调度，使施工期道路交通能够保持有序、通畅。</w:t>
      </w:r>
    </w:p>
    <w:p w14:paraId="3B801E6B">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（3）与当地公安和交通管理部门协调配合，在施工期间及时疏导交通堵塞，处理交通事故，保证运输畅通。</w:t>
      </w:r>
    </w:p>
    <w:p w14:paraId="398675AF">
      <w:pPr>
        <w:pStyle w:val="5"/>
        <w:ind w:left="0" w:leftChars="0" w:firstLine="0" w:firstLineChars="0"/>
        <w:rPr>
          <w:rFonts w:hint="default" w:ascii="Times New Roman" w:hAnsi="Times New Roman" w:eastAsia="宋体" w:cs="Times New Roman"/>
          <w:color w:val="auto"/>
        </w:rPr>
      </w:pPr>
      <w:bookmarkStart w:id="242" w:name="_Toc253050313"/>
      <w:bookmarkStart w:id="243" w:name="_Toc25199"/>
      <w:bookmarkStart w:id="244" w:name="_Toc260057087"/>
      <w:bookmarkStart w:id="245" w:name="_Toc246761966"/>
      <w:bookmarkStart w:id="246" w:name="_Toc227360438"/>
      <w:bookmarkStart w:id="247" w:name="_Toc323909077"/>
      <w:bookmarkStart w:id="248" w:name="_Toc351046800"/>
      <w:bookmarkStart w:id="249" w:name="_Toc352320886"/>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cs="Times New Roman"/>
          <w:color w:val="auto"/>
          <w:lang w:val="en-US" w:eastAsia="zh-CN"/>
        </w:rPr>
        <w:t>7</w:t>
      </w:r>
      <w:r>
        <w:rPr>
          <w:rFonts w:hint="default" w:ascii="Times New Roman" w:hAnsi="Times New Roman" w:eastAsia="宋体" w:cs="Times New Roman"/>
          <w:color w:val="auto"/>
        </w:rPr>
        <w:t>.2景观方面</w:t>
      </w:r>
      <w:bookmarkEnd w:id="242"/>
      <w:bookmarkEnd w:id="243"/>
      <w:bookmarkEnd w:id="244"/>
      <w:bookmarkEnd w:id="245"/>
      <w:bookmarkEnd w:id="246"/>
      <w:bookmarkEnd w:id="247"/>
      <w:bookmarkEnd w:id="248"/>
      <w:bookmarkEnd w:id="249"/>
    </w:p>
    <w:p w14:paraId="776DBBB2">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加强管理，保证绿化效果，保持路面清洁卫生。</w:t>
      </w:r>
    </w:p>
    <w:p w14:paraId="7F06F152">
      <w:pPr>
        <w:pStyle w:val="5"/>
        <w:ind w:left="0" w:leftChars="0" w:firstLine="0" w:firstLineChars="0"/>
        <w:rPr>
          <w:rFonts w:hint="default" w:ascii="Times New Roman" w:hAnsi="Times New Roman" w:eastAsia="宋体" w:cs="Times New Roman"/>
          <w:color w:val="auto"/>
        </w:rPr>
      </w:pPr>
      <w:bookmarkStart w:id="250" w:name="_Toc253050314"/>
      <w:bookmarkStart w:id="251" w:name="_Toc352320887"/>
      <w:bookmarkStart w:id="252" w:name="_Toc260057088"/>
      <w:bookmarkStart w:id="253" w:name="_Toc227360439"/>
      <w:bookmarkStart w:id="254" w:name="_Toc351046801"/>
      <w:bookmarkStart w:id="255" w:name="_Toc12083"/>
      <w:bookmarkStart w:id="256" w:name="_Toc246761967"/>
      <w:bookmarkStart w:id="257" w:name="_Toc323909078"/>
      <w:r>
        <w:rPr>
          <w:rFonts w:hint="eastAsia" w:ascii="Times New Roman" w:hAnsi="Times New Roman" w:eastAsia="宋体" w:cs="Times New Roman"/>
          <w:color w:val="auto"/>
          <w:lang w:val="en-US" w:eastAsia="zh-CN"/>
        </w:rPr>
        <w:t>7</w:t>
      </w:r>
      <w:r>
        <w:rPr>
          <w:rFonts w:hint="default" w:ascii="Times New Roman" w:hAnsi="Times New Roman" w:eastAsia="宋体" w:cs="Times New Roman"/>
          <w:color w:val="auto"/>
        </w:rPr>
        <w:t>.</w:t>
      </w:r>
      <w:r>
        <w:rPr>
          <w:rFonts w:hint="eastAsia" w:cs="Times New Roman"/>
          <w:color w:val="auto"/>
          <w:lang w:val="en-US" w:eastAsia="zh-CN"/>
        </w:rPr>
        <w:t>7</w:t>
      </w:r>
      <w:r>
        <w:rPr>
          <w:rFonts w:hint="default" w:ascii="Times New Roman" w:hAnsi="Times New Roman" w:eastAsia="宋体" w:cs="Times New Roman"/>
          <w:color w:val="auto"/>
        </w:rPr>
        <w:t>.3其他方面</w:t>
      </w:r>
      <w:bookmarkEnd w:id="250"/>
      <w:bookmarkEnd w:id="251"/>
      <w:bookmarkEnd w:id="252"/>
      <w:bookmarkEnd w:id="253"/>
      <w:bookmarkEnd w:id="254"/>
      <w:bookmarkEnd w:id="255"/>
      <w:bookmarkEnd w:id="256"/>
      <w:bookmarkEnd w:id="257"/>
    </w:p>
    <w:p w14:paraId="739EC91E">
      <w:pPr>
        <w:pStyle w:val="505"/>
        <w:rPr>
          <w:rFonts w:hint="default" w:ascii="Times New Roman" w:hAnsi="Times New Roman" w:eastAsia="宋体" w:cs="Times New Roman"/>
          <w:color w:val="auto"/>
        </w:rPr>
      </w:pPr>
      <w:r>
        <w:rPr>
          <w:rFonts w:hint="default" w:ascii="Times New Roman" w:hAnsi="Times New Roman" w:eastAsia="宋体" w:cs="Times New Roman"/>
          <w:color w:val="auto"/>
        </w:rPr>
        <w:t>在环境保护等方面均与当地政府、有关部门、居民委员会、集体单位和个人协商，征询各方意见，使项目实施得到公众的支持。</w:t>
      </w:r>
    </w:p>
    <w:p w14:paraId="4C4C22F1">
      <w:pPr>
        <w:pStyle w:val="3"/>
        <w:numPr>
          <w:ilvl w:val="0"/>
          <w:numId w:val="0"/>
        </w:numPr>
        <w:rPr>
          <w:rFonts w:hint="default" w:ascii="Times New Roman" w:hAnsi="Times New Roman" w:eastAsia="宋体" w:cs="Times New Roman"/>
          <w:color w:val="auto"/>
          <w:sz w:val="30"/>
          <w:szCs w:val="30"/>
        </w:rPr>
      </w:pPr>
      <w:bookmarkStart w:id="258" w:name="_Toc188762532"/>
      <w:bookmarkStart w:id="259" w:name="_Toc217985129"/>
      <w:bookmarkStart w:id="260" w:name="_Toc217985325"/>
      <w:bookmarkStart w:id="261" w:name="_Toc352320995"/>
      <w:bookmarkStart w:id="262" w:name="_Toc246761980"/>
      <w:bookmarkStart w:id="263" w:name="_Toc260057099"/>
      <w:bookmarkStart w:id="264" w:name="_Toc218854760"/>
      <w:bookmarkStart w:id="265" w:name="_Toc253050327"/>
      <w:bookmarkStart w:id="266" w:name="_Toc352320898"/>
      <w:bookmarkStart w:id="267" w:name="_Toc181459506"/>
      <w:bookmarkStart w:id="268" w:name="_Toc181530357"/>
      <w:bookmarkStart w:id="269" w:name="_Toc294958846"/>
      <w:bookmarkStart w:id="270" w:name="_Toc181460228"/>
      <w:bookmarkStart w:id="271" w:name="_Toc367844722"/>
      <w:bookmarkStart w:id="272" w:name="_Toc225269203"/>
      <w:bookmarkStart w:id="273" w:name="_Toc323909089"/>
      <w:bookmarkStart w:id="274" w:name="_Toc30222"/>
      <w:bookmarkStart w:id="275" w:name="_Toc351046812"/>
      <w:bookmarkStart w:id="276" w:name="_Toc227360453"/>
      <w:bookmarkStart w:id="277" w:name="_Toc217984566"/>
      <w:bookmarkStart w:id="278" w:name="_Toc188242922"/>
      <w:r>
        <w:rPr>
          <w:rFonts w:hint="eastAsia" w:ascii="Times New Roman" w:hAnsi="Times New Roman" w:eastAsia="宋体" w:cs="Times New Roman"/>
          <w:color w:val="auto"/>
          <w:sz w:val="30"/>
          <w:szCs w:val="30"/>
          <w:lang w:val="en-US" w:eastAsia="zh-CN"/>
        </w:rPr>
        <w:t>7</w:t>
      </w:r>
      <w:r>
        <w:rPr>
          <w:rFonts w:hint="default" w:ascii="Times New Roman" w:hAnsi="Times New Roman" w:eastAsia="宋体" w:cs="Times New Roman"/>
          <w:color w:val="auto"/>
          <w:sz w:val="30"/>
          <w:szCs w:val="30"/>
        </w:rPr>
        <w:t>.</w:t>
      </w:r>
      <w:r>
        <w:rPr>
          <w:rFonts w:hint="eastAsia" w:cs="Times New Roman"/>
          <w:color w:val="auto"/>
          <w:sz w:val="30"/>
          <w:szCs w:val="30"/>
          <w:lang w:val="en-US" w:eastAsia="zh-CN"/>
        </w:rPr>
        <w:t>8</w:t>
      </w:r>
      <w:r>
        <w:rPr>
          <w:rFonts w:hint="default" w:ascii="Times New Roman" w:hAnsi="Times New Roman" w:eastAsia="宋体" w:cs="Times New Roman"/>
          <w:color w:val="auto"/>
          <w:sz w:val="30"/>
          <w:szCs w:val="30"/>
        </w:rPr>
        <w:t>建议</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p w14:paraId="0C1B2C8E">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（1）为了加强对沿线环境的保护和实施力度，建议建设单位与施工单位</w:t>
      </w:r>
      <w:r>
        <w:rPr>
          <w:rFonts w:hint="default" w:ascii="Times New Roman" w:hAnsi="Times New Roman" w:eastAsia="宋体" w:cs="Times New Roman"/>
          <w:color w:val="auto"/>
          <w:lang w:eastAsia="zh-CN"/>
        </w:rPr>
        <w:t>协商</w:t>
      </w:r>
      <w:r>
        <w:rPr>
          <w:rFonts w:hint="default" w:ascii="Times New Roman" w:hAnsi="Times New Roman" w:eastAsia="宋体" w:cs="Times New Roman"/>
          <w:color w:val="auto"/>
        </w:rPr>
        <w:t>制定相应的环境保护奖惩制度，明确各自的环境保护职责，提高施工主体的环境保护主人翁责任感。</w:t>
      </w:r>
    </w:p>
    <w:p w14:paraId="2EC52C51">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（2）在道路</w:t>
      </w:r>
      <w:r>
        <w:rPr>
          <w:rFonts w:hint="eastAsia" w:ascii="Times New Roman" w:hAnsi="Times New Roman" w:cs="Times New Roman"/>
          <w:color w:val="auto"/>
          <w:lang w:eastAsia="zh-CN"/>
        </w:rPr>
        <w:t>营运期</w:t>
      </w:r>
      <w:r>
        <w:rPr>
          <w:rFonts w:hint="default" w:ascii="Times New Roman" w:hAnsi="Times New Roman" w:eastAsia="宋体" w:cs="Times New Roman"/>
          <w:color w:val="auto"/>
        </w:rPr>
        <w:t>经常养护路面，保证路面平整，减轻汽车行驶颠簸产生的噪声对周围环境的影响。</w:t>
      </w:r>
    </w:p>
    <w:p w14:paraId="4A2BFBE3">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（3）运营阶段声环境保护目标的声环境质量监测工作委托有资质的环境监测部门承担。</w:t>
      </w:r>
    </w:p>
    <w:p w14:paraId="606D9A47">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（4）施工期环境保护很大程度上依赖于严格的环境保护施工管理，因此，建议将施工过程的环境保护要求纳入招标书，并在评审投标书时审议施工承包商的环境保护承诺。</w:t>
      </w:r>
    </w:p>
    <w:p w14:paraId="7F73CC10">
      <w:pPr>
        <w:pStyle w:val="496"/>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（5）建设单位在招标文件的编制过程中，应将审批通过的环境影响报告书和批复以及水土保持方案中所提出的各项环境保护措施编入相应的条款中。</w:t>
      </w:r>
    </w:p>
    <w:p w14:paraId="0D3CD9E1">
      <w:pPr>
        <w:pStyle w:val="458"/>
        <w:tabs>
          <w:tab w:val="left" w:pos="1498"/>
        </w:tabs>
        <w:spacing w:line="360" w:lineRule="auto"/>
        <w:ind w:firstLine="48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rPr>
        <w:t>（6）承包商在投标文件中应给出各项环境保护措施的落实和实施计划；应承诺加强施工管理，并定期对各级人员进行环境保护教育。</w:t>
      </w:r>
    </w:p>
    <w:p w14:paraId="6052B0F6">
      <w:pPr>
        <w:pStyle w:val="57"/>
        <w:ind w:firstLine="0" w:firstLineChars="0"/>
        <w:rPr>
          <w:rFonts w:hint="default" w:ascii="Times New Roman" w:hAnsi="Times New Roman" w:eastAsia="宋体" w:cs="Times New Roman"/>
          <w:color w:val="auto"/>
        </w:rPr>
        <w:sectPr>
          <w:pgSz w:w="11906" w:h="16838"/>
          <w:pgMar w:top="1440" w:right="1797" w:bottom="1440" w:left="1797" w:header="851" w:footer="992" w:gutter="0"/>
          <w:pgNumType w:fmt="decimal"/>
          <w:cols w:space="720" w:num="1"/>
          <w:docGrid w:linePitch="312" w:charSpace="0"/>
        </w:sectPr>
      </w:pPr>
    </w:p>
    <w:bookmarkEnd w:id="136"/>
    <w:bookmarkEnd w:id="137"/>
    <w:bookmarkEnd w:id="138"/>
    <w:bookmarkEnd w:id="139"/>
    <w:p w14:paraId="28A27708">
      <w:pPr>
        <w:pStyle w:val="2"/>
        <w:rPr>
          <w:rFonts w:hint="default" w:ascii="Times New Roman" w:hAnsi="Times New Roman" w:eastAsia="宋体" w:cs="Times New Roman"/>
          <w:color w:val="auto"/>
          <w:szCs w:val="32"/>
        </w:rPr>
      </w:pPr>
      <w:bookmarkStart w:id="279" w:name="_Toc351046752"/>
      <w:bookmarkStart w:id="280" w:name="_Toc352320977"/>
      <w:bookmarkStart w:id="281" w:name="_Toc352320852"/>
      <w:bookmarkStart w:id="282" w:name="_Toc335726496"/>
      <w:bookmarkStart w:id="283" w:name="_Toc25529"/>
      <w:bookmarkStart w:id="284" w:name="_Toc367844704"/>
      <w:r>
        <w:rPr>
          <w:rFonts w:hint="eastAsia" w:eastAsia="宋体" w:cs="Times New Roman"/>
          <w:color w:val="auto"/>
          <w:szCs w:val="32"/>
          <w:lang w:val="en-US" w:eastAsia="zh-CN"/>
        </w:rPr>
        <w:t>8</w:t>
      </w:r>
      <w:r>
        <w:rPr>
          <w:rFonts w:hint="default" w:ascii="Times New Roman" w:hAnsi="Times New Roman" w:eastAsia="宋体" w:cs="Times New Roman"/>
          <w:color w:val="auto"/>
          <w:szCs w:val="32"/>
        </w:rPr>
        <w:t xml:space="preserve"> 环境</w:t>
      </w:r>
      <w:bookmarkEnd w:id="279"/>
      <w:bookmarkEnd w:id="280"/>
      <w:bookmarkEnd w:id="281"/>
      <w:bookmarkEnd w:id="282"/>
      <w:r>
        <w:rPr>
          <w:rFonts w:hint="default" w:ascii="Times New Roman" w:hAnsi="Times New Roman" w:eastAsia="宋体" w:cs="Times New Roman"/>
          <w:color w:val="auto"/>
          <w:szCs w:val="32"/>
        </w:rPr>
        <w:t>经济损益分析</w:t>
      </w:r>
      <w:bookmarkEnd w:id="283"/>
      <w:bookmarkEnd w:id="284"/>
    </w:p>
    <w:p w14:paraId="7C98CAB5">
      <w:pPr>
        <w:pStyle w:val="3"/>
        <w:numPr>
          <w:ilvl w:val="0"/>
          <w:numId w:val="0"/>
        </w:numPr>
        <w:rPr>
          <w:rFonts w:hint="default" w:ascii="Times New Roman" w:hAnsi="Times New Roman" w:eastAsia="宋体" w:cs="Times New Roman"/>
          <w:color w:val="auto"/>
        </w:rPr>
      </w:pPr>
      <w:bookmarkStart w:id="285" w:name="_Toc367844705"/>
      <w:bookmarkStart w:id="286" w:name="_Toc14068"/>
      <w:r>
        <w:rPr>
          <w:rFonts w:hint="eastAsia" w:cs="Times New Roman"/>
          <w:color w:val="auto"/>
          <w:lang w:val="en-US" w:eastAsia="zh-CN"/>
        </w:rPr>
        <w:t>8</w:t>
      </w:r>
      <w:r>
        <w:rPr>
          <w:rFonts w:hint="default" w:ascii="Times New Roman" w:hAnsi="Times New Roman" w:eastAsia="宋体" w:cs="Times New Roman"/>
          <w:color w:val="auto"/>
        </w:rPr>
        <w:t>.1环保投资概算及其效益简析</w:t>
      </w:r>
      <w:bookmarkEnd w:id="285"/>
      <w:bookmarkEnd w:id="286"/>
    </w:p>
    <w:p w14:paraId="5D2008CD">
      <w:pPr>
        <w:pStyle w:val="5"/>
        <w:ind w:left="0" w:leftChars="0" w:firstLine="0" w:firstLineChars="0"/>
        <w:rPr>
          <w:rFonts w:hint="default" w:ascii="Times New Roman" w:hAnsi="Times New Roman" w:eastAsia="宋体" w:cs="Times New Roman"/>
          <w:color w:val="auto"/>
          <w:sz w:val="24"/>
        </w:rPr>
      </w:pPr>
      <w:bookmarkStart w:id="287" w:name="_Toc351046769"/>
      <w:bookmarkStart w:id="288" w:name="_Toc32702"/>
      <w:bookmarkStart w:id="289" w:name="_Toc335726522"/>
      <w:bookmarkStart w:id="290" w:name="_Toc327801187"/>
      <w:bookmarkStart w:id="291" w:name="_Toc352320855"/>
      <w:r>
        <w:rPr>
          <w:rFonts w:hint="eastAsia" w:cs="Times New Roman"/>
          <w:color w:val="auto"/>
          <w:sz w:val="24"/>
          <w:lang w:val="en-US" w:eastAsia="zh-CN"/>
        </w:rPr>
        <w:t>8</w:t>
      </w:r>
      <w:r>
        <w:rPr>
          <w:rFonts w:hint="default" w:ascii="Times New Roman" w:hAnsi="Times New Roman" w:eastAsia="宋体" w:cs="Times New Roman"/>
          <w:color w:val="auto"/>
          <w:sz w:val="24"/>
        </w:rPr>
        <w:t>.1.1环保投资概算</w:t>
      </w:r>
      <w:bookmarkEnd w:id="287"/>
      <w:bookmarkEnd w:id="288"/>
      <w:bookmarkEnd w:id="289"/>
      <w:bookmarkEnd w:id="290"/>
      <w:bookmarkEnd w:id="291"/>
    </w:p>
    <w:p w14:paraId="6A9F2966">
      <w:pPr>
        <w:widowControl/>
        <w:ind w:firstLine="480" w:firstLineChars="200"/>
        <w:jc w:val="left"/>
        <w:rPr>
          <w:rFonts w:hint="default" w:ascii="Times New Roman" w:hAnsi="Times New Roman" w:eastAsia="宋体" w:cs="Times New Roman"/>
          <w:color w:val="auto"/>
        </w:rPr>
      </w:pPr>
      <w:r>
        <w:rPr>
          <w:rFonts w:hint="eastAsia" w:cs="Times New Roman"/>
          <w:color w:val="auto"/>
          <w:lang w:val="en-US" w:eastAsia="zh-CN"/>
        </w:rPr>
        <w:t>项目概算总投资</w:t>
      </w:r>
      <w:r>
        <w:rPr>
          <w:rFonts w:hint="default" w:ascii="Times New Roman" w:hAnsi="Times New Roman" w:eastAsia="宋体" w:cs="Times New Roman"/>
          <w:color w:val="auto"/>
          <w:kern w:val="2"/>
          <w:sz w:val="24"/>
          <w:szCs w:val="24"/>
        </w:rPr>
        <w:t>12637.3025万元</w:t>
      </w:r>
      <w:r>
        <w:rPr>
          <w:rFonts w:hint="eastAsia" w:cs="Times New Roman"/>
          <w:color w:val="auto"/>
          <w:kern w:val="2"/>
          <w:sz w:val="24"/>
          <w:szCs w:val="24"/>
          <w:lang w:eastAsia="zh-CN"/>
        </w:rPr>
        <w:t>，</w:t>
      </w:r>
      <w:r>
        <w:rPr>
          <w:rFonts w:hint="eastAsia" w:cs="Times New Roman"/>
          <w:color w:val="auto"/>
          <w:kern w:val="2"/>
          <w:sz w:val="24"/>
          <w:szCs w:val="24"/>
          <w:lang w:val="en-US" w:eastAsia="zh-CN"/>
        </w:rPr>
        <w:t>环保投资157.4万</w:t>
      </w:r>
      <w:r>
        <w:rPr>
          <w:rFonts w:hint="eastAsia" w:cs="Times New Roman"/>
          <w:color w:val="auto"/>
          <w:kern w:val="2"/>
          <w:sz w:val="24"/>
          <w:szCs w:val="24"/>
          <w:lang w:val="en-US" w:eastAsia="zh-CN"/>
        </w:rPr>
        <w:t>元</w:t>
      </w:r>
      <w:r>
        <w:rPr>
          <w:rFonts w:hint="eastAsia" w:cs="Times New Roman"/>
          <w:color w:val="auto"/>
          <w:kern w:val="2"/>
          <w:sz w:val="24"/>
          <w:szCs w:val="24"/>
          <w:lang w:val="en-US" w:eastAsia="zh-CN"/>
        </w:rPr>
        <w:t>，占比为1.25%。</w:t>
      </w:r>
      <w:r>
        <w:rPr>
          <w:rFonts w:hint="default" w:ascii="Times New Roman" w:hAnsi="Times New Roman" w:eastAsia="宋体" w:cs="Times New Roman"/>
          <w:color w:val="auto"/>
        </w:rPr>
        <w:t>环保投资概算见表</w:t>
      </w:r>
      <w:r>
        <w:rPr>
          <w:rFonts w:hint="eastAsia" w:cs="Times New Roman"/>
          <w:color w:val="auto"/>
          <w:lang w:val="en-US" w:eastAsia="zh-CN"/>
        </w:rPr>
        <w:t>8</w:t>
      </w:r>
      <w:r>
        <w:rPr>
          <w:rFonts w:hint="default" w:ascii="Times New Roman" w:hAnsi="Times New Roman" w:eastAsia="宋体" w:cs="Times New Roman"/>
          <w:color w:val="auto"/>
          <w:lang w:val="en-US" w:eastAsia="zh-CN"/>
        </w:rPr>
        <w:t>.1</w:t>
      </w:r>
      <w:r>
        <w:rPr>
          <w:rFonts w:hint="default" w:ascii="Times New Roman" w:hAnsi="Times New Roman" w:eastAsia="宋体" w:cs="Times New Roman"/>
          <w:color w:val="auto"/>
        </w:rPr>
        <w:t>-1。</w:t>
      </w:r>
    </w:p>
    <w:p w14:paraId="3E19954A">
      <w:pPr>
        <w:pageBreakBefore w:val="0"/>
        <w:kinsoku/>
        <w:wordWrap/>
        <w:overflowPunct/>
        <w:topLinePunct w:val="0"/>
        <w:bidi w:val="0"/>
        <w:spacing w:line="240" w:lineRule="auto"/>
        <w:ind w:firstLine="0" w:firstLineChars="0"/>
        <w:jc w:val="center"/>
        <w:textAlignment w:val="auto"/>
        <w:rPr>
          <w:rFonts w:hint="eastAsia" w:ascii="Times New Roman" w:hAnsi="Times New Roman" w:eastAsia="宋体" w:cs="Times New Roman"/>
          <w:b/>
          <w:color w:val="auto"/>
          <w:sz w:val="21"/>
          <w:szCs w:val="21"/>
          <w:lang w:val="en-US" w:eastAsia="zh-CN"/>
        </w:rPr>
      </w:pPr>
      <w:bookmarkStart w:id="292" w:name="_Toc352320856"/>
      <w:bookmarkStart w:id="293" w:name="_Toc351046770"/>
      <w:bookmarkStart w:id="294" w:name="_Toc335726523"/>
      <w:bookmarkStart w:id="295" w:name="_Toc327801190"/>
      <w:r>
        <w:rPr>
          <w:rFonts w:hint="default" w:ascii="Times New Roman" w:hAnsi="Times New Roman" w:eastAsia="宋体" w:cs="Times New Roman"/>
          <w:b/>
          <w:color w:val="auto"/>
          <w:sz w:val="21"/>
          <w:szCs w:val="21"/>
        </w:rPr>
        <w:t>表</w:t>
      </w:r>
      <w:r>
        <w:rPr>
          <w:rFonts w:hint="eastAsia" w:cs="Times New Roman"/>
          <w:b/>
          <w:color w:val="auto"/>
          <w:sz w:val="21"/>
          <w:szCs w:val="21"/>
          <w:lang w:val="en-US" w:eastAsia="zh-CN"/>
        </w:rPr>
        <w:t>8</w:t>
      </w:r>
      <w:r>
        <w:rPr>
          <w:rFonts w:hint="default" w:ascii="Times New Roman" w:hAnsi="Times New Roman" w:eastAsia="宋体" w:cs="Times New Roman"/>
          <w:b/>
          <w:color w:val="auto"/>
          <w:sz w:val="21"/>
          <w:szCs w:val="21"/>
          <w:lang w:val="en-US" w:eastAsia="zh-CN"/>
        </w:rPr>
        <w:t>.1</w:t>
      </w:r>
      <w:r>
        <w:rPr>
          <w:rFonts w:hint="default" w:ascii="Times New Roman" w:hAnsi="Times New Roman" w:eastAsia="宋体" w:cs="Times New Roman"/>
          <w:b/>
          <w:color w:val="auto"/>
          <w:sz w:val="21"/>
          <w:szCs w:val="21"/>
        </w:rPr>
        <w:t>-1   环保投资概算</w:t>
      </w:r>
      <w:r>
        <w:rPr>
          <w:rFonts w:hint="eastAsia" w:cs="Times New Roman"/>
          <w:b/>
          <w:color w:val="auto"/>
          <w:sz w:val="21"/>
          <w:szCs w:val="21"/>
          <w:lang w:val="en-US" w:eastAsia="zh-CN"/>
        </w:rPr>
        <w:t>一览表</w:t>
      </w:r>
    </w:p>
    <w:tbl>
      <w:tblPr>
        <w:tblStyle w:val="58"/>
        <w:tblpPr w:leftFromText="180" w:rightFromText="180" w:vertAnchor="text" w:tblpXSpec="left" w:tblpY="1"/>
        <w:tblOverlap w:val="never"/>
        <w:tblW w:w="5152" w:type="pct"/>
        <w:tblInd w:w="0" w:type="dxa"/>
        <w:tblLayout w:type="autofit"/>
        <w:tblCellMar>
          <w:top w:w="0" w:type="dxa"/>
          <w:left w:w="0" w:type="dxa"/>
          <w:bottom w:w="0" w:type="dxa"/>
          <w:right w:w="0" w:type="dxa"/>
        </w:tblCellMar>
      </w:tblPr>
      <w:tblGrid>
        <w:gridCol w:w="1253"/>
        <w:gridCol w:w="548"/>
        <w:gridCol w:w="81"/>
        <w:gridCol w:w="783"/>
        <w:gridCol w:w="1715"/>
        <w:gridCol w:w="1073"/>
        <w:gridCol w:w="958"/>
        <w:gridCol w:w="2170"/>
      </w:tblGrid>
      <w:tr w14:paraId="20E40FC3">
        <w:tblPrEx>
          <w:tblCellMar>
            <w:top w:w="0" w:type="dxa"/>
            <w:left w:w="0" w:type="dxa"/>
            <w:bottom w:w="0" w:type="dxa"/>
            <w:right w:w="0" w:type="dxa"/>
          </w:tblCellMar>
        </w:tblPrEx>
        <w:trPr>
          <w:trHeight w:val="454" w:hRule="atLeast"/>
        </w:trPr>
        <w:tc>
          <w:tcPr>
            <w:tcW w:w="730" w:type="pct"/>
            <w:tcBorders>
              <w:top w:val="single" w:color="000000" w:sz="6" w:space="0"/>
              <w:left w:val="single" w:color="000000" w:sz="6" w:space="0"/>
              <w:bottom w:val="single" w:color="000000" w:sz="6" w:space="0"/>
              <w:right w:val="single" w:color="000000" w:sz="6" w:space="0"/>
            </w:tcBorders>
            <w:noWrap w:val="0"/>
            <w:vAlign w:val="center"/>
          </w:tcPr>
          <w:p w14:paraId="12120DD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环保项目</w:t>
            </w:r>
          </w:p>
        </w:tc>
        <w:tc>
          <w:tcPr>
            <w:tcW w:w="1821" w:type="pct"/>
            <w:gridSpan w:val="4"/>
            <w:tcBorders>
              <w:top w:val="single" w:color="000000" w:sz="6" w:space="0"/>
              <w:left w:val="single" w:color="000000" w:sz="6" w:space="0"/>
              <w:bottom w:val="single" w:color="000000" w:sz="6" w:space="0"/>
              <w:right w:val="single" w:color="000000" w:sz="6" w:space="0"/>
            </w:tcBorders>
            <w:noWrap w:val="0"/>
            <w:vAlign w:val="center"/>
          </w:tcPr>
          <w:p w14:paraId="6819434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措施内容</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20247B58">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数量</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04D99B33">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金额</w:t>
            </w:r>
          </w:p>
          <w:p w14:paraId="4BD2301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万元</w:t>
            </w:r>
            <w:r>
              <w:rPr>
                <w:rFonts w:hint="default" w:ascii="Times New Roman" w:hAnsi="Times New Roman" w:eastAsia="宋体" w:cs="Times New Roman"/>
                <w:color w:val="auto"/>
                <w:szCs w:val="21"/>
                <w:lang w:eastAsia="zh-CN"/>
              </w:rPr>
              <w:t>）</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08791179">
            <w:pPr>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bidi="ar"/>
              </w:rPr>
              <w:t>环境效益</w:t>
            </w:r>
          </w:p>
        </w:tc>
      </w:tr>
      <w:tr w14:paraId="4ED0F66F">
        <w:tblPrEx>
          <w:tblCellMar>
            <w:top w:w="0" w:type="dxa"/>
            <w:left w:w="0" w:type="dxa"/>
            <w:bottom w:w="0" w:type="dxa"/>
            <w:right w:w="0" w:type="dxa"/>
          </w:tblCellMar>
        </w:tblPrEx>
        <w:trPr>
          <w:trHeight w:val="454" w:hRule="atLeast"/>
        </w:trPr>
        <w:tc>
          <w:tcPr>
            <w:tcW w:w="730" w:type="pct"/>
            <w:vMerge w:val="restart"/>
            <w:tcBorders>
              <w:top w:val="single" w:color="000000" w:sz="6" w:space="0"/>
              <w:left w:val="single" w:color="000000" w:sz="6" w:space="0"/>
              <w:right w:val="single" w:color="000000" w:sz="6" w:space="0"/>
            </w:tcBorders>
            <w:noWrap w:val="0"/>
            <w:vAlign w:val="center"/>
          </w:tcPr>
          <w:p w14:paraId="041A9C9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生态环境保护及恢复</w:t>
            </w:r>
          </w:p>
        </w:tc>
        <w:tc>
          <w:tcPr>
            <w:tcW w:w="366" w:type="pct"/>
            <w:gridSpan w:val="2"/>
            <w:vMerge w:val="restart"/>
            <w:tcBorders>
              <w:top w:val="single" w:color="000000" w:sz="6" w:space="0"/>
              <w:left w:val="single" w:color="000000" w:sz="6" w:space="0"/>
              <w:right w:val="single" w:color="000000" w:sz="6" w:space="0"/>
            </w:tcBorders>
            <w:noWrap w:val="0"/>
            <w:vAlign w:val="center"/>
          </w:tcPr>
          <w:p w14:paraId="1B281C3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w:t>
            </w:r>
          </w:p>
        </w:tc>
        <w:tc>
          <w:tcPr>
            <w:tcW w:w="1455" w:type="pct"/>
            <w:gridSpan w:val="2"/>
            <w:tcBorders>
              <w:top w:val="single" w:color="000000" w:sz="6" w:space="0"/>
              <w:left w:val="single" w:color="000000" w:sz="6" w:space="0"/>
              <w:bottom w:val="single" w:color="000000" w:sz="6" w:space="0"/>
              <w:right w:val="single" w:color="000000" w:sz="6" w:space="0"/>
            </w:tcBorders>
            <w:noWrap w:val="0"/>
            <w:vAlign w:val="center"/>
          </w:tcPr>
          <w:p w14:paraId="5099C24E">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施工场地、弃渣场等临时占地防护措施及植被恢复</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290205DF">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558" w:type="pct"/>
            <w:vMerge w:val="restart"/>
            <w:tcBorders>
              <w:top w:val="single" w:color="000000" w:sz="6" w:space="0"/>
              <w:left w:val="single" w:color="000000" w:sz="6" w:space="0"/>
              <w:right w:val="single" w:color="000000" w:sz="6" w:space="0"/>
            </w:tcBorders>
            <w:noWrap w:val="0"/>
            <w:vAlign w:val="center"/>
          </w:tcPr>
          <w:p w14:paraId="6A3E8F9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30</w:t>
            </w:r>
          </w:p>
        </w:tc>
        <w:tc>
          <w:tcPr>
            <w:tcW w:w="1264" w:type="pct"/>
            <w:vMerge w:val="restart"/>
            <w:tcBorders>
              <w:top w:val="single" w:color="000000" w:sz="6" w:space="0"/>
              <w:left w:val="single" w:color="000000" w:sz="6" w:space="0"/>
              <w:right w:val="single" w:color="000000" w:sz="6" w:space="0"/>
            </w:tcBorders>
            <w:noWrap w:val="0"/>
            <w:vAlign w:val="center"/>
          </w:tcPr>
          <w:p w14:paraId="47E3AEB2">
            <w:pPr>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bidi="ar"/>
              </w:rPr>
              <w:t>减少水土流失</w:t>
            </w:r>
          </w:p>
        </w:tc>
      </w:tr>
      <w:tr w14:paraId="24272A86">
        <w:tblPrEx>
          <w:tblCellMar>
            <w:top w:w="0" w:type="dxa"/>
            <w:left w:w="0" w:type="dxa"/>
            <w:bottom w:w="0" w:type="dxa"/>
            <w:right w:w="0" w:type="dxa"/>
          </w:tblCellMar>
        </w:tblPrEx>
        <w:trPr>
          <w:trHeight w:val="454" w:hRule="atLeast"/>
        </w:trPr>
        <w:tc>
          <w:tcPr>
            <w:tcW w:w="730" w:type="pct"/>
            <w:vMerge w:val="continue"/>
            <w:tcBorders>
              <w:left w:val="single" w:color="000000" w:sz="6" w:space="0"/>
              <w:bottom w:val="single" w:color="000000" w:sz="6" w:space="0"/>
              <w:right w:val="single" w:color="000000" w:sz="6" w:space="0"/>
            </w:tcBorders>
            <w:noWrap w:val="0"/>
            <w:vAlign w:val="center"/>
          </w:tcPr>
          <w:p w14:paraId="7A2FF906">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366" w:type="pct"/>
            <w:gridSpan w:val="2"/>
            <w:vMerge w:val="continue"/>
            <w:tcBorders>
              <w:left w:val="single" w:color="000000" w:sz="6" w:space="0"/>
              <w:bottom w:val="single" w:color="000000" w:sz="6" w:space="0"/>
              <w:right w:val="single" w:color="000000" w:sz="6" w:space="0"/>
            </w:tcBorders>
            <w:noWrap w:val="0"/>
            <w:vAlign w:val="center"/>
          </w:tcPr>
          <w:p w14:paraId="25B89744">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1455" w:type="pct"/>
            <w:gridSpan w:val="2"/>
            <w:tcBorders>
              <w:top w:val="single" w:color="000000" w:sz="6" w:space="0"/>
              <w:left w:val="single" w:color="000000" w:sz="6" w:space="0"/>
              <w:bottom w:val="single" w:color="000000" w:sz="6" w:space="0"/>
              <w:right w:val="single" w:color="000000" w:sz="6" w:space="0"/>
            </w:tcBorders>
            <w:noWrap w:val="0"/>
            <w:vAlign w:val="center"/>
          </w:tcPr>
          <w:p w14:paraId="5502F2D5">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施工期临时水保措施</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1B9E0990">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558" w:type="pct"/>
            <w:vMerge w:val="continue"/>
            <w:tcBorders>
              <w:left w:val="single" w:color="000000" w:sz="6" w:space="0"/>
              <w:bottom w:val="single" w:color="000000" w:sz="6" w:space="0"/>
              <w:right w:val="single" w:color="000000" w:sz="6" w:space="0"/>
            </w:tcBorders>
            <w:noWrap w:val="0"/>
            <w:vAlign w:val="center"/>
          </w:tcPr>
          <w:p w14:paraId="5DCE4FB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1264" w:type="pct"/>
            <w:vMerge w:val="continue"/>
            <w:tcBorders>
              <w:left w:val="single" w:color="000000" w:sz="6" w:space="0"/>
              <w:bottom w:val="single" w:color="000000" w:sz="6" w:space="0"/>
              <w:right w:val="single" w:color="000000" w:sz="6" w:space="0"/>
            </w:tcBorders>
            <w:noWrap w:val="0"/>
            <w:vAlign w:val="center"/>
          </w:tcPr>
          <w:p w14:paraId="1F0AB05E">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r>
      <w:tr w14:paraId="61AB26AE">
        <w:tblPrEx>
          <w:tblCellMar>
            <w:top w:w="0" w:type="dxa"/>
            <w:left w:w="0" w:type="dxa"/>
            <w:bottom w:w="0" w:type="dxa"/>
            <w:right w:w="0" w:type="dxa"/>
          </w:tblCellMar>
        </w:tblPrEx>
        <w:trPr>
          <w:trHeight w:val="454" w:hRule="atLeast"/>
        </w:trPr>
        <w:tc>
          <w:tcPr>
            <w:tcW w:w="730" w:type="pct"/>
            <w:tcBorders>
              <w:top w:val="single" w:color="000000" w:sz="6" w:space="0"/>
              <w:left w:val="single" w:color="000000" w:sz="6" w:space="0"/>
              <w:bottom w:val="single" w:color="000000" w:sz="6" w:space="0"/>
              <w:right w:val="single" w:color="000000" w:sz="6" w:space="0"/>
            </w:tcBorders>
            <w:noWrap w:val="0"/>
            <w:vAlign w:val="center"/>
          </w:tcPr>
          <w:p w14:paraId="1A7945E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固体废弃物</w:t>
            </w:r>
          </w:p>
        </w:tc>
        <w:tc>
          <w:tcPr>
            <w:tcW w:w="822" w:type="pct"/>
            <w:gridSpan w:val="3"/>
            <w:tcBorders>
              <w:top w:val="single" w:color="000000" w:sz="6" w:space="0"/>
              <w:left w:val="single" w:color="000000" w:sz="6" w:space="0"/>
              <w:bottom w:val="single" w:color="000000" w:sz="6" w:space="0"/>
              <w:right w:val="single" w:color="000000" w:sz="6" w:space="0"/>
            </w:tcBorders>
            <w:noWrap w:val="0"/>
            <w:vAlign w:val="center"/>
          </w:tcPr>
          <w:p w14:paraId="69C05650">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w:t>
            </w:r>
          </w:p>
        </w:tc>
        <w:tc>
          <w:tcPr>
            <w:tcW w:w="999" w:type="pct"/>
            <w:tcBorders>
              <w:top w:val="single" w:color="000000" w:sz="6" w:space="0"/>
              <w:left w:val="single" w:color="000000" w:sz="6" w:space="0"/>
              <w:bottom w:val="single" w:color="000000" w:sz="6" w:space="0"/>
              <w:right w:val="single" w:color="000000" w:sz="6" w:space="0"/>
            </w:tcBorders>
            <w:noWrap w:val="0"/>
            <w:vAlign w:val="center"/>
          </w:tcPr>
          <w:p w14:paraId="5631D3AC">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带盖垃圾收集箱</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37965223">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2个</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26E7BFC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0.4</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480A3FEA">
            <w:pPr>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bidi="ar"/>
              </w:rPr>
              <w:t>避免固体废物对周围环境造成污染</w:t>
            </w:r>
          </w:p>
        </w:tc>
      </w:tr>
      <w:tr w14:paraId="7A963600">
        <w:tblPrEx>
          <w:tblCellMar>
            <w:top w:w="0" w:type="dxa"/>
            <w:left w:w="0" w:type="dxa"/>
            <w:bottom w:w="0" w:type="dxa"/>
            <w:right w:w="0" w:type="dxa"/>
          </w:tblCellMar>
        </w:tblPrEx>
        <w:trPr>
          <w:trHeight w:val="731" w:hRule="atLeast"/>
        </w:trPr>
        <w:tc>
          <w:tcPr>
            <w:tcW w:w="730" w:type="pct"/>
            <w:vMerge w:val="restart"/>
            <w:tcBorders>
              <w:top w:val="single" w:color="000000" w:sz="6" w:space="0"/>
              <w:left w:val="single" w:color="000000" w:sz="6" w:space="0"/>
              <w:right w:val="single" w:color="000000" w:sz="6" w:space="0"/>
            </w:tcBorders>
            <w:noWrap w:val="0"/>
            <w:vAlign w:val="center"/>
          </w:tcPr>
          <w:p w14:paraId="1BF8111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地表水环境污染防治</w:t>
            </w:r>
          </w:p>
        </w:tc>
        <w:tc>
          <w:tcPr>
            <w:tcW w:w="319" w:type="pct"/>
            <w:vMerge w:val="restart"/>
            <w:tcBorders>
              <w:top w:val="single" w:color="000000" w:sz="6" w:space="0"/>
              <w:left w:val="single" w:color="000000" w:sz="6" w:space="0"/>
              <w:right w:val="single" w:color="000000" w:sz="6" w:space="0"/>
            </w:tcBorders>
            <w:noWrap w:val="0"/>
            <w:vAlign w:val="center"/>
          </w:tcPr>
          <w:p w14:paraId="0ED5034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w:t>
            </w:r>
          </w:p>
        </w:tc>
        <w:tc>
          <w:tcPr>
            <w:tcW w:w="1502" w:type="pct"/>
            <w:gridSpan w:val="3"/>
            <w:tcBorders>
              <w:top w:val="single" w:color="000000" w:sz="6" w:space="0"/>
              <w:left w:val="single" w:color="000000" w:sz="6" w:space="0"/>
              <w:right w:val="single" w:color="000000" w:sz="6" w:space="0"/>
            </w:tcBorders>
            <w:noWrap w:val="0"/>
            <w:vAlign w:val="center"/>
          </w:tcPr>
          <w:p w14:paraId="606AB408">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施工生产废水沉淀池</w:t>
            </w:r>
          </w:p>
        </w:tc>
        <w:tc>
          <w:tcPr>
            <w:tcW w:w="625" w:type="pct"/>
            <w:tcBorders>
              <w:top w:val="single" w:color="000000" w:sz="6" w:space="0"/>
              <w:left w:val="single" w:color="000000" w:sz="6" w:space="0"/>
              <w:right w:val="single" w:color="000000" w:sz="6" w:space="0"/>
            </w:tcBorders>
            <w:noWrap w:val="0"/>
            <w:vAlign w:val="center"/>
          </w:tcPr>
          <w:p w14:paraId="50ECD06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5个</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3B6882E0">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10</w:t>
            </w:r>
          </w:p>
        </w:tc>
        <w:tc>
          <w:tcPr>
            <w:tcW w:w="1264" w:type="pct"/>
            <w:vMerge w:val="restart"/>
            <w:tcBorders>
              <w:top w:val="single" w:color="000000" w:sz="6" w:space="0"/>
              <w:left w:val="single" w:color="000000" w:sz="6" w:space="0"/>
              <w:right w:val="single" w:color="000000" w:sz="6" w:space="0"/>
            </w:tcBorders>
            <w:noWrap w:val="0"/>
            <w:vAlign w:val="center"/>
          </w:tcPr>
          <w:p w14:paraId="6911E9A3">
            <w:pPr>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kern w:val="0"/>
                <w:sz w:val="21"/>
                <w:szCs w:val="21"/>
                <w:lang w:bidi="ar"/>
              </w:rPr>
              <w:t>避免造成区域地表水环境污染</w:t>
            </w:r>
          </w:p>
        </w:tc>
      </w:tr>
      <w:tr w14:paraId="5D81DACF">
        <w:tblPrEx>
          <w:tblCellMar>
            <w:top w:w="0" w:type="dxa"/>
            <w:left w:w="0" w:type="dxa"/>
            <w:bottom w:w="0" w:type="dxa"/>
            <w:right w:w="0" w:type="dxa"/>
          </w:tblCellMar>
        </w:tblPrEx>
        <w:trPr>
          <w:trHeight w:val="454" w:hRule="atLeast"/>
        </w:trPr>
        <w:tc>
          <w:tcPr>
            <w:tcW w:w="730" w:type="pct"/>
            <w:vMerge w:val="continue"/>
            <w:tcBorders>
              <w:left w:val="single" w:color="000000" w:sz="6" w:space="0"/>
              <w:right w:val="single" w:color="000000" w:sz="6" w:space="0"/>
            </w:tcBorders>
            <w:noWrap w:val="0"/>
            <w:vAlign w:val="center"/>
          </w:tcPr>
          <w:p w14:paraId="768877A1">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319" w:type="pct"/>
            <w:vMerge w:val="continue"/>
            <w:tcBorders>
              <w:left w:val="single" w:color="000000" w:sz="6" w:space="0"/>
              <w:bottom w:val="single" w:color="000000" w:sz="6" w:space="0"/>
              <w:right w:val="single" w:color="000000" w:sz="6" w:space="0"/>
            </w:tcBorders>
            <w:noWrap w:val="0"/>
            <w:vAlign w:val="center"/>
          </w:tcPr>
          <w:p w14:paraId="0E90234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1502" w:type="pct"/>
            <w:gridSpan w:val="3"/>
            <w:tcBorders>
              <w:top w:val="single" w:color="000000" w:sz="6" w:space="0"/>
              <w:left w:val="single" w:color="000000" w:sz="6" w:space="0"/>
              <w:bottom w:val="single" w:color="000000" w:sz="6" w:space="0"/>
              <w:right w:val="single" w:color="000000" w:sz="6" w:space="0"/>
            </w:tcBorders>
            <w:noWrap w:val="0"/>
            <w:vAlign w:val="center"/>
          </w:tcPr>
          <w:p w14:paraId="30B588E5">
            <w:pPr>
              <w:pageBreakBefore w:val="0"/>
              <w:widowControl/>
              <w:kinsoku/>
              <w:wordWrap/>
              <w:overflowPunct/>
              <w:topLinePunct w:val="0"/>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bidi="ar"/>
              </w:rPr>
              <w:t>材料堆场防雨水冲刷措施</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1340923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1个</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613F1BF1">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2</w:t>
            </w:r>
          </w:p>
        </w:tc>
        <w:tc>
          <w:tcPr>
            <w:tcW w:w="1264" w:type="pct"/>
            <w:vMerge w:val="continue"/>
            <w:tcBorders>
              <w:left w:val="single" w:color="000000" w:sz="6" w:space="0"/>
              <w:bottom w:val="single" w:color="000000" w:sz="6" w:space="0"/>
              <w:right w:val="single" w:color="000000" w:sz="6" w:space="0"/>
            </w:tcBorders>
            <w:noWrap w:val="0"/>
            <w:vAlign w:val="center"/>
          </w:tcPr>
          <w:p w14:paraId="3AA2286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r>
      <w:tr w14:paraId="11B2F9FD">
        <w:tblPrEx>
          <w:tblCellMar>
            <w:top w:w="0" w:type="dxa"/>
            <w:left w:w="0" w:type="dxa"/>
            <w:bottom w:w="0" w:type="dxa"/>
            <w:right w:w="0" w:type="dxa"/>
          </w:tblCellMar>
        </w:tblPrEx>
        <w:trPr>
          <w:trHeight w:val="454" w:hRule="atLeast"/>
        </w:trPr>
        <w:tc>
          <w:tcPr>
            <w:tcW w:w="730" w:type="pct"/>
            <w:tcBorders>
              <w:top w:val="single" w:color="000000" w:sz="6" w:space="0"/>
              <w:left w:val="single" w:color="000000" w:sz="6" w:space="0"/>
              <w:bottom w:val="single" w:color="000000" w:sz="6" w:space="0"/>
              <w:right w:val="single" w:color="000000" w:sz="6" w:space="0"/>
            </w:tcBorders>
            <w:noWrap w:val="0"/>
            <w:vAlign w:val="center"/>
          </w:tcPr>
          <w:p w14:paraId="0FBAA543">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环境空气污染防治</w:t>
            </w:r>
          </w:p>
        </w:tc>
        <w:tc>
          <w:tcPr>
            <w:tcW w:w="319" w:type="pct"/>
            <w:tcBorders>
              <w:top w:val="single" w:color="000000" w:sz="6" w:space="0"/>
              <w:left w:val="single" w:color="000000" w:sz="6" w:space="0"/>
              <w:bottom w:val="single" w:color="000000" w:sz="6" w:space="0"/>
              <w:right w:val="single" w:color="000000" w:sz="6" w:space="0"/>
            </w:tcBorders>
            <w:noWrap w:val="0"/>
            <w:vAlign w:val="center"/>
          </w:tcPr>
          <w:p w14:paraId="6327E7C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w:t>
            </w:r>
          </w:p>
        </w:tc>
        <w:tc>
          <w:tcPr>
            <w:tcW w:w="1502" w:type="pct"/>
            <w:gridSpan w:val="3"/>
            <w:tcBorders>
              <w:top w:val="single" w:color="000000" w:sz="6" w:space="0"/>
              <w:left w:val="single" w:color="000000" w:sz="6" w:space="0"/>
              <w:bottom w:val="single" w:color="000000" w:sz="6" w:space="0"/>
              <w:right w:val="single" w:color="000000" w:sz="6" w:space="0"/>
            </w:tcBorders>
            <w:noWrap w:val="0"/>
            <w:vAlign w:val="center"/>
          </w:tcPr>
          <w:p w14:paraId="36A37A9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围挡、洒水降尘、喷淋、搅拌站封闭、临时档护、防尘布遮盖等费用</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3584EBA4">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323687F8">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lang w:val="en-US" w:eastAsia="zh-CN"/>
              </w:rPr>
            </w:pPr>
            <w:r>
              <w:rPr>
                <w:rFonts w:hint="eastAsia" w:hAnsi="Times New Roman" w:cs="Times New Roman"/>
                <w:b w:val="0"/>
                <w:bCs w:val="0"/>
                <w:color w:val="auto"/>
                <w:szCs w:val="21"/>
                <w:lang w:val="en-US" w:eastAsia="zh-CN"/>
              </w:rPr>
              <w:t>10</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569AE566">
            <w:pPr>
              <w:pageBreakBefore w:val="0"/>
              <w:widowControl/>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bidi="ar"/>
              </w:rPr>
              <w:t>减缓对沿线环境空气质量的影响</w:t>
            </w:r>
          </w:p>
        </w:tc>
      </w:tr>
      <w:tr w14:paraId="008F7383">
        <w:tblPrEx>
          <w:tblCellMar>
            <w:top w:w="0" w:type="dxa"/>
            <w:left w:w="0" w:type="dxa"/>
            <w:bottom w:w="0" w:type="dxa"/>
            <w:right w:w="0" w:type="dxa"/>
          </w:tblCellMar>
        </w:tblPrEx>
        <w:trPr>
          <w:trHeight w:val="454" w:hRule="atLeast"/>
        </w:trPr>
        <w:tc>
          <w:tcPr>
            <w:tcW w:w="730" w:type="pct"/>
            <w:vMerge w:val="restart"/>
            <w:tcBorders>
              <w:top w:val="single" w:color="000000" w:sz="6" w:space="0"/>
              <w:left w:val="single" w:color="000000" w:sz="6" w:space="0"/>
              <w:right w:val="single" w:color="000000" w:sz="6" w:space="0"/>
            </w:tcBorders>
            <w:noWrap w:val="0"/>
            <w:vAlign w:val="center"/>
          </w:tcPr>
          <w:p w14:paraId="0BC10D0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危险品事故风险防范</w:t>
            </w:r>
          </w:p>
        </w:tc>
        <w:tc>
          <w:tcPr>
            <w:tcW w:w="319" w:type="pct"/>
            <w:vMerge w:val="restart"/>
            <w:tcBorders>
              <w:top w:val="single" w:color="000000" w:sz="6" w:space="0"/>
              <w:left w:val="single" w:color="000000" w:sz="6" w:space="0"/>
              <w:right w:val="single" w:color="000000" w:sz="6" w:space="0"/>
            </w:tcBorders>
            <w:noWrap w:val="0"/>
            <w:vAlign w:val="center"/>
          </w:tcPr>
          <w:p w14:paraId="1C39D19E">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营运期</w:t>
            </w:r>
          </w:p>
        </w:tc>
        <w:tc>
          <w:tcPr>
            <w:tcW w:w="1502" w:type="pct"/>
            <w:gridSpan w:val="3"/>
            <w:tcBorders>
              <w:top w:val="single" w:color="000000" w:sz="6" w:space="0"/>
              <w:left w:val="single" w:color="000000" w:sz="6" w:space="0"/>
              <w:right w:val="single" w:color="000000" w:sz="6" w:space="0"/>
            </w:tcBorders>
            <w:noWrap w:val="0"/>
            <w:vAlign w:val="center"/>
          </w:tcPr>
          <w:p w14:paraId="163AA8F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沉砂事故应急池</w:t>
            </w:r>
          </w:p>
        </w:tc>
        <w:tc>
          <w:tcPr>
            <w:tcW w:w="625" w:type="pct"/>
            <w:tcBorders>
              <w:top w:val="single" w:color="000000" w:sz="6" w:space="0"/>
              <w:left w:val="single" w:color="000000" w:sz="6" w:space="0"/>
              <w:right w:val="single" w:color="000000" w:sz="6" w:space="0"/>
            </w:tcBorders>
            <w:noWrap w:val="0"/>
            <w:vAlign w:val="center"/>
          </w:tcPr>
          <w:p w14:paraId="7AE733A1">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eastAsia" w:hAnsi="Times New Roman" w:cs="Times New Roman"/>
                <w:b w:val="0"/>
                <w:bCs w:val="0"/>
                <w:color w:val="auto"/>
                <w:szCs w:val="21"/>
                <w:lang w:val="en-US" w:eastAsia="zh-CN"/>
              </w:rPr>
              <w:t>1</w:t>
            </w:r>
            <w:r>
              <w:rPr>
                <w:rFonts w:hint="default" w:ascii="Times New Roman" w:hAnsi="Times New Roman" w:eastAsia="宋体" w:cs="Times New Roman"/>
                <w:b w:val="0"/>
                <w:bCs w:val="0"/>
                <w:color w:val="auto"/>
                <w:szCs w:val="21"/>
              </w:rPr>
              <w:t>个</w:t>
            </w:r>
          </w:p>
        </w:tc>
        <w:tc>
          <w:tcPr>
            <w:tcW w:w="558" w:type="pct"/>
            <w:tcBorders>
              <w:top w:val="single" w:color="000000" w:sz="6" w:space="0"/>
              <w:left w:val="single" w:color="000000" w:sz="6" w:space="0"/>
              <w:right w:val="single" w:color="000000" w:sz="6" w:space="0"/>
            </w:tcBorders>
            <w:noWrap w:val="0"/>
            <w:vAlign w:val="center"/>
          </w:tcPr>
          <w:p w14:paraId="0D3F023F">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5</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4BF9C58B">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估列</w:t>
            </w:r>
          </w:p>
        </w:tc>
      </w:tr>
      <w:tr w14:paraId="499DFB24">
        <w:tblPrEx>
          <w:tblCellMar>
            <w:top w:w="0" w:type="dxa"/>
            <w:left w:w="0" w:type="dxa"/>
            <w:bottom w:w="0" w:type="dxa"/>
            <w:right w:w="0" w:type="dxa"/>
          </w:tblCellMar>
        </w:tblPrEx>
        <w:trPr>
          <w:trHeight w:val="454" w:hRule="atLeast"/>
        </w:trPr>
        <w:tc>
          <w:tcPr>
            <w:tcW w:w="730" w:type="pct"/>
            <w:vMerge w:val="continue"/>
            <w:tcBorders>
              <w:left w:val="single" w:color="000000" w:sz="6" w:space="0"/>
              <w:right w:val="single" w:color="000000" w:sz="6" w:space="0"/>
            </w:tcBorders>
            <w:noWrap w:val="0"/>
            <w:vAlign w:val="center"/>
          </w:tcPr>
          <w:p w14:paraId="63F2AD5B">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319" w:type="pct"/>
            <w:vMerge w:val="continue"/>
            <w:tcBorders>
              <w:left w:val="single" w:color="000000" w:sz="6" w:space="0"/>
              <w:right w:val="single" w:color="000000" w:sz="6" w:space="0"/>
            </w:tcBorders>
            <w:noWrap w:val="0"/>
            <w:vAlign w:val="center"/>
          </w:tcPr>
          <w:p w14:paraId="7105D995">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1502" w:type="pct"/>
            <w:gridSpan w:val="3"/>
            <w:tcBorders>
              <w:top w:val="single" w:color="000000" w:sz="6" w:space="0"/>
              <w:left w:val="single" w:color="000000" w:sz="6" w:space="0"/>
              <w:bottom w:val="single" w:color="000000" w:sz="6" w:space="0"/>
              <w:right w:val="single" w:color="000000" w:sz="6" w:space="0"/>
            </w:tcBorders>
            <w:noWrap w:val="0"/>
            <w:vAlign w:val="center"/>
          </w:tcPr>
          <w:p w14:paraId="4208F936">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危险品运输事故应急预案编制</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79789B2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2B41F74C">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20.00</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0B4B4A30">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估列</w:t>
            </w:r>
          </w:p>
        </w:tc>
      </w:tr>
      <w:tr w14:paraId="1621D365">
        <w:tblPrEx>
          <w:tblCellMar>
            <w:top w:w="0" w:type="dxa"/>
            <w:left w:w="0" w:type="dxa"/>
            <w:bottom w:w="0" w:type="dxa"/>
            <w:right w:w="0" w:type="dxa"/>
          </w:tblCellMar>
        </w:tblPrEx>
        <w:trPr>
          <w:trHeight w:val="454" w:hRule="atLeast"/>
        </w:trPr>
        <w:tc>
          <w:tcPr>
            <w:tcW w:w="730" w:type="pct"/>
            <w:tcBorders>
              <w:top w:val="single" w:color="000000" w:sz="6" w:space="0"/>
              <w:left w:val="single" w:color="000000" w:sz="6" w:space="0"/>
              <w:bottom w:val="single" w:color="000000" w:sz="6" w:space="0"/>
              <w:right w:val="single" w:color="000000" w:sz="6" w:space="0"/>
            </w:tcBorders>
            <w:noWrap w:val="0"/>
            <w:vAlign w:val="center"/>
          </w:tcPr>
          <w:p w14:paraId="4B507ABC">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环境监理</w:t>
            </w:r>
          </w:p>
        </w:tc>
        <w:tc>
          <w:tcPr>
            <w:tcW w:w="1821" w:type="pct"/>
            <w:gridSpan w:val="4"/>
            <w:tcBorders>
              <w:top w:val="single" w:color="000000" w:sz="6" w:space="0"/>
              <w:left w:val="single" w:color="000000" w:sz="6" w:space="0"/>
              <w:bottom w:val="single" w:color="000000" w:sz="6" w:space="0"/>
              <w:right w:val="single" w:color="000000" w:sz="6" w:space="0"/>
            </w:tcBorders>
            <w:noWrap w:val="0"/>
            <w:vAlign w:val="center"/>
          </w:tcPr>
          <w:p w14:paraId="236129E4">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施工期环境监理</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1BCFAB4E">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3年</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2E255AAB">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60.0</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15BBD7B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含环境监理实施方案编制</w:t>
            </w:r>
          </w:p>
        </w:tc>
      </w:tr>
      <w:tr w14:paraId="489CECD2">
        <w:tblPrEx>
          <w:tblCellMar>
            <w:top w:w="0" w:type="dxa"/>
            <w:left w:w="0" w:type="dxa"/>
            <w:bottom w:w="0" w:type="dxa"/>
            <w:right w:w="0" w:type="dxa"/>
          </w:tblCellMar>
        </w:tblPrEx>
        <w:trPr>
          <w:trHeight w:val="454" w:hRule="atLeast"/>
        </w:trPr>
        <w:tc>
          <w:tcPr>
            <w:tcW w:w="730" w:type="pct"/>
            <w:vMerge w:val="restart"/>
            <w:tcBorders>
              <w:top w:val="single" w:color="000000" w:sz="6" w:space="0"/>
              <w:left w:val="single" w:color="000000" w:sz="6" w:space="0"/>
              <w:right w:val="single" w:color="000000" w:sz="6" w:space="0"/>
            </w:tcBorders>
            <w:noWrap w:val="0"/>
            <w:vAlign w:val="center"/>
          </w:tcPr>
          <w:p w14:paraId="0BED0A7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环境监测</w:t>
            </w:r>
          </w:p>
        </w:tc>
        <w:tc>
          <w:tcPr>
            <w:tcW w:w="1821" w:type="pct"/>
            <w:gridSpan w:val="4"/>
            <w:tcBorders>
              <w:top w:val="single" w:color="000000" w:sz="6" w:space="0"/>
              <w:left w:val="single" w:color="000000" w:sz="6" w:space="0"/>
              <w:bottom w:val="single" w:color="000000" w:sz="6" w:space="0"/>
              <w:right w:val="single" w:color="000000" w:sz="6" w:space="0"/>
            </w:tcBorders>
            <w:noWrap w:val="0"/>
            <w:vAlign w:val="center"/>
          </w:tcPr>
          <w:p w14:paraId="0A577A7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施工期环境监测</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05CCCDD9">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eastAsia" w:hAnsi="Times New Roman" w:cs="Times New Roman"/>
                <w:b w:val="0"/>
                <w:bCs w:val="0"/>
                <w:color w:val="auto"/>
                <w:szCs w:val="21"/>
                <w:lang w:val="en-US" w:eastAsia="zh-CN"/>
              </w:rPr>
              <w:t>1</w:t>
            </w:r>
            <w:r>
              <w:rPr>
                <w:rFonts w:hint="default" w:ascii="Times New Roman" w:hAnsi="Times New Roman" w:eastAsia="宋体" w:cs="Times New Roman"/>
                <w:b w:val="0"/>
                <w:bCs w:val="0"/>
                <w:color w:val="auto"/>
                <w:szCs w:val="21"/>
              </w:rPr>
              <w:t>年</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2279649F">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Cs w:val="21"/>
                <w:lang w:eastAsia="zh-CN"/>
              </w:rPr>
            </w:pPr>
            <w:r>
              <w:rPr>
                <w:rFonts w:hint="default" w:ascii="Times New Roman" w:hAnsi="Times New Roman" w:eastAsia="宋体" w:cs="Times New Roman"/>
                <w:b w:val="0"/>
                <w:bCs w:val="0"/>
                <w:color w:val="auto"/>
                <w:szCs w:val="21"/>
              </w:rPr>
              <w:t>1</w:t>
            </w:r>
            <w:r>
              <w:rPr>
                <w:rFonts w:hint="eastAsia" w:hAnsi="Times New Roman" w:cs="Times New Roman"/>
                <w:b w:val="0"/>
                <w:bCs w:val="0"/>
                <w:color w:val="auto"/>
                <w:szCs w:val="21"/>
                <w:lang w:val="en-US" w:eastAsia="zh-CN"/>
              </w:rPr>
              <w:t>0</w:t>
            </w:r>
          </w:p>
        </w:tc>
        <w:tc>
          <w:tcPr>
            <w:tcW w:w="1264" w:type="pct"/>
            <w:vMerge w:val="restart"/>
            <w:tcBorders>
              <w:top w:val="single" w:color="000000" w:sz="6" w:space="0"/>
              <w:left w:val="single" w:color="000000" w:sz="6" w:space="0"/>
              <w:right w:val="single" w:color="000000" w:sz="6" w:space="0"/>
            </w:tcBorders>
            <w:noWrap w:val="0"/>
            <w:vAlign w:val="center"/>
          </w:tcPr>
          <w:p w14:paraId="642B9D72">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项目环境监测计划</w:t>
            </w:r>
          </w:p>
        </w:tc>
      </w:tr>
      <w:tr w14:paraId="06B71B96">
        <w:tblPrEx>
          <w:tblCellMar>
            <w:top w:w="0" w:type="dxa"/>
            <w:left w:w="0" w:type="dxa"/>
            <w:bottom w:w="0" w:type="dxa"/>
            <w:right w:w="0" w:type="dxa"/>
          </w:tblCellMar>
        </w:tblPrEx>
        <w:trPr>
          <w:trHeight w:val="454" w:hRule="atLeast"/>
        </w:trPr>
        <w:tc>
          <w:tcPr>
            <w:tcW w:w="730" w:type="pct"/>
            <w:vMerge w:val="continue"/>
            <w:tcBorders>
              <w:left w:val="single" w:color="000000" w:sz="6" w:space="0"/>
              <w:bottom w:val="single" w:color="000000" w:sz="6" w:space="0"/>
              <w:right w:val="single" w:color="000000" w:sz="6" w:space="0"/>
            </w:tcBorders>
            <w:noWrap w:val="0"/>
            <w:vAlign w:val="center"/>
          </w:tcPr>
          <w:p w14:paraId="417C042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c>
          <w:tcPr>
            <w:tcW w:w="1821" w:type="pct"/>
            <w:gridSpan w:val="4"/>
            <w:tcBorders>
              <w:top w:val="single" w:color="000000" w:sz="6" w:space="0"/>
              <w:left w:val="single" w:color="000000" w:sz="6" w:space="0"/>
              <w:bottom w:val="single" w:color="000000" w:sz="6" w:space="0"/>
              <w:right w:val="single" w:color="000000" w:sz="6" w:space="0"/>
            </w:tcBorders>
            <w:noWrap w:val="0"/>
            <w:vAlign w:val="center"/>
          </w:tcPr>
          <w:p w14:paraId="1EBED5D3">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营运期环境监测</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758585A7">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1年</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7F7818AC">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lang w:val="en-US" w:eastAsia="zh-CN"/>
              </w:rPr>
            </w:pPr>
            <w:r>
              <w:rPr>
                <w:rFonts w:hint="eastAsia" w:hAnsi="Times New Roman" w:cs="Times New Roman"/>
                <w:b w:val="0"/>
                <w:bCs w:val="0"/>
                <w:color w:val="auto"/>
                <w:szCs w:val="21"/>
                <w:lang w:val="en-US" w:eastAsia="zh-CN"/>
              </w:rPr>
              <w:t>10</w:t>
            </w:r>
          </w:p>
        </w:tc>
        <w:tc>
          <w:tcPr>
            <w:tcW w:w="1264" w:type="pct"/>
            <w:vMerge w:val="continue"/>
            <w:tcBorders>
              <w:left w:val="single" w:color="000000" w:sz="6" w:space="0"/>
              <w:bottom w:val="single" w:color="000000" w:sz="6" w:space="0"/>
              <w:right w:val="single" w:color="000000" w:sz="6" w:space="0"/>
            </w:tcBorders>
            <w:noWrap w:val="0"/>
            <w:vAlign w:val="center"/>
          </w:tcPr>
          <w:p w14:paraId="7BC32486">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p>
        </w:tc>
      </w:tr>
      <w:tr w14:paraId="03E23810">
        <w:tblPrEx>
          <w:tblCellMar>
            <w:top w:w="0" w:type="dxa"/>
            <w:left w:w="0" w:type="dxa"/>
            <w:bottom w:w="0" w:type="dxa"/>
            <w:right w:w="0" w:type="dxa"/>
          </w:tblCellMar>
        </w:tblPrEx>
        <w:trPr>
          <w:trHeight w:val="454" w:hRule="atLeast"/>
        </w:trPr>
        <w:tc>
          <w:tcPr>
            <w:tcW w:w="730" w:type="pct"/>
            <w:tcBorders>
              <w:top w:val="single" w:color="000000" w:sz="6" w:space="0"/>
              <w:left w:val="single" w:color="000000" w:sz="6" w:space="0"/>
              <w:bottom w:val="single" w:color="000000" w:sz="6" w:space="0"/>
              <w:right w:val="single" w:color="000000" w:sz="6" w:space="0"/>
            </w:tcBorders>
            <w:noWrap w:val="0"/>
            <w:vAlign w:val="center"/>
          </w:tcPr>
          <w:p w14:paraId="76BDA6EE">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合计</w:t>
            </w:r>
          </w:p>
        </w:tc>
        <w:tc>
          <w:tcPr>
            <w:tcW w:w="1821" w:type="pct"/>
            <w:gridSpan w:val="4"/>
            <w:tcBorders>
              <w:top w:val="single" w:color="000000" w:sz="6" w:space="0"/>
              <w:left w:val="single" w:color="000000" w:sz="6" w:space="0"/>
              <w:bottom w:val="single" w:color="000000" w:sz="6" w:space="0"/>
              <w:right w:val="single" w:color="000000" w:sz="6" w:space="0"/>
            </w:tcBorders>
            <w:noWrap w:val="0"/>
            <w:vAlign w:val="center"/>
          </w:tcPr>
          <w:p w14:paraId="7D076E76">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625" w:type="pct"/>
            <w:tcBorders>
              <w:top w:val="single" w:color="000000" w:sz="6" w:space="0"/>
              <w:left w:val="single" w:color="000000" w:sz="6" w:space="0"/>
              <w:bottom w:val="single" w:color="000000" w:sz="6" w:space="0"/>
              <w:right w:val="single" w:color="000000" w:sz="6" w:space="0"/>
            </w:tcBorders>
            <w:noWrap w:val="0"/>
            <w:vAlign w:val="center"/>
          </w:tcPr>
          <w:p w14:paraId="77BE4CB6">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c>
          <w:tcPr>
            <w:tcW w:w="558" w:type="pct"/>
            <w:tcBorders>
              <w:top w:val="single" w:color="000000" w:sz="6" w:space="0"/>
              <w:left w:val="single" w:color="000000" w:sz="6" w:space="0"/>
              <w:bottom w:val="single" w:color="000000" w:sz="6" w:space="0"/>
              <w:right w:val="single" w:color="000000" w:sz="6" w:space="0"/>
            </w:tcBorders>
            <w:noWrap w:val="0"/>
            <w:vAlign w:val="center"/>
          </w:tcPr>
          <w:p w14:paraId="0C7E35CF">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15</w:t>
            </w:r>
            <w:r>
              <w:rPr>
                <w:rFonts w:hint="eastAsia" w:hAnsi="Times New Roman" w:cs="Times New Roman"/>
                <w:b w:val="0"/>
                <w:bCs w:val="0"/>
                <w:color w:val="auto"/>
                <w:szCs w:val="21"/>
                <w:lang w:val="en-US" w:eastAsia="zh-CN"/>
              </w:rPr>
              <w:t>7.</w:t>
            </w:r>
            <w:r>
              <w:rPr>
                <w:rFonts w:hint="default" w:ascii="Times New Roman" w:hAnsi="Times New Roman" w:eastAsia="宋体" w:cs="Times New Roman"/>
                <w:b w:val="0"/>
                <w:bCs w:val="0"/>
                <w:color w:val="auto"/>
                <w:szCs w:val="21"/>
              </w:rPr>
              <w:t>4</w:t>
            </w:r>
          </w:p>
        </w:tc>
        <w:tc>
          <w:tcPr>
            <w:tcW w:w="1264" w:type="pct"/>
            <w:tcBorders>
              <w:top w:val="single" w:color="000000" w:sz="6" w:space="0"/>
              <w:left w:val="single" w:color="000000" w:sz="6" w:space="0"/>
              <w:bottom w:val="single" w:color="000000" w:sz="6" w:space="0"/>
              <w:right w:val="single" w:color="000000" w:sz="6" w:space="0"/>
            </w:tcBorders>
            <w:noWrap w:val="0"/>
            <w:vAlign w:val="center"/>
          </w:tcPr>
          <w:p w14:paraId="2A33E9AD">
            <w:pPr>
              <w:pStyle w:val="69"/>
              <w:pageBreakBefore w:val="0"/>
              <w:kinsoku/>
              <w:wordWrap/>
              <w:overflowPunct/>
              <w:topLinePunct w:val="0"/>
              <w:bidi w:val="0"/>
              <w:adjustRightInd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w:t>
            </w:r>
          </w:p>
        </w:tc>
      </w:tr>
    </w:tbl>
    <w:p w14:paraId="2604A26D">
      <w:pPr>
        <w:pStyle w:val="5"/>
        <w:ind w:left="0" w:leftChars="0" w:firstLine="0" w:firstLineChars="0"/>
        <w:rPr>
          <w:rFonts w:hint="default" w:ascii="Times New Roman" w:hAnsi="Times New Roman" w:eastAsia="宋体" w:cs="Times New Roman"/>
          <w:color w:val="auto"/>
          <w:sz w:val="24"/>
        </w:rPr>
      </w:pPr>
      <w:bookmarkStart w:id="296" w:name="_Toc22621"/>
      <w:r>
        <w:rPr>
          <w:rFonts w:hint="eastAsia" w:cs="Times New Roman"/>
          <w:color w:val="auto"/>
          <w:sz w:val="24"/>
          <w:lang w:val="en-US" w:eastAsia="zh-CN"/>
        </w:rPr>
        <w:t>8</w:t>
      </w:r>
      <w:r>
        <w:rPr>
          <w:rFonts w:hint="default" w:ascii="Times New Roman" w:hAnsi="Times New Roman" w:eastAsia="宋体" w:cs="Times New Roman"/>
          <w:color w:val="auto"/>
          <w:sz w:val="24"/>
        </w:rPr>
        <w:t>.1.2环保投资的效益分析</w:t>
      </w:r>
      <w:bookmarkEnd w:id="292"/>
      <w:bookmarkEnd w:id="293"/>
      <w:bookmarkEnd w:id="294"/>
      <w:bookmarkEnd w:id="295"/>
      <w:bookmarkEnd w:id="296"/>
    </w:p>
    <w:p w14:paraId="3F32A860">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本次环境经济损益分析主要从环保投资的环境效益、社会经济效益作简要的分析。</w:t>
      </w:r>
    </w:p>
    <w:p w14:paraId="48F91F1D">
      <w:pPr>
        <w:keepNext w:val="0"/>
        <w:keepLines w:val="0"/>
        <w:widowControl/>
        <w:suppressLineNumbers w:val="0"/>
        <w:jc w:val="left"/>
        <w:rPr>
          <w:rFonts w:hint="default" w:ascii="Times New Roman" w:hAnsi="Times New Roman" w:eastAsia="宋体" w:cs="Times New Roman"/>
          <w:color w:val="auto"/>
          <w:szCs w:val="28"/>
        </w:rPr>
      </w:pPr>
      <w:r>
        <w:rPr>
          <w:rFonts w:hint="eastAsia" w:ascii="宋体" w:hAnsi="宋体" w:eastAsia="宋体" w:cs="宋体"/>
          <w:color w:val="auto"/>
          <w:kern w:val="0"/>
          <w:sz w:val="24"/>
          <w:szCs w:val="24"/>
          <w:lang w:val="en-US" w:eastAsia="zh-CN" w:bidi="ar"/>
        </w:rPr>
        <w:t>公路建设必将产生噪声、扬尘、废水等对居民区环境质量、农作物生产带来一定影响。该项目在营运期和施工期采取必要的环保措施，以降低这些影响。环保投资的环境经济效益详见下表</w:t>
      </w:r>
      <w:r>
        <w:rPr>
          <w:rFonts w:hint="default" w:ascii="Times New Roman" w:hAnsi="Times New Roman" w:eastAsia="宋体" w:cs="Times New Roman"/>
          <w:color w:val="auto"/>
          <w:szCs w:val="28"/>
        </w:rPr>
        <w:t>。</w:t>
      </w:r>
    </w:p>
    <w:p w14:paraId="0EB800E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p>
    <w:p w14:paraId="56CB1C9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p>
    <w:p w14:paraId="412779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eastAsia" w:hAnsi="Times New Roman"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.1</w:t>
      </w:r>
      <w:r>
        <w:rPr>
          <w:rFonts w:hint="default" w:ascii="Times New Roman" w:hAnsi="Times New Roman" w:eastAsia="宋体" w:cs="Times New Roman"/>
          <w:b/>
          <w:bCs/>
          <w:color w:val="auto"/>
          <w:sz w:val="21"/>
          <w:szCs w:val="21"/>
        </w:rPr>
        <w:t>-2  环保投资</w:t>
      </w:r>
      <w:r>
        <w:rPr>
          <w:rFonts w:hint="default" w:ascii="Times New Roman" w:hAnsi="Times New Roman" w:eastAsia="宋体" w:cs="Times New Roman"/>
          <w:b/>
          <w:bCs/>
          <w:color w:val="auto"/>
          <w:sz w:val="21"/>
          <w:szCs w:val="21"/>
          <w:lang w:val="en-US" w:eastAsia="zh-CN"/>
        </w:rPr>
        <w:t>环境、经济效益分析表</w:t>
      </w:r>
    </w:p>
    <w:tbl>
      <w:tblPr>
        <w:tblStyle w:val="58"/>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051"/>
        <w:gridCol w:w="2359"/>
        <w:gridCol w:w="2262"/>
      </w:tblGrid>
      <w:tr w14:paraId="75929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44FF03D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投资分类</w:t>
            </w:r>
          </w:p>
        </w:tc>
        <w:tc>
          <w:tcPr>
            <w:tcW w:w="3051" w:type="dxa"/>
            <w:noWrap w:val="0"/>
            <w:vAlign w:val="center"/>
          </w:tcPr>
          <w:p w14:paraId="5E1DCDD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环境效益</w:t>
            </w:r>
          </w:p>
        </w:tc>
        <w:tc>
          <w:tcPr>
            <w:tcW w:w="2359" w:type="dxa"/>
            <w:noWrap w:val="0"/>
            <w:vAlign w:val="center"/>
          </w:tcPr>
          <w:p w14:paraId="51C2708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社会效益</w:t>
            </w:r>
          </w:p>
        </w:tc>
        <w:tc>
          <w:tcPr>
            <w:tcW w:w="2262" w:type="dxa"/>
            <w:noWrap w:val="0"/>
            <w:vAlign w:val="center"/>
          </w:tcPr>
          <w:p w14:paraId="13664D4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综合效益</w:t>
            </w:r>
          </w:p>
        </w:tc>
      </w:tr>
      <w:tr w14:paraId="4D80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4B59C055">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施工期环保措施</w:t>
            </w:r>
          </w:p>
        </w:tc>
        <w:tc>
          <w:tcPr>
            <w:tcW w:w="3051" w:type="dxa"/>
            <w:noWrap w:val="0"/>
            <w:vAlign w:val="center"/>
          </w:tcPr>
          <w:p w14:paraId="62B8BE2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减少施工噪声对附近村民的影响；防止施工废水污染水环境；防止施工扬尘等污染环境空气；保护耕地；保护动植物；</w:t>
            </w:r>
          </w:p>
          <w:p w14:paraId="229E119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保护公众安全、往来方便。</w:t>
            </w:r>
          </w:p>
        </w:tc>
        <w:tc>
          <w:tcPr>
            <w:tcW w:w="2359" w:type="dxa"/>
            <w:noWrap w:val="0"/>
            <w:vAlign w:val="center"/>
          </w:tcPr>
          <w:p w14:paraId="6AFB105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保护人们生活、生产环境质量；减少工程建设对农林业生产的影响等；保护所涉国家财产安全、公众人身安全。</w:t>
            </w:r>
          </w:p>
        </w:tc>
        <w:tc>
          <w:tcPr>
            <w:tcW w:w="2262" w:type="dxa"/>
            <w:noWrap w:val="0"/>
            <w:vAlign w:val="center"/>
          </w:tcPr>
          <w:p w14:paraId="47574D32">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color w:val="auto"/>
              </w:rPr>
            </w:pPr>
            <w:r>
              <w:rPr>
                <w:rFonts w:hint="eastAsia" w:ascii="宋体" w:hAnsi="宋体" w:eastAsia="宋体" w:cs="宋体"/>
                <w:color w:val="auto"/>
                <w:kern w:val="0"/>
                <w:sz w:val="20"/>
                <w:szCs w:val="20"/>
                <w:lang w:val="en-US" w:eastAsia="zh-CN" w:bidi="ar"/>
              </w:rPr>
              <w:t>使施工期对环境</w:t>
            </w:r>
          </w:p>
          <w:p w14:paraId="46444921">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color w:val="auto"/>
              </w:rPr>
            </w:pPr>
            <w:r>
              <w:rPr>
                <w:rFonts w:hint="eastAsia" w:ascii="宋体" w:hAnsi="宋体" w:eastAsia="宋体" w:cs="宋体"/>
                <w:color w:val="auto"/>
                <w:kern w:val="0"/>
                <w:sz w:val="20"/>
                <w:szCs w:val="20"/>
                <w:lang w:val="en-US" w:eastAsia="zh-CN" w:bidi="ar"/>
              </w:rPr>
              <w:t>的不利影响降低</w:t>
            </w:r>
          </w:p>
          <w:p w14:paraId="56CD30B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color w:val="auto"/>
              </w:rPr>
            </w:pPr>
            <w:r>
              <w:rPr>
                <w:rFonts w:hint="eastAsia" w:ascii="宋体" w:hAnsi="宋体" w:eastAsia="宋体" w:cs="宋体"/>
                <w:color w:val="auto"/>
                <w:kern w:val="0"/>
                <w:sz w:val="20"/>
                <w:szCs w:val="20"/>
                <w:lang w:val="en-US" w:eastAsia="zh-CN" w:bidi="ar"/>
              </w:rPr>
              <w:t>至最小程度；</w:t>
            </w:r>
          </w:p>
          <w:p w14:paraId="77CF318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color w:val="auto"/>
              </w:rPr>
            </w:pPr>
            <w:r>
              <w:rPr>
                <w:rFonts w:hint="eastAsia" w:ascii="宋体" w:hAnsi="宋体" w:eastAsia="宋体" w:cs="宋体"/>
                <w:color w:val="auto"/>
                <w:kern w:val="0"/>
                <w:sz w:val="20"/>
                <w:szCs w:val="20"/>
                <w:lang w:val="en-US" w:eastAsia="zh-CN" w:bidi="ar"/>
              </w:rPr>
              <w:t>使公路建设得到</w:t>
            </w:r>
          </w:p>
          <w:p w14:paraId="31FDF8BE">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rPr>
            </w:pPr>
            <w:r>
              <w:rPr>
                <w:rFonts w:hint="eastAsia" w:ascii="宋体" w:hAnsi="宋体" w:eastAsia="宋体" w:cs="宋体"/>
                <w:color w:val="auto"/>
                <w:kern w:val="0"/>
                <w:sz w:val="20"/>
                <w:szCs w:val="20"/>
                <w:lang w:val="en-US" w:eastAsia="zh-CN" w:bidi="ar"/>
              </w:rPr>
              <w:t>社会公众的支持</w:t>
            </w:r>
          </w:p>
        </w:tc>
      </w:tr>
      <w:tr w14:paraId="1A9C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3DC7158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公路用地、绿化及土地整治、农田复耕</w:t>
            </w:r>
          </w:p>
        </w:tc>
        <w:tc>
          <w:tcPr>
            <w:tcW w:w="3051" w:type="dxa"/>
            <w:noWrap w:val="0"/>
            <w:vAlign w:val="center"/>
          </w:tcPr>
          <w:p w14:paraId="2F0273D4">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rPr>
            </w:pPr>
            <w:r>
              <w:rPr>
                <w:rFonts w:hint="eastAsia" w:ascii="宋体" w:hAnsi="宋体" w:eastAsia="宋体" w:cs="宋体"/>
                <w:color w:val="auto"/>
                <w:kern w:val="0"/>
                <w:sz w:val="20"/>
                <w:szCs w:val="20"/>
                <w:lang w:val="en-US" w:eastAsia="zh-CN" w:bidi="ar"/>
              </w:rPr>
              <w:t>减少对公路沿线景观的影响；保持沿线水土；恢复或补偿植被，减少对沿线生态环境的影响。</w:t>
            </w:r>
          </w:p>
        </w:tc>
        <w:tc>
          <w:tcPr>
            <w:tcW w:w="2359" w:type="dxa"/>
            <w:noWrap w:val="0"/>
            <w:vAlign w:val="center"/>
          </w:tcPr>
          <w:p w14:paraId="0308E5A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农田补偿，减少对农业生产和所涉村民的影响；防止土壤侵蚀进一步扩大，保证沿线农田生产力不受影响；</w:t>
            </w:r>
          </w:p>
          <w:p w14:paraId="3201677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提高了土地使用价值。</w:t>
            </w:r>
          </w:p>
        </w:tc>
        <w:tc>
          <w:tcPr>
            <w:tcW w:w="2262" w:type="dxa"/>
            <w:noWrap w:val="0"/>
            <w:vAlign w:val="center"/>
          </w:tcPr>
          <w:p w14:paraId="620EADA7">
            <w:pPr>
              <w:keepNext w:val="0"/>
              <w:keepLines w:val="0"/>
              <w:pageBreakBefore w:val="0"/>
              <w:widowControl/>
              <w:suppressLineNumbers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Cs w:val="21"/>
              </w:rPr>
            </w:pPr>
            <w:r>
              <w:rPr>
                <w:rFonts w:hint="eastAsia" w:ascii="宋体" w:hAnsi="宋体" w:eastAsia="宋体" w:cs="宋体"/>
                <w:color w:val="auto"/>
                <w:kern w:val="0"/>
                <w:sz w:val="20"/>
                <w:szCs w:val="20"/>
                <w:lang w:val="en-US" w:eastAsia="zh-CN" w:bidi="ar"/>
              </w:rPr>
              <w:t>改善地区的生态环境；保障公路运输安全；增加旅行安全和舒适感。</w:t>
            </w:r>
          </w:p>
        </w:tc>
      </w:tr>
      <w:tr w14:paraId="7DB13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4B2610DF">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噪声防治工程</w:t>
            </w:r>
          </w:p>
        </w:tc>
        <w:tc>
          <w:tcPr>
            <w:tcW w:w="3051" w:type="dxa"/>
            <w:noWrap w:val="0"/>
            <w:vAlign w:val="center"/>
          </w:tcPr>
          <w:p w14:paraId="046BDEB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防止交通噪声对沿线地区声环境的污染。</w:t>
            </w:r>
          </w:p>
        </w:tc>
        <w:tc>
          <w:tcPr>
            <w:tcW w:w="2359" w:type="dxa"/>
            <w:noWrap w:val="0"/>
            <w:vAlign w:val="center"/>
          </w:tcPr>
          <w:p w14:paraId="118DFC7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lang w:val="en-US" w:eastAsia="zh-CN"/>
              </w:rPr>
            </w:pPr>
            <w:r>
              <w:rPr>
                <w:rFonts w:hint="default" w:ascii="Times New Roman" w:hAnsi="Times New Roman" w:eastAsia="宋体" w:cs="Times New Roman"/>
                <w:b w:val="0"/>
                <w:bCs w:val="0"/>
                <w:color w:val="auto"/>
                <w:szCs w:val="21"/>
                <w:lang w:val="en-US" w:eastAsia="zh-CN"/>
              </w:rPr>
              <w:t>保护沿线村镇居民的生活环境；</w:t>
            </w:r>
          </w:p>
          <w:p w14:paraId="2968738B">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土地保值。</w:t>
            </w:r>
          </w:p>
        </w:tc>
        <w:tc>
          <w:tcPr>
            <w:tcW w:w="2262" w:type="dxa"/>
            <w:noWrap w:val="0"/>
            <w:vAlign w:val="center"/>
          </w:tcPr>
          <w:p w14:paraId="1E9989B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保护当地居民生产、生活环境质量及身体健康。</w:t>
            </w:r>
          </w:p>
        </w:tc>
      </w:tr>
      <w:tr w14:paraId="5B76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43DE645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lang w:val="en-US" w:eastAsia="zh-CN"/>
              </w:rPr>
              <w:t>污水处理工程、排水、防护工程</w:t>
            </w:r>
          </w:p>
        </w:tc>
        <w:tc>
          <w:tcPr>
            <w:tcW w:w="3051" w:type="dxa"/>
            <w:noWrap w:val="0"/>
            <w:vAlign w:val="center"/>
          </w:tcPr>
          <w:p w14:paraId="72FDD061">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lang w:val="en-US" w:eastAsia="zh-CN"/>
              </w:rPr>
            </w:pPr>
            <w:r>
              <w:rPr>
                <w:rFonts w:hint="eastAsia" w:hAnsi="Times New Roman" w:cs="Times New Roman"/>
                <w:b w:val="0"/>
                <w:bCs w:val="0"/>
                <w:color w:val="auto"/>
                <w:szCs w:val="21"/>
                <w:lang w:val="en-US" w:eastAsia="zh-CN"/>
              </w:rPr>
              <w:t>保护沿线地区河流水质</w:t>
            </w:r>
          </w:p>
        </w:tc>
        <w:tc>
          <w:tcPr>
            <w:tcW w:w="2359" w:type="dxa"/>
            <w:noWrap w:val="0"/>
            <w:vAlign w:val="center"/>
          </w:tcPr>
          <w:p w14:paraId="4CA79AE3">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lang w:val="en-US" w:eastAsia="zh-CN"/>
              </w:rPr>
            </w:pPr>
            <w:r>
              <w:rPr>
                <w:rFonts w:hint="default" w:ascii="Times New Roman" w:hAnsi="Times New Roman" w:eastAsia="宋体" w:cs="Times New Roman"/>
                <w:b w:val="0"/>
                <w:bCs w:val="0"/>
                <w:color w:val="auto"/>
                <w:szCs w:val="21"/>
              </w:rPr>
              <w:t>保护</w:t>
            </w:r>
            <w:r>
              <w:rPr>
                <w:rFonts w:hint="eastAsia" w:hAnsi="Times New Roman" w:cs="Times New Roman"/>
                <w:b w:val="0"/>
                <w:bCs w:val="0"/>
                <w:color w:val="auto"/>
                <w:szCs w:val="21"/>
                <w:lang w:val="en-US" w:eastAsia="zh-CN"/>
              </w:rPr>
              <w:t>当地水资源</w:t>
            </w:r>
          </w:p>
        </w:tc>
        <w:tc>
          <w:tcPr>
            <w:tcW w:w="2262" w:type="dxa"/>
            <w:noWrap w:val="0"/>
            <w:vAlign w:val="center"/>
          </w:tcPr>
          <w:p w14:paraId="3DC3140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保护</w:t>
            </w:r>
            <w:r>
              <w:rPr>
                <w:rFonts w:hint="eastAsia" w:hAnsi="Times New Roman" w:cs="Times New Roman"/>
                <w:b w:val="0"/>
                <w:bCs w:val="0"/>
                <w:color w:val="auto"/>
                <w:szCs w:val="21"/>
                <w:lang w:val="en-US" w:eastAsia="zh-CN"/>
              </w:rPr>
              <w:t>当地水资源</w:t>
            </w:r>
          </w:p>
        </w:tc>
      </w:tr>
      <w:tr w14:paraId="70EE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38D3F62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社会环境保护措施</w:t>
            </w:r>
          </w:p>
        </w:tc>
        <w:tc>
          <w:tcPr>
            <w:tcW w:w="3051" w:type="dxa"/>
            <w:noWrap w:val="0"/>
            <w:vAlign w:val="center"/>
          </w:tcPr>
          <w:p w14:paraId="3DE8573C">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保证沿线居民出行安全</w:t>
            </w:r>
          </w:p>
        </w:tc>
        <w:tc>
          <w:tcPr>
            <w:tcW w:w="2359" w:type="dxa"/>
            <w:noWrap w:val="0"/>
            <w:vAlign w:val="center"/>
          </w:tcPr>
          <w:p w14:paraId="3CB3FAD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方便群众</w:t>
            </w:r>
          </w:p>
        </w:tc>
        <w:tc>
          <w:tcPr>
            <w:tcW w:w="2262" w:type="dxa"/>
            <w:noWrap w:val="0"/>
            <w:vAlign w:val="center"/>
          </w:tcPr>
          <w:p w14:paraId="3EB7F7CE">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lang w:val="en-US" w:eastAsia="zh-CN"/>
              </w:rPr>
            </w:pPr>
            <w:r>
              <w:rPr>
                <w:rFonts w:hint="eastAsia" w:hAnsi="Times New Roman" w:cs="Times New Roman"/>
                <w:b w:val="0"/>
                <w:bCs w:val="0"/>
                <w:color w:val="auto"/>
                <w:szCs w:val="21"/>
                <w:lang w:val="en-US" w:eastAsia="zh-CN"/>
              </w:rPr>
              <w:t>提升交通能力</w:t>
            </w:r>
          </w:p>
        </w:tc>
      </w:tr>
      <w:tr w14:paraId="5A18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8" w:type="dxa"/>
            <w:noWrap w:val="0"/>
            <w:vAlign w:val="center"/>
          </w:tcPr>
          <w:p w14:paraId="1BD86B30">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环境工程监理、监测、管理</w:t>
            </w:r>
          </w:p>
        </w:tc>
        <w:tc>
          <w:tcPr>
            <w:tcW w:w="3051" w:type="dxa"/>
            <w:noWrap w:val="0"/>
            <w:vAlign w:val="center"/>
          </w:tcPr>
          <w:p w14:paraId="4FA85B8A">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监测沿线道路环境质量</w:t>
            </w:r>
          </w:p>
          <w:p w14:paraId="0825B3C4">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保护道路沿线环境</w:t>
            </w:r>
          </w:p>
        </w:tc>
        <w:tc>
          <w:tcPr>
            <w:tcW w:w="2359" w:type="dxa"/>
            <w:noWrap w:val="0"/>
            <w:vAlign w:val="center"/>
          </w:tcPr>
          <w:p w14:paraId="51E45F16">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保护环境</w:t>
            </w:r>
          </w:p>
        </w:tc>
        <w:tc>
          <w:tcPr>
            <w:tcW w:w="2262" w:type="dxa"/>
            <w:noWrap w:val="0"/>
            <w:vAlign w:val="center"/>
          </w:tcPr>
          <w:p w14:paraId="3D4C4CE9">
            <w:pPr>
              <w:pStyle w:val="69"/>
              <w:keepNext/>
              <w:keepLines/>
              <w:pageBreakBefore w:val="0"/>
              <w:widowControl w:val="0"/>
              <w:kinsoku/>
              <w:wordWrap/>
              <w:overflowPunct/>
              <w:topLinePunct w:val="0"/>
              <w:autoSpaceDE w:val="0"/>
              <w:autoSpaceDN w:val="0"/>
              <w:bidi w:val="0"/>
              <w:adjustRightInd w:val="0"/>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color w:val="auto"/>
                <w:szCs w:val="21"/>
              </w:rPr>
            </w:pPr>
            <w:r>
              <w:rPr>
                <w:rFonts w:hint="default" w:ascii="Times New Roman" w:hAnsi="Times New Roman" w:eastAsia="宋体" w:cs="Times New Roman"/>
                <w:b w:val="0"/>
                <w:bCs w:val="0"/>
                <w:color w:val="auto"/>
                <w:szCs w:val="21"/>
              </w:rPr>
              <w:t>保护环境</w:t>
            </w:r>
          </w:p>
        </w:tc>
      </w:tr>
    </w:tbl>
    <w:p w14:paraId="0A6F288B">
      <w:pPr>
        <w:ind w:firstLine="480"/>
        <w:rPr>
          <w:rFonts w:hint="default" w:ascii="Times New Roman" w:hAnsi="Times New Roman" w:eastAsia="宋体" w:cs="Times New Roman"/>
          <w:color w:val="auto"/>
        </w:rPr>
      </w:pPr>
    </w:p>
    <w:p w14:paraId="6E23ACA7">
      <w:pPr>
        <w:ind w:firstLine="480"/>
        <w:rPr>
          <w:rFonts w:hint="default" w:ascii="Times New Roman" w:hAnsi="Times New Roman" w:eastAsia="宋体" w:cs="Times New Roman"/>
          <w:color w:val="auto"/>
        </w:rPr>
      </w:pPr>
    </w:p>
    <w:p w14:paraId="1AA102AE">
      <w:pPr>
        <w:ind w:firstLine="480"/>
        <w:rPr>
          <w:rFonts w:hint="default" w:ascii="Times New Roman" w:hAnsi="Times New Roman" w:eastAsia="宋体" w:cs="Times New Roman"/>
          <w:color w:val="auto"/>
        </w:rPr>
      </w:pPr>
    </w:p>
    <w:p w14:paraId="5A57A9C8">
      <w:pPr>
        <w:ind w:firstLine="480"/>
        <w:rPr>
          <w:rFonts w:hint="default" w:ascii="Times New Roman" w:hAnsi="Times New Roman" w:eastAsia="宋体" w:cs="Times New Roman"/>
          <w:color w:val="auto"/>
        </w:rPr>
      </w:pPr>
    </w:p>
    <w:p w14:paraId="6DF80998">
      <w:pPr>
        <w:ind w:firstLine="480"/>
        <w:rPr>
          <w:rFonts w:hint="default" w:ascii="Times New Roman" w:hAnsi="Times New Roman" w:eastAsia="宋体" w:cs="Times New Roman"/>
          <w:color w:val="auto"/>
        </w:rPr>
      </w:pPr>
    </w:p>
    <w:p w14:paraId="6946F285">
      <w:pPr>
        <w:ind w:firstLine="480"/>
        <w:rPr>
          <w:rFonts w:hint="default" w:ascii="Times New Roman" w:hAnsi="Times New Roman" w:eastAsia="宋体" w:cs="Times New Roman"/>
          <w:color w:val="auto"/>
        </w:rPr>
      </w:pPr>
    </w:p>
    <w:p w14:paraId="36A9BC0F">
      <w:pPr>
        <w:ind w:firstLine="480"/>
        <w:rPr>
          <w:rFonts w:hint="default" w:ascii="Times New Roman" w:hAnsi="Times New Roman" w:eastAsia="宋体" w:cs="Times New Roman"/>
          <w:color w:val="auto"/>
        </w:rPr>
      </w:pPr>
    </w:p>
    <w:p w14:paraId="4A837CF2">
      <w:pPr>
        <w:ind w:firstLine="480"/>
        <w:rPr>
          <w:rFonts w:hint="default" w:ascii="Times New Roman" w:hAnsi="Times New Roman" w:eastAsia="宋体" w:cs="Times New Roman"/>
          <w:color w:val="auto"/>
        </w:rPr>
      </w:pPr>
    </w:p>
    <w:p w14:paraId="5C42ED35">
      <w:pPr>
        <w:ind w:firstLine="480"/>
        <w:rPr>
          <w:rFonts w:hint="default" w:ascii="Times New Roman" w:hAnsi="Times New Roman" w:eastAsia="宋体" w:cs="Times New Roman"/>
          <w:color w:val="auto"/>
        </w:rPr>
      </w:pPr>
    </w:p>
    <w:p w14:paraId="1E753E5C">
      <w:pPr>
        <w:ind w:firstLine="0" w:firstLineChars="0"/>
        <w:rPr>
          <w:rFonts w:hint="default" w:ascii="Times New Roman" w:hAnsi="Times New Roman" w:eastAsia="宋体" w:cs="Times New Roman"/>
          <w:color w:val="auto"/>
        </w:rPr>
        <w:sectPr>
          <w:footerReference r:id="rId15" w:type="default"/>
          <w:pgSz w:w="11906" w:h="16838"/>
          <w:pgMar w:top="1440" w:right="1797" w:bottom="1440" w:left="1797" w:header="851" w:footer="992" w:gutter="0"/>
          <w:pgNumType w:fmt="decimal"/>
          <w:cols w:space="720" w:num="1"/>
          <w:docGrid w:linePitch="312" w:charSpace="0"/>
        </w:sectPr>
      </w:pPr>
    </w:p>
    <w:p w14:paraId="79F44C48">
      <w:pPr>
        <w:pStyle w:val="2"/>
        <w:rPr>
          <w:rFonts w:hint="default" w:ascii="Times New Roman" w:hAnsi="Times New Roman" w:eastAsia="宋体" w:cs="Times New Roman"/>
          <w:color w:val="auto"/>
        </w:rPr>
      </w:pPr>
      <w:bookmarkStart w:id="297" w:name="_Toc1595"/>
      <w:bookmarkStart w:id="298" w:name="_Toc352320981"/>
      <w:bookmarkStart w:id="299" w:name="_Toc351046772"/>
      <w:bookmarkStart w:id="300" w:name="_Toc367844707"/>
      <w:bookmarkStart w:id="301" w:name="_Toc352320858"/>
      <w:r>
        <w:rPr>
          <w:rFonts w:hint="eastAsia" w:eastAsia="宋体" w:cs="Times New Roman"/>
          <w:color w:val="auto"/>
          <w:lang w:val="en-US" w:eastAsia="zh-CN"/>
        </w:rPr>
        <w:t>9</w:t>
      </w:r>
      <w:r>
        <w:rPr>
          <w:rFonts w:hint="default" w:ascii="Times New Roman" w:hAnsi="Times New Roman" w:eastAsia="宋体" w:cs="Times New Roman"/>
          <w:color w:val="auto"/>
        </w:rPr>
        <w:t xml:space="preserve">  环保管理、环境监测与环境监理</w:t>
      </w:r>
      <w:bookmarkEnd w:id="297"/>
      <w:bookmarkEnd w:id="298"/>
      <w:bookmarkEnd w:id="299"/>
      <w:bookmarkEnd w:id="300"/>
      <w:bookmarkEnd w:id="301"/>
    </w:p>
    <w:p w14:paraId="5AF6A09F">
      <w:pPr>
        <w:pStyle w:val="3"/>
        <w:numPr>
          <w:ilvl w:val="0"/>
          <w:numId w:val="0"/>
        </w:numPr>
        <w:rPr>
          <w:rFonts w:hint="default" w:ascii="Times New Roman" w:hAnsi="Times New Roman" w:eastAsia="宋体" w:cs="Times New Roman"/>
          <w:color w:val="auto"/>
        </w:rPr>
      </w:pPr>
      <w:bookmarkStart w:id="302" w:name="_Toc351046773"/>
      <w:bookmarkStart w:id="303" w:name="_Toc9056"/>
      <w:bookmarkStart w:id="304" w:name="_Toc352320859"/>
      <w:bookmarkStart w:id="305" w:name="_Toc352320982"/>
      <w:bookmarkStart w:id="306" w:name="_Toc367844708"/>
      <w:r>
        <w:rPr>
          <w:rFonts w:hint="eastAsia" w:cs="Times New Roman"/>
          <w:color w:val="auto"/>
          <w:lang w:val="en-US" w:eastAsia="zh-CN"/>
        </w:rPr>
        <w:t>9</w:t>
      </w:r>
      <w:r>
        <w:rPr>
          <w:rFonts w:hint="default" w:ascii="Times New Roman" w:hAnsi="Times New Roman" w:eastAsia="宋体" w:cs="Times New Roman"/>
          <w:color w:val="auto"/>
        </w:rPr>
        <w:t>.1环境保护管理机构的设置及职责</w:t>
      </w:r>
      <w:bookmarkEnd w:id="302"/>
      <w:bookmarkEnd w:id="303"/>
      <w:bookmarkEnd w:id="304"/>
      <w:bookmarkEnd w:id="305"/>
      <w:bookmarkEnd w:id="306"/>
    </w:p>
    <w:p w14:paraId="2D293284">
      <w:pPr>
        <w:pStyle w:val="5"/>
        <w:ind w:left="0" w:leftChars="0" w:firstLine="0" w:firstLineChars="0"/>
        <w:rPr>
          <w:rFonts w:hint="default" w:ascii="Times New Roman" w:hAnsi="Times New Roman" w:eastAsia="宋体" w:cs="Times New Roman"/>
          <w:color w:val="auto"/>
        </w:rPr>
      </w:pPr>
      <w:bookmarkStart w:id="307" w:name="_Toc352320860"/>
      <w:bookmarkStart w:id="308" w:name="_Toc351046774"/>
      <w:bookmarkStart w:id="309" w:name="_Toc11745"/>
      <w:r>
        <w:rPr>
          <w:rFonts w:hint="eastAsia" w:cs="Times New Roman"/>
          <w:color w:val="auto"/>
          <w:lang w:val="en-US" w:eastAsia="zh-CN"/>
        </w:rPr>
        <w:t>9</w:t>
      </w:r>
      <w:r>
        <w:rPr>
          <w:rFonts w:hint="default" w:ascii="Times New Roman" w:hAnsi="Times New Roman" w:eastAsia="宋体" w:cs="Times New Roman"/>
          <w:color w:val="auto"/>
        </w:rPr>
        <w:t>.1.1施工期</w:t>
      </w:r>
      <w:bookmarkEnd w:id="307"/>
      <w:bookmarkEnd w:id="308"/>
      <w:bookmarkEnd w:id="309"/>
    </w:p>
    <w:p w14:paraId="7EBBE62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施工期环境管理与环境监察审核工作由环境监督小组负责，环境监督小组的主要任务包括：</w:t>
      </w:r>
    </w:p>
    <w:p w14:paraId="03B5E3B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（1）进行施工期的环境监测，并与有关部门保持联络，通报环境监测结果；</w:t>
      </w:r>
    </w:p>
    <w:p w14:paraId="4D8354C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（2）根据环境监测结果，提出相应的环境保护措施；</w:t>
      </w:r>
    </w:p>
    <w:p w14:paraId="298BF1C1">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（3）切实加强施工期环保措施的落实和固体废物等的及时处理；</w:t>
      </w:r>
    </w:p>
    <w:p w14:paraId="4000345D">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同时建设单位在工程总体发包时应将施工期环境保护措施列入合同文本，以确保环境保护措施的实施。</w:t>
      </w:r>
    </w:p>
    <w:p w14:paraId="391C963C">
      <w:pPr>
        <w:pStyle w:val="5"/>
        <w:ind w:left="0" w:leftChars="0" w:firstLine="0" w:firstLineChars="0"/>
        <w:rPr>
          <w:rFonts w:hint="eastAsia" w:ascii="Times New Roman" w:hAnsi="Times New Roman" w:eastAsia="宋体" w:cs="Times New Roman"/>
          <w:color w:val="auto"/>
          <w:lang w:eastAsia="zh-CN"/>
        </w:rPr>
      </w:pPr>
      <w:bookmarkStart w:id="310" w:name="_Toc351046775"/>
      <w:bookmarkStart w:id="311" w:name="_Toc352320861"/>
      <w:bookmarkStart w:id="312" w:name="_Toc9724"/>
      <w:r>
        <w:rPr>
          <w:rFonts w:hint="eastAsia" w:cs="Times New Roman"/>
          <w:color w:val="auto"/>
          <w:lang w:val="en-US" w:eastAsia="zh-CN"/>
        </w:rPr>
        <w:t>9</w:t>
      </w:r>
      <w:r>
        <w:rPr>
          <w:rFonts w:hint="default" w:ascii="Times New Roman" w:hAnsi="Times New Roman" w:eastAsia="宋体" w:cs="Times New Roman"/>
          <w:color w:val="auto"/>
        </w:rPr>
        <w:t>.1.2</w:t>
      </w:r>
      <w:bookmarkEnd w:id="310"/>
      <w:bookmarkEnd w:id="311"/>
      <w:r>
        <w:rPr>
          <w:rFonts w:hint="eastAsia" w:cs="Times New Roman"/>
          <w:color w:val="auto"/>
          <w:lang w:eastAsia="zh-CN"/>
        </w:rPr>
        <w:t>营运期</w:t>
      </w:r>
      <w:bookmarkEnd w:id="312"/>
    </w:p>
    <w:p w14:paraId="31A52668">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建设单位成立专人负责的环境保护办公室，负责引入项目的环境把关、环境措施的实施。环境保护办公室的主要任务为：</w:t>
      </w:r>
    </w:p>
    <w:p w14:paraId="4DDEE446">
      <w:pPr>
        <w:pStyle w:val="74"/>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（1）定期委托有资质的监测单位对项目区环境进行常规的环境监测，并与有关部门保持联络，通报环境监测结果；</w:t>
      </w:r>
    </w:p>
    <w:p w14:paraId="4896FB6B">
      <w:pPr>
        <w:pStyle w:val="74"/>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（2）对道路两侧的绿化设备进行护理，定期对其修剪；</w:t>
      </w:r>
    </w:p>
    <w:p w14:paraId="35D3E335">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（3）加强路面的维护，对有损的路面及时进行修复；</w:t>
      </w:r>
    </w:p>
    <w:p w14:paraId="47E42B77">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（4）定期检查道路两侧的排水沟是否通畅。</w:t>
      </w:r>
    </w:p>
    <w:p w14:paraId="2097670A">
      <w:pPr>
        <w:keepNext w:val="0"/>
        <w:keepLines w:val="0"/>
        <w:widowControl/>
        <w:suppressLineNumbers w:val="0"/>
        <w:ind w:left="0" w:leftChars="0" w:firstLine="0" w:firstLineChars="0"/>
        <w:jc w:val="left"/>
        <w:rPr>
          <w:color w:val="auto"/>
        </w:rPr>
      </w:pPr>
      <w:r>
        <w:rPr>
          <w:rFonts w:hint="eastAsia" w:ascii="Times New Roman" w:hAnsi="Times New Roman" w:eastAsia="宋体" w:cs="Times New Roman"/>
          <w:b/>
          <w:bCs/>
          <w:color w:val="auto"/>
          <w:kern w:val="0"/>
          <w:sz w:val="24"/>
          <w:szCs w:val="24"/>
          <w:lang w:val="en-US" w:eastAsia="zh-CN" w:bidi="ar"/>
        </w:rPr>
        <w:t>9</w:t>
      </w:r>
      <w:r>
        <w:rPr>
          <w:rFonts w:hint="default" w:ascii="Times New Roman" w:hAnsi="Times New Roman" w:eastAsia="宋体" w:cs="Times New Roman"/>
          <w:b/>
          <w:bCs/>
          <w:color w:val="auto"/>
          <w:kern w:val="0"/>
          <w:sz w:val="24"/>
          <w:szCs w:val="24"/>
          <w:lang w:val="en-US" w:eastAsia="zh-CN" w:bidi="ar"/>
        </w:rPr>
        <w:t>.1.3</w:t>
      </w:r>
      <w:r>
        <w:rPr>
          <w:rFonts w:hint="eastAsia" w:ascii="宋体" w:hAnsi="宋体" w:eastAsia="宋体" w:cs="宋体"/>
          <w:b/>
          <w:bCs/>
          <w:color w:val="auto"/>
          <w:kern w:val="0"/>
          <w:sz w:val="24"/>
          <w:szCs w:val="24"/>
          <w:lang w:val="en-US" w:eastAsia="zh-CN" w:bidi="ar"/>
        </w:rPr>
        <w:t>环境管理计划</w:t>
      </w:r>
    </w:p>
    <w:p w14:paraId="0333B668">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t>为使本工程环境问题能及时得到落实，制定本项目管理计划，见表</w:t>
      </w:r>
      <w:r>
        <w:rPr>
          <w:rFonts w:hint="eastAsia" w:ascii="Times New Roman" w:hAnsi="Times New Roman" w:eastAsia="宋体" w:cs="Times New Roman"/>
          <w:color w:val="auto"/>
          <w:kern w:val="0"/>
          <w:sz w:val="24"/>
          <w:szCs w:val="24"/>
          <w:lang w:val="en-US" w:eastAsia="zh-CN" w:bidi="ar"/>
        </w:rPr>
        <w:t>9</w:t>
      </w:r>
      <w:r>
        <w:rPr>
          <w:rFonts w:hint="default" w:ascii="Times New Roman" w:hAnsi="Times New Roman" w:eastAsia="宋体" w:cs="Times New Roman"/>
          <w:color w:val="auto"/>
          <w:kern w:val="0"/>
          <w:sz w:val="24"/>
          <w:szCs w:val="24"/>
          <w:lang w:val="en-US" w:eastAsia="zh-CN" w:bidi="ar"/>
        </w:rPr>
        <w:t>.1-</w:t>
      </w:r>
      <w:r>
        <w:rPr>
          <w:rFonts w:hint="eastAsia"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w:t>
      </w:r>
    </w:p>
    <w:p w14:paraId="5AB184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b/>
          <w:bCs/>
          <w:color w:val="auto"/>
          <w:sz w:val="21"/>
          <w:szCs w:val="21"/>
          <w:lang w:val="en-US" w:eastAsia="zh-CN"/>
        </w:rPr>
      </w:pPr>
      <w:bookmarkStart w:id="313" w:name="_Toc2292"/>
      <w:r>
        <w:rPr>
          <w:rFonts w:hint="eastAsia"/>
          <w:b/>
          <w:bCs/>
          <w:color w:val="auto"/>
          <w:sz w:val="21"/>
          <w:szCs w:val="21"/>
          <w:lang w:val="en-US" w:eastAsia="zh-CN"/>
        </w:rPr>
        <w:t>表9.1-1  环境管理计划</w:t>
      </w:r>
      <w:bookmarkEnd w:id="313"/>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107"/>
        <w:gridCol w:w="5301"/>
        <w:gridCol w:w="1455"/>
      </w:tblGrid>
      <w:tr w14:paraId="6FDA0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Align w:val="center"/>
          </w:tcPr>
          <w:p w14:paraId="7A178F7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14" w:name="_Toc32385"/>
            <w:bookmarkStart w:id="315" w:name="_Toc22700"/>
            <w:r>
              <w:rPr>
                <w:rFonts w:hint="default" w:ascii="Times New Roman" w:hAnsi="Times New Roman" w:eastAsia="宋体" w:cs="Times New Roman"/>
                <w:b w:val="0"/>
                <w:bCs w:val="0"/>
                <w:color w:val="auto"/>
                <w:sz w:val="21"/>
                <w:szCs w:val="21"/>
                <w:vertAlign w:val="baseline"/>
                <w:lang w:val="en-US" w:eastAsia="zh-CN"/>
              </w:rPr>
              <w:t>阶段</w:t>
            </w:r>
            <w:bookmarkEnd w:id="314"/>
            <w:bookmarkEnd w:id="315"/>
          </w:p>
        </w:tc>
        <w:tc>
          <w:tcPr>
            <w:tcW w:w="6408" w:type="dxa"/>
            <w:gridSpan w:val="2"/>
            <w:vAlign w:val="center"/>
          </w:tcPr>
          <w:p w14:paraId="394C137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16" w:name="_Toc17061"/>
            <w:bookmarkStart w:id="317" w:name="_Toc23394"/>
            <w:r>
              <w:rPr>
                <w:rFonts w:hint="default" w:ascii="Times New Roman" w:hAnsi="Times New Roman" w:eastAsia="宋体" w:cs="Times New Roman"/>
                <w:b w:val="0"/>
                <w:bCs w:val="0"/>
                <w:color w:val="auto"/>
                <w:sz w:val="21"/>
                <w:szCs w:val="21"/>
                <w:vertAlign w:val="baseline"/>
                <w:lang w:val="en-US" w:eastAsia="zh-CN"/>
              </w:rPr>
              <w:t>环保要求</w:t>
            </w:r>
            <w:bookmarkEnd w:id="316"/>
            <w:bookmarkEnd w:id="317"/>
          </w:p>
        </w:tc>
        <w:tc>
          <w:tcPr>
            <w:tcW w:w="1455" w:type="dxa"/>
            <w:vAlign w:val="center"/>
          </w:tcPr>
          <w:p w14:paraId="401B7F2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18" w:name="_Toc17033"/>
            <w:bookmarkStart w:id="319" w:name="_Toc22177"/>
            <w:r>
              <w:rPr>
                <w:rFonts w:hint="default" w:ascii="Times New Roman" w:hAnsi="Times New Roman" w:eastAsia="宋体" w:cs="Times New Roman"/>
                <w:b w:val="0"/>
                <w:bCs w:val="0"/>
                <w:color w:val="auto"/>
                <w:sz w:val="21"/>
                <w:szCs w:val="21"/>
                <w:vertAlign w:val="baseline"/>
                <w:lang w:val="en-US" w:eastAsia="zh-CN"/>
              </w:rPr>
              <w:t>相关部门</w:t>
            </w:r>
            <w:bookmarkEnd w:id="318"/>
            <w:bookmarkEnd w:id="319"/>
          </w:p>
        </w:tc>
      </w:tr>
      <w:tr w14:paraId="1DC0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restart"/>
            <w:vAlign w:val="center"/>
          </w:tcPr>
          <w:p w14:paraId="486996E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20" w:name="_Toc8113"/>
            <w:bookmarkStart w:id="321" w:name="_Toc28132"/>
            <w:r>
              <w:rPr>
                <w:rFonts w:hint="default" w:ascii="Times New Roman" w:hAnsi="Times New Roman" w:eastAsia="宋体" w:cs="Times New Roman"/>
                <w:b w:val="0"/>
                <w:bCs w:val="0"/>
                <w:color w:val="auto"/>
                <w:sz w:val="21"/>
                <w:szCs w:val="21"/>
                <w:vertAlign w:val="baseline"/>
                <w:lang w:val="en-US" w:eastAsia="zh-CN"/>
              </w:rPr>
              <w:t>施工期</w:t>
            </w:r>
            <w:bookmarkEnd w:id="320"/>
            <w:bookmarkEnd w:id="321"/>
          </w:p>
        </w:tc>
        <w:tc>
          <w:tcPr>
            <w:tcW w:w="1107" w:type="dxa"/>
            <w:vAlign w:val="center"/>
          </w:tcPr>
          <w:p w14:paraId="4342810B">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22" w:name="_Toc32116"/>
            <w:bookmarkStart w:id="323" w:name="_Toc716"/>
            <w:r>
              <w:rPr>
                <w:rFonts w:hint="default" w:ascii="Times New Roman" w:hAnsi="Times New Roman" w:eastAsia="宋体" w:cs="Times New Roman"/>
                <w:b w:val="0"/>
                <w:bCs w:val="0"/>
                <w:color w:val="auto"/>
                <w:sz w:val="21"/>
                <w:szCs w:val="21"/>
                <w:vertAlign w:val="baseline"/>
                <w:lang w:val="en-US" w:eastAsia="zh-CN"/>
              </w:rPr>
              <w:t>水环境</w:t>
            </w:r>
            <w:bookmarkEnd w:id="322"/>
            <w:bookmarkEnd w:id="323"/>
          </w:p>
        </w:tc>
        <w:tc>
          <w:tcPr>
            <w:tcW w:w="5301" w:type="dxa"/>
            <w:vAlign w:val="center"/>
          </w:tcPr>
          <w:p w14:paraId="53BEF84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24" w:name="_Toc4742"/>
            <w:bookmarkStart w:id="325" w:name="_Toc28654"/>
            <w:r>
              <w:rPr>
                <w:rFonts w:hint="default" w:ascii="Times New Roman" w:hAnsi="Times New Roman" w:eastAsia="宋体" w:cs="Times New Roman"/>
                <w:b w:val="0"/>
                <w:bCs w:val="0"/>
                <w:color w:val="auto"/>
                <w:sz w:val="21"/>
                <w:szCs w:val="21"/>
                <w:vertAlign w:val="baseline"/>
                <w:lang w:val="en-US" w:eastAsia="zh-CN"/>
              </w:rPr>
              <w:t>（1）在生活营地单独设置生活污水沉淀池1个，容积设置为5m</w:t>
            </w:r>
            <w:r>
              <w:rPr>
                <w:rFonts w:hint="default" w:ascii="Times New Roman" w:hAnsi="Times New Roman" w:eastAsia="宋体" w:cs="Times New Roman"/>
                <w:b w:val="0"/>
                <w:bCs w:val="0"/>
                <w:color w:val="auto"/>
                <w:sz w:val="21"/>
                <w:szCs w:val="21"/>
                <w:vertAlign w:val="superscript"/>
                <w:lang w:val="en-US" w:eastAsia="zh-CN"/>
              </w:rPr>
              <w:t>3</w:t>
            </w:r>
            <w:r>
              <w:rPr>
                <w:rFonts w:hint="default" w:ascii="Times New Roman" w:hAnsi="Times New Roman" w:eastAsia="宋体" w:cs="Times New Roman"/>
                <w:b w:val="0"/>
                <w:bCs w:val="0"/>
                <w:color w:val="auto"/>
                <w:sz w:val="21"/>
                <w:szCs w:val="21"/>
                <w:vertAlign w:val="baseline"/>
                <w:lang w:val="en-US" w:eastAsia="zh-CN"/>
              </w:rPr>
              <w:t>。项目施工过程中生活营地设置沉淀池，生活废水经沉淀处理后，回用于场地洒水抑尘，不外排，对地表水环境影响小。</w:t>
            </w:r>
            <w:bookmarkEnd w:id="324"/>
          </w:p>
          <w:p w14:paraId="2D89661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26" w:name="_Toc7272"/>
            <w:r>
              <w:rPr>
                <w:rFonts w:hint="default" w:ascii="Times New Roman" w:hAnsi="Times New Roman" w:eastAsia="宋体" w:cs="Times New Roman"/>
                <w:b w:val="0"/>
                <w:bCs w:val="0"/>
                <w:color w:val="auto"/>
                <w:sz w:val="21"/>
                <w:szCs w:val="21"/>
                <w:vertAlign w:val="baseline"/>
                <w:lang w:val="en-US" w:eastAsia="zh-CN"/>
              </w:rPr>
              <w:t>（2）在施工场地布置沉淀池，对混凝土拌和、预制过程中产生的含SS的碱性废水进行收集处理。</w:t>
            </w:r>
            <w:bookmarkEnd w:id="326"/>
          </w:p>
          <w:p w14:paraId="7B7872CB">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rPr>
            </w:pPr>
            <w:bookmarkStart w:id="327" w:name="_Toc26375"/>
            <w:r>
              <w:rPr>
                <w:rFonts w:hint="default" w:ascii="Times New Roman" w:hAnsi="Times New Roman" w:eastAsia="宋体" w:cs="Times New Roman"/>
                <w:b w:val="0"/>
                <w:bCs w:val="0"/>
                <w:color w:val="auto"/>
                <w:sz w:val="21"/>
                <w:szCs w:val="21"/>
                <w:vertAlign w:val="baseline"/>
                <w:lang w:val="en-US" w:eastAsia="zh-CN"/>
              </w:rPr>
              <w:t>（3）不得在跨越水体的河流管理范围内设置任何弃渣场地、料场及施工场地、施工营地。施工时应尽量租用当地民房，生活污水利用现有设施处理，若确实需要建设施工临时住房，施工生活营地选址应距河流岸边300m远，可采取设置化粪池进行收集处理，经处理后做农肥使用，严禁外排。</w:t>
            </w:r>
            <w:bookmarkEnd w:id="325"/>
            <w:bookmarkEnd w:id="327"/>
          </w:p>
        </w:tc>
        <w:tc>
          <w:tcPr>
            <w:tcW w:w="1455" w:type="dxa"/>
            <w:vMerge w:val="restart"/>
            <w:vAlign w:val="center"/>
          </w:tcPr>
          <w:p w14:paraId="31B9B6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实施单位：</w:t>
            </w:r>
          </w:p>
          <w:p w14:paraId="236F88F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施工单位；</w:t>
            </w:r>
          </w:p>
          <w:p w14:paraId="6782671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负责单位：</w:t>
            </w:r>
          </w:p>
          <w:p w14:paraId="0E0D21C2">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建设单位</w:t>
            </w:r>
          </w:p>
          <w:p w14:paraId="307E5C6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工程监理部；</w:t>
            </w:r>
          </w:p>
          <w:p w14:paraId="65CB78F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监督单位：</w:t>
            </w:r>
          </w:p>
          <w:p w14:paraId="7A2AC7D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28" w:name="_Toc102"/>
            <w:bookmarkStart w:id="329" w:name="_Toc21512"/>
            <w:r>
              <w:rPr>
                <w:rFonts w:hint="default" w:ascii="Times New Roman" w:hAnsi="Times New Roman" w:eastAsia="宋体" w:cs="Times New Roman"/>
                <w:b w:val="0"/>
                <w:bCs w:val="0"/>
                <w:color w:val="auto"/>
                <w:kern w:val="0"/>
                <w:sz w:val="21"/>
                <w:szCs w:val="21"/>
                <w:lang w:val="en-US" w:eastAsia="zh-CN" w:bidi="ar"/>
              </w:rPr>
              <w:t>玉溪市生态环境局元江分局</w:t>
            </w:r>
            <w:bookmarkEnd w:id="328"/>
            <w:bookmarkEnd w:id="329"/>
          </w:p>
        </w:tc>
      </w:tr>
      <w:tr w14:paraId="3DFB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6352FA5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76D0400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30" w:name="_Toc21848"/>
            <w:bookmarkStart w:id="331" w:name="_Toc11170"/>
            <w:r>
              <w:rPr>
                <w:rFonts w:hint="default" w:ascii="Times New Roman" w:hAnsi="Times New Roman" w:eastAsia="宋体" w:cs="Times New Roman"/>
                <w:b w:val="0"/>
                <w:bCs w:val="0"/>
                <w:color w:val="auto"/>
                <w:sz w:val="21"/>
                <w:szCs w:val="21"/>
                <w:vertAlign w:val="baseline"/>
                <w:lang w:val="en-US" w:eastAsia="zh-CN"/>
              </w:rPr>
              <w:t>环境空气</w:t>
            </w:r>
            <w:bookmarkEnd w:id="330"/>
            <w:bookmarkEnd w:id="331"/>
          </w:p>
        </w:tc>
        <w:tc>
          <w:tcPr>
            <w:tcW w:w="5301" w:type="dxa"/>
            <w:vAlign w:val="center"/>
          </w:tcPr>
          <w:p w14:paraId="7AFF9CD1">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32" w:name="_Toc11167"/>
            <w:bookmarkStart w:id="333" w:name="_Toc22316"/>
            <w:r>
              <w:rPr>
                <w:rFonts w:hint="default" w:ascii="Times New Roman" w:hAnsi="Times New Roman" w:eastAsia="宋体" w:cs="Times New Roman"/>
                <w:b w:val="0"/>
                <w:bCs w:val="0"/>
                <w:color w:val="auto"/>
                <w:sz w:val="21"/>
                <w:szCs w:val="21"/>
                <w:vertAlign w:val="baseline"/>
                <w:lang w:val="en-US" w:eastAsia="zh-CN"/>
              </w:rPr>
              <w:t>（1）项目建设单位严格执行环境保护“三同时”制度，防治施工扬尘污染的费用列入工程投资，施工合同中明确施工单位扬尘污染防治责任，施工图交底时将施工扬尘污染防治措施一并纳入，并督促施工单位落实施工扬尘污染防治措施。</w:t>
            </w:r>
            <w:bookmarkEnd w:id="332"/>
          </w:p>
          <w:p w14:paraId="5379C39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34" w:name="_Toc16534"/>
            <w:r>
              <w:rPr>
                <w:rFonts w:hint="default" w:ascii="Times New Roman" w:hAnsi="Times New Roman" w:eastAsia="宋体" w:cs="Times New Roman"/>
                <w:b w:val="0"/>
                <w:bCs w:val="0"/>
                <w:color w:val="auto"/>
                <w:sz w:val="21"/>
                <w:szCs w:val="21"/>
                <w:vertAlign w:val="baseline"/>
                <w:lang w:val="en-US" w:eastAsia="zh-CN"/>
              </w:rPr>
              <w:t>（2）施工单位要制定具体的施工扬尘污染防治实施方案，在施工现场明显位置设置公示牌，内容包括：施工现场负责人、环保监督员、防尘措施、扬尘监督管理部门、举报投诉电话等信息。</w:t>
            </w:r>
            <w:bookmarkEnd w:id="334"/>
          </w:p>
          <w:p w14:paraId="559DB97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35" w:name="_Toc1790"/>
            <w:r>
              <w:rPr>
                <w:rFonts w:hint="default" w:ascii="Times New Roman" w:hAnsi="Times New Roman" w:eastAsia="宋体" w:cs="Times New Roman"/>
                <w:b w:val="0"/>
                <w:bCs w:val="0"/>
                <w:color w:val="auto"/>
                <w:sz w:val="21"/>
                <w:szCs w:val="21"/>
                <w:vertAlign w:val="baseline"/>
                <w:lang w:val="en-US" w:eastAsia="zh-CN"/>
              </w:rPr>
              <w:t>（3）土石方施工作业过程中，施工作业面要采取防尘抑尘措施，对已完成的并可能产生扬尘污染的作业面，要采取洒水或喷雾等防尘措施。对土石方、建筑垃圾能够回填利用的及时回填，无法利用的及时清运至弃渣场。</w:t>
            </w:r>
            <w:bookmarkEnd w:id="335"/>
          </w:p>
          <w:p w14:paraId="6DB60F0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36" w:name="_Toc32204"/>
            <w:r>
              <w:rPr>
                <w:rFonts w:hint="default" w:ascii="Times New Roman" w:hAnsi="Times New Roman" w:eastAsia="宋体" w:cs="Times New Roman"/>
                <w:b w:val="0"/>
                <w:bCs w:val="0"/>
                <w:color w:val="auto"/>
                <w:sz w:val="21"/>
                <w:szCs w:val="21"/>
                <w:vertAlign w:val="baseline"/>
                <w:lang w:val="en-US" w:eastAsia="zh-CN"/>
              </w:rPr>
              <w:t>（4）加强物料堆存及运输管理。在施工工地内堆放水泥、灰土、砂石、建筑土方等易产生扬尘的粉状、粒状和块状建筑材料的，应按照“粉状入仓、块状入棚”的原则，采取封闭或者遮盖等防尘措施，现场搅拌混凝土、砂浆等建筑材料的，物料落料点应采取湿法除尘、收尘等措施；运输物料、渣土的车辆应采用密闭或其他措施防止物料遗撒造成扬尘污染。</w:t>
            </w:r>
            <w:bookmarkEnd w:id="336"/>
          </w:p>
          <w:p w14:paraId="14483D6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37" w:name="_Toc28030"/>
            <w:r>
              <w:rPr>
                <w:rFonts w:hint="default" w:ascii="Times New Roman" w:hAnsi="Times New Roman" w:eastAsia="宋体" w:cs="Times New Roman"/>
                <w:b w:val="0"/>
                <w:bCs w:val="0"/>
                <w:color w:val="auto"/>
                <w:sz w:val="21"/>
                <w:szCs w:val="21"/>
                <w:vertAlign w:val="baseline"/>
                <w:lang w:val="en-US" w:eastAsia="zh-CN"/>
              </w:rPr>
              <w:t>（5）落实施工路段及施工便道防尘措施。施工路段及施工便道应适时洒水，减轻扬尘污染。其中，施工便道应尽量利用现有公路，确需新建的，宜分段采取措施；经过村庄及人口密集区的，应采用不易产尘的物料进行硬化。施工便道使用结束后，根据与地方政府的协商情况，可作为地方道路使用的，交由地方进行管理，如不能作为地方道路继续使用的，应根据原占地类型开展生态恢复或复垦。</w:t>
            </w:r>
            <w:bookmarkEnd w:id="337"/>
          </w:p>
          <w:p w14:paraId="7077AF70">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rPr>
            </w:pPr>
            <w:bookmarkStart w:id="338" w:name="_Toc19332"/>
            <w:r>
              <w:rPr>
                <w:rFonts w:hint="default" w:ascii="Times New Roman" w:hAnsi="Times New Roman" w:eastAsia="宋体" w:cs="Times New Roman"/>
                <w:b w:val="0"/>
                <w:bCs w:val="0"/>
                <w:color w:val="auto"/>
                <w:sz w:val="21"/>
                <w:szCs w:val="21"/>
                <w:vertAlign w:val="baseline"/>
                <w:lang w:val="en-US" w:eastAsia="zh-CN"/>
              </w:rPr>
              <w:t>（6）合理设置弃渣场，弃渣场应远离以居住、医疗卫生、文化教育、科研、行政办公等为主要功能的敏感区。项目设置弃渣场200m范围内无居民点，为防止扬尘对周围环境造成影响，需进行洒水降尘，大风天气设置防尘网进行遮盖，减轻对周围环境的影响。</w:t>
            </w:r>
            <w:bookmarkEnd w:id="333"/>
            <w:bookmarkEnd w:id="338"/>
          </w:p>
        </w:tc>
        <w:tc>
          <w:tcPr>
            <w:tcW w:w="1455" w:type="dxa"/>
            <w:vMerge w:val="continue"/>
            <w:vAlign w:val="center"/>
          </w:tcPr>
          <w:p w14:paraId="10099D3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651DD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425049D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63EF220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39" w:name="_Toc15603"/>
            <w:bookmarkStart w:id="340" w:name="_Toc28107"/>
            <w:r>
              <w:rPr>
                <w:rFonts w:hint="default" w:ascii="Times New Roman" w:hAnsi="Times New Roman" w:eastAsia="宋体" w:cs="Times New Roman"/>
                <w:b w:val="0"/>
                <w:bCs w:val="0"/>
                <w:color w:val="auto"/>
                <w:sz w:val="21"/>
                <w:szCs w:val="21"/>
                <w:vertAlign w:val="baseline"/>
                <w:lang w:val="en-US" w:eastAsia="zh-CN"/>
              </w:rPr>
              <w:t>噪声</w:t>
            </w:r>
            <w:bookmarkEnd w:id="339"/>
            <w:bookmarkEnd w:id="340"/>
          </w:p>
        </w:tc>
        <w:tc>
          <w:tcPr>
            <w:tcW w:w="5301" w:type="dxa"/>
            <w:vAlign w:val="center"/>
          </w:tcPr>
          <w:p w14:paraId="3C9B8D1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（1）合理布局施工现场：避免在同一地点安排大量动力机械设备，以避免局部累积声级过高；高噪声机械应置于离敏感点较远的位置。</w:t>
            </w:r>
          </w:p>
          <w:p w14:paraId="00A7F385">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（2）合理安排施工时间：制订施工计划时，应尽可能避免大量高噪声设备同时施工；禁止在12时至14时、22时至次日6时进行建筑施工作业。</w:t>
            </w:r>
          </w:p>
          <w:p w14:paraId="6144BC3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3）施工时采用降噪作业方式：施工机械选型时尽量选用可替代的低噪声的设备，对动力机械设备进行定期的维修、养护，避免设备因松动部件的振动或消声器的损坏而增加其工作时的声压级；设备用完后或不用时应立即关闭。</w:t>
            </w:r>
          </w:p>
          <w:p w14:paraId="37906BFF">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（4）合理安排运输路线和时间：应合理安排施工物料的运输时间。运输车辆进入现场应减速、并减少鸣笛等等。</w:t>
            </w:r>
          </w:p>
          <w:p w14:paraId="60FAC0B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（5）加强施工管理：合理制定施工计划。监理单位应做好施工期噪声监理工作，配备一定数量的简易噪声测量仪器，对施工场所附近的居民点进行监测，以保证其不受噪声超标影响。</w:t>
            </w:r>
          </w:p>
          <w:p w14:paraId="269232E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kern w:val="0"/>
                <w:sz w:val="21"/>
                <w:szCs w:val="21"/>
                <w:lang w:val="en-US" w:eastAsia="zh-CN" w:bidi="ar"/>
              </w:rPr>
              <w:t>（6）施工单位应当在工程开工前十五日向工程所在地的县（市、区）环境保护行政主管部门申报该工程的项目名称、施工场所和期限、可能产生的环境噪声值以及所采取的环境噪声污染防治措施的情况。</w:t>
            </w:r>
          </w:p>
        </w:tc>
        <w:tc>
          <w:tcPr>
            <w:tcW w:w="1455" w:type="dxa"/>
            <w:vMerge w:val="continue"/>
            <w:vAlign w:val="center"/>
          </w:tcPr>
          <w:p w14:paraId="61C8DD7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1637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2472B53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15EA8FF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bookmarkStart w:id="341" w:name="_Toc25906"/>
            <w:bookmarkStart w:id="342" w:name="_Toc18141"/>
            <w:r>
              <w:rPr>
                <w:rFonts w:hint="default" w:ascii="Times New Roman" w:hAnsi="Times New Roman" w:eastAsia="宋体" w:cs="Times New Roman"/>
                <w:b w:val="0"/>
                <w:bCs w:val="0"/>
                <w:color w:val="auto"/>
                <w:sz w:val="21"/>
                <w:szCs w:val="21"/>
                <w:vertAlign w:val="baseline"/>
                <w:lang w:val="en-US" w:eastAsia="zh-CN"/>
              </w:rPr>
              <w:t>生态环境</w:t>
            </w:r>
            <w:bookmarkEnd w:id="341"/>
            <w:bookmarkEnd w:id="342"/>
          </w:p>
        </w:tc>
        <w:tc>
          <w:tcPr>
            <w:tcW w:w="5301" w:type="dxa"/>
            <w:vAlign w:val="center"/>
          </w:tcPr>
          <w:p w14:paraId="6644DAB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（1）避让措施</w:t>
            </w:r>
          </w:p>
          <w:p w14:paraId="1E94D4E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①施工严格控制施工范围，优化施工布置，临时设施尽量设置于永久占地范围内，尽量避让植被较好区域，减少对耕地、自然植被以及陆生野生动物生境的破坏。</w:t>
            </w:r>
          </w:p>
          <w:p w14:paraId="2C63D1D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②增强施工人员的保护意识，严禁捕猎野生动物。施工人员必须遵守《中华人民共和国野生动物保护法》，严禁在施工区及其周围捕猎野生动物，特别是国家级野生保护动物，在施工时严禁进行猎捕，严禁施工人员和当地居民捕杀两栖和爬行类动物。在施工前对施工区及影响区的动物进行轰赶，减少施工过程中造成对动物的伤害；根据野生动物活动规律，合理规划施工、爆破等时间，降低施工中噪声对动物的影响；对在施工中遇到受伤或年幼的野生动物需交由森林公安或林业局的专业人员妥善处理；合理规划管理，避免工程中不必要的树木砍伐和生境开挖等破坏野生动物栖息环境的活动。</w:t>
            </w:r>
          </w:p>
          <w:p w14:paraId="04B58C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（2）减缓措施</w:t>
            </w:r>
          </w:p>
          <w:p w14:paraId="657FF02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①合理安排工程用地，节约土地资源，合理设计、尽量缩小用地规模。</w:t>
            </w:r>
          </w:p>
          <w:p w14:paraId="62A39DFA">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②路基施工尽可能保护表层有肥力的土壤，集中堆放并采取临时防护措施，以便于后期绿化和土地复垦用。对于坡面工程还应及时采取工程或植物措施加以防护以减少水土流失现象发生。</w:t>
            </w:r>
          </w:p>
          <w:p w14:paraId="42472E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③优化施工组织和制定严格的施工作业制度，尽量将挖填施工安排在非雨汛期，并缩短挖填土石方的堆置时间，控制在征用的土地范围之内；挖填方边坡、路堤和路堑边坡等还应进行防护，减少水土流失。</w:t>
            </w:r>
          </w:p>
          <w:p w14:paraId="5D38B01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④加强施工队伍组织和管理，明确施工范围和行动路线，禁止扩大施工活动区域，进行文明施工。</w:t>
            </w:r>
          </w:p>
          <w:p w14:paraId="472F639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⑤施工做好表土剥离及堆存工作，做好施工后的植被恢复工作。</w:t>
            </w:r>
          </w:p>
          <w:p w14:paraId="27FCDCE4">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（3）恢复与补偿措施：</w:t>
            </w:r>
          </w:p>
          <w:p w14:paraId="667F4E8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①对于永久用地、临时用地占地的表层土予以收集保存，待工程完工后再回填用于植被恢复。②在施工过程中，如发现有国家重点保护和云南省级重点保护野生植物需铲除的，应事先征得当地林业部门同意，或按照林业部门要求采取移栽处理，在环境保护经费预算中要安排保护物种保护经费，用于紧急抢救和监测工作之用。③为确保植被恢复措施的有效性，避免植被恢复过程中引发新的环境问题， 在工程开工前，需根据工程区环境特点，制定本项目工程区植被恢复专项设计方案，且应与主体工程同时设计。④工程施工开挖时，应将表层土与下层土分开，单独收集并保存表层土，暂时堆放于施工区，用于今后的植被恢复覆土，以恢复土壤理性；临时表土堆采取苫布覆盖等临时防护措施。对于在坡度大于15°的区域，施工时应及时在坡脚处设置草袋挡土墙挡护或坡面种植草本植物等防护措施加以防护，以减少水土流失现象发生；在施工结束后，临时占地应立即覆土恢复植被。⑤施工结束后应及时进行植被恢复。⑥植被恢复方案设计应遵循“恢复功能性强，经济可行”等原则，主要从修复区内植被的生态功能的角度出发，重点考虑区内植被涵养水源、保持水土、保护环境及护路等生态功能和作用。植被恢复树种应选择本地种，禁止引入外来物种。</w:t>
            </w:r>
          </w:p>
          <w:p w14:paraId="2CBECD0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（4）管理措施：</w:t>
            </w:r>
          </w:p>
          <w:p w14:paraId="2FF099F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①工程占地范围内如有林地需要砍伐，在砍伐林地之前，须向有权限的林业主管部门办理相关审批手续。施工道路选线如在今后的施工方案设计阶段发生重大变更，则应根据《中华人民共和国环境影响评价法》第二十四条和二十七条有关要求，以及环保部门要求重新编报环境影响评价文件。</w:t>
            </w:r>
          </w:p>
        </w:tc>
        <w:tc>
          <w:tcPr>
            <w:tcW w:w="1455" w:type="dxa"/>
            <w:vMerge w:val="continue"/>
            <w:vAlign w:val="center"/>
          </w:tcPr>
          <w:p w14:paraId="5D3C841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44EF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09C2E5C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303184E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43" w:name="_Toc2183"/>
            <w:bookmarkStart w:id="344" w:name="_Toc23843"/>
            <w:r>
              <w:rPr>
                <w:rFonts w:hint="default" w:ascii="Times New Roman" w:hAnsi="Times New Roman" w:eastAsia="宋体" w:cs="Times New Roman"/>
                <w:b w:val="0"/>
                <w:bCs w:val="0"/>
                <w:color w:val="auto"/>
                <w:sz w:val="21"/>
                <w:szCs w:val="21"/>
                <w:vertAlign w:val="baseline"/>
                <w:lang w:val="en-US" w:eastAsia="zh-CN"/>
              </w:rPr>
              <w:t>固体废物</w:t>
            </w:r>
            <w:bookmarkEnd w:id="343"/>
            <w:bookmarkEnd w:id="344"/>
          </w:p>
          <w:p w14:paraId="3CD6FFF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45" w:name="_Toc21068"/>
            <w:bookmarkStart w:id="346" w:name="_Toc29692"/>
            <w:r>
              <w:rPr>
                <w:rFonts w:hint="default" w:ascii="Times New Roman" w:hAnsi="Times New Roman" w:eastAsia="宋体" w:cs="Times New Roman"/>
                <w:b w:val="0"/>
                <w:bCs w:val="0"/>
                <w:color w:val="auto"/>
                <w:sz w:val="21"/>
                <w:szCs w:val="21"/>
                <w:vertAlign w:val="baseline"/>
                <w:lang w:val="en-US" w:eastAsia="zh-CN"/>
              </w:rPr>
              <w:t>处置</w:t>
            </w:r>
            <w:bookmarkEnd w:id="345"/>
            <w:bookmarkEnd w:id="346"/>
          </w:p>
        </w:tc>
        <w:tc>
          <w:tcPr>
            <w:tcW w:w="5301" w:type="dxa"/>
            <w:vAlign w:val="center"/>
          </w:tcPr>
          <w:p w14:paraId="2B9A139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（1）施工期间，运送散装建筑材料的车辆，用篷布遮盖，以防物料洒落；</w:t>
            </w:r>
          </w:p>
          <w:p w14:paraId="789E00C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本工程共计产生土石方开挖71.76万m3（其中，表土剥离3.39万m3，建筑垃圾0.04万m3，一般土方开挖42.50万m3，一般石方开挖25.83万m3），土石方回填利用9.81万m3（其中，表土回覆3.39万m3，一般土石方回填6.42万m3），本工程产生永久弃渣61.95万m3，无外借土石方。本工程产生的弃渣运至项目规划的弃渣场堆放。</w:t>
            </w:r>
          </w:p>
          <w:p w14:paraId="6D1E56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3）项目内产生的拆迁建筑垃圾及废弃建筑材料经分拣、剔除后，废钢材等可以回收利用的，集中收集后外售综合利用；砖石、混凝土不可回收利用的，应妥善保管，优先供周边地区修补乡村道路或建筑使用，无法利用时运至政府指定地点堆存，在运输过程中为防止建筑垃圾沿路泼洒，应对运输车辆加盖篷布；</w:t>
            </w:r>
          </w:p>
          <w:p w14:paraId="03E0765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建设单位需按照《云南省人民政府办公厅关于印发《云南省建筑垃圾管理办法（试行）》的通知》（云政办规〔2024〕4号）文件要求，以减量化、资源化、无害化为原则，编制建筑垃圾处理方案，报当地建筑垃圾主管部门备案；</w:t>
            </w:r>
          </w:p>
          <w:p w14:paraId="2DDEED7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合理安排施工时间。土方施工应尽量避开在雨季进行，并在雨季来临前将已开挖回填土方的边坡排水设施处理好。如在雨季施工，应尽量减小施工面坡度，并做到施工料随取、随运、随铺、随压，以减少雨水的冲刷侵蚀；</w:t>
            </w:r>
          </w:p>
          <w:p w14:paraId="4D2BF9A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（6）工程不设置施工营地，施工人员主要租住在沿线的居民房，生活垃圾依托沿线居民的垃圾收集设施进行处置；在施工场地周围适当增设垃圾收集桶，统一收集后委托当地环卫部门清运处置。</w:t>
            </w:r>
          </w:p>
          <w:p w14:paraId="3306797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（7）土石方运输污染防治措施</w:t>
            </w:r>
          </w:p>
          <w:p w14:paraId="721461F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1）所有土石方运输车辆必须采用封闭式渣土车，严禁车辆超载运输；及时对运输车辆进行清洗，保持车身整洁，并严格控制运输过程中抛撒等现象的发生。以控制运输过程中的扬尘产生量。</w:t>
            </w:r>
          </w:p>
          <w:p w14:paraId="55D8316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2）加强对运输作业人员的素质培训教育，运输作业严格遵守交通规则，文明行车，不超载、不超速，并及时对车辆进行检测维修，使运输车辆保持良好的车况，以减轻运输过程中的交通噪声导致的环境影响。</w:t>
            </w:r>
          </w:p>
          <w:p w14:paraId="7A9B017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3）要求运输单位或个人购置低排放、低噪声、大运力车辆，严禁车辆超载运输；同时加强车辆维护，以减少汽车尾气污染、交通噪声污染和扬尘污染等。</w:t>
            </w:r>
          </w:p>
          <w:p w14:paraId="6F8CE84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4）项目运输车辆经过居民区时应限速、禁鸣，保持运输道路路面的平整，禁止夜间运输。</w:t>
            </w:r>
          </w:p>
          <w:p w14:paraId="319B98E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kern w:val="0"/>
                <w:sz w:val="21"/>
                <w:szCs w:val="21"/>
                <w:lang w:val="en-US" w:eastAsia="zh-CN" w:bidi="ar"/>
              </w:rPr>
              <w:t>5）运输车辆设置明显的标志并经常维护保养，保证车况良好和行车安全。</w:t>
            </w:r>
          </w:p>
        </w:tc>
        <w:tc>
          <w:tcPr>
            <w:tcW w:w="1455" w:type="dxa"/>
            <w:vMerge w:val="continue"/>
            <w:vAlign w:val="center"/>
          </w:tcPr>
          <w:p w14:paraId="1F8CD70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2DFD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restart"/>
            <w:vAlign w:val="center"/>
          </w:tcPr>
          <w:p w14:paraId="12E7238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47" w:name="_Toc16370"/>
            <w:bookmarkStart w:id="348" w:name="_Toc13713"/>
            <w:r>
              <w:rPr>
                <w:rFonts w:hint="default" w:ascii="Times New Roman" w:hAnsi="Times New Roman" w:eastAsia="宋体" w:cs="Times New Roman"/>
                <w:b w:val="0"/>
                <w:bCs w:val="0"/>
                <w:color w:val="auto"/>
                <w:sz w:val="21"/>
                <w:szCs w:val="21"/>
                <w:vertAlign w:val="baseline"/>
                <w:lang w:val="en-US" w:eastAsia="zh-CN"/>
              </w:rPr>
              <w:t>营</w:t>
            </w:r>
            <w:bookmarkEnd w:id="347"/>
            <w:bookmarkEnd w:id="348"/>
          </w:p>
          <w:p w14:paraId="22499A2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49" w:name="_Toc17667"/>
            <w:bookmarkStart w:id="350" w:name="_Toc17269"/>
            <w:r>
              <w:rPr>
                <w:rFonts w:hint="default" w:ascii="Times New Roman" w:hAnsi="Times New Roman" w:eastAsia="宋体" w:cs="Times New Roman"/>
                <w:b w:val="0"/>
                <w:bCs w:val="0"/>
                <w:color w:val="auto"/>
                <w:sz w:val="21"/>
                <w:szCs w:val="21"/>
                <w:vertAlign w:val="baseline"/>
                <w:lang w:val="en-US" w:eastAsia="zh-CN"/>
              </w:rPr>
              <w:t>运</w:t>
            </w:r>
            <w:bookmarkEnd w:id="349"/>
            <w:bookmarkEnd w:id="350"/>
          </w:p>
          <w:p w14:paraId="2DBEE5D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bookmarkStart w:id="351" w:name="_Toc13026"/>
            <w:bookmarkStart w:id="352" w:name="_Toc32550"/>
            <w:r>
              <w:rPr>
                <w:rFonts w:hint="default" w:ascii="Times New Roman" w:hAnsi="Times New Roman" w:eastAsia="宋体" w:cs="Times New Roman"/>
                <w:b w:val="0"/>
                <w:bCs w:val="0"/>
                <w:color w:val="auto"/>
                <w:sz w:val="21"/>
                <w:szCs w:val="21"/>
                <w:vertAlign w:val="baseline"/>
                <w:lang w:val="en-US" w:eastAsia="zh-CN"/>
              </w:rPr>
              <w:t>期</w:t>
            </w:r>
            <w:bookmarkEnd w:id="351"/>
            <w:bookmarkEnd w:id="352"/>
          </w:p>
        </w:tc>
        <w:tc>
          <w:tcPr>
            <w:tcW w:w="1107" w:type="dxa"/>
            <w:vAlign w:val="center"/>
          </w:tcPr>
          <w:p w14:paraId="45723D0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rPr>
            </w:pPr>
            <w:bookmarkStart w:id="353" w:name="_Toc10281"/>
            <w:r>
              <w:rPr>
                <w:rFonts w:hint="default" w:ascii="Times New Roman" w:hAnsi="Times New Roman" w:eastAsia="宋体" w:cs="Times New Roman"/>
                <w:b w:val="0"/>
                <w:bCs w:val="0"/>
                <w:color w:val="auto"/>
                <w:kern w:val="0"/>
                <w:sz w:val="21"/>
                <w:szCs w:val="21"/>
                <w:lang w:val="en-US" w:eastAsia="zh-CN" w:bidi="ar"/>
              </w:rPr>
              <w:t>环境管理</w:t>
            </w:r>
            <w:bookmarkEnd w:id="353"/>
          </w:p>
        </w:tc>
        <w:tc>
          <w:tcPr>
            <w:tcW w:w="5301" w:type="dxa"/>
            <w:vAlign w:val="center"/>
          </w:tcPr>
          <w:p w14:paraId="3A97D82C">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bookmarkStart w:id="354" w:name="_Toc19593"/>
            <w:r>
              <w:rPr>
                <w:rFonts w:hint="default" w:ascii="Times New Roman" w:hAnsi="Times New Roman" w:eastAsia="宋体" w:cs="Times New Roman"/>
                <w:b w:val="0"/>
                <w:bCs w:val="0"/>
                <w:color w:val="auto"/>
                <w:kern w:val="0"/>
                <w:sz w:val="21"/>
                <w:szCs w:val="21"/>
                <w:lang w:val="en-US" w:eastAsia="zh-CN" w:bidi="ar"/>
              </w:rPr>
              <w:t>（1）日常环保管理工作；</w:t>
            </w:r>
            <w:bookmarkEnd w:id="354"/>
          </w:p>
          <w:p w14:paraId="5C0D0B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bookmarkStart w:id="355" w:name="_Toc20516"/>
            <w:r>
              <w:rPr>
                <w:rFonts w:hint="default" w:ascii="Times New Roman" w:hAnsi="Times New Roman" w:eastAsia="宋体" w:cs="Times New Roman"/>
                <w:b w:val="0"/>
                <w:bCs w:val="0"/>
                <w:color w:val="auto"/>
                <w:kern w:val="0"/>
                <w:sz w:val="21"/>
                <w:szCs w:val="21"/>
                <w:lang w:val="zh-CN" w:eastAsia="zh-CN" w:bidi="ar"/>
              </w:rPr>
              <w:t>（</w:t>
            </w:r>
            <w:r>
              <w:rPr>
                <w:rFonts w:hint="default" w:ascii="Times New Roman" w:hAnsi="Times New Roman" w:eastAsia="宋体" w:cs="Times New Roman"/>
                <w:b w:val="0"/>
                <w:bCs w:val="0"/>
                <w:color w:val="auto"/>
                <w:kern w:val="0"/>
                <w:sz w:val="21"/>
                <w:szCs w:val="21"/>
                <w:lang w:val="en-US" w:eastAsia="zh-CN" w:bidi="ar"/>
              </w:rPr>
              <w:t>2</w:t>
            </w:r>
            <w:r>
              <w:rPr>
                <w:rFonts w:hint="default" w:ascii="Times New Roman" w:hAnsi="Times New Roman" w:eastAsia="宋体" w:cs="Times New Roman"/>
                <w:b w:val="0"/>
                <w:bCs w:val="0"/>
                <w:color w:val="auto"/>
                <w:kern w:val="0"/>
                <w:sz w:val="21"/>
                <w:szCs w:val="21"/>
                <w:lang w:val="zh-CN" w:eastAsia="zh-CN" w:bidi="ar"/>
              </w:rPr>
              <w:t>）</w:t>
            </w:r>
            <w:r>
              <w:rPr>
                <w:rFonts w:hint="default" w:ascii="Times New Roman" w:hAnsi="Times New Roman" w:eastAsia="宋体" w:cs="Times New Roman"/>
                <w:b w:val="0"/>
                <w:bCs w:val="0"/>
                <w:color w:val="auto"/>
                <w:kern w:val="0"/>
                <w:sz w:val="21"/>
                <w:szCs w:val="21"/>
                <w:lang w:val="en-US" w:eastAsia="zh-CN" w:bidi="ar"/>
              </w:rPr>
              <w:t>环保设施维护；</w:t>
            </w:r>
            <w:bookmarkEnd w:id="355"/>
          </w:p>
          <w:p w14:paraId="325C0EE2">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rPr>
            </w:pPr>
            <w:bookmarkStart w:id="356" w:name="_Toc18001"/>
            <w:r>
              <w:rPr>
                <w:rFonts w:hint="default" w:ascii="Times New Roman" w:hAnsi="Times New Roman" w:eastAsia="宋体" w:cs="Times New Roman"/>
                <w:b w:val="0"/>
                <w:bCs w:val="0"/>
                <w:color w:val="auto"/>
                <w:kern w:val="0"/>
                <w:sz w:val="21"/>
                <w:szCs w:val="21"/>
                <w:lang w:val="en-US" w:eastAsia="zh-CN" w:bidi="ar"/>
              </w:rPr>
              <w:t>（3）环境监测计划的实施</w:t>
            </w:r>
            <w:bookmarkEnd w:id="356"/>
          </w:p>
        </w:tc>
        <w:tc>
          <w:tcPr>
            <w:tcW w:w="1455" w:type="dxa"/>
            <w:vMerge w:val="restart"/>
            <w:vAlign w:val="center"/>
          </w:tcPr>
          <w:p w14:paraId="73A12AC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实施单位：</w:t>
            </w:r>
          </w:p>
          <w:p w14:paraId="0ACD3780">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施工单位；</w:t>
            </w:r>
          </w:p>
          <w:p w14:paraId="2E65191C">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负责单位：</w:t>
            </w:r>
          </w:p>
          <w:p w14:paraId="57729F0A">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建设单位</w:t>
            </w:r>
          </w:p>
          <w:p w14:paraId="5EBFD217">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工程监理部；</w:t>
            </w:r>
          </w:p>
          <w:p w14:paraId="36A8A58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sz w:val="21"/>
                <w:szCs w:val="21"/>
                <w:lang w:val="en-US" w:eastAsia="zh-CN" w:bidi="ar"/>
              </w:rPr>
              <w:t>监督单位：</w:t>
            </w:r>
          </w:p>
          <w:p w14:paraId="3A202FCB">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kern w:val="0"/>
                <w:sz w:val="21"/>
                <w:szCs w:val="21"/>
                <w:lang w:val="en-US" w:eastAsia="zh-CN" w:bidi="ar"/>
              </w:rPr>
              <w:t>玉溪市生态环境局元江分局</w:t>
            </w:r>
          </w:p>
        </w:tc>
      </w:tr>
      <w:tr w14:paraId="5BC4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0AC2324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1D3C5DF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bookmarkStart w:id="357" w:name="_Toc10044"/>
            <w:r>
              <w:rPr>
                <w:rFonts w:hint="default" w:ascii="Times New Roman" w:hAnsi="Times New Roman" w:eastAsia="宋体" w:cs="Times New Roman"/>
                <w:b w:val="0"/>
                <w:bCs w:val="0"/>
                <w:color w:val="auto"/>
                <w:kern w:val="0"/>
                <w:sz w:val="21"/>
                <w:szCs w:val="21"/>
                <w:lang w:val="en-US" w:eastAsia="zh-CN" w:bidi="ar"/>
              </w:rPr>
              <w:t>噪声防治</w:t>
            </w:r>
            <w:bookmarkEnd w:id="357"/>
          </w:p>
        </w:tc>
        <w:tc>
          <w:tcPr>
            <w:tcW w:w="5301" w:type="dxa"/>
            <w:vAlign w:val="center"/>
          </w:tcPr>
          <w:p w14:paraId="49376058">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（1）噪声防护应首先从源头控制，削减噪声源强。在保证安全情况下，优化线形、降低纵坡，保持路面平整，减少车辆爬坡时的噪声级增量；部分噪声预测值超标路段通过加强管理降低噪声源强。</w:t>
            </w:r>
          </w:p>
          <w:p w14:paraId="53B4716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（2）根据敏感点的预测结果，考虑到区域发展，道路两侧敏感点也会发生相应的变化，环评对营运远期靠近公路集镇居民区夜间预测值会出现超标情况，本项目采取设置声屏障的噪声防治措施。</w:t>
            </w:r>
          </w:p>
          <w:p w14:paraId="47FA6E7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（3）加强交通管理，严格执行限速和禁止超载等交通规则，在通过人口密</w:t>
            </w:r>
          </w:p>
          <w:p w14:paraId="7B970DB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度较大的居民区及学校附近设置禁鸣标志，以减少交通噪声扰民问题。</w:t>
            </w:r>
          </w:p>
          <w:p w14:paraId="37A2793E">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（4）加强市政路沿线的声环境质量的环境监测工作，对噪声敏感目标实施</w:t>
            </w:r>
          </w:p>
          <w:p w14:paraId="39B848C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噪声跟踪监测制度，根据因交通量增大引起的声环境影响程度，及时采取相应的减缓措施。</w:t>
            </w:r>
          </w:p>
          <w:p w14:paraId="71125E5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（5）加强道路两侧绿化。</w:t>
            </w:r>
          </w:p>
        </w:tc>
        <w:tc>
          <w:tcPr>
            <w:tcW w:w="1455" w:type="dxa"/>
            <w:vMerge w:val="continue"/>
            <w:vAlign w:val="center"/>
          </w:tcPr>
          <w:p w14:paraId="72E9B43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2469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252EB800">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66EFD664">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sz w:val="21"/>
                <w:szCs w:val="21"/>
                <w:vertAlign w:val="baseline"/>
              </w:rPr>
            </w:pPr>
            <w:r>
              <w:rPr>
                <w:rFonts w:hint="default" w:ascii="Times New Roman" w:hAnsi="Times New Roman" w:eastAsia="宋体" w:cs="Times New Roman"/>
                <w:b w:val="0"/>
                <w:bCs w:val="0"/>
                <w:color w:val="auto"/>
                <w:kern w:val="0"/>
                <w:sz w:val="21"/>
                <w:szCs w:val="21"/>
                <w:lang w:val="en-US" w:eastAsia="zh-CN" w:bidi="ar"/>
              </w:rPr>
              <w:t>水环境</w:t>
            </w:r>
          </w:p>
        </w:tc>
        <w:tc>
          <w:tcPr>
            <w:tcW w:w="5301" w:type="dxa"/>
            <w:vAlign w:val="center"/>
          </w:tcPr>
          <w:p w14:paraId="22CBDFE4">
            <w:pPr>
              <w:pStyle w:val="4"/>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（1）完善路面径流的排水系统。</w:t>
            </w:r>
          </w:p>
          <w:p w14:paraId="22E9D2DA">
            <w:pPr>
              <w:pStyle w:val="4"/>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（2）加强对路面和桥面的日常维护与管理。</w:t>
            </w:r>
          </w:p>
          <w:p w14:paraId="166CDE55">
            <w:pPr>
              <w:pStyle w:val="4"/>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（3）加强机动车辆的运输管理，设置限速和警示标识。</w:t>
            </w:r>
          </w:p>
          <w:p w14:paraId="2BFFC285">
            <w:pPr>
              <w:pStyle w:val="4"/>
              <w:ind w:left="0" w:lef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（4）加强对路面的日常维护与管理，减少随初期雨水冲刷而进入到路面径流污水中的SS、石油类等污染物量。</w:t>
            </w:r>
          </w:p>
          <w:p w14:paraId="711DF5AE">
            <w:pPr>
              <w:ind w:left="0" w:leftChars="0" w:firstLine="0" w:firstLineChars="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2"/>
                <w:sz w:val="21"/>
                <w:szCs w:val="21"/>
                <w:lang w:val="en-US" w:eastAsia="zh-CN" w:bidi="ar-SA"/>
              </w:rPr>
              <w:t>（5）营运期突发性事故应按照环境风险事故防范措施及应急预案，采取应急措施。</w:t>
            </w:r>
          </w:p>
        </w:tc>
        <w:tc>
          <w:tcPr>
            <w:tcW w:w="1455" w:type="dxa"/>
            <w:vMerge w:val="continue"/>
            <w:vAlign w:val="center"/>
          </w:tcPr>
          <w:p w14:paraId="57DAFCA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6752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74EBD8B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3FB0F549">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环境空气</w:t>
            </w:r>
          </w:p>
        </w:tc>
        <w:tc>
          <w:tcPr>
            <w:tcW w:w="5301" w:type="dxa"/>
            <w:vAlign w:val="center"/>
          </w:tcPr>
          <w:p w14:paraId="55A69C6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58" w:name="_Toc6334"/>
            <w:bookmarkStart w:id="359" w:name="_Toc32405"/>
            <w:r>
              <w:rPr>
                <w:rFonts w:hint="default" w:ascii="Times New Roman" w:hAnsi="Times New Roman" w:eastAsia="宋体" w:cs="Times New Roman"/>
                <w:b w:val="0"/>
                <w:bCs w:val="0"/>
                <w:color w:val="auto"/>
                <w:sz w:val="21"/>
                <w:szCs w:val="21"/>
                <w:vertAlign w:val="baseline"/>
                <w:lang w:val="en-US" w:eastAsia="zh-CN"/>
              </w:rPr>
              <w:t>（1）在道路两侧，特别是关心点临路较近的路段附近多植树、植灌木、种草，绿化，这样既可净化吸收车辆尾气中的污染物，又可美化环境和改善道路沿线景观。</w:t>
            </w:r>
            <w:bookmarkEnd w:id="358"/>
          </w:p>
          <w:p w14:paraId="4FA6A21D">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60" w:name="_Toc3180"/>
            <w:r>
              <w:rPr>
                <w:rFonts w:hint="default" w:ascii="Times New Roman" w:hAnsi="Times New Roman" w:eastAsia="宋体" w:cs="Times New Roman"/>
                <w:b w:val="0"/>
                <w:bCs w:val="0"/>
                <w:color w:val="auto"/>
                <w:sz w:val="21"/>
                <w:szCs w:val="21"/>
                <w:vertAlign w:val="baseline"/>
                <w:lang w:val="en-US" w:eastAsia="zh-CN"/>
              </w:rPr>
              <w:t>（2）加强组织管理，对上路车辆进行检查，禁止车况差、超载、遮盖不严容易洒落的车辆上路。</w:t>
            </w:r>
            <w:bookmarkEnd w:id="360"/>
          </w:p>
          <w:p w14:paraId="7E64F06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bookmarkStart w:id="361" w:name="_Toc15501"/>
            <w:r>
              <w:rPr>
                <w:rFonts w:hint="default" w:ascii="Times New Roman" w:hAnsi="Times New Roman" w:eastAsia="宋体" w:cs="Times New Roman"/>
                <w:b w:val="0"/>
                <w:bCs w:val="0"/>
                <w:color w:val="auto"/>
                <w:sz w:val="21"/>
                <w:szCs w:val="21"/>
                <w:vertAlign w:val="baseline"/>
                <w:lang w:val="en-US" w:eastAsia="zh-CN"/>
              </w:rPr>
              <w:t>（3）加强路面养护和清洁，维护良好的路况，保证汽车在良好的路况下行驶，减少扬尘和尾气污染。加强对城市道路沿线绿化的养护，维护绿化的减污功能。</w:t>
            </w:r>
            <w:bookmarkEnd w:id="359"/>
            <w:bookmarkEnd w:id="361"/>
          </w:p>
        </w:tc>
        <w:tc>
          <w:tcPr>
            <w:tcW w:w="1455" w:type="dxa"/>
            <w:vMerge w:val="continue"/>
            <w:vAlign w:val="center"/>
          </w:tcPr>
          <w:p w14:paraId="0971743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6932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692392D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5B577F81">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生态环境</w:t>
            </w:r>
          </w:p>
        </w:tc>
        <w:tc>
          <w:tcPr>
            <w:tcW w:w="5301" w:type="dxa"/>
            <w:vAlign w:val="center"/>
          </w:tcPr>
          <w:p w14:paraId="7A2079D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营运期生态影响减缓措施</w:t>
            </w:r>
          </w:p>
          <w:p w14:paraId="0B6FE73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（1）应按公路绿化设计的要求，完成项目边坡及公路征地范围内可绿化地面的植树种草工作，对穿越森林植被路段采用加密绿化带，减缓车辆行驶灯光和噪声对沿线野生动物的不利影响；</w:t>
            </w:r>
          </w:p>
          <w:p w14:paraId="4E13303D">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（2）加强林草植被的管理，确保沿线植被恢复和水土保持效果；</w:t>
            </w:r>
          </w:p>
          <w:p w14:paraId="3AEC0E9B">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（3）做好施工场地等临时占地的植被恢复和绿化的维护；</w:t>
            </w:r>
          </w:p>
          <w:p w14:paraId="657324C7">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（4）加强沿线绿化恢复，做到公路绿化与现有自然景观协调，避免选用外来物种进行该路段边坡绿化。</w:t>
            </w:r>
          </w:p>
          <w:p w14:paraId="796C16F3">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生态影响补偿措施</w:t>
            </w:r>
          </w:p>
          <w:p w14:paraId="563F841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应根据有关政策对占用的园地进行补偿，本工程的生产安置采取土地整理，调整种植结构，提高复种指数的方式完成占补平衡，同时缴纳土地补偿费。</w:t>
            </w:r>
          </w:p>
        </w:tc>
        <w:tc>
          <w:tcPr>
            <w:tcW w:w="1455" w:type="dxa"/>
            <w:vMerge w:val="continue"/>
            <w:vAlign w:val="center"/>
          </w:tcPr>
          <w:p w14:paraId="6E0D6B5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r w14:paraId="5E23B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vMerge w:val="continue"/>
            <w:vAlign w:val="center"/>
          </w:tcPr>
          <w:p w14:paraId="3FD90A39">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c>
          <w:tcPr>
            <w:tcW w:w="1107" w:type="dxa"/>
            <w:vAlign w:val="center"/>
          </w:tcPr>
          <w:p w14:paraId="671E2503">
            <w:pPr>
              <w:keepNext w:val="0"/>
              <w:keepLines w:val="0"/>
              <w:pageBreakBefore w:val="0"/>
              <w:widowControl/>
              <w:suppressLineNumbers w:val="0"/>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val="0"/>
                <w:bCs w:val="0"/>
                <w:color w:val="auto"/>
                <w:kern w:val="0"/>
                <w:sz w:val="21"/>
                <w:szCs w:val="21"/>
                <w:lang w:val="en-US" w:eastAsia="zh-CN" w:bidi="ar"/>
              </w:rPr>
            </w:pPr>
            <w:r>
              <w:rPr>
                <w:rFonts w:hint="default" w:ascii="Times New Roman" w:hAnsi="Times New Roman" w:eastAsia="宋体" w:cs="Times New Roman"/>
                <w:b w:val="0"/>
                <w:bCs w:val="0"/>
                <w:color w:val="auto"/>
                <w:kern w:val="0"/>
                <w:sz w:val="21"/>
                <w:szCs w:val="21"/>
                <w:lang w:val="en-US" w:eastAsia="zh-CN" w:bidi="ar"/>
              </w:rPr>
              <w:t>危险品运输环境风险防治</w:t>
            </w:r>
          </w:p>
        </w:tc>
        <w:tc>
          <w:tcPr>
            <w:tcW w:w="5301" w:type="dxa"/>
            <w:vAlign w:val="center"/>
          </w:tcPr>
          <w:p w14:paraId="3CAEBEDF">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left"/>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kern w:val="0"/>
                <w:sz w:val="21"/>
                <w:szCs w:val="21"/>
                <w:lang w:val="en-US" w:eastAsia="zh-CN" w:bidi="ar"/>
              </w:rPr>
              <w:t>加强车辆管理、车检工作。工程营运单位应制定处置危险化学品车辆运输突发环境事件的应急预案，进行必要的演练。</w:t>
            </w:r>
          </w:p>
        </w:tc>
        <w:tc>
          <w:tcPr>
            <w:tcW w:w="1455" w:type="dxa"/>
            <w:vMerge w:val="continue"/>
            <w:vAlign w:val="center"/>
          </w:tcPr>
          <w:p w14:paraId="6646E71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rPr>
            </w:pPr>
          </w:p>
        </w:tc>
      </w:tr>
    </w:tbl>
    <w:p w14:paraId="7A908C02">
      <w:pPr>
        <w:pStyle w:val="3"/>
        <w:numPr>
          <w:ilvl w:val="0"/>
          <w:numId w:val="0"/>
        </w:numPr>
        <w:rPr>
          <w:rFonts w:hint="default" w:ascii="Times New Roman" w:hAnsi="Times New Roman" w:eastAsia="宋体" w:cs="Times New Roman"/>
          <w:color w:val="auto"/>
        </w:rPr>
      </w:pPr>
      <w:bookmarkStart w:id="362" w:name="_Toc367844710"/>
      <w:bookmarkStart w:id="363" w:name="_Toc351046777"/>
      <w:bookmarkStart w:id="364" w:name="_Toc23005"/>
      <w:bookmarkStart w:id="365" w:name="_Toc352320984"/>
      <w:bookmarkStart w:id="366" w:name="_Toc352320863"/>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2</w:t>
      </w:r>
      <w:r>
        <w:rPr>
          <w:rFonts w:hint="default" w:ascii="Times New Roman" w:hAnsi="Times New Roman" w:eastAsia="宋体" w:cs="Times New Roman"/>
          <w:color w:val="auto"/>
        </w:rPr>
        <w:t>环境监测</w:t>
      </w:r>
      <w:bookmarkEnd w:id="362"/>
      <w:bookmarkEnd w:id="363"/>
      <w:bookmarkEnd w:id="364"/>
      <w:bookmarkEnd w:id="365"/>
      <w:bookmarkEnd w:id="366"/>
    </w:p>
    <w:p w14:paraId="5493FDB8">
      <w:pPr>
        <w:pStyle w:val="5"/>
        <w:ind w:left="0" w:leftChars="0" w:firstLine="0" w:firstLineChars="0"/>
        <w:rPr>
          <w:rFonts w:hint="default" w:ascii="Times New Roman" w:hAnsi="Times New Roman" w:eastAsia="宋体" w:cs="Times New Roman"/>
          <w:color w:val="auto"/>
        </w:rPr>
      </w:pPr>
      <w:bookmarkStart w:id="367" w:name="_Toc19272"/>
      <w:bookmarkStart w:id="368" w:name="_Toc352320864"/>
      <w:bookmarkStart w:id="369" w:name="_Toc323909055"/>
      <w:bookmarkStart w:id="370" w:name="_Toc351046778"/>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2</w:t>
      </w:r>
      <w:r>
        <w:rPr>
          <w:rFonts w:hint="default" w:ascii="Times New Roman" w:hAnsi="Times New Roman" w:eastAsia="宋体" w:cs="Times New Roman"/>
          <w:color w:val="auto"/>
        </w:rPr>
        <w:t>.1监测的目的</w:t>
      </w:r>
      <w:bookmarkEnd w:id="367"/>
      <w:bookmarkEnd w:id="368"/>
      <w:bookmarkEnd w:id="369"/>
      <w:bookmarkEnd w:id="370"/>
    </w:p>
    <w:p w14:paraId="7B27ADA0">
      <w:pPr>
        <w:pStyle w:val="503"/>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通过施工和营运阶段的环境监测可以判断本次环评中所列出的环境保护措施是否得到有效的落实，并且能较早确认环境保护措施无效或不合理的问题，在必要情况下，适当修改环境保护措施，使环境保护措施符合保护环境的目标。</w:t>
      </w:r>
    </w:p>
    <w:p w14:paraId="24BD77A7">
      <w:pPr>
        <w:pStyle w:val="5"/>
        <w:ind w:left="0" w:leftChars="0" w:firstLine="0" w:firstLineChars="0"/>
        <w:rPr>
          <w:rFonts w:hint="default" w:ascii="Times New Roman" w:hAnsi="Times New Roman" w:eastAsia="宋体" w:cs="Times New Roman"/>
          <w:color w:val="auto"/>
        </w:rPr>
      </w:pPr>
      <w:bookmarkStart w:id="371" w:name="_Toc25512"/>
      <w:bookmarkStart w:id="372" w:name="_Toc351046779"/>
      <w:bookmarkStart w:id="373" w:name="_Toc352320865"/>
      <w:bookmarkStart w:id="374" w:name="_Toc323909056"/>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2</w:t>
      </w:r>
      <w:r>
        <w:rPr>
          <w:rFonts w:hint="default" w:ascii="Times New Roman" w:hAnsi="Times New Roman" w:eastAsia="宋体" w:cs="Times New Roman"/>
          <w:color w:val="auto"/>
        </w:rPr>
        <w:t>.2监测机构</w:t>
      </w:r>
      <w:bookmarkEnd w:id="371"/>
      <w:bookmarkEnd w:id="372"/>
      <w:bookmarkEnd w:id="373"/>
      <w:bookmarkEnd w:id="374"/>
    </w:p>
    <w:p w14:paraId="7B6561CC">
      <w:pPr>
        <w:pStyle w:val="503"/>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道路施工期和</w:t>
      </w:r>
      <w:r>
        <w:rPr>
          <w:rFonts w:hint="eastAsia" w:cs="Times New Roman"/>
          <w:color w:val="auto"/>
          <w:lang w:eastAsia="zh-CN"/>
        </w:rPr>
        <w:t>营运期</w:t>
      </w:r>
      <w:r>
        <w:rPr>
          <w:rFonts w:hint="default" w:ascii="Times New Roman" w:hAnsi="Times New Roman" w:eastAsia="宋体" w:cs="Times New Roman"/>
          <w:color w:val="auto"/>
        </w:rPr>
        <w:t>的环境监测应由符合国家环境质量监测认证资质的单位承担。</w:t>
      </w:r>
    </w:p>
    <w:p w14:paraId="3F376043">
      <w:pPr>
        <w:pStyle w:val="5"/>
        <w:ind w:left="0" w:leftChars="0" w:firstLine="0" w:firstLineChars="0"/>
        <w:rPr>
          <w:rFonts w:hint="default" w:ascii="Times New Roman" w:hAnsi="Times New Roman" w:eastAsia="宋体" w:cs="Times New Roman"/>
          <w:color w:val="auto"/>
        </w:rPr>
      </w:pPr>
      <w:bookmarkStart w:id="375" w:name="_Toc14997"/>
      <w:bookmarkStart w:id="376" w:name="_Toc352320866"/>
      <w:bookmarkStart w:id="377" w:name="_Toc323909057"/>
      <w:bookmarkStart w:id="378" w:name="_Toc351046780"/>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2</w:t>
      </w:r>
      <w:r>
        <w:rPr>
          <w:rFonts w:hint="default" w:ascii="Times New Roman" w:hAnsi="Times New Roman" w:eastAsia="宋体" w:cs="Times New Roman"/>
          <w:color w:val="auto"/>
        </w:rPr>
        <w:t>.3监测计划</w:t>
      </w:r>
      <w:bookmarkEnd w:id="375"/>
      <w:bookmarkEnd w:id="376"/>
      <w:bookmarkEnd w:id="377"/>
      <w:bookmarkEnd w:id="378"/>
    </w:p>
    <w:p w14:paraId="66ED5BDA">
      <w:pPr>
        <w:keepNext w:val="0"/>
        <w:keepLines w:val="0"/>
        <w:widowControl/>
        <w:suppressLineNumbers w:val="0"/>
        <w:jc w:val="left"/>
        <w:rPr>
          <w:rFonts w:hint="default" w:ascii="宋体" w:hAnsi="宋体" w:eastAsia="宋体" w:cs="宋体"/>
          <w:color w:val="auto"/>
          <w:kern w:val="0"/>
          <w:sz w:val="24"/>
          <w:szCs w:val="24"/>
          <w:lang w:val="en-US" w:eastAsia="zh-CN" w:bidi="ar"/>
        </w:rPr>
      </w:pPr>
      <w:bookmarkStart w:id="379" w:name="_Toc323909058"/>
      <w:bookmarkStart w:id="380" w:name="_Toc294958829"/>
      <w:bookmarkStart w:id="381" w:name="_Toc352320985"/>
      <w:bookmarkStart w:id="382" w:name="_Toc260057072"/>
      <w:bookmarkStart w:id="383" w:name="_Toc351046781"/>
      <w:bookmarkStart w:id="384" w:name="_Toc352320867"/>
      <w:bookmarkStart w:id="385" w:name="_Toc367844711"/>
      <w:r>
        <w:rPr>
          <w:rFonts w:hint="eastAsia" w:ascii="宋体" w:hAnsi="宋体" w:eastAsia="宋体" w:cs="宋体"/>
          <w:color w:val="auto"/>
          <w:kern w:val="0"/>
          <w:sz w:val="24"/>
          <w:szCs w:val="24"/>
          <w:lang w:val="en-US" w:eastAsia="zh-CN" w:bidi="ar"/>
        </w:rPr>
        <w:t>施工期的环境监测计划见表</w:t>
      </w:r>
      <w:r>
        <w:rPr>
          <w:rFonts w:hint="eastAsia" w:ascii="Times New Roman" w:hAnsi="Times New Roman" w:eastAsia="宋体" w:cs="Times New Roman"/>
          <w:color w:val="auto"/>
          <w:kern w:val="0"/>
          <w:sz w:val="24"/>
          <w:szCs w:val="24"/>
          <w:lang w:val="en-US" w:eastAsia="zh-CN" w:bidi="ar"/>
        </w:rPr>
        <w:t>9</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-1</w:t>
      </w:r>
      <w:r>
        <w:rPr>
          <w:rFonts w:hint="eastAsia" w:ascii="宋体" w:hAnsi="宋体" w:eastAsia="宋体" w:cs="宋体"/>
          <w:color w:val="auto"/>
          <w:kern w:val="0"/>
          <w:sz w:val="24"/>
          <w:szCs w:val="24"/>
          <w:lang w:val="en-US" w:eastAsia="zh-CN" w:bidi="ar"/>
        </w:rPr>
        <w:t>，营运期的环境监测计划见表</w:t>
      </w:r>
      <w:r>
        <w:rPr>
          <w:rFonts w:hint="eastAsia" w:ascii="Times New Roman" w:hAnsi="Times New Roman" w:eastAsia="宋体" w:cs="Times New Roman"/>
          <w:color w:val="auto"/>
          <w:kern w:val="0"/>
          <w:sz w:val="24"/>
          <w:szCs w:val="24"/>
          <w:lang w:val="en-US" w:eastAsia="zh-CN" w:bidi="ar"/>
        </w:rPr>
        <w:t>9</w:t>
      </w:r>
      <w:r>
        <w:rPr>
          <w:rFonts w:hint="default" w:ascii="Times New Roman" w:hAnsi="Times New Roman" w:eastAsia="宋体" w:cs="Times New Roman"/>
          <w:color w:val="auto"/>
          <w:kern w:val="0"/>
          <w:sz w:val="24"/>
          <w:szCs w:val="24"/>
          <w:lang w:val="en-US" w:eastAsia="zh-CN" w:bidi="ar"/>
        </w:rPr>
        <w:t>.</w:t>
      </w:r>
      <w:r>
        <w:rPr>
          <w:rFonts w:hint="eastAsia" w:ascii="Times New Roman" w:hAnsi="Times New Roman" w:eastAsia="宋体"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r>
        <w:rPr>
          <w:rFonts w:hint="eastAsia" w:ascii="宋体" w:hAnsi="宋体" w:cs="宋体"/>
          <w:color w:val="auto"/>
          <w:kern w:val="0"/>
          <w:sz w:val="24"/>
          <w:szCs w:val="24"/>
          <w:lang w:val="en-US" w:eastAsia="zh-CN" w:bidi="ar"/>
        </w:rPr>
        <w:t>监测</w:t>
      </w:r>
      <w:r>
        <w:rPr>
          <w:rFonts w:hint="default" w:ascii="Times New Roman" w:hAnsi="Times New Roman" w:cs="Times New Roman"/>
          <w:color w:val="auto"/>
          <w:kern w:val="0"/>
          <w:sz w:val="24"/>
          <w:szCs w:val="24"/>
          <w:lang w:val="en-US" w:eastAsia="zh-CN" w:bidi="ar"/>
        </w:rPr>
        <w:t>点位图见图9.2-1</w:t>
      </w:r>
    </w:p>
    <w:p w14:paraId="3925C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cs="Times New Roman"/>
          <w:b/>
          <w:bCs/>
          <w:color w:val="auto"/>
          <w:sz w:val="21"/>
          <w:szCs w:val="21"/>
          <w:lang w:val="en-US" w:eastAsia="zh-CN"/>
        </w:rPr>
        <w:t xml:space="preserve">表9.2-1  </w:t>
      </w:r>
      <w:r>
        <w:rPr>
          <w:rFonts w:hint="eastAsia" w:ascii="宋体" w:hAnsi="宋体" w:eastAsia="宋体" w:cs="宋体"/>
          <w:b/>
          <w:bCs/>
          <w:color w:val="auto"/>
          <w:kern w:val="0"/>
          <w:sz w:val="21"/>
          <w:szCs w:val="21"/>
          <w:lang w:val="en-US" w:eastAsia="zh-CN" w:bidi="ar"/>
        </w:rPr>
        <w:t>施工期环境监测计划</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2468"/>
        <w:gridCol w:w="1706"/>
        <w:gridCol w:w="1706"/>
        <w:gridCol w:w="1706"/>
      </w:tblGrid>
      <w:tr w14:paraId="46C0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Align w:val="center"/>
          </w:tcPr>
          <w:p w14:paraId="0B272DA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386" w:name="_Toc25556"/>
            <w:bookmarkStart w:id="387" w:name="_Toc28966"/>
            <w:r>
              <w:rPr>
                <w:rFonts w:hint="eastAsia" w:cs="Times New Roman"/>
                <w:b/>
                <w:bCs/>
                <w:color w:val="auto"/>
                <w:sz w:val="21"/>
                <w:szCs w:val="21"/>
                <w:vertAlign w:val="baseline"/>
                <w:lang w:val="en-US" w:eastAsia="zh-CN"/>
              </w:rPr>
              <w:t>内容</w:t>
            </w:r>
            <w:bookmarkEnd w:id="386"/>
            <w:bookmarkEnd w:id="387"/>
          </w:p>
        </w:tc>
        <w:tc>
          <w:tcPr>
            <w:tcW w:w="2468" w:type="dxa"/>
            <w:vAlign w:val="center"/>
          </w:tcPr>
          <w:p w14:paraId="6572C70E">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388" w:name="_Toc2949"/>
            <w:bookmarkStart w:id="389" w:name="_Toc29555"/>
            <w:r>
              <w:rPr>
                <w:rFonts w:hint="eastAsia" w:cs="Times New Roman"/>
                <w:b/>
                <w:bCs/>
                <w:color w:val="auto"/>
                <w:sz w:val="21"/>
                <w:szCs w:val="21"/>
                <w:vertAlign w:val="baseline"/>
                <w:lang w:val="en-US" w:eastAsia="zh-CN"/>
              </w:rPr>
              <w:t>监测地点</w:t>
            </w:r>
            <w:bookmarkEnd w:id="388"/>
            <w:bookmarkEnd w:id="389"/>
          </w:p>
        </w:tc>
        <w:tc>
          <w:tcPr>
            <w:tcW w:w="1706" w:type="dxa"/>
            <w:vAlign w:val="center"/>
          </w:tcPr>
          <w:p w14:paraId="101B628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390" w:name="_Toc16819"/>
            <w:bookmarkStart w:id="391" w:name="_Toc8753"/>
            <w:r>
              <w:rPr>
                <w:rFonts w:hint="eastAsia" w:cs="Times New Roman"/>
                <w:b/>
                <w:bCs/>
                <w:color w:val="auto"/>
                <w:sz w:val="21"/>
                <w:szCs w:val="21"/>
                <w:vertAlign w:val="baseline"/>
                <w:lang w:val="en-US" w:eastAsia="zh-CN"/>
              </w:rPr>
              <w:t>监测项目</w:t>
            </w:r>
            <w:bookmarkEnd w:id="390"/>
            <w:bookmarkEnd w:id="391"/>
          </w:p>
        </w:tc>
        <w:tc>
          <w:tcPr>
            <w:tcW w:w="1706" w:type="dxa"/>
            <w:vAlign w:val="center"/>
          </w:tcPr>
          <w:p w14:paraId="1E55E59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392" w:name="_Toc28916"/>
            <w:bookmarkStart w:id="393" w:name="_Toc15894"/>
            <w:r>
              <w:rPr>
                <w:rFonts w:hint="eastAsia" w:cs="Times New Roman"/>
                <w:b/>
                <w:bCs/>
                <w:color w:val="auto"/>
                <w:sz w:val="21"/>
                <w:szCs w:val="21"/>
                <w:vertAlign w:val="baseline"/>
                <w:lang w:val="en-US" w:eastAsia="zh-CN"/>
              </w:rPr>
              <w:t>监测时间和频次</w:t>
            </w:r>
            <w:bookmarkEnd w:id="392"/>
            <w:bookmarkEnd w:id="393"/>
          </w:p>
        </w:tc>
        <w:tc>
          <w:tcPr>
            <w:tcW w:w="1706" w:type="dxa"/>
            <w:vAlign w:val="center"/>
          </w:tcPr>
          <w:p w14:paraId="2145054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执行标准</w:t>
            </w:r>
          </w:p>
        </w:tc>
      </w:tr>
      <w:tr w14:paraId="62367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Merge w:val="restart"/>
            <w:vAlign w:val="center"/>
          </w:tcPr>
          <w:p w14:paraId="6042181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394" w:name="_Toc5552"/>
            <w:bookmarkStart w:id="395" w:name="_Toc16338"/>
            <w:r>
              <w:rPr>
                <w:rFonts w:hint="eastAsia" w:cs="Times New Roman"/>
                <w:b w:val="0"/>
                <w:bCs w:val="0"/>
                <w:color w:val="auto"/>
                <w:sz w:val="21"/>
                <w:szCs w:val="21"/>
                <w:vertAlign w:val="baseline"/>
                <w:lang w:val="en-US" w:eastAsia="zh-CN"/>
              </w:rPr>
              <w:t>噪声</w:t>
            </w:r>
            <w:bookmarkEnd w:id="394"/>
            <w:bookmarkEnd w:id="395"/>
          </w:p>
        </w:tc>
        <w:tc>
          <w:tcPr>
            <w:tcW w:w="2468" w:type="dxa"/>
            <w:vAlign w:val="center"/>
          </w:tcPr>
          <w:p w14:paraId="38931772">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396" w:name="_Toc23370"/>
            <w:bookmarkStart w:id="397" w:name="_Toc4519"/>
            <w:r>
              <w:rPr>
                <w:rFonts w:hint="eastAsia" w:cs="Times New Roman"/>
                <w:b w:val="0"/>
                <w:bCs w:val="0"/>
                <w:color w:val="auto"/>
                <w:sz w:val="21"/>
                <w:szCs w:val="21"/>
                <w:vertAlign w:val="baseline"/>
                <w:lang w:val="en-US" w:eastAsia="zh-CN"/>
              </w:rPr>
              <w:t>公路沿线甘庄集镇居民区、元江甘庄中学</w:t>
            </w:r>
            <w:bookmarkEnd w:id="396"/>
            <w:bookmarkEnd w:id="397"/>
          </w:p>
        </w:tc>
        <w:tc>
          <w:tcPr>
            <w:tcW w:w="1706" w:type="dxa"/>
            <w:vAlign w:val="center"/>
          </w:tcPr>
          <w:p w14:paraId="4EEECE5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398" w:name="_Toc27542"/>
            <w:bookmarkStart w:id="399" w:name="_Toc8144"/>
            <w:r>
              <w:rPr>
                <w:rFonts w:hint="eastAsia" w:cs="Times New Roman"/>
                <w:b w:val="0"/>
                <w:bCs w:val="0"/>
                <w:color w:val="auto"/>
                <w:sz w:val="21"/>
                <w:szCs w:val="21"/>
                <w:vertAlign w:val="baseline"/>
                <w:lang w:val="en-US" w:eastAsia="zh-CN"/>
              </w:rPr>
              <w:t>L</w:t>
            </w:r>
            <w:r>
              <w:rPr>
                <w:rFonts w:hint="eastAsia" w:cs="Times New Roman"/>
                <w:b w:val="0"/>
                <w:bCs w:val="0"/>
                <w:color w:val="auto"/>
                <w:sz w:val="21"/>
                <w:szCs w:val="21"/>
                <w:vertAlign w:val="subscript"/>
                <w:lang w:val="en-US" w:eastAsia="zh-CN"/>
              </w:rPr>
              <w:t>Aeq</w:t>
            </w:r>
            <w:bookmarkEnd w:id="398"/>
            <w:bookmarkEnd w:id="399"/>
          </w:p>
        </w:tc>
        <w:tc>
          <w:tcPr>
            <w:tcW w:w="1706" w:type="dxa"/>
            <w:vAlign w:val="center"/>
          </w:tcPr>
          <w:p w14:paraId="7096258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400" w:name="_Toc13208"/>
            <w:bookmarkStart w:id="401" w:name="_Toc28745"/>
            <w:r>
              <w:rPr>
                <w:rFonts w:hint="default" w:cs="Times New Roman"/>
                <w:b w:val="0"/>
                <w:bCs w:val="0"/>
                <w:color w:val="auto"/>
                <w:sz w:val="21"/>
                <w:szCs w:val="21"/>
                <w:vertAlign w:val="baseline"/>
                <w:lang w:val="en-US" w:eastAsia="zh-CN"/>
              </w:rPr>
              <w:t>路基及路面施工期1年监测1次，每次</w:t>
            </w:r>
            <w:r>
              <w:rPr>
                <w:rFonts w:hint="eastAsia" w:cs="Times New Roman"/>
                <w:b w:val="0"/>
                <w:bCs w:val="0"/>
                <w:color w:val="auto"/>
                <w:sz w:val="21"/>
                <w:szCs w:val="21"/>
                <w:vertAlign w:val="baseline"/>
                <w:lang w:val="en-US" w:eastAsia="zh-CN"/>
              </w:rPr>
              <w:t>监测</w:t>
            </w:r>
            <w:r>
              <w:rPr>
                <w:rFonts w:hint="default" w:cs="Times New Roman"/>
                <w:b w:val="0"/>
                <w:bCs w:val="0"/>
                <w:color w:val="auto"/>
                <w:sz w:val="21"/>
                <w:szCs w:val="21"/>
                <w:vertAlign w:val="baseline"/>
                <w:lang w:val="en-US" w:eastAsia="zh-CN"/>
              </w:rPr>
              <w:t>2天</w:t>
            </w:r>
            <w:bookmarkEnd w:id="400"/>
            <w:bookmarkEnd w:id="401"/>
          </w:p>
        </w:tc>
        <w:tc>
          <w:tcPr>
            <w:tcW w:w="1706" w:type="dxa"/>
            <w:vAlign w:val="center"/>
          </w:tcPr>
          <w:p w14:paraId="72B85531">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《声环境质量标准》（GB</w:t>
            </w:r>
            <w:r>
              <w:rPr>
                <w:rFonts w:hint="eastAsia" w:hAnsi="Times New Roman"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3096－2008）2类</w:t>
            </w:r>
          </w:p>
        </w:tc>
      </w:tr>
      <w:tr w14:paraId="62DD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Merge w:val="continue"/>
            <w:vAlign w:val="center"/>
          </w:tcPr>
          <w:p w14:paraId="514BC5A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p>
        </w:tc>
        <w:tc>
          <w:tcPr>
            <w:tcW w:w="2468" w:type="dxa"/>
            <w:vAlign w:val="center"/>
          </w:tcPr>
          <w:p w14:paraId="4DACFCE3">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公路干线边界路肩/护坡外1m</w:t>
            </w:r>
          </w:p>
        </w:tc>
        <w:tc>
          <w:tcPr>
            <w:tcW w:w="1706" w:type="dxa"/>
            <w:vAlign w:val="center"/>
          </w:tcPr>
          <w:p w14:paraId="1317241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L</w:t>
            </w:r>
            <w:r>
              <w:rPr>
                <w:rFonts w:hint="eastAsia" w:cs="Times New Roman"/>
                <w:b w:val="0"/>
                <w:bCs w:val="0"/>
                <w:color w:val="auto"/>
                <w:sz w:val="21"/>
                <w:szCs w:val="21"/>
                <w:vertAlign w:val="subscript"/>
                <w:lang w:val="en-US" w:eastAsia="zh-CN"/>
              </w:rPr>
              <w:t>Aeq</w:t>
            </w:r>
          </w:p>
        </w:tc>
        <w:tc>
          <w:tcPr>
            <w:tcW w:w="1706" w:type="dxa"/>
            <w:vAlign w:val="center"/>
          </w:tcPr>
          <w:p w14:paraId="48597A1E">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施工高峰期监测1次，每次监测2天</w:t>
            </w:r>
          </w:p>
        </w:tc>
        <w:tc>
          <w:tcPr>
            <w:tcW w:w="1706" w:type="dxa"/>
            <w:vAlign w:val="center"/>
          </w:tcPr>
          <w:p w14:paraId="7D8E08F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lang w:val="en-US" w:eastAsia="zh-CN"/>
              </w:rPr>
              <w:t>/</w:t>
            </w:r>
          </w:p>
        </w:tc>
      </w:tr>
      <w:tr w14:paraId="39C2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Align w:val="center"/>
          </w:tcPr>
          <w:p w14:paraId="14ED18E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环境</w:t>
            </w:r>
          </w:p>
          <w:p w14:paraId="6C5C834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空气</w:t>
            </w:r>
          </w:p>
        </w:tc>
        <w:tc>
          <w:tcPr>
            <w:tcW w:w="2468" w:type="dxa"/>
            <w:vAlign w:val="center"/>
          </w:tcPr>
          <w:p w14:paraId="396219EE">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公路沿线甘庄集镇居民区、元江甘庄中学</w:t>
            </w:r>
          </w:p>
        </w:tc>
        <w:tc>
          <w:tcPr>
            <w:tcW w:w="1706" w:type="dxa"/>
            <w:vAlign w:val="center"/>
          </w:tcPr>
          <w:p w14:paraId="7467E8BE">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TSP</w:t>
            </w:r>
          </w:p>
        </w:tc>
        <w:tc>
          <w:tcPr>
            <w:tcW w:w="1706" w:type="dxa"/>
            <w:vAlign w:val="center"/>
          </w:tcPr>
          <w:p w14:paraId="2DFA2C57">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施工高峰期监测1次，每次监测2天</w:t>
            </w:r>
          </w:p>
        </w:tc>
        <w:tc>
          <w:tcPr>
            <w:tcW w:w="1706" w:type="dxa"/>
            <w:vAlign w:val="center"/>
          </w:tcPr>
          <w:p w14:paraId="4D0D98C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《环境空气质量标准》（GB 3095-20</w:t>
            </w:r>
            <w:r>
              <w:rPr>
                <w:rFonts w:hint="eastAsia" w:cs="Times New Roman"/>
                <w:b w:val="0"/>
                <w:bCs w:val="0"/>
                <w:color w:val="auto"/>
                <w:sz w:val="21"/>
                <w:szCs w:val="21"/>
                <w:vertAlign w:val="baseline"/>
                <w:lang w:val="en-US" w:eastAsia="zh-CN"/>
              </w:rPr>
              <w:t>26</w:t>
            </w:r>
            <w:r>
              <w:rPr>
                <w:rFonts w:hint="default" w:cs="Times New Roman"/>
                <w:b w:val="0"/>
                <w:bCs w:val="0"/>
                <w:color w:val="auto"/>
                <w:sz w:val="21"/>
                <w:szCs w:val="21"/>
                <w:vertAlign w:val="baseline"/>
                <w:lang w:val="en-US" w:eastAsia="zh-CN"/>
              </w:rPr>
              <w:t>）</w:t>
            </w:r>
          </w:p>
        </w:tc>
      </w:tr>
    </w:tbl>
    <w:p w14:paraId="563815F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b/>
          <w:bCs/>
          <w:color w:val="auto"/>
          <w:sz w:val="21"/>
          <w:szCs w:val="21"/>
        </w:rPr>
      </w:pPr>
      <w:r>
        <w:rPr>
          <w:rFonts w:hint="eastAsia" w:cs="Times New Roman"/>
          <w:b/>
          <w:bCs/>
          <w:color w:val="auto"/>
          <w:sz w:val="21"/>
          <w:szCs w:val="21"/>
          <w:lang w:val="en-US" w:eastAsia="zh-CN"/>
        </w:rPr>
        <w:t>表9.2-1  营运</w:t>
      </w:r>
      <w:r>
        <w:rPr>
          <w:rFonts w:hint="eastAsia" w:ascii="宋体" w:hAnsi="宋体" w:eastAsia="宋体" w:cs="宋体"/>
          <w:b/>
          <w:bCs/>
          <w:color w:val="auto"/>
          <w:kern w:val="0"/>
          <w:sz w:val="21"/>
          <w:szCs w:val="21"/>
          <w:lang w:val="en-US" w:eastAsia="zh-CN" w:bidi="ar"/>
        </w:rPr>
        <w:t>期环境监测计划</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2468"/>
        <w:gridCol w:w="1706"/>
        <w:gridCol w:w="1706"/>
        <w:gridCol w:w="1706"/>
      </w:tblGrid>
      <w:tr w14:paraId="7153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Align w:val="center"/>
          </w:tcPr>
          <w:p w14:paraId="1406A2EB">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402" w:name="_Toc19753"/>
            <w:bookmarkStart w:id="403" w:name="_Toc29667"/>
            <w:r>
              <w:rPr>
                <w:rFonts w:hint="eastAsia" w:cs="Times New Roman"/>
                <w:b/>
                <w:bCs/>
                <w:color w:val="auto"/>
                <w:sz w:val="21"/>
                <w:szCs w:val="21"/>
                <w:vertAlign w:val="baseline"/>
                <w:lang w:val="en-US" w:eastAsia="zh-CN"/>
              </w:rPr>
              <w:t>内容</w:t>
            </w:r>
            <w:bookmarkEnd w:id="402"/>
            <w:bookmarkEnd w:id="403"/>
          </w:p>
        </w:tc>
        <w:tc>
          <w:tcPr>
            <w:tcW w:w="2468" w:type="dxa"/>
            <w:vAlign w:val="center"/>
          </w:tcPr>
          <w:p w14:paraId="06ABA80D">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404" w:name="_Toc11748"/>
            <w:bookmarkStart w:id="405" w:name="_Toc26861"/>
            <w:r>
              <w:rPr>
                <w:rFonts w:hint="eastAsia" w:cs="Times New Roman"/>
                <w:b/>
                <w:bCs/>
                <w:color w:val="auto"/>
                <w:sz w:val="21"/>
                <w:szCs w:val="21"/>
                <w:vertAlign w:val="baseline"/>
                <w:lang w:val="en-US" w:eastAsia="zh-CN"/>
              </w:rPr>
              <w:t>监测地点</w:t>
            </w:r>
            <w:bookmarkEnd w:id="404"/>
            <w:bookmarkEnd w:id="405"/>
          </w:p>
        </w:tc>
        <w:tc>
          <w:tcPr>
            <w:tcW w:w="1706" w:type="dxa"/>
            <w:vAlign w:val="center"/>
          </w:tcPr>
          <w:p w14:paraId="001E45E3">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406" w:name="_Toc6324"/>
            <w:bookmarkStart w:id="407" w:name="_Toc4763"/>
            <w:r>
              <w:rPr>
                <w:rFonts w:hint="eastAsia" w:cs="Times New Roman"/>
                <w:b/>
                <w:bCs/>
                <w:color w:val="auto"/>
                <w:sz w:val="21"/>
                <w:szCs w:val="21"/>
                <w:vertAlign w:val="baseline"/>
                <w:lang w:val="en-US" w:eastAsia="zh-CN"/>
              </w:rPr>
              <w:t>监测项目</w:t>
            </w:r>
            <w:bookmarkEnd w:id="406"/>
            <w:bookmarkEnd w:id="407"/>
          </w:p>
        </w:tc>
        <w:tc>
          <w:tcPr>
            <w:tcW w:w="1706" w:type="dxa"/>
            <w:vAlign w:val="center"/>
          </w:tcPr>
          <w:p w14:paraId="4CE8A1D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bookmarkStart w:id="408" w:name="_Toc19091"/>
            <w:bookmarkStart w:id="409" w:name="_Toc30711"/>
            <w:r>
              <w:rPr>
                <w:rFonts w:hint="eastAsia" w:cs="Times New Roman"/>
                <w:b/>
                <w:bCs/>
                <w:color w:val="auto"/>
                <w:sz w:val="21"/>
                <w:szCs w:val="21"/>
                <w:vertAlign w:val="baseline"/>
                <w:lang w:val="en-US" w:eastAsia="zh-CN"/>
              </w:rPr>
              <w:t>监测时间和频次</w:t>
            </w:r>
            <w:bookmarkEnd w:id="408"/>
            <w:bookmarkEnd w:id="409"/>
          </w:p>
        </w:tc>
        <w:tc>
          <w:tcPr>
            <w:tcW w:w="1706" w:type="dxa"/>
            <w:vAlign w:val="center"/>
          </w:tcPr>
          <w:p w14:paraId="56CD8B0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bCs/>
                <w:color w:val="auto"/>
                <w:sz w:val="21"/>
                <w:szCs w:val="21"/>
                <w:vertAlign w:val="baseline"/>
                <w:lang w:val="en-US" w:eastAsia="zh-CN"/>
              </w:rPr>
            </w:pPr>
            <w:r>
              <w:rPr>
                <w:rFonts w:hint="eastAsia" w:cs="Times New Roman"/>
                <w:b/>
                <w:bCs/>
                <w:color w:val="auto"/>
                <w:sz w:val="21"/>
                <w:szCs w:val="21"/>
                <w:vertAlign w:val="baseline"/>
                <w:lang w:val="en-US" w:eastAsia="zh-CN"/>
              </w:rPr>
              <w:t>执行标准</w:t>
            </w:r>
          </w:p>
        </w:tc>
      </w:tr>
      <w:tr w14:paraId="28C86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Merge w:val="restart"/>
            <w:vAlign w:val="center"/>
          </w:tcPr>
          <w:p w14:paraId="6D31779C">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410" w:name="_Toc5109"/>
            <w:bookmarkStart w:id="411" w:name="_Toc17263"/>
            <w:r>
              <w:rPr>
                <w:rFonts w:hint="eastAsia" w:cs="Times New Roman"/>
                <w:b w:val="0"/>
                <w:bCs w:val="0"/>
                <w:color w:val="auto"/>
                <w:sz w:val="21"/>
                <w:szCs w:val="21"/>
                <w:vertAlign w:val="baseline"/>
                <w:lang w:val="en-US" w:eastAsia="zh-CN"/>
              </w:rPr>
              <w:t>噪声</w:t>
            </w:r>
            <w:bookmarkEnd w:id="410"/>
            <w:bookmarkEnd w:id="411"/>
          </w:p>
        </w:tc>
        <w:tc>
          <w:tcPr>
            <w:tcW w:w="2468" w:type="dxa"/>
            <w:vAlign w:val="center"/>
          </w:tcPr>
          <w:p w14:paraId="3A2D93F4">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412" w:name="_Toc6538"/>
            <w:bookmarkStart w:id="413" w:name="_Toc32213"/>
            <w:r>
              <w:rPr>
                <w:rFonts w:hint="eastAsia" w:cs="Times New Roman"/>
                <w:b w:val="0"/>
                <w:bCs w:val="0"/>
                <w:color w:val="auto"/>
                <w:sz w:val="21"/>
                <w:szCs w:val="21"/>
                <w:vertAlign w:val="baseline"/>
                <w:lang w:val="en-US" w:eastAsia="zh-CN"/>
              </w:rPr>
              <w:t>公路沿线甘庄集镇居民区、元江甘庄中学</w:t>
            </w:r>
            <w:bookmarkEnd w:id="412"/>
            <w:bookmarkEnd w:id="413"/>
          </w:p>
        </w:tc>
        <w:tc>
          <w:tcPr>
            <w:tcW w:w="1706" w:type="dxa"/>
            <w:vAlign w:val="center"/>
          </w:tcPr>
          <w:p w14:paraId="12506FE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414" w:name="_Toc13551"/>
            <w:bookmarkStart w:id="415" w:name="_Toc27123"/>
            <w:r>
              <w:rPr>
                <w:rFonts w:hint="eastAsia" w:cs="Times New Roman"/>
                <w:b w:val="0"/>
                <w:bCs w:val="0"/>
                <w:color w:val="auto"/>
                <w:sz w:val="21"/>
                <w:szCs w:val="21"/>
                <w:vertAlign w:val="baseline"/>
                <w:lang w:val="en-US" w:eastAsia="zh-CN"/>
              </w:rPr>
              <w:t>L</w:t>
            </w:r>
            <w:r>
              <w:rPr>
                <w:rFonts w:hint="eastAsia" w:cs="Times New Roman"/>
                <w:b w:val="0"/>
                <w:bCs w:val="0"/>
                <w:color w:val="auto"/>
                <w:sz w:val="21"/>
                <w:szCs w:val="21"/>
                <w:vertAlign w:val="subscript"/>
                <w:lang w:val="en-US" w:eastAsia="zh-CN"/>
              </w:rPr>
              <w:t>Aeq</w:t>
            </w:r>
            <w:bookmarkEnd w:id="414"/>
            <w:bookmarkEnd w:id="415"/>
          </w:p>
        </w:tc>
        <w:tc>
          <w:tcPr>
            <w:tcW w:w="1706" w:type="dxa"/>
            <w:vAlign w:val="center"/>
          </w:tcPr>
          <w:p w14:paraId="66B13CB5">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bookmarkStart w:id="416" w:name="_Toc24684"/>
            <w:bookmarkStart w:id="417" w:name="_Toc5830"/>
            <w:r>
              <w:rPr>
                <w:rFonts w:hint="default" w:cs="Times New Roman"/>
                <w:b w:val="0"/>
                <w:bCs w:val="0"/>
                <w:color w:val="auto"/>
                <w:sz w:val="21"/>
                <w:szCs w:val="21"/>
                <w:vertAlign w:val="baseline"/>
                <w:lang w:val="en-US" w:eastAsia="zh-CN"/>
              </w:rPr>
              <w:t>监测1次，每次</w:t>
            </w:r>
            <w:r>
              <w:rPr>
                <w:rFonts w:hint="eastAsia" w:cs="Times New Roman"/>
                <w:b w:val="0"/>
                <w:bCs w:val="0"/>
                <w:color w:val="auto"/>
                <w:sz w:val="21"/>
                <w:szCs w:val="21"/>
                <w:vertAlign w:val="baseline"/>
                <w:lang w:val="en-US" w:eastAsia="zh-CN"/>
              </w:rPr>
              <w:t>监测</w:t>
            </w:r>
            <w:r>
              <w:rPr>
                <w:rFonts w:hint="default" w:cs="Times New Roman"/>
                <w:b w:val="0"/>
                <w:bCs w:val="0"/>
                <w:color w:val="auto"/>
                <w:sz w:val="21"/>
                <w:szCs w:val="21"/>
                <w:vertAlign w:val="baseline"/>
                <w:lang w:val="en-US" w:eastAsia="zh-CN"/>
              </w:rPr>
              <w:t>2天</w:t>
            </w:r>
            <w:bookmarkEnd w:id="416"/>
            <w:bookmarkEnd w:id="417"/>
          </w:p>
        </w:tc>
        <w:tc>
          <w:tcPr>
            <w:tcW w:w="1706" w:type="dxa"/>
            <w:vAlign w:val="center"/>
          </w:tcPr>
          <w:p w14:paraId="6641ECB0">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rPr>
              <w:t>《声环境质量标准》（GB</w:t>
            </w:r>
            <w:r>
              <w:rPr>
                <w:rFonts w:hint="eastAsia" w:hAnsi="Times New Roman"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3096－2008）2类</w:t>
            </w:r>
          </w:p>
        </w:tc>
      </w:tr>
      <w:tr w14:paraId="29C0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2" w:type="dxa"/>
            <w:vMerge w:val="continue"/>
            <w:vAlign w:val="center"/>
          </w:tcPr>
          <w:p w14:paraId="48982D9A">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p>
        </w:tc>
        <w:tc>
          <w:tcPr>
            <w:tcW w:w="2468" w:type="dxa"/>
            <w:vAlign w:val="center"/>
          </w:tcPr>
          <w:p w14:paraId="358560D6">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公路干线边界路肩/护坡外1m</w:t>
            </w:r>
          </w:p>
        </w:tc>
        <w:tc>
          <w:tcPr>
            <w:tcW w:w="1706" w:type="dxa"/>
            <w:vAlign w:val="center"/>
          </w:tcPr>
          <w:p w14:paraId="3D553BA8">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left="0" w:leftChars="0" w:firstLine="0" w:firstLineChars="0"/>
              <w:jc w:val="center"/>
              <w:textAlignment w:val="auto"/>
              <w:rPr>
                <w:rFonts w:hint="eastAsia" w:cs="Times New Roman"/>
                <w:b w:val="0"/>
                <w:bCs w:val="0"/>
                <w:color w:val="auto"/>
                <w:sz w:val="21"/>
                <w:szCs w:val="21"/>
                <w:vertAlign w:val="baseline"/>
                <w:lang w:val="en-US" w:eastAsia="zh-CN"/>
              </w:rPr>
            </w:pPr>
            <w:r>
              <w:rPr>
                <w:rFonts w:hint="eastAsia" w:cs="Times New Roman"/>
                <w:b w:val="0"/>
                <w:bCs w:val="0"/>
                <w:color w:val="auto"/>
                <w:sz w:val="21"/>
                <w:szCs w:val="21"/>
                <w:vertAlign w:val="baseline"/>
                <w:lang w:val="en-US" w:eastAsia="zh-CN"/>
              </w:rPr>
              <w:t>L</w:t>
            </w:r>
            <w:r>
              <w:rPr>
                <w:rFonts w:hint="eastAsia" w:cs="Times New Roman"/>
                <w:b w:val="0"/>
                <w:bCs w:val="0"/>
                <w:color w:val="auto"/>
                <w:sz w:val="21"/>
                <w:szCs w:val="21"/>
                <w:vertAlign w:val="subscript"/>
                <w:lang w:val="en-US" w:eastAsia="zh-CN"/>
              </w:rPr>
              <w:t>Aeq</w:t>
            </w:r>
          </w:p>
        </w:tc>
        <w:tc>
          <w:tcPr>
            <w:tcW w:w="1706" w:type="dxa"/>
            <w:vAlign w:val="center"/>
          </w:tcPr>
          <w:p w14:paraId="3710657F">
            <w:pPr>
              <w:pStyle w:val="3"/>
              <w:keepNext w:val="0"/>
              <w:keepLines w:val="0"/>
              <w:pageBreakBefore w:val="0"/>
              <w:numPr>
                <w:ilvl w:val="0"/>
                <w:numId w:val="0"/>
              </w:numPr>
              <w:kinsoku/>
              <w:wordWrap/>
              <w:overflowPunct/>
              <w:topLinePunct w:val="0"/>
              <w:autoSpaceDE/>
              <w:autoSpaceDN/>
              <w:bidi w:val="0"/>
              <w:adjustRightInd w:val="0"/>
              <w:snapToGrid w:val="0"/>
              <w:spacing w:before="0" w:after="0" w:line="240" w:lineRule="auto"/>
              <w:ind w:firstLine="0" w:firstLineChars="0"/>
              <w:jc w:val="center"/>
              <w:textAlignment w:val="auto"/>
              <w:rPr>
                <w:rFonts w:hint="default" w:cs="Times New Roman"/>
                <w:b w:val="0"/>
                <w:bCs w:val="0"/>
                <w:color w:val="auto"/>
                <w:sz w:val="21"/>
                <w:szCs w:val="21"/>
                <w:vertAlign w:val="baseline"/>
                <w:lang w:val="en-US" w:eastAsia="zh-CN"/>
              </w:rPr>
            </w:pPr>
            <w:r>
              <w:rPr>
                <w:rFonts w:hint="default" w:cs="Times New Roman"/>
                <w:b w:val="0"/>
                <w:bCs w:val="0"/>
                <w:color w:val="auto"/>
                <w:sz w:val="21"/>
                <w:szCs w:val="21"/>
                <w:vertAlign w:val="baseline"/>
                <w:lang w:val="en-US" w:eastAsia="zh-CN"/>
              </w:rPr>
              <w:t>监测1次，每次</w:t>
            </w:r>
            <w:r>
              <w:rPr>
                <w:rFonts w:hint="eastAsia" w:cs="Times New Roman"/>
                <w:b w:val="0"/>
                <w:bCs w:val="0"/>
                <w:color w:val="auto"/>
                <w:sz w:val="21"/>
                <w:szCs w:val="21"/>
                <w:vertAlign w:val="baseline"/>
                <w:lang w:val="en-US" w:eastAsia="zh-CN"/>
              </w:rPr>
              <w:t>监测</w:t>
            </w:r>
            <w:r>
              <w:rPr>
                <w:rFonts w:hint="default" w:cs="Times New Roman"/>
                <w:b w:val="0"/>
                <w:bCs w:val="0"/>
                <w:color w:val="auto"/>
                <w:sz w:val="21"/>
                <w:szCs w:val="21"/>
                <w:vertAlign w:val="baseline"/>
                <w:lang w:val="en-US" w:eastAsia="zh-CN"/>
              </w:rPr>
              <w:t>2天</w:t>
            </w:r>
          </w:p>
        </w:tc>
        <w:tc>
          <w:tcPr>
            <w:tcW w:w="1706" w:type="dxa"/>
            <w:vAlign w:val="center"/>
          </w:tcPr>
          <w:p w14:paraId="52435E29">
            <w:pPr>
              <w:keepNext w:val="0"/>
              <w:keepLines w:val="0"/>
              <w:pageBreakBefore w:val="0"/>
              <w:widowControl/>
              <w:suppressLineNumbers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p>
        </w:tc>
      </w:tr>
    </w:tbl>
    <w:p w14:paraId="0FD6540A">
      <w:pPr>
        <w:pStyle w:val="3"/>
        <w:numPr>
          <w:ilvl w:val="0"/>
          <w:numId w:val="0"/>
        </w:numPr>
        <w:rPr>
          <w:rFonts w:hint="eastAsia" w:cs="Times New Roman"/>
          <w:color w:val="auto"/>
          <w:lang w:val="en-US" w:eastAsia="zh-CN"/>
        </w:rPr>
      </w:pPr>
      <w:bookmarkStart w:id="418" w:name="_Toc5761"/>
      <w:r>
        <w:rPr>
          <w:color w:val="auto"/>
          <w:sz w:val="28"/>
        </w:rPr>
        <mc:AlternateContent>
          <mc:Choice Requires="wps">
            <w:drawing>
              <wp:anchor distT="0" distB="0" distL="114300" distR="114300" simplePos="0" relativeHeight="251676672" behindDoc="0" locked="0" layoutInCell="1" allowOverlap="1">
                <wp:simplePos x="0" y="0"/>
                <wp:positionH relativeFrom="column">
                  <wp:posOffset>3013075</wp:posOffset>
                </wp:positionH>
                <wp:positionV relativeFrom="paragraph">
                  <wp:posOffset>1048385</wp:posOffset>
                </wp:positionV>
                <wp:extent cx="382270" cy="29591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38227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2B032">
                            <w:pPr>
                              <w:ind w:left="0" w:leftChars="0" w:firstLine="0" w:firstLineChars="0"/>
                              <w:rPr>
                                <w:rFonts w:hint="default" w:eastAsia="宋体"/>
                                <w:color w:val="FF0000"/>
                                <w:lang w:val="en-US" w:eastAsia="zh-CN"/>
                              </w:rPr>
                            </w:pPr>
                            <w:r>
                              <w:rPr>
                                <w:rFonts w:hint="eastAsia"/>
                                <w:color w:val="FF0000"/>
                                <w:lang w:val="en-US" w:eastAsia="zh-CN"/>
                              </w:rPr>
                              <w:t>A2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25pt;margin-top:82.55pt;height:23.3pt;width:30.1pt;z-index:251676672;mso-width-relative:page;mso-height-relative:page;" filled="f" stroked="f" coordsize="21600,21600" o:gfxdata="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4jDVXcAAAACwEAAA8AAAAAAAAAAQAgAAAAIgAA&#10;AGRycy9kb3ducmV2LnhtbFBLAQIUABQAAAAIAIdO4kBgwgmhPQIAAGcEAAAOAAAAAAAAAAEAIAAA&#10;ACsBAABkcnMvZTJvRG9jLnhtbFBLBQYAAAAABgAGAFkBAADaBQAAAAA=&#10;">
                <v:fill on="f" focussize="0,0"/>
                <v:stroke on="f" weight="0.5pt"/>
                <v:imagedata o:title=""/>
                <o:lock v:ext="edit" aspectratio="f"/>
                <v:textbox>
                  <w:txbxContent>
                    <w:p w14:paraId="28B2B032">
                      <w:pPr>
                        <w:ind w:left="0" w:leftChars="0" w:firstLine="0" w:firstLineChars="0"/>
                        <w:rPr>
                          <w:rFonts w:hint="default" w:eastAsia="宋体"/>
                          <w:color w:val="FF0000"/>
                          <w:lang w:val="en-US" w:eastAsia="zh-CN"/>
                        </w:rPr>
                      </w:pPr>
                      <w:r>
                        <w:rPr>
                          <w:rFonts w:hint="eastAsia"/>
                          <w:color w:val="FF0000"/>
                          <w:lang w:val="en-US" w:eastAsia="zh-CN"/>
                        </w:rPr>
                        <w:t>A2</w:t>
                      </w:r>
                    </w:p>
                  </w:txbxContent>
                </v:textbox>
              </v:shape>
            </w:pict>
          </mc:Fallback>
        </mc:AlternateContent>
      </w:r>
      <w:r>
        <w:rPr>
          <w:color w:val="auto"/>
          <w:sz w:val="28"/>
        </w:rPr>
        <mc:AlternateContent>
          <mc:Choice Requires="wps">
            <w:drawing>
              <wp:anchor distT="0" distB="0" distL="114300" distR="114300" simplePos="0" relativeHeight="251678720" behindDoc="0" locked="0" layoutInCell="1" allowOverlap="1">
                <wp:simplePos x="0" y="0"/>
                <wp:positionH relativeFrom="column">
                  <wp:posOffset>3070225</wp:posOffset>
                </wp:positionH>
                <wp:positionV relativeFrom="paragraph">
                  <wp:posOffset>600710</wp:posOffset>
                </wp:positionV>
                <wp:extent cx="382270" cy="29591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38227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14839">
                            <w:pPr>
                              <w:ind w:left="0" w:leftChars="0" w:firstLine="0" w:firstLineChars="0"/>
                              <w:rPr>
                                <w:rFonts w:hint="default" w:eastAsia="宋体"/>
                                <w:color w:val="FF0000"/>
                                <w:lang w:val="en-US" w:eastAsia="zh-CN"/>
                              </w:rPr>
                            </w:pPr>
                            <w:r>
                              <w:rPr>
                                <w:rFonts w:hint="eastAsia"/>
                                <w:color w:val="FF0000"/>
                                <w:lang w:val="en-US" w:eastAsia="zh-CN"/>
                              </w:rPr>
                              <w:t>N3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1.75pt;margin-top:47.3pt;height:23.3pt;width:30.1pt;z-index:251678720;mso-width-relative:page;mso-height-relative:page;" filled="f" stroked="f" coordsize="21600,21600" o:gfxdata="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lDLsHcAAAACgEAAA8AAAAAAAAAAQAgAAAAIgAA&#10;AGRycy9kb3ducmV2LnhtbFBLAQIUABQAAAAIAIdO4kC28Nn6PQIAAGcEAAAOAAAAAAAAAAEAIAAA&#10;ACsBAABkcnMvZTJvRG9jLnhtbFBLBQYAAAAABgAGAFkBAADaBQAAAAA=&#10;">
                <v:fill on="f" focussize="0,0"/>
                <v:stroke on="f" weight="0.5pt"/>
                <v:imagedata o:title=""/>
                <o:lock v:ext="edit" aspectratio="f"/>
                <v:textbox>
                  <w:txbxContent>
                    <w:p w14:paraId="4E214839">
                      <w:pPr>
                        <w:ind w:left="0" w:leftChars="0" w:firstLine="0" w:firstLineChars="0"/>
                        <w:rPr>
                          <w:rFonts w:hint="default" w:eastAsia="宋体"/>
                          <w:color w:val="FF0000"/>
                          <w:lang w:val="en-US" w:eastAsia="zh-CN"/>
                        </w:rPr>
                      </w:pPr>
                      <w:r>
                        <w:rPr>
                          <w:rFonts w:hint="eastAsia"/>
                          <w:color w:val="FF0000"/>
                          <w:lang w:val="en-US" w:eastAsia="zh-CN"/>
                        </w:rPr>
                        <w:t>N3</w:t>
                      </w:r>
                    </w:p>
                  </w:txbxContent>
                </v:textbox>
              </v:shape>
            </w:pict>
          </mc:Fallback>
        </mc:AlternateContent>
      </w:r>
      <w:r>
        <w:rPr>
          <w:color w:val="auto"/>
          <w:sz w:val="28"/>
        </w:rPr>
        <mc:AlternateContent>
          <mc:Choice Requires="wps">
            <w:drawing>
              <wp:anchor distT="0" distB="0" distL="114300" distR="114300" simplePos="0" relativeHeight="251677696" behindDoc="0" locked="0" layoutInCell="1" allowOverlap="1">
                <wp:simplePos x="0" y="0"/>
                <wp:positionH relativeFrom="column">
                  <wp:posOffset>2632075</wp:posOffset>
                </wp:positionH>
                <wp:positionV relativeFrom="paragraph">
                  <wp:posOffset>486410</wp:posOffset>
                </wp:positionV>
                <wp:extent cx="382270" cy="29591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38227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77334">
                            <w:pPr>
                              <w:ind w:left="0" w:leftChars="0" w:firstLine="0" w:firstLineChars="0"/>
                              <w:rPr>
                                <w:rFonts w:hint="default" w:eastAsia="宋体"/>
                                <w:color w:val="FF0000"/>
                                <w:lang w:val="en-US" w:eastAsia="zh-CN"/>
                              </w:rPr>
                            </w:pPr>
                            <w:r>
                              <w:rPr>
                                <w:rFonts w:hint="eastAsia"/>
                                <w:color w:val="FF0000"/>
                                <w:lang w:val="en-US" w:eastAsia="zh-CN"/>
                              </w:rPr>
                              <w:t>N2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7.25pt;margin-top:38.3pt;height:23.3pt;width:30.1pt;z-index:251677696;mso-width-relative:page;mso-height-relative:page;" filled="f" stroked="f" coordsize="21600,21600" o:gfxdata="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Nn5X9DbAAAACgEAAA8AAAAAAAAAAQAgAAAAIgAA&#10;AGRycy9kb3ducmV2LnhtbFBLAQIUABQAAAAIAIdO4kAZd+0YPgIAAGcEAAAOAAAAAAAAAAEAIAAA&#10;ACoBAABkcnMvZTJvRG9jLnhtbFBLBQYAAAAABgAGAFkBAADaBQAAAAA=&#10;">
                <v:fill on="f" focussize="0,0"/>
                <v:stroke on="f" weight="0.5pt"/>
                <v:imagedata o:title=""/>
                <o:lock v:ext="edit" aspectratio="f"/>
                <v:textbox>
                  <w:txbxContent>
                    <w:p w14:paraId="49377334">
                      <w:pPr>
                        <w:ind w:left="0" w:leftChars="0" w:firstLine="0" w:firstLineChars="0"/>
                        <w:rPr>
                          <w:rFonts w:hint="default" w:eastAsia="宋体"/>
                          <w:color w:val="FF0000"/>
                          <w:lang w:val="en-US" w:eastAsia="zh-CN"/>
                        </w:rPr>
                      </w:pPr>
                      <w:r>
                        <w:rPr>
                          <w:rFonts w:hint="eastAsia"/>
                          <w:color w:val="FF0000"/>
                          <w:lang w:val="en-US" w:eastAsia="zh-CN"/>
                        </w:rPr>
                        <w:t>N2</w:t>
                      </w:r>
                    </w:p>
                  </w:txbxContent>
                </v:textbox>
              </v:shape>
            </w:pict>
          </mc:Fallback>
        </mc:AlternateContent>
      </w:r>
      <w:r>
        <w:rPr>
          <w:rFonts w:hint="eastAsia" w:cs="Times New Roman"/>
          <w:color w:val="auto"/>
          <w:lang w:val="en-US" w:eastAsia="zh-CN"/>
        </w:rPr>
        <w:drawing>
          <wp:inline distT="0" distB="0" distL="114300" distR="114300">
            <wp:extent cx="4911090" cy="3992245"/>
            <wp:effectExtent l="9525" t="9525" r="13335" b="17780"/>
            <wp:docPr id="23" name="图片 23" descr="a435d747-a2fe-466a-bd78-7981884bca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a435d747-a2fe-466a-bd78-7981884bca88"/>
                    <pic:cNvPicPr>
                      <a:picLocks noChangeAspect="1"/>
                    </pic:cNvPicPr>
                  </pic:nvPicPr>
                  <pic:blipFill>
                    <a:blip r:embed="rId93"/>
                    <a:stretch>
                      <a:fillRect/>
                    </a:stretch>
                  </pic:blipFill>
                  <pic:spPr>
                    <a:xfrm>
                      <a:off x="0" y="0"/>
                      <a:ext cx="4911090" cy="3992245"/>
                    </a:xfrm>
                    <a:prstGeom prst="rect">
                      <a:avLst/>
                    </a:prstGeom>
                    <a:ln>
                      <a:solidFill>
                        <a:schemeClr val="tx1"/>
                      </a:solidFill>
                    </a:ln>
                  </pic:spPr>
                </pic:pic>
              </a:graphicData>
            </a:graphic>
          </wp:inline>
        </w:drawing>
      </w:r>
      <w:r>
        <w:rPr>
          <w:color w:val="auto"/>
          <w:sz w:val="28"/>
        </w:rPr>
        <mc:AlternateContent>
          <mc:Choice Requires="wps">
            <w:drawing>
              <wp:anchor distT="0" distB="0" distL="114300" distR="114300" simplePos="0" relativeHeight="251675648" behindDoc="0" locked="0" layoutInCell="1" allowOverlap="1">
                <wp:simplePos x="0" y="0"/>
                <wp:positionH relativeFrom="column">
                  <wp:posOffset>2127250</wp:posOffset>
                </wp:positionH>
                <wp:positionV relativeFrom="paragraph">
                  <wp:posOffset>3248660</wp:posOffset>
                </wp:positionV>
                <wp:extent cx="382270" cy="29591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38227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66E234">
                            <w:pPr>
                              <w:ind w:left="0" w:leftChars="0" w:firstLine="0" w:firstLineChars="0"/>
                              <w:rPr>
                                <w:rFonts w:hint="default" w:eastAsia="宋体"/>
                                <w:color w:val="FF0000"/>
                                <w:lang w:val="en-US" w:eastAsia="zh-CN"/>
                              </w:rPr>
                            </w:pPr>
                            <w:r>
                              <w:rPr>
                                <w:rFonts w:hint="eastAsia"/>
                                <w:color w:val="FF0000"/>
                                <w:lang w:val="en-US" w:eastAsia="zh-CN"/>
                              </w:rPr>
                              <w:t>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7.5pt;margin-top:255.8pt;height:23.3pt;width:30.1pt;z-index:251675648;mso-width-relative:page;mso-height-relative:page;" filled="f" stroked="f" coordsize="21600,21600" o:gfxdata="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0ah613AAAAAsBAAAPAAAAAAAAAAEAIAAAACIA&#10;AABkcnMvZG93bnJldi54bWxQSwECFAAUAAAACACHTuJAD92GOz4CAABnBAAADgAAAAAAAAABACAA&#10;AAArAQAAZHJzL2Uyb0RvYy54bWxQSwUGAAAAAAYABgBZAQAA2wUAAAAA&#10;">
                <v:fill on="f" focussize="0,0"/>
                <v:stroke on="f" weight="0.5pt"/>
                <v:imagedata o:title=""/>
                <o:lock v:ext="edit" aspectratio="f"/>
                <v:textbox>
                  <w:txbxContent>
                    <w:p w14:paraId="7466E234">
                      <w:pPr>
                        <w:ind w:left="0" w:leftChars="0" w:firstLine="0" w:firstLineChars="0"/>
                        <w:rPr>
                          <w:rFonts w:hint="default" w:eastAsia="宋体"/>
                          <w:color w:val="FF0000"/>
                          <w:lang w:val="en-US" w:eastAsia="zh-CN"/>
                        </w:rPr>
                      </w:pPr>
                      <w:r>
                        <w:rPr>
                          <w:rFonts w:hint="eastAsia"/>
                          <w:color w:val="FF0000"/>
                          <w:lang w:val="en-US" w:eastAsia="zh-CN"/>
                        </w:rPr>
                        <w:t>A1</w:t>
                      </w:r>
                    </w:p>
                  </w:txbxContent>
                </v:textbox>
              </v:shape>
            </w:pict>
          </mc:Fallback>
        </mc:AlternateContent>
      </w:r>
      <w:r>
        <w:rPr>
          <w:color w:val="auto"/>
          <w:sz w:val="28"/>
        </w:rPr>
        <mc:AlternateContent>
          <mc:Choice Requires="wps">
            <w:drawing>
              <wp:anchor distT="0" distB="0" distL="114300" distR="114300" simplePos="0" relativeHeight="251674624" behindDoc="0" locked="0" layoutInCell="1" allowOverlap="1">
                <wp:simplePos x="0" y="0"/>
                <wp:positionH relativeFrom="column">
                  <wp:posOffset>2174875</wp:posOffset>
                </wp:positionH>
                <wp:positionV relativeFrom="paragraph">
                  <wp:posOffset>3029585</wp:posOffset>
                </wp:positionV>
                <wp:extent cx="382270" cy="295910"/>
                <wp:effectExtent l="0" t="0" r="0" b="0"/>
                <wp:wrapNone/>
                <wp:docPr id="45" name="文本框 45"/>
                <wp:cNvGraphicFramePr/>
                <a:graphic xmlns:a="http://schemas.openxmlformats.org/drawingml/2006/main">
                  <a:graphicData uri="http://schemas.microsoft.com/office/word/2010/wordprocessingShape">
                    <wps:wsp>
                      <wps:cNvSpPr txBox="1"/>
                      <wps:spPr>
                        <a:xfrm>
                          <a:off x="3392170" y="3943985"/>
                          <a:ext cx="382270" cy="2959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8C2E4">
                            <w:pPr>
                              <w:ind w:left="0" w:leftChars="0" w:firstLine="0" w:firstLineChars="0"/>
                              <w:rPr>
                                <w:rFonts w:hint="default" w:eastAsia="宋体"/>
                                <w:color w:val="FF0000"/>
                                <w:lang w:val="en-US" w:eastAsia="zh-CN"/>
                              </w:rPr>
                            </w:pPr>
                            <w:r>
                              <w:rPr>
                                <w:rFonts w:hint="eastAsia"/>
                                <w:color w:val="FF0000"/>
                                <w:lang w:val="en-US" w:eastAsia="zh-CN"/>
                              </w:rPr>
                              <w:t>N1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1.25pt;margin-top:238.55pt;height:23.3pt;width:30.1pt;z-index:251674624;mso-width-relative:page;mso-height-relative:page;" filled="f" stroked="f" coordsize="21600,21600" o:gfxdata="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VRrQW9wAAAALAQAADwAAAAAA&#10;AAABACAAAAAiAAAAZHJzL2Rvd25yZXYueG1sUEsBAhQAFAAAAAgAh07iQK2xWlNIAgAAcwQAAA4A&#10;AAAAAAAAAQAgAAAAKwEAAGRycy9lMm9Eb2MueG1sUEsFBgAAAAAGAAYAWQEAAOUFAAAAAA==&#10;">
                <v:fill on="f" focussize="0,0"/>
                <v:stroke on="f" weight="0.5pt"/>
                <v:imagedata o:title=""/>
                <o:lock v:ext="edit" aspectratio="f"/>
                <v:textbox>
                  <w:txbxContent>
                    <w:p w14:paraId="5158C2E4">
                      <w:pPr>
                        <w:ind w:left="0" w:leftChars="0" w:firstLine="0" w:firstLineChars="0"/>
                        <w:rPr>
                          <w:rFonts w:hint="default" w:eastAsia="宋体"/>
                          <w:color w:val="FF0000"/>
                          <w:lang w:val="en-US" w:eastAsia="zh-CN"/>
                        </w:rPr>
                      </w:pPr>
                      <w:r>
                        <w:rPr>
                          <w:rFonts w:hint="eastAsia"/>
                          <w:color w:val="FF0000"/>
                          <w:lang w:val="en-US" w:eastAsia="zh-CN"/>
                        </w:rPr>
                        <w:t>N1</w:t>
                      </w:r>
                    </w:p>
                  </w:txbxContent>
                </v:textbox>
              </v:shape>
            </w:pict>
          </mc:Fallback>
        </mc:AlternateContent>
      </w:r>
      <w:r>
        <w:rPr>
          <w:color w:val="auto"/>
          <w:sz w:val="28"/>
        </w:rPr>
        <mc:AlternateContent>
          <mc:Choice Requires="wps">
            <w:drawing>
              <wp:anchor distT="0" distB="0" distL="114300" distR="114300" simplePos="0" relativeHeight="251673600" behindDoc="0" locked="0" layoutInCell="1" allowOverlap="1">
                <wp:simplePos x="0" y="0"/>
                <wp:positionH relativeFrom="column">
                  <wp:posOffset>2098675</wp:posOffset>
                </wp:positionH>
                <wp:positionV relativeFrom="paragraph">
                  <wp:posOffset>3115945</wp:posOffset>
                </wp:positionV>
                <wp:extent cx="133350" cy="142240"/>
                <wp:effectExtent l="12700" t="12700" r="25400" b="16510"/>
                <wp:wrapNone/>
                <wp:docPr id="43" name="等腰三角形 43"/>
                <wp:cNvGraphicFramePr/>
                <a:graphic xmlns:a="http://schemas.openxmlformats.org/drawingml/2006/main">
                  <a:graphicData uri="http://schemas.microsoft.com/office/word/2010/wordprocessingShape">
                    <wps:wsp>
                      <wps:cNvSpPr/>
                      <wps:spPr>
                        <a:xfrm>
                          <a:off x="0" y="0"/>
                          <a:ext cx="133350" cy="142240"/>
                        </a:xfrm>
                        <a:prstGeom prst="triangle">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65.25pt;margin-top:245.35pt;height:11.2pt;width:10.5pt;z-index:251673600;v-text-anchor:middle;mso-width-relative:page;mso-height-relative:page;" fillcolor="#000000 [3213]" filled="t" stroked="t" coordsize="21600,21600" o:gfxdata="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L3LFs2QAAAAsBAAAPAAAAAAAAAAEAIAAAACIAAABkcnMv&#10;ZG93bnJldi54bWxQSwECFAAUAAAACACHTuJA/oUODnQCAADrBAAADgAAAAAAAAABACAAAAAoAQAA&#10;ZHJzL2Uyb0RvYy54bWxQSwUGAAAAAAYABgBZAQAADgYAAAAA&#10;" adj="10800">
                <v:fill on="t" focussize="0,0"/>
                <v:stroke weight="2pt" color="#000000 [3213]" joinstyle="round"/>
                <v:imagedata o:title=""/>
                <o:lock v:ext="edit" aspectratio="f"/>
              </v:shape>
            </w:pict>
          </mc:Fallback>
        </mc:AlternateContent>
      </w:r>
      <w:r>
        <w:rPr>
          <w:color w:val="auto"/>
          <w:sz w:val="28"/>
        </w:rPr>
        <mc:AlternateContent>
          <mc:Choice Requires="wps">
            <w:drawing>
              <wp:anchor distT="0" distB="0" distL="114300" distR="114300" simplePos="0" relativeHeight="251672576" behindDoc="0" locked="0" layoutInCell="1" allowOverlap="1">
                <wp:simplePos x="0" y="0"/>
                <wp:positionH relativeFrom="column">
                  <wp:posOffset>2603500</wp:posOffset>
                </wp:positionH>
                <wp:positionV relativeFrom="paragraph">
                  <wp:posOffset>648970</wp:posOffset>
                </wp:positionV>
                <wp:extent cx="133350" cy="142240"/>
                <wp:effectExtent l="12700" t="12700" r="25400" b="16510"/>
                <wp:wrapNone/>
                <wp:docPr id="35" name="等腰三角形 35"/>
                <wp:cNvGraphicFramePr/>
                <a:graphic xmlns:a="http://schemas.openxmlformats.org/drawingml/2006/main">
                  <a:graphicData uri="http://schemas.microsoft.com/office/word/2010/wordprocessingShape">
                    <wps:wsp>
                      <wps:cNvSpPr/>
                      <wps:spPr>
                        <a:xfrm>
                          <a:off x="0" y="0"/>
                          <a:ext cx="133350" cy="142240"/>
                        </a:xfrm>
                        <a:prstGeom prst="triangle">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05pt;margin-top:51.1pt;height:11.2pt;width:10.5pt;z-index:251672576;v-text-anchor:middle;mso-width-relative:page;mso-height-relative:page;" fillcolor="#000000 [3213]" filled="t" stroked="t" coordsize="21600,21600" o:gfxdata="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c4yB61wAAAAsBAAAPAAAAAAAAAAEAIAAAACIAAABkcnMvZG93&#10;bnJldi54bWxQSwECFAAUAAAACACHTuJAHlu6hnMCAADrBAAADgAAAAAAAAABACAAAAAmAQAAZHJz&#10;L2Uyb0RvYy54bWxQSwUGAAAAAAYABgBZAQAACwYAAAAA&#10;" adj="10800">
                <v:fill on="t" focussize="0,0"/>
                <v:stroke weight="2pt" color="#000000 [3213]" joinstyle="round"/>
                <v:imagedata o:title=""/>
                <o:lock v:ext="edit" aspectratio="f"/>
              </v:shape>
            </w:pict>
          </mc:Fallback>
        </mc:AlternateContent>
      </w:r>
      <w:r>
        <w:rPr>
          <w:color w:val="auto"/>
          <w:sz w:val="28"/>
        </w:rPr>
        <mc:AlternateContent>
          <mc:Choice Requires="wps">
            <w:drawing>
              <wp:anchor distT="0" distB="0" distL="114300" distR="114300" simplePos="0" relativeHeight="251671552" behindDoc="0" locked="0" layoutInCell="1" allowOverlap="1">
                <wp:simplePos x="0" y="0"/>
                <wp:positionH relativeFrom="column">
                  <wp:posOffset>3051175</wp:posOffset>
                </wp:positionH>
                <wp:positionV relativeFrom="paragraph">
                  <wp:posOffset>791845</wp:posOffset>
                </wp:positionV>
                <wp:extent cx="133350" cy="142240"/>
                <wp:effectExtent l="12700" t="12700" r="25400" b="16510"/>
                <wp:wrapNone/>
                <wp:docPr id="31" name="等腰三角形 31"/>
                <wp:cNvGraphicFramePr/>
                <a:graphic xmlns:a="http://schemas.openxmlformats.org/drawingml/2006/main">
                  <a:graphicData uri="http://schemas.microsoft.com/office/word/2010/wordprocessingShape">
                    <wps:wsp>
                      <wps:cNvSpPr/>
                      <wps:spPr>
                        <a:xfrm>
                          <a:off x="0" y="0"/>
                          <a:ext cx="133350" cy="142240"/>
                        </a:xfrm>
                        <a:prstGeom prst="triangle">
                          <a:avLst/>
                        </a:prstGeom>
                        <a:solidFill>
                          <a:schemeClr val="tx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40.25pt;margin-top:62.35pt;height:11.2pt;width:10.5pt;z-index:251671552;v-text-anchor:middle;mso-width-relative:page;mso-height-relative:page;" fillcolor="#000000 [3213]" filled="t" stroked="t" coordsize="21600,21600" o:gfxdata="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TNHpzYAAAACwEAAA8AAAAAAAAAAQAgAAAAIgAAAGRycy9kb3du&#10;cmV2LnhtbFBLAQIUABQAAAAIAIdO4kBYFHRlcQIAAOsEAAAOAAAAAAAAAAEAIAAAACcBAABkcnMv&#10;ZTJvRG9jLnhtbFBLBQYAAAAABgAGAFkBAAAKBgAAAAA=&#10;" adj="10800">
                <v:fill on="t" focussize="0,0"/>
                <v:stroke weight="2pt" color="#000000 [3213]" joinstyle="round"/>
                <v:imagedata o:title=""/>
                <o:lock v:ext="edit" aspectratio="f"/>
              </v:shape>
            </w:pict>
          </mc:Fallback>
        </mc:AlternateContent>
      </w:r>
    </w:p>
    <w:p w14:paraId="304B0518">
      <w:pPr>
        <w:bidi w:val="0"/>
        <w:jc w:val="center"/>
        <w:rPr>
          <w:rFonts w:hint="default"/>
          <w:b/>
          <w:bCs/>
          <w:color w:val="auto"/>
          <w:lang w:val="en-US" w:eastAsia="zh-CN"/>
        </w:rPr>
      </w:pPr>
      <w:r>
        <w:rPr>
          <w:rFonts w:hint="default"/>
          <w:b/>
          <w:bCs/>
          <w:color w:val="auto"/>
          <w:lang w:val="en-US" w:eastAsia="zh-CN"/>
        </w:rPr>
        <w:t>图9.2-1</w:t>
      </w:r>
      <w:r>
        <w:rPr>
          <w:rFonts w:hint="eastAsia"/>
          <w:b/>
          <w:bCs/>
          <w:color w:val="auto"/>
          <w:lang w:val="en-US" w:eastAsia="zh-CN"/>
        </w:rPr>
        <w:t xml:space="preserve">  监测点位图</w:t>
      </w:r>
    </w:p>
    <w:p w14:paraId="27C06B00">
      <w:pPr>
        <w:pStyle w:val="3"/>
        <w:numPr>
          <w:ilvl w:val="0"/>
          <w:numId w:val="0"/>
        </w:numPr>
        <w:rPr>
          <w:rFonts w:hint="default" w:ascii="Times New Roman" w:hAnsi="Times New Roman" w:eastAsia="宋体" w:cs="Times New Roman"/>
          <w:color w:val="auto"/>
        </w:rPr>
      </w:pPr>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3</w:t>
      </w:r>
      <w:r>
        <w:rPr>
          <w:rFonts w:hint="default" w:ascii="Times New Roman" w:hAnsi="Times New Roman" w:eastAsia="宋体" w:cs="Times New Roman"/>
          <w:color w:val="auto"/>
        </w:rPr>
        <w:t>环境监理</w:t>
      </w:r>
      <w:bookmarkEnd w:id="379"/>
      <w:bookmarkEnd w:id="380"/>
      <w:bookmarkEnd w:id="381"/>
      <w:bookmarkEnd w:id="382"/>
      <w:bookmarkEnd w:id="383"/>
      <w:bookmarkEnd w:id="384"/>
      <w:bookmarkEnd w:id="385"/>
      <w:bookmarkEnd w:id="418"/>
    </w:p>
    <w:p w14:paraId="1C3C3CA4">
      <w:pPr>
        <w:pStyle w:val="5"/>
        <w:ind w:left="0" w:leftChars="0" w:firstLine="0" w:firstLineChars="0"/>
        <w:rPr>
          <w:rFonts w:hint="default" w:ascii="Times New Roman" w:hAnsi="Times New Roman" w:eastAsia="宋体" w:cs="Times New Roman"/>
          <w:color w:val="auto"/>
        </w:rPr>
      </w:pPr>
      <w:bookmarkStart w:id="419" w:name="_Toc260057073"/>
      <w:bookmarkStart w:id="420" w:name="_Toc323909059"/>
      <w:bookmarkStart w:id="421" w:name="_Toc351046782"/>
      <w:bookmarkStart w:id="422" w:name="_Toc227360422"/>
      <w:bookmarkStart w:id="423" w:name="_Toc223853171"/>
      <w:bookmarkStart w:id="424" w:name="_Toc246761945"/>
      <w:bookmarkStart w:id="425" w:name="_Toc253050292"/>
      <w:bookmarkStart w:id="426" w:name="_Toc352320868"/>
      <w:bookmarkStart w:id="427" w:name="_Toc8125"/>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3</w:t>
      </w:r>
      <w:r>
        <w:rPr>
          <w:rFonts w:hint="default" w:ascii="Times New Roman" w:hAnsi="Times New Roman" w:eastAsia="宋体" w:cs="Times New Roman"/>
          <w:color w:val="auto"/>
        </w:rPr>
        <w:t>.1环境监理</w:t>
      </w:r>
      <w:bookmarkEnd w:id="419"/>
      <w:bookmarkEnd w:id="420"/>
      <w:bookmarkEnd w:id="421"/>
      <w:bookmarkEnd w:id="422"/>
      <w:bookmarkEnd w:id="423"/>
      <w:bookmarkEnd w:id="424"/>
      <w:bookmarkEnd w:id="425"/>
      <w:bookmarkEnd w:id="426"/>
      <w:r>
        <w:rPr>
          <w:rFonts w:hint="default" w:ascii="Times New Roman" w:hAnsi="Times New Roman" w:eastAsia="宋体" w:cs="Times New Roman"/>
          <w:color w:val="auto"/>
        </w:rPr>
        <w:t>结构和制度</w:t>
      </w:r>
      <w:bookmarkEnd w:id="427"/>
    </w:p>
    <w:p w14:paraId="51A5FB96">
      <w:pPr>
        <w:spacing w:after="48" w:afterLines="20"/>
        <w:ind w:firstLine="480"/>
        <w:rPr>
          <w:rFonts w:hint="default" w:ascii="Times New Roman" w:hAnsi="Times New Roman" w:eastAsia="宋体" w:cs="Times New Roman"/>
          <w:color w:val="auto"/>
        </w:rPr>
      </w:pPr>
      <w:bookmarkStart w:id="428" w:name="_Toc227360423"/>
      <w:bookmarkStart w:id="429" w:name="_Toc253050293"/>
      <w:bookmarkStart w:id="430" w:name="_Toc246761946"/>
      <w:bookmarkStart w:id="431" w:name="_Toc351046783"/>
      <w:bookmarkStart w:id="432" w:name="_Toc260057074"/>
      <w:bookmarkStart w:id="433" w:name="_Toc352320869"/>
      <w:bookmarkStart w:id="434" w:name="_Toc323909060"/>
      <w:bookmarkStart w:id="435" w:name="_Toc223853172"/>
      <w:r>
        <w:rPr>
          <w:rFonts w:hint="default" w:ascii="Times New Roman" w:hAnsi="Times New Roman" w:eastAsia="宋体" w:cs="Times New Roman"/>
          <w:color w:val="auto"/>
        </w:rPr>
        <w:t>施工期的环境监理由建设单位委托具有工程监理资质的单位，对设计文件及环境影响报告书中环境保护措施的落实情况进行工程环境监理。为了保证监理计划的执行，建设单位应在工程施工前与监理单位签订建设期的监理合同。</w:t>
      </w:r>
    </w:p>
    <w:p w14:paraId="52BAC4F0">
      <w:pPr>
        <w:spacing w:after="48" w:afterLines="20"/>
        <w:ind w:right="-105" w:firstLine="480"/>
        <w:rPr>
          <w:rFonts w:hint="default" w:ascii="Times New Roman" w:hAnsi="Times New Roman" w:eastAsia="宋体" w:cs="Times New Roman"/>
          <w:color w:val="auto"/>
        </w:rPr>
      </w:pPr>
      <w:r>
        <w:rPr>
          <w:rFonts w:hint="default" w:ascii="Times New Roman" w:hAnsi="Times New Roman" w:eastAsia="宋体" w:cs="Times New Roman"/>
          <w:color w:val="auto"/>
          <w:lang w:val="zh-CN"/>
        </w:rPr>
        <w:t>建设单位、环境监理单位以及相关方应明确责任，详见下表。</w:t>
      </w:r>
    </w:p>
    <w:p w14:paraId="1D6D05C0">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bookmarkStart w:id="436" w:name="_Ref148415350"/>
      <w:r>
        <w:rPr>
          <w:rFonts w:hint="default" w:ascii="Times New Roman" w:hAnsi="Times New Roman" w:eastAsia="宋体" w:cs="Times New Roman"/>
          <w:b/>
          <w:bCs/>
          <w:color w:val="auto"/>
          <w:kern w:val="0"/>
          <w:sz w:val="21"/>
          <w:szCs w:val="21"/>
          <w:lang w:bidi="ar"/>
        </w:rPr>
        <w:t>表</w:t>
      </w:r>
      <w:bookmarkEnd w:id="436"/>
      <w:r>
        <w:rPr>
          <w:rFonts w:hint="eastAsia" w:cs="Times New Roman"/>
          <w:b/>
          <w:bCs/>
          <w:color w:val="auto"/>
          <w:kern w:val="0"/>
          <w:sz w:val="21"/>
          <w:szCs w:val="21"/>
          <w:lang w:val="en-US" w:eastAsia="zh-CN" w:bidi="ar"/>
        </w:rPr>
        <w:t>9</w:t>
      </w:r>
      <w:r>
        <w:rPr>
          <w:rFonts w:hint="default" w:ascii="Times New Roman" w:hAnsi="Times New Roman" w:eastAsia="宋体" w:cs="Times New Roman"/>
          <w:b/>
          <w:bCs/>
          <w:color w:val="auto"/>
          <w:kern w:val="0"/>
          <w:sz w:val="21"/>
          <w:szCs w:val="21"/>
          <w:lang w:val="en-US" w:eastAsia="zh-CN" w:bidi="ar"/>
        </w:rPr>
        <w:t>.</w:t>
      </w:r>
      <w:r>
        <w:rPr>
          <w:rFonts w:hint="eastAsia" w:cs="Times New Roman"/>
          <w:b/>
          <w:bCs/>
          <w:color w:val="auto"/>
          <w:kern w:val="0"/>
          <w:sz w:val="21"/>
          <w:szCs w:val="21"/>
          <w:lang w:val="en-US" w:eastAsia="zh-CN" w:bidi="ar"/>
        </w:rPr>
        <w:t>3</w:t>
      </w:r>
      <w:r>
        <w:rPr>
          <w:rFonts w:hint="default" w:ascii="Times New Roman" w:hAnsi="Times New Roman" w:eastAsia="宋体" w:cs="Times New Roman"/>
          <w:b/>
          <w:bCs/>
          <w:color w:val="auto"/>
          <w:kern w:val="0"/>
          <w:sz w:val="21"/>
          <w:szCs w:val="21"/>
          <w:lang w:bidi="ar"/>
        </w:rPr>
        <w:noBreakHyphen/>
      </w:r>
      <w:r>
        <w:rPr>
          <w:rFonts w:hint="default" w:ascii="Times New Roman" w:hAnsi="Times New Roman" w:eastAsia="宋体" w:cs="Times New Roman"/>
          <w:b/>
          <w:bCs/>
          <w:color w:val="auto"/>
          <w:kern w:val="0"/>
          <w:sz w:val="21"/>
          <w:szCs w:val="21"/>
          <w:lang w:val="en-US" w:eastAsia="zh-CN" w:bidi="ar"/>
        </w:rPr>
        <w:t>1</w:t>
      </w:r>
      <w:r>
        <w:rPr>
          <w:rFonts w:hint="default" w:ascii="Times New Roman" w:hAnsi="Times New Roman" w:eastAsia="宋体" w:cs="Times New Roman"/>
          <w:b/>
          <w:bCs/>
          <w:color w:val="auto"/>
          <w:kern w:val="0"/>
          <w:sz w:val="21"/>
          <w:szCs w:val="21"/>
          <w:lang w:bidi="ar"/>
        </w:rPr>
        <w:t xml:space="preserve">   环境监理相关方及其责任</w:t>
      </w:r>
    </w:p>
    <w:tbl>
      <w:tblPr>
        <w:tblStyle w:val="5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15"/>
        <w:gridCol w:w="1514"/>
        <w:gridCol w:w="6099"/>
      </w:tblGrid>
      <w:tr w14:paraId="761C77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915" w:type="dxa"/>
            <w:tcBorders>
              <w:top w:val="single" w:color="auto" w:sz="4" w:space="0"/>
              <w:left w:val="single" w:color="auto" w:sz="4" w:space="0"/>
              <w:bottom w:val="single" w:color="auto" w:sz="4" w:space="0"/>
              <w:right w:val="single" w:color="auto" w:sz="4" w:space="0"/>
            </w:tcBorders>
            <w:noWrap w:val="0"/>
            <w:vAlign w:val="center"/>
          </w:tcPr>
          <w:p w14:paraId="5653A4D0">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责任相关方</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042E2C50">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单位名称</w:t>
            </w:r>
          </w:p>
        </w:tc>
        <w:tc>
          <w:tcPr>
            <w:tcW w:w="6099" w:type="dxa"/>
            <w:tcBorders>
              <w:top w:val="single" w:color="auto" w:sz="4" w:space="0"/>
              <w:left w:val="single" w:color="auto" w:sz="4" w:space="0"/>
              <w:bottom w:val="single" w:color="auto" w:sz="4" w:space="0"/>
              <w:right w:val="single" w:color="auto" w:sz="4" w:space="0"/>
            </w:tcBorders>
            <w:noWrap w:val="0"/>
            <w:vAlign w:val="center"/>
          </w:tcPr>
          <w:p w14:paraId="28482322">
            <w:pPr>
              <w:widowControl/>
              <w:spacing w:line="240" w:lineRule="auto"/>
              <w:ind w:firstLine="0" w:firstLineChars="0"/>
              <w:jc w:val="center"/>
              <w:rPr>
                <w:rFonts w:hint="default" w:ascii="Times New Roman" w:hAnsi="Times New Roman" w:eastAsia="宋体" w:cs="Times New Roman"/>
                <w:b/>
                <w:bCs/>
                <w:color w:val="auto"/>
                <w:kern w:val="0"/>
                <w:sz w:val="21"/>
                <w:szCs w:val="21"/>
                <w:lang w:bidi="ar"/>
              </w:rPr>
            </w:pPr>
            <w:r>
              <w:rPr>
                <w:rFonts w:hint="default" w:ascii="Times New Roman" w:hAnsi="Times New Roman" w:eastAsia="宋体" w:cs="Times New Roman"/>
                <w:b/>
                <w:bCs/>
                <w:color w:val="auto"/>
                <w:kern w:val="0"/>
                <w:sz w:val="21"/>
                <w:szCs w:val="21"/>
                <w:lang w:bidi="ar"/>
              </w:rPr>
              <w:t>环境监理责任</w:t>
            </w:r>
          </w:p>
        </w:tc>
      </w:tr>
      <w:tr w14:paraId="4916E5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5" w:type="dxa"/>
            <w:tcBorders>
              <w:top w:val="single" w:color="auto" w:sz="4" w:space="0"/>
              <w:left w:val="single" w:color="auto" w:sz="4" w:space="0"/>
              <w:bottom w:val="single" w:color="auto" w:sz="4" w:space="0"/>
              <w:right w:val="single" w:color="auto" w:sz="4" w:space="0"/>
            </w:tcBorders>
            <w:noWrap w:val="0"/>
            <w:vAlign w:val="center"/>
          </w:tcPr>
          <w:p w14:paraId="6F74E169">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建设单位</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3037F635">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cs="Times New Roman"/>
                <w:b w:val="0"/>
                <w:bCs w:val="0"/>
                <w:color w:val="auto"/>
                <w:kern w:val="0"/>
                <w:sz w:val="21"/>
                <w:szCs w:val="21"/>
                <w:lang w:val="en-US" w:eastAsia="zh-CN" w:bidi="ar"/>
              </w:rPr>
              <w:t>元江县交通运输局</w:t>
            </w:r>
          </w:p>
        </w:tc>
        <w:tc>
          <w:tcPr>
            <w:tcW w:w="6099" w:type="dxa"/>
            <w:tcBorders>
              <w:top w:val="single" w:color="auto" w:sz="4" w:space="0"/>
              <w:left w:val="single" w:color="auto" w:sz="4" w:space="0"/>
              <w:bottom w:val="single" w:color="auto" w:sz="4" w:space="0"/>
              <w:right w:val="single" w:color="auto" w:sz="4" w:space="0"/>
            </w:tcBorders>
            <w:noWrap w:val="0"/>
            <w:vAlign w:val="top"/>
          </w:tcPr>
          <w:p w14:paraId="04DE404A">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1、委托环境监理单位，组织开展环境监理工作；</w:t>
            </w:r>
          </w:p>
          <w:p w14:paraId="76ED232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2、委托施工单位，并将环境监理要求的各项环保措施纳入与施工单位</w:t>
            </w:r>
            <w:r>
              <w:rPr>
                <w:rFonts w:hint="eastAsia" w:cs="Times New Roman"/>
                <w:b w:val="0"/>
                <w:bCs w:val="0"/>
                <w:color w:val="auto"/>
                <w:kern w:val="0"/>
                <w:sz w:val="21"/>
                <w:szCs w:val="21"/>
                <w:lang w:val="en-US" w:eastAsia="zh-CN" w:bidi="ar"/>
              </w:rPr>
              <w:t>签订</w:t>
            </w:r>
            <w:r>
              <w:rPr>
                <w:rFonts w:hint="default" w:ascii="Times New Roman" w:hAnsi="Times New Roman" w:eastAsia="宋体" w:cs="Times New Roman"/>
                <w:b w:val="0"/>
                <w:bCs w:val="0"/>
                <w:color w:val="auto"/>
                <w:kern w:val="0"/>
                <w:sz w:val="21"/>
                <w:szCs w:val="21"/>
                <w:lang w:bidi="ar"/>
              </w:rPr>
              <w:t>的施工合同条款中，并在建设过程中督促施工单位逐项落实。</w:t>
            </w:r>
          </w:p>
        </w:tc>
      </w:tr>
      <w:tr w14:paraId="57F199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15" w:type="dxa"/>
            <w:vMerge w:val="restart"/>
            <w:tcBorders>
              <w:top w:val="single" w:color="auto" w:sz="4" w:space="0"/>
              <w:left w:val="single" w:color="auto" w:sz="4" w:space="0"/>
              <w:bottom w:val="single" w:color="auto" w:sz="4" w:space="0"/>
              <w:right w:val="single" w:color="auto" w:sz="4" w:space="0"/>
            </w:tcBorders>
            <w:noWrap w:val="0"/>
            <w:vAlign w:val="center"/>
          </w:tcPr>
          <w:p w14:paraId="2B7D6C0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环境监理单位</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6375422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cs="Times New Roman"/>
                <w:b w:val="0"/>
                <w:bCs w:val="0"/>
                <w:color w:val="auto"/>
                <w:kern w:val="0"/>
                <w:sz w:val="21"/>
                <w:szCs w:val="21"/>
                <w:lang w:val="en-US" w:eastAsia="zh-CN" w:bidi="ar"/>
              </w:rPr>
              <w:t>玉溪市交通监理咨询有限责任公司</w:t>
            </w:r>
          </w:p>
        </w:tc>
        <w:tc>
          <w:tcPr>
            <w:tcW w:w="6099" w:type="dxa"/>
            <w:tcBorders>
              <w:top w:val="single" w:color="auto" w:sz="4" w:space="0"/>
              <w:left w:val="single" w:color="auto" w:sz="4" w:space="0"/>
              <w:bottom w:val="single" w:color="auto" w:sz="4" w:space="0"/>
              <w:right w:val="single" w:color="auto" w:sz="4" w:space="0"/>
            </w:tcBorders>
            <w:noWrap w:val="0"/>
            <w:vAlign w:val="top"/>
          </w:tcPr>
          <w:p w14:paraId="3BD65740">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1、成立相应的环境监理工作小组，并根据环评报告书中环境监理内容及项目建设实际情况，提出环境监理工作计划，报送环境保护局和建设单位。</w:t>
            </w:r>
          </w:p>
          <w:p w14:paraId="0393A3FE">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2、根据环境监理工作小组的监理情况，编制每月监理报告，项目完工之后编制监理工作总报告，并将每月监理报告和总报告及时报送环境保护局和建设单位。</w:t>
            </w:r>
          </w:p>
        </w:tc>
      </w:tr>
      <w:tr w14:paraId="1B215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15" w:type="dxa"/>
            <w:vMerge w:val="continue"/>
            <w:tcBorders>
              <w:top w:val="single" w:color="auto" w:sz="4" w:space="0"/>
              <w:left w:val="single" w:color="auto" w:sz="4" w:space="0"/>
              <w:bottom w:val="single" w:color="auto" w:sz="4" w:space="0"/>
              <w:right w:val="single" w:color="auto" w:sz="4" w:space="0"/>
            </w:tcBorders>
            <w:noWrap w:val="0"/>
            <w:vAlign w:val="center"/>
          </w:tcPr>
          <w:p w14:paraId="2FC542CF">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5F873430">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环境监理单位内组织的环境监理工作小组</w:t>
            </w:r>
          </w:p>
        </w:tc>
        <w:tc>
          <w:tcPr>
            <w:tcW w:w="6099" w:type="dxa"/>
            <w:tcBorders>
              <w:top w:val="single" w:color="auto" w:sz="4" w:space="0"/>
              <w:left w:val="single" w:color="auto" w:sz="4" w:space="0"/>
              <w:bottom w:val="single" w:color="auto" w:sz="4" w:space="0"/>
              <w:right w:val="single" w:color="auto" w:sz="4" w:space="0"/>
            </w:tcBorders>
            <w:noWrap w:val="0"/>
            <w:vAlign w:val="top"/>
          </w:tcPr>
          <w:p w14:paraId="464B328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环境监理工作小组须按照环境监理工作计划内容，对建设项目施工现场组织定期巡查和监测，实地了解施工活动对周围环境的影响情况，发现问题及时与建设单位、施工单位及各有关部门联系，提出解决问题的建议并督促落实。</w:t>
            </w:r>
          </w:p>
        </w:tc>
      </w:tr>
      <w:tr w14:paraId="7325D3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15" w:type="dxa"/>
            <w:tcBorders>
              <w:top w:val="single" w:color="auto" w:sz="4" w:space="0"/>
              <w:left w:val="single" w:color="auto" w:sz="4" w:space="0"/>
              <w:bottom w:val="single" w:color="auto" w:sz="4" w:space="0"/>
              <w:right w:val="single" w:color="auto" w:sz="4" w:space="0"/>
            </w:tcBorders>
            <w:noWrap w:val="0"/>
            <w:vAlign w:val="center"/>
          </w:tcPr>
          <w:p w14:paraId="2DFA603B">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施工单位</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2C26970E">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val="en-US" w:eastAsia="zh-CN" w:bidi="ar"/>
              </w:rPr>
            </w:pPr>
            <w:r>
              <w:rPr>
                <w:rFonts w:hint="eastAsia" w:cs="Times New Roman"/>
                <w:b w:val="0"/>
                <w:bCs w:val="0"/>
                <w:color w:val="auto"/>
                <w:kern w:val="0"/>
                <w:sz w:val="21"/>
                <w:szCs w:val="21"/>
                <w:lang w:val="en-US" w:eastAsia="zh-CN" w:bidi="ar"/>
              </w:rPr>
              <w:t>云南建投第一建设有限公司</w:t>
            </w:r>
          </w:p>
        </w:tc>
        <w:tc>
          <w:tcPr>
            <w:tcW w:w="6099" w:type="dxa"/>
            <w:tcBorders>
              <w:top w:val="single" w:color="auto" w:sz="4" w:space="0"/>
              <w:left w:val="single" w:color="auto" w:sz="4" w:space="0"/>
              <w:bottom w:val="single" w:color="auto" w:sz="4" w:space="0"/>
              <w:right w:val="single" w:color="auto" w:sz="4" w:space="0"/>
            </w:tcBorders>
            <w:noWrap w:val="0"/>
            <w:vAlign w:val="top"/>
          </w:tcPr>
          <w:p w14:paraId="797E86F4">
            <w:pPr>
              <w:widowControl/>
              <w:spacing w:line="240" w:lineRule="auto"/>
              <w:ind w:firstLine="0" w:firstLineChars="0"/>
              <w:jc w:val="center"/>
              <w:rPr>
                <w:rFonts w:hint="default" w:ascii="Times New Roman" w:hAnsi="Times New Roman" w:eastAsia="宋体" w:cs="Times New Roman"/>
                <w:b w:val="0"/>
                <w:bCs w:val="0"/>
                <w:color w:val="auto"/>
                <w:kern w:val="0"/>
                <w:sz w:val="21"/>
                <w:szCs w:val="21"/>
                <w:lang w:bidi="ar"/>
              </w:rPr>
            </w:pPr>
            <w:r>
              <w:rPr>
                <w:rFonts w:hint="default" w:ascii="Times New Roman" w:hAnsi="Times New Roman" w:eastAsia="宋体" w:cs="Times New Roman"/>
                <w:b w:val="0"/>
                <w:bCs w:val="0"/>
                <w:color w:val="auto"/>
                <w:kern w:val="0"/>
                <w:sz w:val="21"/>
                <w:szCs w:val="21"/>
                <w:lang w:bidi="ar"/>
              </w:rPr>
              <w:t>1、按照与建设单位</w:t>
            </w:r>
            <w:r>
              <w:rPr>
                <w:rFonts w:hint="default" w:ascii="Times New Roman" w:hAnsi="Times New Roman" w:eastAsia="宋体" w:cs="Times New Roman"/>
                <w:b w:val="0"/>
                <w:bCs w:val="0"/>
                <w:color w:val="auto"/>
                <w:kern w:val="0"/>
                <w:sz w:val="21"/>
                <w:szCs w:val="21"/>
                <w:lang w:eastAsia="zh-CN" w:bidi="ar"/>
              </w:rPr>
              <w:t>签订</w:t>
            </w:r>
            <w:r>
              <w:rPr>
                <w:rFonts w:hint="default" w:ascii="Times New Roman" w:hAnsi="Times New Roman" w:eastAsia="宋体" w:cs="Times New Roman"/>
                <w:b w:val="0"/>
                <w:bCs w:val="0"/>
                <w:color w:val="auto"/>
                <w:kern w:val="0"/>
                <w:sz w:val="21"/>
                <w:szCs w:val="21"/>
                <w:lang w:bidi="ar"/>
              </w:rPr>
              <w:t>的施工合同条款中有关环境监理要求的各项环保措施，逐项落实。</w:t>
            </w:r>
          </w:p>
        </w:tc>
      </w:tr>
    </w:tbl>
    <w:p w14:paraId="5C8D5CA2">
      <w:pPr>
        <w:pStyle w:val="5"/>
        <w:ind w:left="0" w:leftChars="0" w:firstLine="0" w:firstLineChars="0"/>
        <w:rPr>
          <w:rFonts w:hint="default" w:ascii="Times New Roman" w:hAnsi="Times New Roman" w:eastAsia="宋体" w:cs="Times New Roman"/>
          <w:color w:val="auto"/>
        </w:rPr>
      </w:pPr>
      <w:bookmarkStart w:id="437" w:name="_Toc16940"/>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3</w:t>
      </w:r>
      <w:r>
        <w:rPr>
          <w:rFonts w:hint="default" w:ascii="Times New Roman" w:hAnsi="Times New Roman" w:eastAsia="宋体" w:cs="Times New Roman"/>
          <w:color w:val="auto"/>
        </w:rPr>
        <w:t>.2</w:t>
      </w:r>
      <w:bookmarkEnd w:id="428"/>
      <w:bookmarkEnd w:id="429"/>
      <w:bookmarkEnd w:id="430"/>
      <w:bookmarkEnd w:id="431"/>
      <w:bookmarkEnd w:id="432"/>
      <w:bookmarkEnd w:id="433"/>
      <w:bookmarkEnd w:id="434"/>
      <w:bookmarkEnd w:id="435"/>
      <w:r>
        <w:rPr>
          <w:rFonts w:hint="default" w:ascii="Times New Roman" w:hAnsi="Times New Roman" w:eastAsia="宋体" w:cs="Times New Roman"/>
          <w:color w:val="auto"/>
        </w:rPr>
        <w:t>环境监理计划</w:t>
      </w:r>
      <w:bookmarkEnd w:id="437"/>
    </w:p>
    <w:p w14:paraId="176AEDA2">
      <w:pPr>
        <w:ind w:right="-105" w:firstLine="480"/>
        <w:rPr>
          <w:rFonts w:hint="default" w:ascii="Times New Roman" w:hAnsi="Times New Roman" w:eastAsia="宋体" w:cs="Times New Roman"/>
          <w:color w:val="auto"/>
          <w:lang w:val="zh-CN"/>
        </w:rPr>
      </w:pPr>
      <w:bookmarkStart w:id="438" w:name="_Toc253050295"/>
      <w:bookmarkStart w:id="439" w:name="_Toc223853173"/>
      <w:bookmarkStart w:id="440" w:name="_Toc260057075"/>
      <w:bookmarkStart w:id="441" w:name="_Toc246761948"/>
      <w:bookmarkStart w:id="442" w:name="_Toc227360424"/>
      <w:r>
        <w:rPr>
          <w:rFonts w:hint="default" w:ascii="Times New Roman" w:hAnsi="Times New Roman" w:eastAsia="宋体" w:cs="Times New Roman"/>
          <w:color w:val="auto"/>
          <w:lang w:val="zh-CN"/>
        </w:rPr>
        <w:t>项目实施过程中，应由具有环境监理资质的单位对项目施工过程中出现的环境问题，按照评价文件，对施工单位的环保措施执行情况进行监理。施工期环境监理现场工作重点详见下表。</w:t>
      </w:r>
    </w:p>
    <w:bookmarkEnd w:id="438"/>
    <w:bookmarkEnd w:id="439"/>
    <w:bookmarkEnd w:id="440"/>
    <w:bookmarkEnd w:id="441"/>
    <w:bookmarkEnd w:id="442"/>
    <w:p w14:paraId="31876F63">
      <w:pPr>
        <w:pStyle w:val="3"/>
        <w:numPr>
          <w:ilvl w:val="0"/>
          <w:numId w:val="0"/>
        </w:numPr>
        <w:rPr>
          <w:rFonts w:hint="default" w:ascii="Times New Roman" w:hAnsi="Times New Roman" w:eastAsia="宋体" w:cs="Times New Roman"/>
          <w:color w:val="auto"/>
        </w:rPr>
      </w:pPr>
      <w:bookmarkStart w:id="443" w:name="_Toc246761954"/>
      <w:bookmarkStart w:id="444" w:name="_Toc294958835"/>
      <w:bookmarkStart w:id="445" w:name="_Toc352320986"/>
      <w:bookmarkStart w:id="446" w:name="_Toc323909067"/>
      <w:bookmarkStart w:id="447" w:name="_Toc260057077"/>
      <w:bookmarkStart w:id="448" w:name="_Toc227360427"/>
      <w:bookmarkStart w:id="449" w:name="_Toc367844712"/>
      <w:bookmarkStart w:id="450" w:name="_Toc23080"/>
      <w:bookmarkStart w:id="451" w:name="_Toc253050301"/>
      <w:bookmarkStart w:id="452" w:name="_Toc351046790"/>
      <w:bookmarkStart w:id="453" w:name="_Toc227018660"/>
      <w:bookmarkStart w:id="454" w:name="_Toc352320876"/>
      <w:r>
        <w:rPr>
          <w:rFonts w:hint="eastAsia" w:cs="Times New Roman"/>
          <w:color w:val="auto"/>
          <w:lang w:val="en-US" w:eastAsia="zh-CN"/>
        </w:rPr>
        <w:t>9</w:t>
      </w:r>
      <w:r>
        <w:rPr>
          <w:rFonts w:hint="default" w:ascii="Times New Roman" w:hAnsi="Times New Roman" w:eastAsia="宋体" w:cs="Times New Roman"/>
          <w:color w:val="auto"/>
        </w:rPr>
        <w:t>.</w:t>
      </w:r>
      <w:r>
        <w:rPr>
          <w:rFonts w:hint="eastAsia" w:cs="Times New Roman"/>
          <w:color w:val="auto"/>
          <w:lang w:val="en-US" w:eastAsia="zh-CN"/>
        </w:rPr>
        <w:t>4</w:t>
      </w:r>
      <w:r>
        <w:rPr>
          <w:rFonts w:hint="default" w:ascii="Times New Roman" w:hAnsi="Times New Roman" w:eastAsia="宋体" w:cs="Times New Roman"/>
          <w:color w:val="auto"/>
        </w:rPr>
        <w:t>环境保护竣工验收</w:t>
      </w:r>
      <w:bookmarkEnd w:id="443"/>
      <w:bookmarkEnd w:id="444"/>
      <w:bookmarkEnd w:id="445"/>
      <w:bookmarkEnd w:id="446"/>
      <w:bookmarkEnd w:id="447"/>
      <w:bookmarkEnd w:id="448"/>
      <w:bookmarkEnd w:id="449"/>
      <w:bookmarkEnd w:id="450"/>
      <w:bookmarkEnd w:id="451"/>
      <w:bookmarkEnd w:id="452"/>
      <w:bookmarkEnd w:id="453"/>
      <w:bookmarkEnd w:id="454"/>
    </w:p>
    <w:p w14:paraId="4CF78EFE">
      <w:pPr>
        <w:pStyle w:val="505"/>
        <w:ind w:firstLine="468"/>
        <w:rPr>
          <w:rFonts w:hint="default" w:ascii="Times New Roman" w:hAnsi="Times New Roman" w:eastAsia="宋体" w:cs="Times New Roman"/>
          <w:color w:val="auto"/>
        </w:rPr>
      </w:pPr>
      <w:r>
        <w:rPr>
          <w:rFonts w:hint="default" w:ascii="Times New Roman" w:hAnsi="Times New Roman" w:eastAsia="宋体" w:cs="Times New Roman"/>
          <w:color w:val="auto"/>
          <w:spacing w:val="-3"/>
        </w:rPr>
        <w:t>本工程所有环保设施均应与主体工程同时设计、同时施工、同时投产，按建设项目竣工环境保护验收管理办法的相关规定，该项目竣工环境保护验收内容见</w:t>
      </w:r>
      <w:r>
        <w:rPr>
          <w:rFonts w:hint="default" w:ascii="Times New Roman" w:hAnsi="Times New Roman" w:eastAsia="宋体" w:cs="Times New Roman"/>
          <w:color w:val="auto"/>
        </w:rPr>
        <w:t>表</w:t>
      </w:r>
      <w:r>
        <w:rPr>
          <w:rFonts w:hint="default" w:ascii="Times New Roman" w:hAnsi="Times New Roman" w:eastAsia="宋体" w:cs="Times New Roman"/>
          <w:color w:val="auto"/>
          <w:spacing w:val="-60"/>
        </w:rPr>
        <w:t xml:space="preserve"> </w:t>
      </w:r>
      <w:r>
        <w:rPr>
          <w:rFonts w:hint="eastAsia" w:ascii="Times New Roman" w:hAnsi="Times New Roman" w:cs="Times New Roman"/>
          <w:color w:val="auto"/>
          <w:lang w:val="en-US" w:eastAsia="zh-CN"/>
        </w:rPr>
        <w:t>9.4</w:t>
      </w:r>
      <w:r>
        <w:rPr>
          <w:rFonts w:hint="default" w:ascii="Times New Roman" w:hAnsi="Times New Roman" w:eastAsia="宋体" w:cs="Times New Roman"/>
          <w:color w:val="auto"/>
        </w:rPr>
        <w:t>-</w:t>
      </w:r>
      <w:r>
        <w:rPr>
          <w:rFonts w:hint="eastAsia" w:ascii="Times New Roman" w:hAnsi="Times New Roman" w:cs="Times New Roman"/>
          <w:color w:val="auto"/>
          <w:lang w:val="en-US" w:eastAsia="zh-CN"/>
        </w:rPr>
        <w:t>1</w:t>
      </w:r>
      <w:r>
        <w:rPr>
          <w:rFonts w:hint="default" w:ascii="Times New Roman" w:hAnsi="Times New Roman" w:eastAsia="宋体" w:cs="Times New Roman"/>
          <w:color w:val="auto"/>
        </w:rPr>
        <w:t>。</w:t>
      </w:r>
    </w:p>
    <w:p w14:paraId="3E4EA008">
      <w:pPr>
        <w:ind w:firstLine="480"/>
        <w:rPr>
          <w:rFonts w:hint="default" w:ascii="Times New Roman" w:hAnsi="Times New Roman" w:eastAsia="宋体" w:cs="Times New Roman"/>
          <w:color w:val="auto"/>
        </w:rPr>
        <w:sectPr>
          <w:pgSz w:w="11906" w:h="16838"/>
          <w:pgMar w:top="1440" w:right="1797" w:bottom="1440" w:left="1797" w:header="851" w:footer="992" w:gutter="0"/>
          <w:pgNumType w:fmt="decimal"/>
          <w:cols w:space="720" w:num="1"/>
          <w:docGrid w:linePitch="312" w:charSpace="0"/>
        </w:sectPr>
      </w:pPr>
    </w:p>
    <w:p w14:paraId="2CCC96A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b/>
          <w:bCs/>
          <w:color w:val="auto"/>
          <w:sz w:val="21"/>
          <w:szCs w:val="21"/>
        </w:rPr>
      </w:pPr>
      <w:r>
        <w:rPr>
          <w:rFonts w:hint="default"/>
          <w:b/>
          <w:bCs/>
          <w:color w:val="auto"/>
          <w:sz w:val="21"/>
          <w:szCs w:val="21"/>
        </w:rPr>
        <w:t>表</w:t>
      </w:r>
      <w:r>
        <w:rPr>
          <w:rFonts w:hint="eastAsia"/>
          <w:b/>
          <w:bCs/>
          <w:color w:val="auto"/>
          <w:sz w:val="21"/>
          <w:szCs w:val="21"/>
          <w:lang w:val="en-US" w:eastAsia="zh-CN"/>
        </w:rPr>
        <w:t>9</w:t>
      </w:r>
      <w:r>
        <w:rPr>
          <w:rFonts w:hint="default"/>
          <w:b/>
          <w:bCs/>
          <w:color w:val="auto"/>
          <w:sz w:val="21"/>
          <w:szCs w:val="21"/>
          <w:lang w:val="en-US" w:eastAsia="zh-CN"/>
        </w:rPr>
        <w:t>.</w:t>
      </w:r>
      <w:r>
        <w:rPr>
          <w:rFonts w:hint="eastAsia"/>
          <w:b/>
          <w:bCs/>
          <w:color w:val="auto"/>
          <w:sz w:val="21"/>
          <w:szCs w:val="21"/>
          <w:lang w:val="en-US" w:eastAsia="zh-CN"/>
        </w:rPr>
        <w:t>4</w:t>
      </w:r>
      <w:r>
        <w:rPr>
          <w:rFonts w:hint="default"/>
          <w:b/>
          <w:bCs/>
          <w:color w:val="auto"/>
          <w:sz w:val="21"/>
          <w:szCs w:val="21"/>
        </w:rPr>
        <w:t>-1   竣工环境保护验收一览表</w:t>
      </w:r>
    </w:p>
    <w:tbl>
      <w:tblPr>
        <w:tblStyle w:val="58"/>
        <w:tblpPr w:leftFromText="180" w:rightFromText="180" w:vertAnchor="text" w:tblpXSpec="center" w:tblpY="1"/>
        <w:tblOverlap w:val="never"/>
        <w:tblW w:w="4998"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57" w:type="dxa"/>
          <w:bottom w:w="0" w:type="dxa"/>
          <w:right w:w="57" w:type="dxa"/>
        </w:tblCellMar>
      </w:tblPr>
      <w:tblGrid>
        <w:gridCol w:w="973"/>
        <w:gridCol w:w="1151"/>
        <w:gridCol w:w="1362"/>
        <w:gridCol w:w="2344"/>
        <w:gridCol w:w="1280"/>
        <w:gridCol w:w="2544"/>
        <w:gridCol w:w="2282"/>
        <w:gridCol w:w="2130"/>
      </w:tblGrid>
      <w:tr w14:paraId="06E874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30" w:hRule="atLeast"/>
          <w:tblHeader/>
        </w:trPr>
        <w:tc>
          <w:tcPr>
            <w:tcW w:w="346" w:type="pct"/>
            <w:noWrap w:val="0"/>
            <w:vAlign w:val="center"/>
          </w:tcPr>
          <w:p w14:paraId="7063FD2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序号</w:t>
            </w:r>
          </w:p>
        </w:tc>
        <w:tc>
          <w:tcPr>
            <w:tcW w:w="2181" w:type="pct"/>
            <w:gridSpan w:val="4"/>
            <w:noWrap w:val="0"/>
            <w:vAlign w:val="center"/>
          </w:tcPr>
          <w:p w14:paraId="2E73862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验收主要内容</w:t>
            </w:r>
          </w:p>
        </w:tc>
        <w:tc>
          <w:tcPr>
            <w:tcW w:w="904" w:type="pct"/>
            <w:tcBorders>
              <w:left w:val="single" w:color="auto" w:sz="4" w:space="0"/>
              <w:right w:val="single" w:color="auto" w:sz="4" w:space="0"/>
            </w:tcBorders>
            <w:noWrap w:val="0"/>
            <w:vAlign w:val="center"/>
          </w:tcPr>
          <w:p w14:paraId="7882853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验收因子/范围</w:t>
            </w:r>
          </w:p>
        </w:tc>
        <w:tc>
          <w:tcPr>
            <w:tcW w:w="811" w:type="pct"/>
            <w:tcBorders>
              <w:left w:val="single" w:color="auto" w:sz="4" w:space="0"/>
              <w:right w:val="single" w:color="auto" w:sz="4" w:space="0"/>
            </w:tcBorders>
            <w:noWrap w:val="0"/>
            <w:vAlign w:val="center"/>
          </w:tcPr>
          <w:p w14:paraId="579F2E7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验收要求</w:t>
            </w:r>
          </w:p>
        </w:tc>
        <w:tc>
          <w:tcPr>
            <w:tcW w:w="756" w:type="pct"/>
            <w:tcBorders>
              <w:left w:val="single" w:color="auto" w:sz="4" w:space="0"/>
            </w:tcBorders>
            <w:noWrap w:val="0"/>
            <w:vAlign w:val="center"/>
          </w:tcPr>
          <w:p w14:paraId="69C27AA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执行标准</w:t>
            </w:r>
          </w:p>
        </w:tc>
      </w:tr>
      <w:tr w14:paraId="118B08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15" w:hRule="atLeast"/>
        </w:trPr>
        <w:tc>
          <w:tcPr>
            <w:tcW w:w="346" w:type="pct"/>
            <w:vMerge w:val="restart"/>
            <w:noWrap w:val="0"/>
            <w:vAlign w:val="center"/>
          </w:tcPr>
          <w:p w14:paraId="2E3D90C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一</w:t>
            </w:r>
          </w:p>
        </w:tc>
        <w:tc>
          <w:tcPr>
            <w:tcW w:w="893" w:type="pct"/>
            <w:gridSpan w:val="2"/>
            <w:noWrap w:val="0"/>
            <w:vAlign w:val="center"/>
          </w:tcPr>
          <w:p w14:paraId="1E6FDB46">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环保设施一览表</w:t>
            </w:r>
          </w:p>
        </w:tc>
        <w:tc>
          <w:tcPr>
            <w:tcW w:w="1288" w:type="pct"/>
            <w:gridSpan w:val="2"/>
            <w:noWrap w:val="0"/>
            <w:vAlign w:val="center"/>
          </w:tcPr>
          <w:p w14:paraId="577814B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工程设计及环评确定的环保设施</w:t>
            </w:r>
          </w:p>
        </w:tc>
        <w:tc>
          <w:tcPr>
            <w:tcW w:w="904" w:type="pct"/>
            <w:tcBorders>
              <w:left w:val="single" w:color="auto" w:sz="4" w:space="0"/>
              <w:right w:val="single" w:color="auto" w:sz="4" w:space="0"/>
            </w:tcBorders>
            <w:noWrap w:val="0"/>
            <w:vAlign w:val="center"/>
          </w:tcPr>
          <w:p w14:paraId="5ACC4BB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811" w:type="pct"/>
            <w:tcBorders>
              <w:left w:val="single" w:color="auto" w:sz="4" w:space="0"/>
              <w:right w:val="single" w:color="auto" w:sz="4" w:space="0"/>
            </w:tcBorders>
            <w:noWrap w:val="0"/>
            <w:vAlign w:val="center"/>
          </w:tcPr>
          <w:p w14:paraId="273A86D6">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756" w:type="pct"/>
            <w:tcBorders>
              <w:left w:val="single" w:color="auto" w:sz="4" w:space="0"/>
            </w:tcBorders>
            <w:noWrap w:val="0"/>
            <w:vAlign w:val="center"/>
          </w:tcPr>
          <w:p w14:paraId="3376687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527BB3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256" w:hRule="atLeast"/>
        </w:trPr>
        <w:tc>
          <w:tcPr>
            <w:tcW w:w="346" w:type="pct"/>
            <w:vMerge w:val="continue"/>
            <w:noWrap w:val="0"/>
            <w:tcMar>
              <w:left w:w="28" w:type="dxa"/>
              <w:right w:w="28" w:type="dxa"/>
            </w:tcMar>
            <w:vAlign w:val="center"/>
          </w:tcPr>
          <w:p w14:paraId="476CCB8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726" w:type="pct"/>
            <w:gridSpan w:val="3"/>
            <w:noWrap w:val="0"/>
            <w:tcMar>
              <w:left w:w="28" w:type="dxa"/>
              <w:right w:w="28" w:type="dxa"/>
            </w:tcMar>
            <w:vAlign w:val="center"/>
          </w:tcPr>
          <w:p w14:paraId="7DED1A6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措施内容</w:t>
            </w:r>
          </w:p>
        </w:tc>
        <w:tc>
          <w:tcPr>
            <w:tcW w:w="455" w:type="pct"/>
            <w:noWrap w:val="0"/>
            <w:tcMar>
              <w:left w:w="28" w:type="dxa"/>
              <w:right w:w="28" w:type="dxa"/>
            </w:tcMar>
            <w:vAlign w:val="center"/>
          </w:tcPr>
          <w:p w14:paraId="4835F86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数 量</w:t>
            </w:r>
          </w:p>
        </w:tc>
        <w:tc>
          <w:tcPr>
            <w:tcW w:w="904" w:type="pct"/>
            <w:tcBorders>
              <w:left w:val="single" w:color="auto" w:sz="4" w:space="0"/>
              <w:right w:val="single" w:color="auto" w:sz="4" w:space="0"/>
            </w:tcBorders>
            <w:noWrap w:val="0"/>
            <w:vAlign w:val="center"/>
          </w:tcPr>
          <w:p w14:paraId="6C2021F9">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11" w:type="pct"/>
            <w:tcBorders>
              <w:left w:val="single" w:color="auto" w:sz="4" w:space="0"/>
              <w:right w:val="single" w:color="auto" w:sz="4" w:space="0"/>
            </w:tcBorders>
            <w:noWrap w:val="0"/>
            <w:vAlign w:val="center"/>
          </w:tcPr>
          <w:p w14:paraId="0CC7D079">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756" w:type="pct"/>
            <w:tcBorders>
              <w:left w:val="single" w:color="auto" w:sz="4" w:space="0"/>
            </w:tcBorders>
            <w:noWrap w:val="0"/>
            <w:vAlign w:val="center"/>
          </w:tcPr>
          <w:p w14:paraId="5BF3A24A">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612277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94" w:hRule="atLeast"/>
        </w:trPr>
        <w:tc>
          <w:tcPr>
            <w:tcW w:w="346" w:type="pct"/>
            <w:vMerge w:val="restart"/>
            <w:noWrap w:val="0"/>
            <w:tcMar>
              <w:left w:w="28" w:type="dxa"/>
              <w:right w:w="28" w:type="dxa"/>
            </w:tcMar>
            <w:vAlign w:val="center"/>
          </w:tcPr>
          <w:p w14:paraId="18BC378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生态保护及恢复</w:t>
            </w:r>
          </w:p>
        </w:tc>
        <w:tc>
          <w:tcPr>
            <w:tcW w:w="409" w:type="pct"/>
            <w:vMerge w:val="restart"/>
            <w:noWrap w:val="0"/>
            <w:tcMar>
              <w:left w:w="28" w:type="dxa"/>
              <w:right w:w="28" w:type="dxa"/>
            </w:tcMar>
            <w:vAlign w:val="center"/>
          </w:tcPr>
          <w:p w14:paraId="3CB372B4">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317" w:type="pct"/>
            <w:gridSpan w:val="2"/>
            <w:noWrap w:val="0"/>
            <w:tcMar>
              <w:left w:w="28" w:type="dxa"/>
              <w:right w:w="28" w:type="dxa"/>
            </w:tcMar>
            <w:vAlign w:val="center"/>
          </w:tcPr>
          <w:p w14:paraId="792A4E1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沿线绿化及景观美化</w:t>
            </w:r>
          </w:p>
        </w:tc>
        <w:tc>
          <w:tcPr>
            <w:tcW w:w="455" w:type="pct"/>
            <w:noWrap w:val="0"/>
            <w:tcMar>
              <w:left w:w="28" w:type="dxa"/>
              <w:right w:w="28" w:type="dxa"/>
            </w:tcMar>
            <w:vAlign w:val="center"/>
          </w:tcPr>
          <w:p w14:paraId="38D744D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沿线</w:t>
            </w:r>
          </w:p>
        </w:tc>
        <w:tc>
          <w:tcPr>
            <w:tcW w:w="904" w:type="pct"/>
            <w:vMerge w:val="restart"/>
            <w:tcBorders>
              <w:left w:val="single" w:color="auto" w:sz="4" w:space="0"/>
              <w:right w:val="single" w:color="auto" w:sz="4" w:space="0"/>
            </w:tcBorders>
            <w:noWrap w:val="0"/>
            <w:vAlign w:val="center"/>
          </w:tcPr>
          <w:p w14:paraId="2394FDE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验收因子：</w:t>
            </w:r>
          </w:p>
          <w:p w14:paraId="0E1FEB4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水土流失、护坡、野生动植物保护、土地使用功能、迹地恢复及景观。</w:t>
            </w:r>
          </w:p>
          <w:p w14:paraId="378881A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验收范围：</w:t>
            </w:r>
          </w:p>
          <w:p w14:paraId="1793D3D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道路沿线300m范围内及临时用地区域。</w:t>
            </w:r>
          </w:p>
        </w:tc>
        <w:tc>
          <w:tcPr>
            <w:tcW w:w="811" w:type="pct"/>
            <w:vMerge w:val="restart"/>
            <w:tcBorders>
              <w:left w:val="single" w:color="auto" w:sz="4" w:space="0"/>
              <w:right w:val="single" w:color="auto" w:sz="4" w:space="0"/>
            </w:tcBorders>
            <w:noWrap w:val="0"/>
            <w:vAlign w:val="center"/>
          </w:tcPr>
          <w:p w14:paraId="3A2F94A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无明显水土流失，满足水土保持要求，工程措施及生态恢复措施效果显著，土地使用功能恢复到位，路域景观恢复效果佳。路边绿化植树，恢复景观环境。</w:t>
            </w:r>
          </w:p>
        </w:tc>
        <w:tc>
          <w:tcPr>
            <w:tcW w:w="756" w:type="pct"/>
            <w:vMerge w:val="restart"/>
            <w:tcBorders>
              <w:left w:val="single" w:color="auto" w:sz="4" w:space="0"/>
            </w:tcBorders>
            <w:noWrap w:val="0"/>
            <w:vAlign w:val="center"/>
          </w:tcPr>
          <w:p w14:paraId="5DCA52F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《公路建设项目环境影响评价规范（试行）》（JTJ005-96）中水力侵蚀强度分级指标</w:t>
            </w:r>
          </w:p>
        </w:tc>
      </w:tr>
      <w:tr w14:paraId="0BEDFF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544" w:hRule="atLeast"/>
        </w:trPr>
        <w:tc>
          <w:tcPr>
            <w:tcW w:w="346" w:type="pct"/>
            <w:vMerge w:val="continue"/>
            <w:noWrap w:val="0"/>
            <w:tcMar>
              <w:left w:w="28" w:type="dxa"/>
              <w:right w:w="28" w:type="dxa"/>
            </w:tcMar>
            <w:vAlign w:val="center"/>
          </w:tcPr>
          <w:p w14:paraId="0ED507D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246AE8B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23C2F5F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施工场地、施工便道防护措施及植被恢复</w:t>
            </w:r>
          </w:p>
        </w:tc>
        <w:tc>
          <w:tcPr>
            <w:tcW w:w="455" w:type="pct"/>
            <w:noWrap w:val="0"/>
            <w:tcMar>
              <w:left w:w="28" w:type="dxa"/>
              <w:right w:w="28" w:type="dxa"/>
            </w:tcMar>
            <w:vAlign w:val="center"/>
          </w:tcPr>
          <w:p w14:paraId="4915809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vMerge w:val="continue"/>
            <w:tcBorders>
              <w:left w:val="single" w:color="auto" w:sz="4" w:space="0"/>
              <w:right w:val="single" w:color="auto" w:sz="4" w:space="0"/>
            </w:tcBorders>
            <w:noWrap w:val="0"/>
            <w:vAlign w:val="center"/>
          </w:tcPr>
          <w:p w14:paraId="3DCE0CD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811" w:type="pct"/>
            <w:vMerge w:val="continue"/>
            <w:tcBorders>
              <w:left w:val="single" w:color="auto" w:sz="4" w:space="0"/>
              <w:right w:val="single" w:color="auto" w:sz="4" w:space="0"/>
            </w:tcBorders>
            <w:noWrap w:val="0"/>
            <w:vAlign w:val="center"/>
          </w:tcPr>
          <w:p w14:paraId="4775AB9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756" w:type="pct"/>
            <w:vMerge w:val="continue"/>
            <w:tcBorders>
              <w:left w:val="single" w:color="auto" w:sz="4" w:space="0"/>
            </w:tcBorders>
            <w:noWrap w:val="0"/>
            <w:vAlign w:val="center"/>
          </w:tcPr>
          <w:p w14:paraId="1944CDC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5DE59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11" w:hRule="atLeast"/>
        </w:trPr>
        <w:tc>
          <w:tcPr>
            <w:tcW w:w="346" w:type="pct"/>
            <w:vMerge w:val="continue"/>
            <w:noWrap w:val="0"/>
            <w:tcMar>
              <w:left w:w="28" w:type="dxa"/>
              <w:right w:w="28" w:type="dxa"/>
            </w:tcMar>
            <w:vAlign w:val="center"/>
          </w:tcPr>
          <w:p w14:paraId="10EF247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7441FDA4">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79F98B1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施工期临时水保措施</w:t>
            </w:r>
          </w:p>
        </w:tc>
        <w:tc>
          <w:tcPr>
            <w:tcW w:w="455" w:type="pct"/>
            <w:noWrap w:val="0"/>
            <w:tcMar>
              <w:left w:w="28" w:type="dxa"/>
              <w:right w:w="28" w:type="dxa"/>
            </w:tcMar>
            <w:vAlign w:val="center"/>
          </w:tcPr>
          <w:p w14:paraId="047E8C7A">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vMerge w:val="continue"/>
            <w:tcBorders>
              <w:left w:val="single" w:color="auto" w:sz="4" w:space="0"/>
              <w:right w:val="single" w:color="auto" w:sz="4" w:space="0"/>
            </w:tcBorders>
            <w:noWrap w:val="0"/>
            <w:vAlign w:val="center"/>
          </w:tcPr>
          <w:p w14:paraId="2C30EE1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811" w:type="pct"/>
            <w:vMerge w:val="continue"/>
            <w:tcBorders>
              <w:left w:val="single" w:color="auto" w:sz="4" w:space="0"/>
              <w:right w:val="single" w:color="auto" w:sz="4" w:space="0"/>
            </w:tcBorders>
            <w:noWrap w:val="0"/>
            <w:vAlign w:val="center"/>
          </w:tcPr>
          <w:p w14:paraId="2695C08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756" w:type="pct"/>
            <w:vMerge w:val="continue"/>
            <w:tcBorders>
              <w:left w:val="single" w:color="auto" w:sz="4" w:space="0"/>
            </w:tcBorders>
            <w:noWrap w:val="0"/>
            <w:vAlign w:val="center"/>
          </w:tcPr>
          <w:p w14:paraId="5951764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10195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31" w:hRule="atLeast"/>
        </w:trPr>
        <w:tc>
          <w:tcPr>
            <w:tcW w:w="346" w:type="pct"/>
            <w:vMerge w:val="continue"/>
            <w:noWrap w:val="0"/>
            <w:tcMar>
              <w:left w:w="28" w:type="dxa"/>
              <w:right w:w="28" w:type="dxa"/>
            </w:tcMar>
            <w:vAlign w:val="center"/>
          </w:tcPr>
          <w:p w14:paraId="5AE70AAA">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0A1F3E7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6DCEFB8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施工期临时工程设施占地</w:t>
            </w:r>
          </w:p>
          <w:p w14:paraId="4CF89CC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的恢复情况</w:t>
            </w:r>
          </w:p>
        </w:tc>
        <w:tc>
          <w:tcPr>
            <w:tcW w:w="455" w:type="pct"/>
            <w:noWrap w:val="0"/>
            <w:tcMar>
              <w:left w:w="28" w:type="dxa"/>
              <w:right w:w="28" w:type="dxa"/>
            </w:tcMar>
            <w:vAlign w:val="center"/>
          </w:tcPr>
          <w:p w14:paraId="1FD9198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vMerge w:val="continue"/>
            <w:tcBorders>
              <w:left w:val="single" w:color="auto" w:sz="4" w:space="0"/>
              <w:right w:val="single" w:color="auto" w:sz="4" w:space="0"/>
            </w:tcBorders>
            <w:noWrap w:val="0"/>
            <w:vAlign w:val="center"/>
          </w:tcPr>
          <w:p w14:paraId="0BA6DCD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811" w:type="pct"/>
            <w:vMerge w:val="continue"/>
            <w:tcBorders>
              <w:left w:val="single" w:color="auto" w:sz="4" w:space="0"/>
              <w:right w:val="single" w:color="auto" w:sz="4" w:space="0"/>
            </w:tcBorders>
            <w:noWrap w:val="0"/>
            <w:vAlign w:val="center"/>
          </w:tcPr>
          <w:p w14:paraId="24FBD258">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756" w:type="pct"/>
            <w:vMerge w:val="continue"/>
            <w:tcBorders>
              <w:left w:val="single" w:color="auto" w:sz="4" w:space="0"/>
            </w:tcBorders>
            <w:noWrap w:val="0"/>
            <w:vAlign w:val="center"/>
          </w:tcPr>
          <w:p w14:paraId="015CF5F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367A8B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752" w:hRule="atLeast"/>
        </w:trPr>
        <w:tc>
          <w:tcPr>
            <w:tcW w:w="346" w:type="pct"/>
            <w:vMerge w:val="restart"/>
            <w:noWrap w:val="0"/>
            <w:tcMar>
              <w:left w:w="28" w:type="dxa"/>
              <w:right w:w="28" w:type="dxa"/>
            </w:tcMar>
            <w:vAlign w:val="center"/>
          </w:tcPr>
          <w:p w14:paraId="61F4F87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噪声</w:t>
            </w:r>
          </w:p>
          <w:p w14:paraId="617DF27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防治</w:t>
            </w:r>
          </w:p>
        </w:tc>
        <w:tc>
          <w:tcPr>
            <w:tcW w:w="409" w:type="pct"/>
            <w:noWrap w:val="0"/>
            <w:tcMar>
              <w:left w:w="28" w:type="dxa"/>
              <w:right w:w="28" w:type="dxa"/>
            </w:tcMar>
            <w:vAlign w:val="center"/>
          </w:tcPr>
          <w:p w14:paraId="5B9D79A9">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317" w:type="pct"/>
            <w:gridSpan w:val="2"/>
            <w:noWrap w:val="0"/>
            <w:tcMar>
              <w:left w:w="28" w:type="dxa"/>
              <w:right w:w="28" w:type="dxa"/>
            </w:tcMar>
            <w:vAlign w:val="center"/>
          </w:tcPr>
          <w:p w14:paraId="61C3A30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施工期噪声防护措施</w:t>
            </w:r>
          </w:p>
        </w:tc>
        <w:tc>
          <w:tcPr>
            <w:tcW w:w="455" w:type="pct"/>
            <w:noWrap w:val="0"/>
            <w:tcMar>
              <w:left w:w="28" w:type="dxa"/>
              <w:right w:w="28" w:type="dxa"/>
            </w:tcMar>
            <w:vAlign w:val="center"/>
          </w:tcPr>
          <w:p w14:paraId="2A40F808">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7A1671A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施工场地</w:t>
            </w:r>
          </w:p>
        </w:tc>
        <w:tc>
          <w:tcPr>
            <w:tcW w:w="811" w:type="pct"/>
            <w:tcBorders>
              <w:left w:val="single" w:color="auto" w:sz="4" w:space="0"/>
              <w:right w:val="single" w:color="auto" w:sz="4" w:space="0"/>
            </w:tcBorders>
            <w:noWrap w:val="0"/>
            <w:vAlign w:val="center"/>
          </w:tcPr>
          <w:p w14:paraId="173D372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施工期噪声防护措施提供照片和视频材料</w:t>
            </w:r>
          </w:p>
        </w:tc>
        <w:tc>
          <w:tcPr>
            <w:tcW w:w="756" w:type="pct"/>
            <w:tcBorders>
              <w:left w:val="single" w:color="auto" w:sz="4" w:space="0"/>
            </w:tcBorders>
            <w:noWrap w:val="0"/>
            <w:vAlign w:val="center"/>
          </w:tcPr>
          <w:p w14:paraId="1CC3B36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执行</w:t>
            </w:r>
            <w:r>
              <w:rPr>
                <w:rFonts w:hint="eastAsia" w:ascii="宋体" w:hAnsi="宋体" w:eastAsia="宋体" w:cs="宋体"/>
                <w:b w:val="0"/>
                <w:bCs w:val="0"/>
                <w:color w:val="auto"/>
                <w:kern w:val="0"/>
                <w:sz w:val="21"/>
                <w:szCs w:val="21"/>
                <w:lang w:val="en-US" w:eastAsia="zh-CN" w:bidi="ar"/>
              </w:rPr>
              <w:t>《建筑施工场界环境噪声排放标准》</w:t>
            </w:r>
            <w:r>
              <w:rPr>
                <w:rFonts w:hint="eastAsia" w:ascii="宋体" w:hAnsi="宋体" w:eastAsia="宋体" w:cs="宋体"/>
                <w:b w:val="0"/>
                <w:bCs w:val="0"/>
                <w:color w:val="auto"/>
                <w:kern w:val="0"/>
                <w:sz w:val="21"/>
                <w:szCs w:val="21"/>
                <w:lang w:val="en-US" w:eastAsia="zh-CN" w:bidi="ar"/>
              </w:rPr>
              <w:t>（</w:t>
            </w:r>
            <w:r>
              <w:rPr>
                <w:rFonts w:hint="default" w:ascii="Times New Roman" w:hAnsi="Times New Roman" w:eastAsia="宋体" w:cs="Times New Roman"/>
                <w:b w:val="0"/>
                <w:bCs w:val="0"/>
                <w:color w:val="auto"/>
                <w:kern w:val="0"/>
                <w:sz w:val="21"/>
                <w:szCs w:val="21"/>
                <w:lang w:val="en-US" w:eastAsia="zh-CN" w:bidi="ar"/>
              </w:rPr>
              <w:t>GB</w:t>
            </w:r>
            <w:r>
              <w:rPr>
                <w:rFonts w:hint="eastAsia" w:hAnsi="Times New Roman" w:cs="Times New Roman"/>
                <w:b w:val="0"/>
                <w:bCs w:val="0"/>
                <w:color w:val="auto"/>
                <w:kern w:val="0"/>
                <w:sz w:val="21"/>
                <w:szCs w:val="21"/>
                <w:lang w:val="en-US" w:eastAsia="zh-CN" w:bidi="ar"/>
              </w:rPr>
              <w:t xml:space="preserve"> </w:t>
            </w:r>
            <w:r>
              <w:rPr>
                <w:rFonts w:hint="default" w:ascii="Times New Roman" w:hAnsi="Times New Roman" w:eastAsia="宋体" w:cs="Times New Roman"/>
                <w:b w:val="0"/>
                <w:bCs w:val="0"/>
                <w:color w:val="auto"/>
                <w:kern w:val="0"/>
                <w:sz w:val="21"/>
                <w:szCs w:val="21"/>
                <w:lang w:val="en-US" w:eastAsia="zh-CN" w:bidi="ar"/>
              </w:rPr>
              <w:t>12523-2025</w:t>
            </w:r>
            <w:r>
              <w:rPr>
                <w:rFonts w:hint="eastAsia" w:ascii="宋体" w:hAnsi="宋体" w:eastAsia="宋体" w:cs="宋体"/>
                <w:b w:val="0"/>
                <w:bCs w:val="0"/>
                <w:color w:val="auto"/>
                <w:kern w:val="0"/>
                <w:sz w:val="21"/>
                <w:szCs w:val="21"/>
                <w:lang w:val="en-US" w:eastAsia="zh-CN" w:bidi="ar"/>
              </w:rPr>
              <w:t>）</w:t>
            </w:r>
          </w:p>
        </w:tc>
      </w:tr>
      <w:tr w14:paraId="58C6E9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752" w:hRule="atLeast"/>
        </w:trPr>
        <w:tc>
          <w:tcPr>
            <w:tcW w:w="346" w:type="pct"/>
            <w:vMerge w:val="continue"/>
            <w:noWrap w:val="0"/>
            <w:tcMar>
              <w:left w:w="28" w:type="dxa"/>
              <w:right w:w="28" w:type="dxa"/>
            </w:tcMar>
            <w:vAlign w:val="center"/>
          </w:tcPr>
          <w:p w14:paraId="6B615B7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noWrap w:val="0"/>
            <w:tcMar>
              <w:left w:w="28" w:type="dxa"/>
              <w:right w:w="28" w:type="dxa"/>
            </w:tcMar>
            <w:vAlign w:val="center"/>
          </w:tcPr>
          <w:p w14:paraId="6EEA33F8">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营运期</w:t>
            </w:r>
          </w:p>
        </w:tc>
        <w:tc>
          <w:tcPr>
            <w:tcW w:w="1317" w:type="pct"/>
            <w:gridSpan w:val="2"/>
            <w:noWrap w:val="0"/>
            <w:tcMar>
              <w:left w:w="28" w:type="dxa"/>
              <w:right w:w="28" w:type="dxa"/>
            </w:tcMar>
            <w:vAlign w:val="center"/>
          </w:tcPr>
          <w:p w14:paraId="6980F54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禁鸣、限速标志警示牌及跟踪监测预留费用</w:t>
            </w:r>
          </w:p>
        </w:tc>
        <w:tc>
          <w:tcPr>
            <w:tcW w:w="455" w:type="pct"/>
            <w:noWrap w:val="0"/>
            <w:tcMar>
              <w:left w:w="28" w:type="dxa"/>
              <w:right w:w="28" w:type="dxa"/>
            </w:tcMar>
            <w:vAlign w:val="center"/>
          </w:tcPr>
          <w:p w14:paraId="4EC13AA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2680714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验收因子：</w:t>
            </w:r>
          </w:p>
          <w:p w14:paraId="3765670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交通噪声（LAeq）</w:t>
            </w:r>
          </w:p>
          <w:p w14:paraId="1C5E2C7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验收范围：</w:t>
            </w:r>
          </w:p>
          <w:p w14:paraId="5F767D5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道路沿线200之内的声环境敏感点</w:t>
            </w:r>
          </w:p>
        </w:tc>
        <w:tc>
          <w:tcPr>
            <w:tcW w:w="811" w:type="pct"/>
            <w:tcBorders>
              <w:left w:val="single" w:color="auto" w:sz="4" w:space="0"/>
              <w:right w:val="single" w:color="auto" w:sz="4" w:space="0"/>
            </w:tcBorders>
            <w:noWrap w:val="0"/>
            <w:vAlign w:val="center"/>
          </w:tcPr>
          <w:p w14:paraId="4DDE602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满足《建筑施工场界噪声限值》，符合功能区标准。</w:t>
            </w:r>
          </w:p>
        </w:tc>
        <w:tc>
          <w:tcPr>
            <w:tcW w:w="756" w:type="pct"/>
            <w:tcBorders>
              <w:left w:val="single" w:color="auto" w:sz="4" w:space="0"/>
            </w:tcBorders>
            <w:noWrap w:val="0"/>
            <w:vAlign w:val="center"/>
          </w:tcPr>
          <w:p w14:paraId="2C17B68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《建筑施工噪声排放标准》</w:t>
            </w:r>
            <w:r>
              <w:rPr>
                <w:rFonts w:hint="default" w:ascii="Times New Roman" w:hAnsi="Times New Roman" w:eastAsia="宋体" w:cs="Times New Roman"/>
                <w:b w:val="0"/>
                <w:bCs w:val="0"/>
                <w:color w:val="auto"/>
                <w:sz w:val="21"/>
                <w:szCs w:val="21"/>
              </w:rPr>
              <w:t>（GB</w:t>
            </w:r>
            <w:r>
              <w:rPr>
                <w:rFonts w:hint="eastAsia" w:hAnsi="Times New Roman"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12523-2025）</w:t>
            </w:r>
            <w:r>
              <w:rPr>
                <w:rFonts w:hint="default" w:ascii="Times New Roman" w:hAnsi="Times New Roman" w:eastAsia="宋体" w:cs="Times New Roman"/>
                <w:b w:val="0"/>
                <w:bCs w:val="0"/>
                <w:color w:val="auto"/>
                <w:sz w:val="21"/>
                <w:szCs w:val="21"/>
              </w:rPr>
              <w:t>分类标准；符合《声环境质量标准》</w:t>
            </w:r>
            <w:r>
              <w:rPr>
                <w:rFonts w:hint="default" w:ascii="Times New Roman" w:hAnsi="Times New Roman" w:eastAsia="宋体" w:cs="Times New Roman"/>
                <w:b w:val="0"/>
                <w:bCs w:val="0"/>
                <w:color w:val="auto"/>
                <w:sz w:val="21"/>
                <w:szCs w:val="21"/>
              </w:rPr>
              <w:t>（GB</w:t>
            </w:r>
            <w:r>
              <w:rPr>
                <w:rFonts w:hint="eastAsia" w:hAnsi="Times New Roman"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3096－2008）</w:t>
            </w:r>
            <w:r>
              <w:rPr>
                <w:rFonts w:hint="default" w:ascii="Times New Roman" w:hAnsi="Times New Roman" w:eastAsia="宋体" w:cs="Times New Roman"/>
                <w:b w:val="0"/>
                <w:bCs w:val="0"/>
                <w:color w:val="auto"/>
                <w:sz w:val="21"/>
                <w:szCs w:val="21"/>
              </w:rPr>
              <w:t>2类、4a类标准。</w:t>
            </w:r>
          </w:p>
        </w:tc>
      </w:tr>
      <w:tr w14:paraId="7BF7C6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801" w:hRule="atLeast"/>
        </w:trPr>
        <w:tc>
          <w:tcPr>
            <w:tcW w:w="346" w:type="pct"/>
            <w:vMerge w:val="restart"/>
            <w:noWrap w:val="0"/>
            <w:tcMar>
              <w:left w:w="28" w:type="dxa"/>
              <w:right w:w="28" w:type="dxa"/>
            </w:tcMar>
            <w:vAlign w:val="center"/>
          </w:tcPr>
          <w:p w14:paraId="638A798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地表水污染防治</w:t>
            </w:r>
          </w:p>
        </w:tc>
        <w:tc>
          <w:tcPr>
            <w:tcW w:w="409" w:type="pct"/>
            <w:noWrap w:val="0"/>
            <w:tcMar>
              <w:left w:w="28" w:type="dxa"/>
              <w:right w:w="28" w:type="dxa"/>
            </w:tcMar>
            <w:vAlign w:val="center"/>
          </w:tcPr>
          <w:p w14:paraId="64BC47A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317" w:type="pct"/>
            <w:gridSpan w:val="2"/>
            <w:noWrap w:val="0"/>
            <w:tcMar>
              <w:left w:w="28" w:type="dxa"/>
              <w:right w:w="28" w:type="dxa"/>
            </w:tcMar>
            <w:vAlign w:val="center"/>
          </w:tcPr>
          <w:p w14:paraId="719E142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eastAsia" w:hAnsi="Times New Roman" w:cs="Times New Roman"/>
                <w:b w:val="0"/>
                <w:bCs w:val="0"/>
                <w:color w:val="auto"/>
                <w:sz w:val="21"/>
                <w:szCs w:val="21"/>
                <w:lang w:val="en-US" w:eastAsia="zh-CN"/>
              </w:rPr>
              <w:t>施工车辆清洗、</w:t>
            </w:r>
            <w:r>
              <w:rPr>
                <w:rFonts w:hint="default" w:ascii="Times New Roman" w:hAnsi="Times New Roman" w:eastAsia="宋体" w:cs="Times New Roman"/>
                <w:b w:val="0"/>
                <w:bCs w:val="0"/>
                <w:color w:val="auto"/>
                <w:sz w:val="21"/>
                <w:szCs w:val="21"/>
              </w:rPr>
              <w:t>施工生产废水沉淀池</w:t>
            </w:r>
          </w:p>
        </w:tc>
        <w:tc>
          <w:tcPr>
            <w:tcW w:w="455" w:type="pct"/>
            <w:noWrap w:val="0"/>
            <w:tcMar>
              <w:left w:w="28" w:type="dxa"/>
              <w:right w:w="28" w:type="dxa"/>
            </w:tcMar>
            <w:vAlign w:val="center"/>
          </w:tcPr>
          <w:p w14:paraId="2C70E18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1处</w:t>
            </w:r>
          </w:p>
        </w:tc>
        <w:tc>
          <w:tcPr>
            <w:tcW w:w="904" w:type="pct"/>
            <w:tcBorders>
              <w:left w:val="single" w:color="auto" w:sz="4" w:space="0"/>
              <w:right w:val="single" w:color="auto" w:sz="4" w:space="0"/>
            </w:tcBorders>
            <w:noWrap w:val="0"/>
            <w:vAlign w:val="center"/>
          </w:tcPr>
          <w:p w14:paraId="71F9C3E7">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验收因子：</w:t>
            </w:r>
          </w:p>
          <w:p w14:paraId="5CCFBDFB">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COD、BOD</w:t>
            </w:r>
            <w:r>
              <w:rPr>
                <w:rFonts w:hint="default" w:ascii="Times New Roman" w:hAnsi="Times New Roman" w:eastAsia="宋体" w:cs="Times New Roman"/>
                <w:b w:val="0"/>
                <w:bCs w:val="0"/>
                <w:color w:val="auto"/>
                <w:sz w:val="21"/>
                <w:szCs w:val="21"/>
                <w:vertAlign w:val="subscript"/>
              </w:rPr>
              <w:t>5</w:t>
            </w:r>
            <w:r>
              <w:rPr>
                <w:rFonts w:hint="default" w:ascii="Times New Roman" w:hAnsi="Times New Roman" w:eastAsia="宋体" w:cs="Times New Roman"/>
                <w:b w:val="0"/>
                <w:bCs w:val="0"/>
                <w:color w:val="auto"/>
                <w:sz w:val="21"/>
                <w:szCs w:val="21"/>
              </w:rPr>
              <w:t>、SS和石油类</w:t>
            </w:r>
          </w:p>
          <w:p w14:paraId="3116F7B6">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验收范围：</w:t>
            </w:r>
          </w:p>
          <w:p w14:paraId="280B532B">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服务设施污水处理设施及沿线水体水质。</w:t>
            </w:r>
          </w:p>
        </w:tc>
        <w:tc>
          <w:tcPr>
            <w:tcW w:w="811" w:type="pct"/>
            <w:tcBorders>
              <w:left w:val="single" w:color="auto" w:sz="4" w:space="0"/>
              <w:right w:val="single" w:color="auto" w:sz="4" w:space="0"/>
            </w:tcBorders>
            <w:noWrap w:val="0"/>
            <w:vAlign w:val="center"/>
          </w:tcPr>
          <w:p w14:paraId="190D0D2E">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路域水环境质量不受影响。</w:t>
            </w:r>
          </w:p>
        </w:tc>
        <w:tc>
          <w:tcPr>
            <w:tcW w:w="756" w:type="pct"/>
            <w:tcBorders>
              <w:left w:val="single" w:color="auto" w:sz="4" w:space="0"/>
            </w:tcBorders>
            <w:noWrap w:val="0"/>
            <w:vAlign w:val="center"/>
          </w:tcPr>
          <w:p w14:paraId="6FA72892">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不外排</w:t>
            </w:r>
          </w:p>
        </w:tc>
      </w:tr>
      <w:tr w14:paraId="56AA88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37" w:hRule="atLeast"/>
        </w:trPr>
        <w:tc>
          <w:tcPr>
            <w:tcW w:w="346" w:type="pct"/>
            <w:vMerge w:val="continue"/>
            <w:noWrap w:val="0"/>
            <w:tcMar>
              <w:left w:w="28" w:type="dxa"/>
              <w:right w:w="28" w:type="dxa"/>
            </w:tcMar>
            <w:vAlign w:val="center"/>
          </w:tcPr>
          <w:p w14:paraId="0F25061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noWrap w:val="0"/>
            <w:tcMar>
              <w:left w:w="28" w:type="dxa"/>
              <w:right w:w="28" w:type="dxa"/>
            </w:tcMar>
            <w:vAlign w:val="center"/>
          </w:tcPr>
          <w:p w14:paraId="4797226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hAnsi="Times New Roman" w:cs="Times New Roman"/>
                <w:b w:val="0"/>
                <w:bCs w:val="0"/>
                <w:color w:val="auto"/>
                <w:sz w:val="21"/>
                <w:szCs w:val="21"/>
                <w:lang w:eastAsia="zh-CN"/>
              </w:rPr>
              <w:t>营运期</w:t>
            </w:r>
          </w:p>
        </w:tc>
        <w:tc>
          <w:tcPr>
            <w:tcW w:w="1317" w:type="pct"/>
            <w:gridSpan w:val="2"/>
            <w:noWrap w:val="0"/>
            <w:tcMar>
              <w:left w:w="28" w:type="dxa"/>
              <w:right w:w="28" w:type="dxa"/>
            </w:tcMar>
            <w:vAlign w:val="center"/>
          </w:tcPr>
          <w:p w14:paraId="49738A2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道路排水系统，确保排水系统畅通</w:t>
            </w:r>
          </w:p>
        </w:tc>
        <w:tc>
          <w:tcPr>
            <w:tcW w:w="455" w:type="pct"/>
            <w:noWrap w:val="0"/>
            <w:tcMar>
              <w:left w:w="28" w:type="dxa"/>
              <w:right w:w="28" w:type="dxa"/>
            </w:tcMar>
            <w:vAlign w:val="center"/>
          </w:tcPr>
          <w:p w14:paraId="2EA3D89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26EA26A4">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路线沿线排水系统</w:t>
            </w:r>
          </w:p>
        </w:tc>
        <w:tc>
          <w:tcPr>
            <w:tcW w:w="811" w:type="pct"/>
            <w:tcBorders>
              <w:left w:val="single" w:color="auto" w:sz="4" w:space="0"/>
              <w:right w:val="single" w:color="auto" w:sz="4" w:space="0"/>
            </w:tcBorders>
            <w:noWrap w:val="0"/>
            <w:vAlign w:val="center"/>
          </w:tcPr>
          <w:p w14:paraId="7830EBE6">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满足排水系统畅通要求</w:t>
            </w:r>
          </w:p>
        </w:tc>
        <w:tc>
          <w:tcPr>
            <w:tcW w:w="756" w:type="pct"/>
            <w:tcBorders>
              <w:left w:val="single" w:color="auto" w:sz="4" w:space="0"/>
            </w:tcBorders>
            <w:noWrap w:val="0"/>
            <w:vAlign w:val="center"/>
          </w:tcPr>
          <w:p w14:paraId="2D4F19E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5CCE1F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82" w:hRule="atLeast"/>
        </w:trPr>
        <w:tc>
          <w:tcPr>
            <w:tcW w:w="346" w:type="pct"/>
            <w:vMerge w:val="restart"/>
            <w:noWrap w:val="0"/>
            <w:tcMar>
              <w:left w:w="28" w:type="dxa"/>
              <w:right w:w="28" w:type="dxa"/>
            </w:tcMar>
            <w:vAlign w:val="center"/>
          </w:tcPr>
          <w:p w14:paraId="7E625ECA">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固体废弃物</w:t>
            </w:r>
          </w:p>
        </w:tc>
        <w:tc>
          <w:tcPr>
            <w:tcW w:w="409" w:type="pct"/>
            <w:vMerge w:val="restart"/>
            <w:noWrap w:val="0"/>
            <w:tcMar>
              <w:left w:w="28" w:type="dxa"/>
              <w:right w:w="28" w:type="dxa"/>
            </w:tcMar>
            <w:vAlign w:val="center"/>
          </w:tcPr>
          <w:p w14:paraId="1F9D8FA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317" w:type="pct"/>
            <w:gridSpan w:val="2"/>
            <w:noWrap w:val="0"/>
            <w:tcMar>
              <w:left w:w="28" w:type="dxa"/>
              <w:right w:w="28" w:type="dxa"/>
            </w:tcMar>
            <w:vAlign w:val="center"/>
          </w:tcPr>
          <w:p w14:paraId="693D3FB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垃圾箱</w:t>
            </w:r>
          </w:p>
        </w:tc>
        <w:tc>
          <w:tcPr>
            <w:tcW w:w="455" w:type="pct"/>
            <w:noWrap w:val="0"/>
            <w:tcMar>
              <w:left w:w="28" w:type="dxa"/>
              <w:right w:w="28" w:type="dxa"/>
            </w:tcMar>
            <w:vAlign w:val="center"/>
          </w:tcPr>
          <w:p w14:paraId="09D87DF6">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2个</w:t>
            </w:r>
          </w:p>
        </w:tc>
        <w:tc>
          <w:tcPr>
            <w:tcW w:w="904" w:type="pct"/>
            <w:tcBorders>
              <w:left w:val="single" w:color="auto" w:sz="4" w:space="0"/>
              <w:right w:val="single" w:color="auto" w:sz="4" w:space="0"/>
            </w:tcBorders>
            <w:noWrap w:val="0"/>
            <w:vAlign w:val="center"/>
          </w:tcPr>
          <w:p w14:paraId="2106F2F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11" w:type="pct"/>
            <w:tcBorders>
              <w:left w:val="single" w:color="auto" w:sz="4" w:space="0"/>
              <w:right w:val="single" w:color="auto" w:sz="4" w:space="0"/>
            </w:tcBorders>
            <w:noWrap w:val="0"/>
            <w:vAlign w:val="center"/>
          </w:tcPr>
          <w:p w14:paraId="0B5729F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委托环卫部门清运</w:t>
            </w:r>
          </w:p>
        </w:tc>
        <w:tc>
          <w:tcPr>
            <w:tcW w:w="756" w:type="pct"/>
            <w:tcBorders>
              <w:left w:val="single" w:color="auto" w:sz="4" w:space="0"/>
            </w:tcBorders>
            <w:noWrap w:val="0"/>
            <w:vAlign w:val="center"/>
          </w:tcPr>
          <w:p w14:paraId="7B04009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1EFBF8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482" w:hRule="atLeast"/>
        </w:trPr>
        <w:tc>
          <w:tcPr>
            <w:tcW w:w="346" w:type="pct"/>
            <w:vMerge w:val="continue"/>
            <w:noWrap w:val="0"/>
            <w:tcMar>
              <w:left w:w="28" w:type="dxa"/>
              <w:right w:w="28" w:type="dxa"/>
            </w:tcMar>
            <w:vAlign w:val="center"/>
          </w:tcPr>
          <w:p w14:paraId="1D04840C">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5A3B4D94">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1C56411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弃渣场建筑垃圾</w:t>
            </w:r>
          </w:p>
        </w:tc>
        <w:tc>
          <w:tcPr>
            <w:tcW w:w="455" w:type="pct"/>
            <w:noWrap w:val="0"/>
            <w:tcMar>
              <w:left w:w="28" w:type="dxa"/>
              <w:right w:w="28" w:type="dxa"/>
            </w:tcMar>
            <w:vAlign w:val="center"/>
          </w:tcPr>
          <w:p w14:paraId="018C293F">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7CF7ED1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11" w:type="pct"/>
            <w:tcBorders>
              <w:left w:val="single" w:color="auto" w:sz="4" w:space="0"/>
              <w:right w:val="single" w:color="auto" w:sz="4" w:space="0"/>
            </w:tcBorders>
            <w:noWrap w:val="0"/>
            <w:vAlign w:val="center"/>
          </w:tcPr>
          <w:p w14:paraId="0405E8D8">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委托有资质单位清运</w:t>
            </w:r>
          </w:p>
        </w:tc>
        <w:tc>
          <w:tcPr>
            <w:tcW w:w="756" w:type="pct"/>
            <w:tcBorders>
              <w:left w:val="single" w:color="auto" w:sz="4" w:space="0"/>
            </w:tcBorders>
            <w:noWrap w:val="0"/>
            <w:vAlign w:val="center"/>
          </w:tcPr>
          <w:p w14:paraId="7204FF6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4F396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77" w:hRule="atLeast"/>
        </w:trPr>
        <w:tc>
          <w:tcPr>
            <w:tcW w:w="346" w:type="pct"/>
            <w:vMerge w:val="restart"/>
            <w:noWrap w:val="0"/>
            <w:tcMar>
              <w:left w:w="28" w:type="dxa"/>
              <w:right w:w="28" w:type="dxa"/>
            </w:tcMar>
            <w:vAlign w:val="center"/>
          </w:tcPr>
          <w:p w14:paraId="5C800AF6">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环境空气</w:t>
            </w:r>
          </w:p>
        </w:tc>
        <w:tc>
          <w:tcPr>
            <w:tcW w:w="409" w:type="pct"/>
            <w:noWrap w:val="0"/>
            <w:tcMar>
              <w:left w:w="28" w:type="dxa"/>
              <w:right w:w="28" w:type="dxa"/>
            </w:tcMar>
            <w:vAlign w:val="center"/>
          </w:tcPr>
          <w:p w14:paraId="546242BA">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317" w:type="pct"/>
            <w:gridSpan w:val="2"/>
            <w:noWrap w:val="0"/>
            <w:tcMar>
              <w:left w:w="28" w:type="dxa"/>
              <w:right w:w="28" w:type="dxa"/>
            </w:tcMar>
            <w:vAlign w:val="center"/>
          </w:tcPr>
          <w:p w14:paraId="03420CAA">
            <w:pPr>
              <w:pStyle w:val="252"/>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弃渣场洒水降尘、覆盖防尘、植被恢复等；路段施工设置硬质围挡、采用喷淋等措施、对施工现场的物料堆放场所采用密闭式防尘网遮盖等措施，对土石方、建筑垃圾及时清运并进行资源化处理</w:t>
            </w:r>
            <w:r>
              <w:rPr>
                <w:rFonts w:hint="default" w:ascii="Times New Roman" w:hAnsi="Times New Roman" w:eastAsia="宋体" w:cs="Times New Roman"/>
                <w:b w:val="0"/>
                <w:bCs w:val="0"/>
                <w:color w:val="auto"/>
                <w:sz w:val="21"/>
                <w:szCs w:val="21"/>
                <w:lang w:eastAsia="zh-CN"/>
              </w:rPr>
              <w:t>；</w:t>
            </w:r>
          </w:p>
          <w:p w14:paraId="42404F6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对开挖后暂时不能开工可能产生扬尘污染的建设用地，建设单位应当对裸露地面进行覆盖，超过3个月的，应当进行绿化、铺装或者遮盖等。</w:t>
            </w:r>
          </w:p>
        </w:tc>
        <w:tc>
          <w:tcPr>
            <w:tcW w:w="455" w:type="pct"/>
            <w:noWrap w:val="0"/>
            <w:tcMar>
              <w:left w:w="28" w:type="dxa"/>
              <w:right w:w="28" w:type="dxa"/>
            </w:tcMar>
            <w:vAlign w:val="center"/>
          </w:tcPr>
          <w:p w14:paraId="204E9349">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6908762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弃渣场、路段施工</w:t>
            </w:r>
          </w:p>
        </w:tc>
        <w:tc>
          <w:tcPr>
            <w:tcW w:w="811" w:type="pct"/>
            <w:tcBorders>
              <w:left w:val="single" w:color="auto" w:sz="4" w:space="0"/>
            </w:tcBorders>
            <w:noWrap w:val="0"/>
            <w:vAlign w:val="center"/>
          </w:tcPr>
          <w:p w14:paraId="64F82CD0">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满足《大气污染物综合排放标准》</w:t>
            </w:r>
            <w:r>
              <w:rPr>
                <w:rFonts w:hint="default" w:ascii="Times New Roman" w:hAnsi="Times New Roman" w:eastAsia="宋体" w:cs="Times New Roman"/>
                <w:b w:val="0"/>
                <w:bCs w:val="0"/>
                <w:color w:val="auto"/>
                <w:sz w:val="21"/>
                <w:szCs w:val="21"/>
              </w:rPr>
              <w:t>（GB</w:t>
            </w:r>
            <w:r>
              <w:rPr>
                <w:rFonts w:hint="eastAsia"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16297-96）</w:t>
            </w:r>
            <w:r>
              <w:rPr>
                <w:rFonts w:hint="default" w:ascii="Times New Roman" w:hAnsi="Times New Roman" w:eastAsia="宋体" w:cs="Times New Roman"/>
                <w:b w:val="0"/>
                <w:bCs w:val="0"/>
                <w:color w:val="auto"/>
                <w:sz w:val="21"/>
                <w:szCs w:val="21"/>
              </w:rPr>
              <w:t>中的无组织排放监控浓度限值，符合环境空气功能区要求。</w:t>
            </w:r>
          </w:p>
        </w:tc>
        <w:tc>
          <w:tcPr>
            <w:tcW w:w="756" w:type="pct"/>
            <w:tcBorders>
              <w:left w:val="single" w:color="auto" w:sz="4" w:space="0"/>
            </w:tcBorders>
            <w:noWrap w:val="0"/>
            <w:vAlign w:val="center"/>
          </w:tcPr>
          <w:p w14:paraId="6FDF7627">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满足《大气污染物综合排放标准》</w:t>
            </w:r>
            <w:r>
              <w:rPr>
                <w:rFonts w:hint="default" w:ascii="Times New Roman" w:hAnsi="Times New Roman" w:eastAsia="宋体" w:cs="Times New Roman"/>
                <w:b w:val="0"/>
                <w:bCs w:val="0"/>
                <w:color w:val="auto"/>
                <w:sz w:val="21"/>
                <w:szCs w:val="21"/>
              </w:rPr>
              <w:t>（GB</w:t>
            </w:r>
            <w:r>
              <w:rPr>
                <w:rFonts w:hint="eastAsia"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16297-96）</w:t>
            </w:r>
            <w:r>
              <w:rPr>
                <w:rFonts w:hint="default" w:ascii="Times New Roman" w:hAnsi="Times New Roman" w:eastAsia="宋体" w:cs="Times New Roman"/>
                <w:b w:val="0"/>
                <w:bCs w:val="0"/>
                <w:color w:val="auto"/>
                <w:sz w:val="21"/>
                <w:szCs w:val="21"/>
              </w:rPr>
              <w:t>中的无组织排放监控浓度限值，符合环境空气功能区要求。</w:t>
            </w:r>
          </w:p>
        </w:tc>
      </w:tr>
      <w:tr w14:paraId="6400F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77" w:hRule="atLeast"/>
        </w:trPr>
        <w:tc>
          <w:tcPr>
            <w:tcW w:w="346" w:type="pct"/>
            <w:vMerge w:val="continue"/>
            <w:noWrap w:val="0"/>
            <w:tcMar>
              <w:left w:w="28" w:type="dxa"/>
              <w:right w:w="28" w:type="dxa"/>
            </w:tcMar>
            <w:vAlign w:val="center"/>
          </w:tcPr>
          <w:p w14:paraId="47096DA8">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409" w:type="pct"/>
            <w:noWrap w:val="0"/>
            <w:tcMar>
              <w:left w:w="28" w:type="dxa"/>
              <w:right w:w="28" w:type="dxa"/>
            </w:tcMar>
            <w:vAlign w:val="center"/>
          </w:tcPr>
          <w:p w14:paraId="249B9B3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eastAsia" w:ascii="Times New Roman" w:hAnsi="Times New Roman" w:eastAsia="宋体" w:cs="Times New Roman"/>
                <w:b w:val="0"/>
                <w:bCs w:val="0"/>
                <w:color w:val="auto"/>
                <w:sz w:val="21"/>
                <w:szCs w:val="21"/>
                <w:lang w:eastAsia="zh-CN"/>
              </w:rPr>
            </w:pPr>
            <w:r>
              <w:rPr>
                <w:rFonts w:hint="eastAsia" w:hAnsi="Times New Roman" w:cs="Times New Roman"/>
                <w:b w:val="0"/>
                <w:bCs w:val="0"/>
                <w:color w:val="auto"/>
                <w:sz w:val="21"/>
                <w:szCs w:val="21"/>
                <w:lang w:eastAsia="zh-CN"/>
              </w:rPr>
              <w:t>营运期</w:t>
            </w:r>
          </w:p>
        </w:tc>
        <w:tc>
          <w:tcPr>
            <w:tcW w:w="1317" w:type="pct"/>
            <w:gridSpan w:val="2"/>
            <w:noWrap w:val="0"/>
            <w:tcMar>
              <w:left w:w="28" w:type="dxa"/>
              <w:right w:w="28" w:type="dxa"/>
            </w:tcMar>
            <w:vAlign w:val="center"/>
          </w:tcPr>
          <w:p w14:paraId="44E0893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车辆尾气</w:t>
            </w:r>
          </w:p>
        </w:tc>
        <w:tc>
          <w:tcPr>
            <w:tcW w:w="455" w:type="pct"/>
            <w:noWrap w:val="0"/>
            <w:tcMar>
              <w:left w:w="28" w:type="dxa"/>
              <w:right w:w="28" w:type="dxa"/>
            </w:tcMar>
            <w:vAlign w:val="center"/>
          </w:tcPr>
          <w:p w14:paraId="7ACD9F3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904" w:type="pct"/>
            <w:tcBorders>
              <w:left w:val="single" w:color="auto" w:sz="4" w:space="0"/>
              <w:right w:val="single" w:color="auto" w:sz="4" w:space="0"/>
            </w:tcBorders>
            <w:noWrap w:val="0"/>
            <w:vAlign w:val="center"/>
          </w:tcPr>
          <w:p w14:paraId="52CB38D7">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 xml:space="preserve">加强管理，种植树木，定 </w:t>
            </w:r>
          </w:p>
          <w:p w14:paraId="6ECCDBC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期对路面进行清扫</w:t>
            </w:r>
          </w:p>
        </w:tc>
        <w:tc>
          <w:tcPr>
            <w:tcW w:w="811" w:type="pct"/>
            <w:tcBorders>
              <w:left w:val="single" w:color="auto" w:sz="4" w:space="0"/>
            </w:tcBorders>
            <w:noWrap w:val="0"/>
            <w:vAlign w:val="center"/>
          </w:tcPr>
          <w:p w14:paraId="1BA5B41E">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756" w:type="pct"/>
            <w:tcBorders>
              <w:left w:val="single" w:color="auto" w:sz="4" w:space="0"/>
            </w:tcBorders>
            <w:noWrap w:val="0"/>
            <w:vAlign w:val="center"/>
          </w:tcPr>
          <w:p w14:paraId="39C4CA58">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r w14:paraId="256852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752" w:hRule="atLeast"/>
        </w:trPr>
        <w:tc>
          <w:tcPr>
            <w:tcW w:w="346" w:type="pct"/>
            <w:noWrap w:val="0"/>
            <w:tcMar>
              <w:left w:w="28" w:type="dxa"/>
              <w:right w:w="28" w:type="dxa"/>
            </w:tcMar>
            <w:vAlign w:val="center"/>
          </w:tcPr>
          <w:p w14:paraId="6CCB212E">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地下水</w:t>
            </w:r>
          </w:p>
        </w:tc>
        <w:tc>
          <w:tcPr>
            <w:tcW w:w="409" w:type="pct"/>
            <w:noWrap w:val="0"/>
            <w:tcMar>
              <w:left w:w="28" w:type="dxa"/>
              <w:right w:w="28" w:type="dxa"/>
            </w:tcMar>
            <w:vAlign w:val="center"/>
          </w:tcPr>
          <w:p w14:paraId="37C2A8A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w:t>
            </w:r>
          </w:p>
        </w:tc>
        <w:tc>
          <w:tcPr>
            <w:tcW w:w="1772" w:type="pct"/>
            <w:gridSpan w:val="3"/>
            <w:noWrap w:val="0"/>
            <w:tcMar>
              <w:left w:w="28" w:type="dxa"/>
              <w:right w:w="28" w:type="dxa"/>
            </w:tcMar>
            <w:vAlign w:val="center"/>
          </w:tcPr>
          <w:p w14:paraId="7B5F0B75">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2472" w:type="pct"/>
            <w:gridSpan w:val="3"/>
            <w:tcBorders>
              <w:left w:val="single" w:color="auto" w:sz="4" w:space="0"/>
            </w:tcBorders>
            <w:noWrap w:val="0"/>
            <w:vAlign w:val="center"/>
          </w:tcPr>
          <w:p w14:paraId="11755D0B">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避免工程建设对地下水产生影响</w:t>
            </w:r>
          </w:p>
        </w:tc>
      </w:tr>
      <w:tr w14:paraId="4D66D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346" w:type="pct"/>
            <w:vMerge w:val="restart"/>
            <w:noWrap w:val="0"/>
            <w:tcMar>
              <w:left w:w="28" w:type="dxa"/>
              <w:right w:w="28" w:type="dxa"/>
            </w:tcMar>
            <w:vAlign w:val="center"/>
          </w:tcPr>
          <w:p w14:paraId="4F3C89C5">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环境风险</w:t>
            </w:r>
          </w:p>
        </w:tc>
        <w:tc>
          <w:tcPr>
            <w:tcW w:w="409" w:type="pct"/>
            <w:vMerge w:val="restart"/>
            <w:noWrap w:val="0"/>
            <w:tcMar>
              <w:left w:w="28" w:type="dxa"/>
              <w:right w:w="28" w:type="dxa"/>
            </w:tcMar>
            <w:vAlign w:val="center"/>
          </w:tcPr>
          <w:p w14:paraId="36B6F2CB">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营运期</w:t>
            </w:r>
          </w:p>
        </w:tc>
        <w:tc>
          <w:tcPr>
            <w:tcW w:w="1317" w:type="pct"/>
            <w:gridSpan w:val="2"/>
            <w:noWrap w:val="0"/>
            <w:tcMar>
              <w:left w:w="28" w:type="dxa"/>
              <w:right w:w="28" w:type="dxa"/>
            </w:tcMar>
            <w:vAlign w:val="center"/>
          </w:tcPr>
          <w:p w14:paraId="62676BFB">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径流收集系统及沉砂事故应急池</w:t>
            </w:r>
          </w:p>
        </w:tc>
        <w:tc>
          <w:tcPr>
            <w:tcW w:w="455" w:type="pct"/>
            <w:noWrap w:val="0"/>
            <w:tcMar>
              <w:left w:w="28" w:type="dxa"/>
              <w:right w:w="28" w:type="dxa"/>
            </w:tcMar>
            <w:vAlign w:val="center"/>
          </w:tcPr>
          <w:p w14:paraId="2DAFABD8">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2472" w:type="pct"/>
            <w:gridSpan w:val="3"/>
            <w:vMerge w:val="restart"/>
            <w:tcBorders>
              <w:left w:val="single" w:color="auto" w:sz="4" w:space="0"/>
            </w:tcBorders>
            <w:noWrap w:val="0"/>
            <w:vAlign w:val="center"/>
          </w:tcPr>
          <w:p w14:paraId="70F799F9">
            <w:pPr>
              <w:pStyle w:val="398"/>
              <w:pageBreakBefore w:val="0"/>
              <w:widowControl w:val="0"/>
              <w:kinsoku/>
              <w:wordWrap/>
              <w:overflowPunct/>
              <w:topLinePunct w:val="0"/>
              <w:bidi w:val="0"/>
              <w:snapToGrid w:val="0"/>
              <w:spacing w:line="240" w:lineRule="auto"/>
              <w:ind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避免工程建设产生影响</w:t>
            </w:r>
          </w:p>
        </w:tc>
      </w:tr>
      <w:tr w14:paraId="1B09DB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346" w:type="pct"/>
            <w:vMerge w:val="continue"/>
            <w:noWrap w:val="0"/>
            <w:tcMar>
              <w:left w:w="28" w:type="dxa"/>
              <w:right w:w="28" w:type="dxa"/>
            </w:tcMar>
            <w:vAlign w:val="center"/>
          </w:tcPr>
          <w:p w14:paraId="156E991D">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59715EF9">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0EB478FE">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应急预案编制</w:t>
            </w:r>
          </w:p>
        </w:tc>
        <w:tc>
          <w:tcPr>
            <w:tcW w:w="455" w:type="pct"/>
            <w:noWrap w:val="0"/>
            <w:tcMar>
              <w:left w:w="28" w:type="dxa"/>
              <w:right w:w="28" w:type="dxa"/>
            </w:tcMar>
            <w:vAlign w:val="center"/>
          </w:tcPr>
          <w:p w14:paraId="1F2392C6">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2472" w:type="pct"/>
            <w:gridSpan w:val="3"/>
            <w:vMerge w:val="continue"/>
            <w:tcBorders>
              <w:left w:val="single" w:color="auto" w:sz="4" w:space="0"/>
            </w:tcBorders>
            <w:noWrap w:val="0"/>
            <w:vAlign w:val="center"/>
          </w:tcPr>
          <w:p w14:paraId="4E091AA9">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75340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346" w:type="pct"/>
            <w:vMerge w:val="continue"/>
            <w:noWrap w:val="0"/>
            <w:tcMar>
              <w:left w:w="28" w:type="dxa"/>
              <w:right w:w="28" w:type="dxa"/>
            </w:tcMar>
            <w:vAlign w:val="center"/>
          </w:tcPr>
          <w:p w14:paraId="7FD5E690">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p>
        </w:tc>
        <w:tc>
          <w:tcPr>
            <w:tcW w:w="409" w:type="pct"/>
            <w:vMerge w:val="continue"/>
            <w:noWrap w:val="0"/>
            <w:tcMar>
              <w:left w:w="28" w:type="dxa"/>
              <w:right w:w="28" w:type="dxa"/>
            </w:tcMar>
            <w:vAlign w:val="center"/>
          </w:tcPr>
          <w:p w14:paraId="044FC3C6">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p>
        </w:tc>
        <w:tc>
          <w:tcPr>
            <w:tcW w:w="1317" w:type="pct"/>
            <w:gridSpan w:val="2"/>
            <w:noWrap w:val="0"/>
            <w:tcMar>
              <w:left w:w="28" w:type="dxa"/>
              <w:right w:w="28" w:type="dxa"/>
            </w:tcMar>
            <w:vAlign w:val="center"/>
          </w:tcPr>
          <w:p w14:paraId="163B6987">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应急抢救设备和器材</w:t>
            </w:r>
          </w:p>
        </w:tc>
        <w:tc>
          <w:tcPr>
            <w:tcW w:w="455" w:type="pct"/>
            <w:noWrap w:val="0"/>
            <w:tcMar>
              <w:left w:w="28" w:type="dxa"/>
              <w:right w:w="28" w:type="dxa"/>
            </w:tcMar>
            <w:vAlign w:val="center"/>
          </w:tcPr>
          <w:p w14:paraId="2C867AC3">
            <w:pPr>
              <w:pageBreakBefore w:val="0"/>
              <w:widowControl w:val="0"/>
              <w:kinsoku/>
              <w:wordWrap/>
              <w:overflowPunct/>
              <w:topLinePunct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1处</w:t>
            </w:r>
          </w:p>
        </w:tc>
        <w:tc>
          <w:tcPr>
            <w:tcW w:w="2472" w:type="pct"/>
            <w:gridSpan w:val="3"/>
            <w:vMerge w:val="continue"/>
            <w:tcBorders>
              <w:left w:val="single" w:color="auto" w:sz="4" w:space="0"/>
            </w:tcBorders>
            <w:noWrap w:val="0"/>
            <w:vAlign w:val="center"/>
          </w:tcPr>
          <w:p w14:paraId="5BEA76B3">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r>
      <w:tr w14:paraId="03D577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57" w:type="dxa"/>
            <w:bottom w:w="0" w:type="dxa"/>
            <w:right w:w="57" w:type="dxa"/>
          </w:tblCellMar>
        </w:tblPrEx>
        <w:trPr>
          <w:trHeight w:val="340" w:hRule="atLeast"/>
        </w:trPr>
        <w:tc>
          <w:tcPr>
            <w:tcW w:w="755" w:type="pct"/>
            <w:gridSpan w:val="2"/>
            <w:noWrap w:val="0"/>
            <w:tcMar>
              <w:left w:w="28" w:type="dxa"/>
              <w:right w:w="28" w:type="dxa"/>
            </w:tcMar>
            <w:vAlign w:val="center"/>
          </w:tcPr>
          <w:p w14:paraId="754DB78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环境监理</w:t>
            </w:r>
          </w:p>
        </w:tc>
        <w:tc>
          <w:tcPr>
            <w:tcW w:w="1317" w:type="pct"/>
            <w:gridSpan w:val="2"/>
            <w:noWrap w:val="0"/>
            <w:tcMar>
              <w:left w:w="28" w:type="dxa"/>
              <w:right w:w="28" w:type="dxa"/>
            </w:tcMar>
            <w:vAlign w:val="center"/>
          </w:tcPr>
          <w:p w14:paraId="4ACD39F1">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施工期环境监理报告</w:t>
            </w:r>
          </w:p>
        </w:tc>
        <w:tc>
          <w:tcPr>
            <w:tcW w:w="455" w:type="pct"/>
            <w:noWrap w:val="0"/>
            <w:tcMar>
              <w:left w:w="28" w:type="dxa"/>
              <w:right w:w="28" w:type="dxa"/>
            </w:tcMar>
            <w:vAlign w:val="center"/>
          </w:tcPr>
          <w:p w14:paraId="73E27594">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p>
        </w:tc>
        <w:tc>
          <w:tcPr>
            <w:tcW w:w="904" w:type="pct"/>
            <w:tcBorders>
              <w:left w:val="single" w:color="auto" w:sz="4" w:space="0"/>
              <w:right w:val="single" w:color="auto" w:sz="4" w:space="0"/>
            </w:tcBorders>
            <w:noWrap w:val="0"/>
            <w:vAlign w:val="center"/>
          </w:tcPr>
          <w:p w14:paraId="44F02830">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811" w:type="pct"/>
            <w:tcBorders>
              <w:left w:val="single" w:color="auto" w:sz="4" w:space="0"/>
              <w:right w:val="single" w:color="auto" w:sz="4" w:space="0"/>
            </w:tcBorders>
            <w:noWrap w:val="0"/>
            <w:vAlign w:val="center"/>
          </w:tcPr>
          <w:p w14:paraId="1C26E88D">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c>
          <w:tcPr>
            <w:tcW w:w="756" w:type="pct"/>
            <w:tcBorders>
              <w:left w:val="single" w:color="auto" w:sz="4" w:space="0"/>
            </w:tcBorders>
            <w:noWrap w:val="0"/>
            <w:vAlign w:val="center"/>
          </w:tcPr>
          <w:p w14:paraId="128A81A2">
            <w:pPr>
              <w:pStyle w:val="69"/>
              <w:pageBreakBefore w:val="0"/>
              <w:widowControl w:val="0"/>
              <w:kinsoku/>
              <w:wordWrap/>
              <w:overflowPunct/>
              <w:topLinePunct w:val="0"/>
              <w:bidi w:val="0"/>
              <w:snapToGrid w:val="0"/>
              <w:spacing w:before="0" w:after="0" w:line="240" w:lineRule="auto"/>
              <w:ind w:left="0" w:leftChars="0" w:firstLine="0" w:firstLineChars="0"/>
              <w:textAlignment w:val="auto"/>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rPr>
              <w:t>--</w:t>
            </w:r>
          </w:p>
        </w:tc>
      </w:tr>
    </w:tbl>
    <w:p w14:paraId="5DA9DD23">
      <w:pPr>
        <w:bidi w:val="0"/>
        <w:rPr>
          <w:rFonts w:hint="default"/>
          <w:color w:val="auto"/>
        </w:rPr>
        <w:sectPr>
          <w:headerReference r:id="rId16" w:type="default"/>
          <w:pgSz w:w="16838" w:h="11906" w:orient="landscape"/>
          <w:pgMar w:top="1797" w:right="1440" w:bottom="1797" w:left="1440" w:header="851" w:footer="992" w:gutter="0"/>
          <w:pgNumType w:fmt="decimal"/>
          <w:cols w:space="720" w:num="1"/>
          <w:docGrid w:linePitch="312" w:charSpace="0"/>
        </w:sectPr>
      </w:pPr>
    </w:p>
    <w:p w14:paraId="4944AA99">
      <w:pPr>
        <w:pStyle w:val="2"/>
        <w:jc w:val="center"/>
        <w:rPr>
          <w:rFonts w:hint="default" w:ascii="Times New Roman" w:hAnsi="Times New Roman" w:eastAsia="宋体" w:cs="Times New Roman"/>
          <w:b w:val="0"/>
          <w:color w:val="auto"/>
        </w:rPr>
      </w:pPr>
      <w:bookmarkStart w:id="455" w:name="_Toc352320996"/>
      <w:bookmarkStart w:id="456" w:name="_Toc10061"/>
      <w:bookmarkStart w:id="457" w:name="_Toc351046813"/>
      <w:bookmarkStart w:id="458" w:name="_Toc294958847"/>
      <w:bookmarkStart w:id="459" w:name="_Toc367844723"/>
      <w:bookmarkStart w:id="460" w:name="_Toc352320899"/>
      <w:bookmarkStart w:id="461" w:name="_Toc323909090"/>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 xml:space="preserve"> 评价结论</w:t>
      </w:r>
      <w:bookmarkEnd w:id="455"/>
      <w:bookmarkEnd w:id="456"/>
      <w:bookmarkEnd w:id="457"/>
      <w:bookmarkEnd w:id="458"/>
      <w:bookmarkEnd w:id="459"/>
      <w:bookmarkEnd w:id="460"/>
      <w:bookmarkEnd w:id="461"/>
    </w:p>
    <w:p w14:paraId="7DE534B7">
      <w:pPr>
        <w:pStyle w:val="3"/>
        <w:numPr>
          <w:ilvl w:val="0"/>
          <w:numId w:val="0"/>
        </w:numPr>
        <w:rPr>
          <w:rFonts w:hint="default" w:ascii="Times New Roman" w:hAnsi="Times New Roman" w:eastAsia="宋体" w:cs="Times New Roman"/>
          <w:color w:val="auto"/>
          <w:sz w:val="30"/>
          <w:szCs w:val="30"/>
        </w:rPr>
      </w:pPr>
      <w:bookmarkStart w:id="462" w:name="_Toc335726546"/>
      <w:bookmarkStart w:id="463" w:name="_Toc351046815"/>
      <w:bookmarkStart w:id="464" w:name="_Toc352320997"/>
      <w:bookmarkStart w:id="465" w:name="_Toc367844724"/>
      <w:bookmarkStart w:id="466" w:name="_Toc352320900"/>
      <w:bookmarkStart w:id="467" w:name="_Toc1988"/>
      <w:r>
        <w:rPr>
          <w:rFonts w:hint="default" w:ascii="Times New Roman" w:hAnsi="Times New Roman" w:eastAsia="宋体" w:cs="Times New Roman"/>
          <w:color w:val="auto"/>
          <w:sz w:val="30"/>
          <w:szCs w:val="30"/>
          <w:lang w:val="en-US" w:eastAsia="zh-CN"/>
        </w:rPr>
        <w:t>10</w:t>
      </w:r>
      <w:r>
        <w:rPr>
          <w:rFonts w:hint="default" w:ascii="Times New Roman" w:hAnsi="Times New Roman" w:eastAsia="宋体" w:cs="Times New Roman"/>
          <w:color w:val="auto"/>
          <w:sz w:val="30"/>
          <w:szCs w:val="30"/>
        </w:rPr>
        <w:t>.1</w:t>
      </w:r>
      <w:bookmarkEnd w:id="462"/>
      <w:bookmarkEnd w:id="463"/>
      <w:r>
        <w:rPr>
          <w:rFonts w:hint="default" w:ascii="Times New Roman" w:hAnsi="Times New Roman" w:eastAsia="宋体" w:cs="Times New Roman"/>
          <w:color w:val="auto"/>
          <w:sz w:val="30"/>
          <w:szCs w:val="30"/>
        </w:rPr>
        <w:t>产业政策符合性</w:t>
      </w:r>
      <w:bookmarkEnd w:id="464"/>
      <w:bookmarkEnd w:id="465"/>
      <w:bookmarkEnd w:id="466"/>
      <w:bookmarkEnd w:id="467"/>
    </w:p>
    <w:p w14:paraId="248E646E">
      <w:pPr>
        <w:pStyle w:val="74"/>
        <w:ind w:firstLine="480"/>
        <w:rPr>
          <w:rFonts w:hint="default" w:ascii="Times New Roman" w:hAnsi="Times New Roman" w:eastAsia="宋体" w:cs="Times New Roman"/>
          <w:color w:val="auto"/>
        </w:rPr>
      </w:pPr>
      <w:bookmarkStart w:id="468" w:name="_Toc352320901"/>
      <w:bookmarkStart w:id="469" w:name="_Toc246761984"/>
      <w:bookmarkStart w:id="470" w:name="_Toc294958850"/>
      <w:bookmarkStart w:id="471" w:name="_Toc352320998"/>
      <w:bookmarkStart w:id="472" w:name="_Toc335726547"/>
      <w:bookmarkStart w:id="473" w:name="_Toc227360459"/>
      <w:bookmarkStart w:id="474" w:name="_Toc327801219"/>
      <w:bookmarkStart w:id="475" w:name="_Toc260057103"/>
      <w:bookmarkStart w:id="476" w:name="_Toc351046816"/>
      <w:bookmarkStart w:id="477" w:name="_Toc367844725"/>
      <w:bookmarkStart w:id="478" w:name="_Toc253050331"/>
      <w:r>
        <w:rPr>
          <w:rFonts w:hint="default" w:ascii="Times New Roman" w:hAnsi="Times New Roman" w:eastAsia="宋体" w:cs="Times New Roman"/>
          <w:color w:val="auto"/>
        </w:rPr>
        <w:t>本项目不属于</w:t>
      </w:r>
      <w:r>
        <w:rPr>
          <w:rFonts w:hint="default" w:ascii="Times New Roman" w:hAnsi="Times New Roman" w:eastAsia="宋体" w:cs="Times New Roman"/>
          <w:bCs/>
          <w:color w:val="auto"/>
        </w:rPr>
        <w:t>国家发展和改革委员会第9号文件《产业结构调整指导目录（20</w:t>
      </w:r>
      <w:r>
        <w:rPr>
          <w:rFonts w:hint="default" w:ascii="Times New Roman" w:hAnsi="Times New Roman" w:eastAsia="宋体" w:cs="Times New Roman"/>
          <w:bCs/>
          <w:color w:val="auto"/>
          <w:lang w:val="en-US" w:eastAsia="zh-CN"/>
        </w:rPr>
        <w:t>24</w:t>
      </w:r>
      <w:r>
        <w:rPr>
          <w:rFonts w:hint="default" w:ascii="Times New Roman" w:hAnsi="Times New Roman" w:eastAsia="宋体" w:cs="Times New Roman"/>
          <w:bCs/>
          <w:color w:val="auto"/>
        </w:rPr>
        <w:t>年版）》中鼓励、淘汰和限制类</w:t>
      </w:r>
      <w:r>
        <w:rPr>
          <w:rFonts w:hint="default" w:ascii="Times New Roman" w:hAnsi="Times New Roman" w:eastAsia="宋体" w:cs="Times New Roman"/>
          <w:color w:val="auto"/>
        </w:rPr>
        <w:t>项目，属于允许类项目。元江县发展和改革局于2024年10月31日出具了《关于元江火车站站前广场配套道路5号路建设项目立项的通知》（元发改〔2024〕88号），同意项目立项。</w:t>
      </w:r>
      <w:r>
        <w:rPr>
          <w:rFonts w:hint="default" w:ascii="Times New Roman" w:hAnsi="Times New Roman" w:eastAsia="宋体" w:cs="Times New Roman"/>
          <w:color w:val="auto"/>
          <w:lang w:eastAsia="zh-CN"/>
        </w:rPr>
        <w:t>元江哈尼族彝族傣族自治县交通运输局</w:t>
      </w:r>
      <w:r>
        <w:rPr>
          <w:rFonts w:hint="default" w:ascii="Times New Roman" w:hAnsi="Times New Roman" w:eastAsia="宋体" w:cs="Times New Roman"/>
          <w:color w:val="auto"/>
        </w:rPr>
        <w:t>委托云南平捷工程设计咨询有限公司编制完成了《元江火车站站前广场配套道路5号路建设项目可行性研究报告》，并于2024年12月4日取得元江县发展和改革局出具的《关于元江火车站站前广场配套道路5号路建设项目可行性研究报告的批复》（元发改〔2024〕89号）。同意项目建设。因此，项目建设符合国家相关产业政策。</w:t>
      </w:r>
    </w:p>
    <w:bookmarkEnd w:id="468"/>
    <w:bookmarkEnd w:id="469"/>
    <w:bookmarkEnd w:id="470"/>
    <w:bookmarkEnd w:id="471"/>
    <w:bookmarkEnd w:id="472"/>
    <w:bookmarkEnd w:id="473"/>
    <w:bookmarkEnd w:id="474"/>
    <w:bookmarkEnd w:id="475"/>
    <w:bookmarkEnd w:id="476"/>
    <w:bookmarkEnd w:id="477"/>
    <w:bookmarkEnd w:id="478"/>
    <w:p w14:paraId="2F1F9DE9">
      <w:pPr>
        <w:pStyle w:val="3"/>
        <w:numPr>
          <w:ilvl w:val="0"/>
          <w:numId w:val="0"/>
        </w:numPr>
        <w:rPr>
          <w:rFonts w:hint="default" w:ascii="Times New Roman" w:hAnsi="Times New Roman" w:eastAsia="宋体" w:cs="Times New Roman"/>
          <w:color w:val="auto"/>
          <w:sz w:val="30"/>
          <w:szCs w:val="30"/>
          <w:lang w:val="en-US" w:eastAsia="zh-CN"/>
        </w:rPr>
      </w:pPr>
      <w:bookmarkStart w:id="479" w:name="_Toc217985171"/>
      <w:bookmarkStart w:id="480" w:name="_Toc218854802"/>
      <w:bookmarkStart w:id="481" w:name="_Toc181530401"/>
      <w:bookmarkStart w:id="482" w:name="_Toc253050335"/>
      <w:bookmarkStart w:id="483" w:name="_Toc327801223"/>
      <w:bookmarkStart w:id="484" w:name="_Toc260057107"/>
      <w:bookmarkStart w:id="485" w:name="_Toc181460271"/>
      <w:bookmarkStart w:id="486" w:name="_Toc225269211"/>
      <w:bookmarkStart w:id="487" w:name="_Toc227360463"/>
      <w:bookmarkStart w:id="488" w:name="_Toc181459553"/>
      <w:bookmarkStart w:id="489" w:name="_Toc217984612"/>
      <w:bookmarkStart w:id="490" w:name="_Toc14616"/>
      <w:bookmarkStart w:id="491" w:name="_Toc217985367"/>
      <w:bookmarkStart w:id="492" w:name="_Toc246761988"/>
      <w:bookmarkStart w:id="493" w:name="_Toc188242966"/>
      <w:bookmarkStart w:id="494" w:name="_Toc335726551"/>
      <w:bookmarkStart w:id="495" w:name="_Toc188762576"/>
      <w:r>
        <w:rPr>
          <w:rFonts w:hint="default" w:ascii="Times New Roman" w:hAnsi="Times New Roman" w:eastAsia="宋体" w:cs="Times New Roman"/>
          <w:color w:val="auto"/>
          <w:sz w:val="30"/>
          <w:szCs w:val="30"/>
          <w:lang w:val="en-US" w:eastAsia="zh-CN"/>
        </w:rPr>
        <w:t>10.2环境现状</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Start w:id="496" w:name="_Toc227360465"/>
      <w:bookmarkStart w:id="497" w:name="_Toc335726552"/>
      <w:bookmarkStart w:id="498" w:name="_Toc294958851"/>
      <w:bookmarkStart w:id="499" w:name="_Toc246761990"/>
      <w:bookmarkStart w:id="500" w:name="_Toc260057108"/>
      <w:bookmarkStart w:id="501" w:name="_Toc352320999"/>
      <w:bookmarkStart w:id="502" w:name="_Toc367844726"/>
      <w:bookmarkStart w:id="503" w:name="_Toc253050337"/>
      <w:bookmarkStart w:id="504" w:name="_Toc327801224"/>
      <w:bookmarkStart w:id="505" w:name="_Toc351046821"/>
      <w:bookmarkStart w:id="506" w:name="_Toc352320906"/>
    </w:p>
    <w:p w14:paraId="5030D15B">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w:t>
      </w:r>
      <w:r>
        <w:rPr>
          <w:rFonts w:hint="eastAsia" w:cs="Times New Roman"/>
          <w:b/>
          <w:bCs/>
          <w:color w:val="auto"/>
          <w:lang w:val="en-US" w:eastAsia="zh-CN"/>
        </w:rPr>
        <w:t>0</w:t>
      </w:r>
      <w:r>
        <w:rPr>
          <w:rFonts w:hint="default" w:ascii="Times New Roman" w:hAnsi="Times New Roman" w:eastAsia="宋体" w:cs="Times New Roman"/>
          <w:b/>
          <w:bCs/>
          <w:color w:val="auto"/>
        </w:rPr>
        <w:t>.2.1生态环境现状</w:t>
      </w:r>
    </w:p>
    <w:p w14:paraId="1BF245B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（1）</w:t>
      </w:r>
      <w:r>
        <w:rPr>
          <w:rFonts w:hint="default" w:ascii="Times New Roman" w:hAnsi="Times New Roman" w:eastAsia="宋体" w:cs="Times New Roman"/>
          <w:color w:val="auto"/>
          <w:kern w:val="0"/>
          <w:lang w:bidi="ar"/>
        </w:rPr>
        <w:t>工程临时占地包括施工作业区等。临时占地主要涉及荒山、果园、老路等，占用面积很小，且项目建成后临时用地使用黑麦草等进行植被恢复，临时占地对土地利用影响很小</w:t>
      </w:r>
      <w:r>
        <w:rPr>
          <w:rFonts w:hint="default" w:ascii="Times New Roman" w:hAnsi="Times New Roman" w:eastAsia="宋体" w:cs="Times New Roman"/>
          <w:color w:val="auto"/>
        </w:rPr>
        <w:t>。</w:t>
      </w:r>
    </w:p>
    <w:p w14:paraId="6E7F884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（2）</w:t>
      </w:r>
      <w:r>
        <w:rPr>
          <w:rFonts w:hint="default" w:ascii="Times New Roman" w:hAnsi="Times New Roman" w:eastAsia="宋体" w:cs="Times New Roman"/>
          <w:color w:val="auto"/>
          <w:kern w:val="0"/>
          <w:lang w:bidi="ar"/>
        </w:rPr>
        <w:t>本项目的实施对周边的植被影响有限，不会造成评价区区域植被类型的消失和植被的格局发生大的改变。工程建设将造成评价区内植被面积的减少，但并不会造成评价区任何一种植被类型的消失</w:t>
      </w:r>
      <w:r>
        <w:rPr>
          <w:rFonts w:hint="default" w:ascii="Times New Roman" w:hAnsi="Times New Roman" w:eastAsia="宋体" w:cs="Times New Roman"/>
          <w:color w:val="auto"/>
        </w:rPr>
        <w:t>。</w:t>
      </w:r>
    </w:p>
    <w:p w14:paraId="130B3123">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rPr>
        <w:t>（3）</w:t>
      </w:r>
      <w:r>
        <w:rPr>
          <w:rFonts w:hint="default" w:ascii="Times New Roman" w:hAnsi="Times New Roman" w:eastAsia="宋体" w:cs="Times New Roman"/>
          <w:color w:val="auto"/>
          <w:kern w:val="0"/>
          <w:lang w:bidi="ar"/>
        </w:rPr>
        <w:t>拟建公路建设不会对评价区动物种群数量和分布造成大的不利影响</w:t>
      </w:r>
      <w:r>
        <w:rPr>
          <w:rFonts w:hint="default" w:ascii="Times New Roman" w:hAnsi="Times New Roman" w:eastAsia="宋体" w:cs="Times New Roman"/>
          <w:color w:val="auto"/>
        </w:rPr>
        <w:t>。</w:t>
      </w:r>
    </w:p>
    <w:p w14:paraId="098A52D9">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w:t>
      </w:r>
      <w:r>
        <w:rPr>
          <w:rFonts w:hint="eastAsia" w:cs="Times New Roman"/>
          <w:b/>
          <w:bCs/>
          <w:color w:val="auto"/>
          <w:lang w:val="en-US" w:eastAsia="zh-CN"/>
        </w:rPr>
        <w:t>0</w:t>
      </w:r>
      <w:r>
        <w:rPr>
          <w:rFonts w:hint="default" w:ascii="Times New Roman" w:hAnsi="Times New Roman" w:eastAsia="宋体" w:cs="Times New Roman"/>
          <w:b/>
          <w:bCs/>
          <w:color w:val="auto"/>
        </w:rPr>
        <w:t>.2.2地表水环境现状</w:t>
      </w:r>
    </w:p>
    <w:p w14:paraId="5B4EE32D">
      <w:pPr>
        <w:adjustRightInd w:val="0"/>
        <w:snapToGrid w:val="0"/>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根据《元江县2024年环境质量状况（简报）》（玉溪市生态环境局元江分局，2025年1</w:t>
      </w:r>
      <w:r>
        <w:rPr>
          <w:rFonts w:hint="default" w:ascii="Times New Roman" w:hAnsi="Times New Roman" w:eastAsia="宋体" w:cs="Times New Roman"/>
          <w:color w:val="auto"/>
          <w:lang w:eastAsia="zh-CN"/>
        </w:rPr>
        <w:t>月</w:t>
      </w:r>
      <w:r>
        <w:rPr>
          <w:rFonts w:hint="default" w:ascii="Times New Roman" w:hAnsi="Times New Roman" w:eastAsia="宋体" w:cs="Times New Roman"/>
          <w:color w:val="auto"/>
        </w:rPr>
        <w:t>13日），甘庄河箐门口断面：2024年水质综合评</w:t>
      </w:r>
      <w:r>
        <w:rPr>
          <w:rFonts w:hint="default" w:ascii="Times New Roman" w:hAnsi="Times New Roman" w:eastAsia="宋体" w:cs="Times New Roman"/>
          <w:color w:val="auto"/>
          <w:lang w:eastAsia="zh-CN"/>
        </w:rPr>
        <w:t>价为</w:t>
      </w:r>
      <w:r>
        <w:rPr>
          <w:rFonts w:hint="default" w:ascii="Times New Roman" w:hAnsi="Times New Roman" w:eastAsia="宋体" w:cs="Times New Roman"/>
          <w:color w:val="auto"/>
        </w:rPr>
        <w:t>Ⅱ类，水质符合功能区划要求；甘庄河收费站断面（甘庄立交）：2024年水质综合评价为Ⅴ类，超标因子氨氮（0.7倍），水质不符合功能区划要求；甘庄河二塘桥断面：2024年水质综合评价Ⅲ类，水质符合功能区划要求；2024年甘庄河河流整体评价Ⅲ类，水质状况良好，水质符合功能区划要求。</w:t>
      </w:r>
    </w:p>
    <w:p w14:paraId="56215AF8">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w:t>
      </w:r>
      <w:r>
        <w:rPr>
          <w:rFonts w:hint="eastAsia" w:cs="Times New Roman"/>
          <w:b/>
          <w:bCs/>
          <w:color w:val="auto"/>
          <w:lang w:val="en-US" w:eastAsia="zh-CN"/>
        </w:rPr>
        <w:t>0</w:t>
      </w:r>
      <w:r>
        <w:rPr>
          <w:rFonts w:hint="default" w:ascii="Times New Roman" w:hAnsi="Times New Roman" w:eastAsia="宋体" w:cs="Times New Roman"/>
          <w:b/>
          <w:bCs/>
          <w:color w:val="auto"/>
        </w:rPr>
        <w:t>.2.3环境空气现状</w:t>
      </w:r>
    </w:p>
    <w:p w14:paraId="45EFCCB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根据2024年元江县环境空气质量自动监测数据，元江县环境空气PM10、PM2.5、SO2、NO2、CO、O3六项污染物均满足</w:t>
      </w:r>
      <w:r>
        <w:rPr>
          <w:rFonts w:hint="default" w:ascii="Times New Roman" w:hAnsi="Times New Roman" w:eastAsia="宋体" w:cs="Times New Roman"/>
          <w:color w:val="auto"/>
          <w:lang w:val="en-US" w:eastAsia="zh-CN"/>
        </w:rPr>
        <w:t>《环境空气质量标准》（GB3095-2026）过渡阶段浓度限值二级标准</w:t>
      </w:r>
      <w:r>
        <w:rPr>
          <w:rFonts w:hint="default" w:ascii="Times New Roman" w:hAnsi="Times New Roman" w:eastAsia="宋体" w:cs="Times New Roman"/>
          <w:color w:val="auto"/>
        </w:rPr>
        <w:t>。</w:t>
      </w:r>
      <w:r>
        <w:rPr>
          <w:rFonts w:hint="default" w:ascii="Times New Roman" w:hAnsi="Times New Roman" w:eastAsia="宋体" w:cs="Times New Roman"/>
          <w:color w:val="auto"/>
        </w:rPr>
        <w:t>因此，项目所在区域属于环境空气质量达标区。</w:t>
      </w:r>
    </w:p>
    <w:p w14:paraId="3D8B32AD">
      <w:pPr>
        <w:ind w:firstLine="0" w:firstLineChars="0"/>
        <w:rPr>
          <w:rFonts w:hint="default" w:ascii="Times New Roman" w:hAnsi="Times New Roman" w:eastAsia="宋体" w:cs="Times New Roman"/>
          <w:b/>
          <w:bCs/>
          <w:color w:val="auto"/>
        </w:rPr>
      </w:pPr>
      <w:r>
        <w:rPr>
          <w:rFonts w:hint="default" w:ascii="Times New Roman" w:hAnsi="Times New Roman" w:eastAsia="宋体" w:cs="Times New Roman"/>
          <w:b/>
          <w:bCs/>
          <w:color w:val="auto"/>
        </w:rPr>
        <w:t>1</w:t>
      </w:r>
      <w:r>
        <w:rPr>
          <w:rFonts w:hint="eastAsia" w:cs="Times New Roman"/>
          <w:b/>
          <w:bCs/>
          <w:color w:val="auto"/>
          <w:lang w:val="en-US" w:eastAsia="zh-CN"/>
        </w:rPr>
        <w:t>0</w:t>
      </w:r>
      <w:r>
        <w:rPr>
          <w:rFonts w:hint="default" w:ascii="Times New Roman" w:hAnsi="Times New Roman" w:eastAsia="宋体" w:cs="Times New Roman"/>
          <w:b/>
          <w:bCs/>
          <w:color w:val="auto"/>
        </w:rPr>
        <w:t>.2.4环境空气现状</w:t>
      </w:r>
    </w:p>
    <w:p w14:paraId="6CE3F43A">
      <w:pPr>
        <w:widowControl/>
        <w:ind w:firstLine="480"/>
        <w:jc w:val="left"/>
        <w:rPr>
          <w:rFonts w:hint="default" w:ascii="Times New Roman" w:hAnsi="Times New Roman" w:eastAsia="宋体" w:cs="Times New Roman"/>
          <w:color w:val="auto"/>
        </w:rPr>
      </w:pPr>
      <w:r>
        <w:rPr>
          <w:rFonts w:hint="default" w:ascii="Times New Roman" w:hAnsi="Times New Roman" w:eastAsia="宋体" w:cs="Times New Roman"/>
          <w:color w:val="auto"/>
          <w:kern w:val="0"/>
          <w:lang w:bidi="ar"/>
        </w:rPr>
        <w:t>根据202</w:t>
      </w:r>
      <w:r>
        <w:rPr>
          <w:rFonts w:hint="eastAsia" w:cs="Times New Roman"/>
          <w:color w:val="auto"/>
          <w:kern w:val="0"/>
          <w:lang w:val="en-US" w:eastAsia="zh-CN" w:bidi="ar"/>
        </w:rPr>
        <w:t>5</w:t>
      </w:r>
      <w:r>
        <w:rPr>
          <w:rFonts w:hint="default" w:ascii="Times New Roman" w:hAnsi="Times New Roman" w:eastAsia="宋体" w:cs="Times New Roman"/>
          <w:color w:val="auto"/>
          <w:kern w:val="0"/>
          <w:lang w:bidi="ar"/>
        </w:rPr>
        <w:t>年12月27日至12月29日，建设单位委托云南长源检测技术有限公司对项目沿线评价范围内敏感点声环境现状进行了监测，同时对拟建道路与现状道路交叉的道路现状交通噪声进行了监测。项目敏感目标声环境现状昼间、夜间均能满足《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kern w:val="0"/>
          <w:lang w:bidi="ar"/>
        </w:rPr>
        <w:t>2类；项目交通噪声声环境现状昼间、夜间均能满足《声环境质量标准》</w:t>
      </w:r>
      <w:r>
        <w:rPr>
          <w:rFonts w:hint="default" w:ascii="Times New Roman" w:hAnsi="Times New Roman" w:eastAsia="宋体" w:cs="Times New Roman"/>
          <w:color w:val="auto"/>
          <w:kern w:val="0"/>
          <w:lang w:bidi="ar"/>
        </w:rPr>
        <w:t>（GB</w:t>
      </w:r>
      <w:r>
        <w:rPr>
          <w:rFonts w:hint="eastAsia" w:cs="Times New Roman"/>
          <w:color w:val="auto"/>
          <w:kern w:val="0"/>
          <w:lang w:val="en-US" w:eastAsia="zh-CN" w:bidi="ar"/>
        </w:rPr>
        <w:t xml:space="preserve"> </w:t>
      </w:r>
      <w:r>
        <w:rPr>
          <w:rFonts w:hint="default" w:ascii="Times New Roman" w:hAnsi="Times New Roman" w:eastAsia="宋体" w:cs="Times New Roman"/>
          <w:color w:val="auto"/>
          <w:kern w:val="0"/>
          <w:lang w:bidi="ar"/>
        </w:rPr>
        <w:t>3096-2008）</w:t>
      </w:r>
      <w:r>
        <w:rPr>
          <w:rFonts w:hint="default" w:ascii="Times New Roman" w:hAnsi="Times New Roman" w:eastAsia="宋体" w:cs="Times New Roman"/>
          <w:color w:val="auto"/>
          <w:kern w:val="0"/>
          <w:lang w:bidi="ar"/>
        </w:rPr>
        <w:t>4a类标准。</w:t>
      </w:r>
    </w:p>
    <w:p w14:paraId="60AE2D0D">
      <w:pPr>
        <w:pStyle w:val="3"/>
        <w:numPr>
          <w:ilvl w:val="0"/>
          <w:numId w:val="0"/>
        </w:numPr>
        <w:rPr>
          <w:rFonts w:hint="default" w:ascii="Times New Roman" w:hAnsi="Times New Roman" w:eastAsia="宋体" w:cs="Times New Roman"/>
          <w:color w:val="auto"/>
        </w:rPr>
      </w:pPr>
      <w:bookmarkStart w:id="507" w:name="_Toc28065"/>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.3主要环境影响评价结论</w:t>
      </w:r>
      <w:bookmarkEnd w:id="496"/>
      <w:bookmarkEnd w:id="497"/>
      <w:bookmarkEnd w:id="498"/>
      <w:bookmarkEnd w:id="499"/>
      <w:bookmarkEnd w:id="500"/>
      <w:bookmarkEnd w:id="501"/>
      <w:bookmarkEnd w:id="502"/>
      <w:bookmarkEnd w:id="503"/>
      <w:bookmarkEnd w:id="504"/>
      <w:bookmarkEnd w:id="505"/>
      <w:bookmarkEnd w:id="506"/>
      <w:bookmarkEnd w:id="507"/>
    </w:p>
    <w:p w14:paraId="0494F027">
      <w:pPr>
        <w:pStyle w:val="5"/>
        <w:ind w:left="0" w:leftChars="0" w:firstLine="0" w:firstLineChars="0"/>
        <w:rPr>
          <w:rFonts w:hint="default" w:ascii="Times New Roman" w:hAnsi="Times New Roman" w:eastAsia="宋体" w:cs="Times New Roman"/>
          <w:color w:val="auto"/>
        </w:rPr>
      </w:pPr>
      <w:bookmarkStart w:id="508" w:name="_Toc335726553"/>
      <w:bookmarkStart w:id="509" w:name="_Toc352320907"/>
      <w:bookmarkStart w:id="510" w:name="_Toc260057109"/>
      <w:bookmarkStart w:id="511" w:name="_Toc246761991"/>
      <w:bookmarkStart w:id="512" w:name="_Toc227360466"/>
      <w:bookmarkStart w:id="513" w:name="_Toc351046822"/>
      <w:bookmarkStart w:id="514" w:name="_Toc29794"/>
      <w:bookmarkStart w:id="515" w:name="_Toc253050338"/>
      <w:bookmarkStart w:id="516" w:name="_Toc327801225"/>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.3.1环境噪声环境影响评价结论</w:t>
      </w:r>
      <w:bookmarkEnd w:id="508"/>
      <w:bookmarkEnd w:id="509"/>
      <w:bookmarkEnd w:id="510"/>
      <w:bookmarkEnd w:id="511"/>
      <w:bookmarkEnd w:id="512"/>
      <w:bookmarkEnd w:id="513"/>
      <w:bookmarkEnd w:id="514"/>
      <w:bookmarkEnd w:id="515"/>
      <w:bookmarkEnd w:id="516"/>
    </w:p>
    <w:p w14:paraId="14D1F9C0">
      <w:pPr>
        <w:ind w:firstLine="480"/>
        <w:rPr>
          <w:rFonts w:hint="default" w:ascii="Times New Roman" w:hAnsi="Times New Roman" w:eastAsia="宋体" w:cs="Times New Roman"/>
          <w:color w:val="auto"/>
        </w:rPr>
      </w:pPr>
      <w:r>
        <w:rPr>
          <w:rFonts w:hint="eastAsia" w:cs="Times New Roman"/>
          <w:color w:val="auto"/>
          <w:lang w:eastAsia="zh-CN"/>
        </w:rPr>
        <w:t>（</w:t>
      </w:r>
      <w:r>
        <w:rPr>
          <w:rFonts w:hint="eastAsia" w:cs="Times New Roman"/>
          <w:color w:val="auto"/>
          <w:lang w:val="en-US" w:eastAsia="zh-CN"/>
        </w:rPr>
        <w:t>1</w:t>
      </w:r>
      <w:r>
        <w:rPr>
          <w:rFonts w:hint="eastAsia" w:cs="Times New Roman"/>
          <w:color w:val="auto"/>
          <w:lang w:eastAsia="zh-CN"/>
        </w:rPr>
        <w:t>）</w:t>
      </w:r>
      <w:r>
        <w:rPr>
          <w:rFonts w:hint="default" w:ascii="Times New Roman" w:hAnsi="Times New Roman" w:eastAsia="宋体" w:cs="Times New Roman"/>
          <w:color w:val="auto"/>
        </w:rPr>
        <w:t>施工期</w:t>
      </w:r>
    </w:p>
    <w:p w14:paraId="7D2D33BF">
      <w:pPr>
        <w:ind w:firstLine="480"/>
        <w:rPr>
          <w:rFonts w:hint="default" w:ascii="Times New Roman" w:hAnsi="Times New Roman" w:eastAsia="宋体" w:cs="Times New Roman"/>
          <w:color w:val="auto"/>
        </w:rPr>
      </w:pPr>
      <w:bookmarkStart w:id="517" w:name="_Toc246817947"/>
      <w:bookmarkStart w:id="518" w:name="_Toc246762310"/>
      <w:bookmarkStart w:id="519" w:name="_Toc246817510"/>
      <w:bookmarkStart w:id="520" w:name="_Toc246761992"/>
      <w:r>
        <w:rPr>
          <w:rFonts w:hint="default" w:ascii="Times New Roman" w:hAnsi="Times New Roman" w:eastAsia="宋体" w:cs="Times New Roman"/>
          <w:color w:val="auto"/>
        </w:rPr>
        <w:t>施工机械噪声值一般在65~92dB（A）之间，由工程分析，项目施工过程中，通过采取合理布局施工现场</w:t>
      </w:r>
      <w:r>
        <w:rPr>
          <w:rFonts w:hint="eastAsia" w:cs="Times New Roman"/>
          <w:color w:val="auto"/>
          <w:lang w:eastAsia="zh-CN"/>
        </w:rPr>
        <w:t>、</w:t>
      </w:r>
      <w:r>
        <w:rPr>
          <w:rFonts w:hint="eastAsia" w:cs="Times New Roman"/>
          <w:color w:val="auto"/>
          <w:lang w:val="en-US" w:eastAsia="zh-CN"/>
        </w:rPr>
        <w:t>合理安排施工时间、</w:t>
      </w:r>
      <w:r>
        <w:rPr>
          <w:rFonts w:hint="default" w:ascii="Times New Roman" w:hAnsi="Times New Roman" w:eastAsia="宋体" w:cs="Times New Roman"/>
          <w:color w:val="auto"/>
        </w:rPr>
        <w:t>采用降噪作业方式</w:t>
      </w:r>
      <w:r>
        <w:rPr>
          <w:rFonts w:hint="eastAsia" w:cs="Times New Roman"/>
          <w:color w:val="auto"/>
          <w:lang w:eastAsia="zh-CN"/>
        </w:rPr>
        <w:t>、</w:t>
      </w:r>
      <w:r>
        <w:rPr>
          <w:rFonts w:hint="default" w:ascii="Times New Roman" w:hAnsi="Times New Roman" w:eastAsia="宋体" w:cs="Times New Roman"/>
          <w:color w:val="auto"/>
        </w:rPr>
        <w:t>合理安排运输路线和时间</w:t>
      </w:r>
      <w:r>
        <w:rPr>
          <w:rFonts w:hint="eastAsia" w:cs="Times New Roman"/>
          <w:color w:val="auto"/>
          <w:lang w:eastAsia="zh-CN"/>
        </w:rPr>
        <w:t>、</w:t>
      </w:r>
      <w:r>
        <w:rPr>
          <w:rFonts w:hint="default" w:ascii="Times New Roman" w:hAnsi="Times New Roman" w:eastAsia="宋体" w:cs="Times New Roman"/>
          <w:color w:val="auto"/>
        </w:rPr>
        <w:t>加强施工管理等措施，加之施工</w:t>
      </w:r>
      <w:r>
        <w:rPr>
          <w:rFonts w:hint="default" w:ascii="Times New Roman" w:hAnsi="Times New Roman" w:eastAsia="宋体" w:cs="Times New Roman"/>
          <w:color w:val="auto"/>
          <w:lang w:eastAsia="zh-CN"/>
        </w:rPr>
        <w:t>期间</w:t>
      </w:r>
      <w:r>
        <w:rPr>
          <w:rFonts w:hint="default" w:ascii="Times New Roman" w:hAnsi="Times New Roman" w:eastAsia="宋体" w:cs="Times New Roman"/>
          <w:color w:val="auto"/>
        </w:rPr>
        <w:t>机械设备噪声影响只是暂时的且声源不是固定的，随施工期的结束而消失，因此，只要施工单位文明施工，产生的噪声对外环境影响小。</w:t>
      </w:r>
    </w:p>
    <w:bookmarkEnd w:id="517"/>
    <w:bookmarkEnd w:id="518"/>
    <w:bookmarkEnd w:id="519"/>
    <w:bookmarkEnd w:id="520"/>
    <w:p w14:paraId="5DFD4965">
      <w:pPr>
        <w:ind w:firstLine="480"/>
        <w:rPr>
          <w:rFonts w:hint="eastAsia" w:ascii="Times New Roman" w:hAnsi="Times New Roman" w:eastAsia="宋体" w:cs="Times New Roman"/>
          <w:color w:val="auto"/>
          <w:lang w:eastAsia="zh-CN"/>
        </w:rPr>
      </w:pPr>
      <w:r>
        <w:rPr>
          <w:rFonts w:hint="eastAsia" w:cs="Times New Roman"/>
          <w:color w:val="auto"/>
          <w:lang w:eastAsia="zh-CN"/>
        </w:rPr>
        <w:t>（</w:t>
      </w:r>
      <w:r>
        <w:rPr>
          <w:rFonts w:hint="eastAsia" w:cs="Times New Roman"/>
          <w:color w:val="auto"/>
          <w:lang w:val="en-US" w:eastAsia="zh-CN"/>
        </w:rPr>
        <w:t>2</w:t>
      </w:r>
      <w:r>
        <w:rPr>
          <w:rFonts w:hint="eastAsia" w:cs="Times New Roman"/>
          <w:color w:val="auto"/>
          <w:lang w:eastAsia="zh-CN"/>
        </w:rPr>
        <w:t>）营运期</w:t>
      </w:r>
    </w:p>
    <w:p w14:paraId="264E639F">
      <w:pPr>
        <w:ind w:firstLine="480"/>
        <w:rPr>
          <w:rFonts w:hint="default" w:ascii="Times New Roman" w:hAnsi="Times New Roman" w:eastAsia="宋体" w:cs="Times New Roman"/>
          <w:color w:val="auto"/>
        </w:rPr>
      </w:pPr>
      <w:bookmarkStart w:id="521" w:name="_Toc253050339"/>
      <w:bookmarkStart w:id="522" w:name="_Toc246761993"/>
      <w:bookmarkStart w:id="523" w:name="_Toc227360467"/>
      <w:r>
        <w:rPr>
          <w:rFonts w:hint="default" w:ascii="Times New Roman" w:hAnsi="Times New Roman" w:eastAsia="宋体" w:cs="Times New Roman"/>
          <w:color w:val="auto"/>
        </w:rPr>
        <w:t>本评价建议采取以下措施：</w:t>
      </w:r>
    </w:p>
    <w:p w14:paraId="3F770922">
      <w:pPr>
        <w:keepNext w:val="0"/>
        <w:keepLines w:val="0"/>
        <w:widowControl/>
        <w:suppressLineNumbers w:val="0"/>
        <w:jc w:val="left"/>
        <w:rPr>
          <w:color w:val="auto"/>
        </w:rPr>
      </w:pPr>
      <w:r>
        <w:rPr>
          <w:rFonts w:hint="eastAsia" w:ascii="Times New Roman" w:hAnsi="Times New Roman" w:eastAsia="宋体" w:cs="Times New Roman"/>
          <w:snapToGrid w:val="0"/>
          <w:color w:val="auto"/>
          <w:lang w:eastAsia="zh-CN"/>
        </w:rPr>
        <w:fldChar w:fldCharType="begin"/>
      </w:r>
      <w:r>
        <w:rPr>
          <w:rFonts w:hint="eastAsia" w:ascii="Times New Roman" w:hAnsi="Times New Roman" w:eastAsia="宋体" w:cs="Times New Roman"/>
          <w:snapToGrid w:val="0"/>
          <w:color w:val="auto"/>
          <w:lang w:eastAsia="zh-CN"/>
        </w:rPr>
        <w:instrText xml:space="preserve"> = 1 \* GB3 \* MERGEFORMAT </w:instrText>
      </w:r>
      <w:r>
        <w:rPr>
          <w:rFonts w:hint="eastAsia" w:ascii="Times New Roman" w:hAnsi="Times New Roman" w:eastAsia="宋体" w:cs="Times New Roman"/>
          <w:snapToGrid w:val="0"/>
          <w:color w:val="auto"/>
          <w:lang w:eastAsia="zh-CN"/>
        </w:rPr>
        <w:fldChar w:fldCharType="separate"/>
      </w:r>
      <w:r>
        <w:rPr>
          <w:color w:val="auto"/>
        </w:rPr>
        <w:t>①</w:t>
      </w:r>
      <w:r>
        <w:rPr>
          <w:rFonts w:hint="eastAsia" w:ascii="Times New Roman" w:hAnsi="Times New Roman" w:eastAsia="宋体" w:cs="Times New Roman"/>
          <w:snapToGrid w:val="0"/>
          <w:color w:val="auto"/>
          <w:lang w:eastAsia="zh-CN"/>
        </w:rPr>
        <w:fldChar w:fldCharType="end"/>
      </w:r>
      <w:r>
        <w:rPr>
          <w:rFonts w:hint="eastAsia" w:ascii="宋体" w:hAnsi="宋体" w:eastAsia="宋体" w:cs="宋体"/>
          <w:color w:val="auto"/>
          <w:kern w:val="0"/>
          <w:sz w:val="24"/>
          <w:szCs w:val="24"/>
          <w:lang w:val="en-US" w:eastAsia="zh-CN" w:bidi="ar"/>
        </w:rPr>
        <w:t>噪声防护应首先从源头控制，削减噪声源强。在保证安全情况下，优化线形、降低纵坡，保持路面平整，减少车辆爬坡时的噪声级增量；部分噪声预测值超标路段通过加强管理降低噪声源强。</w:t>
      </w:r>
    </w:p>
    <w:p w14:paraId="35B8F069">
      <w:pPr>
        <w:keepNext w:val="0"/>
        <w:keepLines w:val="0"/>
        <w:widowControl/>
        <w:suppressLineNumbers w:val="0"/>
        <w:jc w:val="left"/>
        <w:rPr>
          <w:rFonts w:hint="default" w:ascii="Times New Roman" w:hAnsi="Times New Roman" w:eastAsia="宋体" w:cs="Times New Roman"/>
          <w:snapToGrid w:val="0"/>
          <w:color w:val="auto"/>
        </w:rPr>
      </w:pPr>
      <w:r>
        <w:rPr>
          <w:rFonts w:hint="eastAsia" w:ascii="Times New Roman" w:hAnsi="Times New Roman" w:eastAsia="宋体" w:cs="Times New Roman"/>
          <w:snapToGrid w:val="0"/>
          <w:color w:val="auto"/>
          <w:lang w:eastAsia="zh-CN"/>
        </w:rPr>
        <w:fldChar w:fldCharType="begin"/>
      </w:r>
      <w:r>
        <w:rPr>
          <w:rFonts w:hint="eastAsia" w:ascii="Times New Roman" w:hAnsi="Times New Roman" w:eastAsia="宋体" w:cs="Times New Roman"/>
          <w:snapToGrid w:val="0"/>
          <w:color w:val="auto"/>
          <w:lang w:eastAsia="zh-CN"/>
        </w:rPr>
        <w:instrText xml:space="preserve"> = 2 \* GB3 \* MERGEFORMAT </w:instrText>
      </w:r>
      <w:r>
        <w:rPr>
          <w:rFonts w:hint="eastAsia" w:ascii="Times New Roman" w:hAnsi="Times New Roman" w:eastAsia="宋体" w:cs="Times New Roman"/>
          <w:snapToGrid w:val="0"/>
          <w:color w:val="auto"/>
          <w:lang w:eastAsia="zh-CN"/>
        </w:rPr>
        <w:fldChar w:fldCharType="separate"/>
      </w:r>
      <w:r>
        <w:rPr>
          <w:color w:val="auto"/>
        </w:rPr>
        <w:t>②</w:t>
      </w:r>
      <w:r>
        <w:rPr>
          <w:rFonts w:hint="eastAsia" w:ascii="Times New Roman" w:hAnsi="Times New Roman" w:eastAsia="宋体" w:cs="Times New Roman"/>
          <w:snapToGrid w:val="0"/>
          <w:color w:val="auto"/>
          <w:lang w:eastAsia="zh-CN"/>
        </w:rPr>
        <w:fldChar w:fldCharType="end"/>
      </w:r>
      <w:r>
        <w:rPr>
          <w:rFonts w:hint="eastAsia" w:ascii="宋体" w:hAnsi="宋体" w:eastAsia="宋体" w:cs="宋体"/>
          <w:color w:val="auto"/>
          <w:kern w:val="0"/>
          <w:sz w:val="24"/>
          <w:szCs w:val="24"/>
          <w:lang w:val="en-US" w:eastAsia="zh-CN" w:bidi="ar"/>
        </w:rPr>
        <w:t>根据敏感点的预测结果，考虑到区域发展，道路两侧敏感点也会发生相应的变化，环评对营运中期预测超标的敏感点采取噪声防治措施，远期超标的敏感目标加强营运期噪声监测，如噪声超标，采取相应的预留措施</w:t>
      </w:r>
      <w:r>
        <w:rPr>
          <w:rFonts w:hint="default" w:ascii="Times New Roman" w:hAnsi="Times New Roman" w:eastAsia="宋体" w:cs="Times New Roman"/>
          <w:snapToGrid w:val="0"/>
          <w:color w:val="auto"/>
        </w:rPr>
        <w:t>。</w:t>
      </w:r>
    </w:p>
    <w:p w14:paraId="3C9010F1">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 = 3 \* GB3 \* MERGEFORMAT </w:instrText>
      </w:r>
      <w:r>
        <w:rPr>
          <w:rFonts w:hint="eastAsia" w:ascii="宋体" w:hAnsi="宋体" w:eastAsia="宋体" w:cs="宋体"/>
          <w:color w:val="auto"/>
          <w:kern w:val="0"/>
          <w:sz w:val="24"/>
          <w:szCs w:val="24"/>
          <w:lang w:val="en-US" w:eastAsia="zh-CN" w:bidi="ar"/>
        </w:rPr>
        <w:fldChar w:fldCharType="separate"/>
      </w:r>
      <w:r>
        <w:rPr>
          <w:color w:val="auto"/>
        </w:rPr>
        <w:t>③</w:t>
      </w:r>
      <w:r>
        <w:rPr>
          <w:rFonts w:hint="eastAsia" w:ascii="宋体" w:hAnsi="宋体" w:eastAsia="宋体" w:cs="宋体"/>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加强交通管理，严格执行限速和禁止超载等交通规则，在通过人口密</w:t>
      </w:r>
    </w:p>
    <w:p w14:paraId="22843749">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t>度较大的居民区及学校附近设置禁鸣标志，以减少交通噪声扰民问题；</w:t>
      </w:r>
    </w:p>
    <w:p w14:paraId="6CA28425">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textAlignment w:val="auto"/>
        <w:rPr>
          <w:color w:val="auto"/>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 = 4 \* GB3 \* MERGEFORMAT </w:instrText>
      </w:r>
      <w:r>
        <w:rPr>
          <w:rFonts w:hint="eastAsia" w:ascii="宋体" w:hAnsi="宋体" w:eastAsia="宋体" w:cs="宋体"/>
          <w:color w:val="auto"/>
          <w:kern w:val="0"/>
          <w:sz w:val="24"/>
          <w:szCs w:val="24"/>
          <w:lang w:val="en-US" w:eastAsia="zh-CN" w:bidi="ar"/>
        </w:rPr>
        <w:fldChar w:fldCharType="separate"/>
      </w:r>
      <w:r>
        <w:rPr>
          <w:color w:val="auto"/>
        </w:rPr>
        <w:t>④</w:t>
      </w:r>
      <w:r>
        <w:rPr>
          <w:rFonts w:hint="eastAsia" w:ascii="宋体" w:hAnsi="宋体" w:eastAsia="宋体" w:cs="宋体"/>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加强市政路沿线的声环境质量的环境监测工作，对噪声敏感目标实施</w:t>
      </w:r>
    </w:p>
    <w:p w14:paraId="1C4F9B60">
      <w:pPr>
        <w:keepNext w:val="0"/>
        <w:keepLines w:val="0"/>
        <w:pageBreakBefore w:val="0"/>
        <w:widowControl/>
        <w:suppressLineNumbers w:val="0"/>
        <w:kinsoku/>
        <w:wordWrap/>
        <w:overflowPunct/>
        <w:topLinePunct w:val="0"/>
        <w:autoSpaceDE/>
        <w:autoSpaceDN/>
        <w:bidi w:val="0"/>
        <w:adjustRightInd w:val="0"/>
        <w:snapToGrid w:val="0"/>
        <w:spacing w:line="360" w:lineRule="auto"/>
        <w:jc w:val="left"/>
        <w:textAlignment w:val="auto"/>
        <w:rPr>
          <w:color w:val="auto"/>
        </w:rPr>
      </w:pPr>
      <w:r>
        <w:rPr>
          <w:rFonts w:hint="eastAsia" w:ascii="宋体" w:hAnsi="宋体" w:eastAsia="宋体" w:cs="宋体"/>
          <w:color w:val="auto"/>
          <w:kern w:val="0"/>
          <w:sz w:val="24"/>
          <w:szCs w:val="24"/>
          <w:lang w:val="en-US" w:eastAsia="zh-CN" w:bidi="ar"/>
        </w:rPr>
        <w:t>噪声跟踪监测制度，根据因交通量增大引起的声环境影响程度，及时采取相应的减缓措施；</w:t>
      </w:r>
    </w:p>
    <w:p w14:paraId="40046A23">
      <w:pPr>
        <w:keepNext w:val="0"/>
        <w:keepLines w:val="0"/>
        <w:widowControl/>
        <w:suppressLineNumbers w:val="0"/>
        <w:jc w:val="left"/>
        <w:rPr>
          <w:color w:val="auto"/>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 = 5 \* GB3 \* MERGEFORMAT </w:instrText>
      </w:r>
      <w:r>
        <w:rPr>
          <w:rFonts w:hint="eastAsia" w:ascii="宋体" w:hAnsi="宋体" w:eastAsia="宋体" w:cs="宋体"/>
          <w:color w:val="auto"/>
          <w:kern w:val="0"/>
          <w:sz w:val="24"/>
          <w:szCs w:val="24"/>
          <w:lang w:val="en-US" w:eastAsia="zh-CN" w:bidi="ar"/>
        </w:rPr>
        <w:fldChar w:fldCharType="separate"/>
      </w:r>
      <w:r>
        <w:rPr>
          <w:color w:val="auto"/>
        </w:rPr>
        <w:t>⑤</w:t>
      </w:r>
      <w:r>
        <w:rPr>
          <w:rFonts w:hint="eastAsia" w:ascii="宋体" w:hAnsi="宋体" w:eastAsia="宋体" w:cs="宋体"/>
          <w:color w:val="auto"/>
          <w:kern w:val="0"/>
          <w:sz w:val="24"/>
          <w:szCs w:val="24"/>
          <w:lang w:val="en-US" w:eastAsia="zh-CN" w:bidi="ar"/>
        </w:rPr>
        <w:fldChar w:fldCharType="end"/>
      </w:r>
      <w:r>
        <w:rPr>
          <w:rFonts w:hint="eastAsia" w:ascii="宋体" w:hAnsi="宋体" w:eastAsia="宋体" w:cs="宋体"/>
          <w:color w:val="auto"/>
          <w:kern w:val="0"/>
          <w:sz w:val="24"/>
          <w:szCs w:val="24"/>
          <w:lang w:val="en-US" w:eastAsia="zh-CN" w:bidi="ar"/>
        </w:rPr>
        <w:t>加强道路两侧绿化。</w:t>
      </w:r>
    </w:p>
    <w:p w14:paraId="4D3F41C8">
      <w:pPr>
        <w:pStyle w:val="5"/>
        <w:ind w:left="0" w:leftChars="0" w:firstLine="0" w:firstLineChars="0"/>
        <w:rPr>
          <w:rFonts w:hint="default" w:ascii="Times New Roman" w:hAnsi="Times New Roman" w:eastAsia="宋体" w:cs="Times New Roman"/>
          <w:color w:val="auto"/>
        </w:rPr>
      </w:pPr>
      <w:bookmarkStart w:id="524" w:name="_Toc14652"/>
      <w:bookmarkStart w:id="525" w:name="_Toc260057110"/>
      <w:bookmarkStart w:id="526" w:name="_Toc351046823"/>
      <w:bookmarkStart w:id="527" w:name="_Toc335726554"/>
      <w:bookmarkStart w:id="528" w:name="_Toc352320908"/>
      <w:bookmarkStart w:id="529" w:name="_Toc327801226"/>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.3.2环境空气影响评价结论</w:t>
      </w:r>
      <w:bookmarkEnd w:id="521"/>
      <w:bookmarkEnd w:id="522"/>
      <w:bookmarkEnd w:id="523"/>
      <w:bookmarkEnd w:id="524"/>
      <w:bookmarkEnd w:id="525"/>
      <w:bookmarkEnd w:id="526"/>
      <w:bookmarkEnd w:id="527"/>
      <w:bookmarkEnd w:id="528"/>
      <w:bookmarkEnd w:id="529"/>
    </w:p>
    <w:p w14:paraId="01390FC1">
      <w:pPr>
        <w:ind w:firstLine="480"/>
        <w:rPr>
          <w:rFonts w:hint="default" w:ascii="Times New Roman" w:hAnsi="Times New Roman" w:eastAsia="宋体" w:cs="Times New Roman"/>
          <w:color w:val="auto"/>
        </w:rPr>
      </w:pPr>
      <w:r>
        <w:rPr>
          <w:rFonts w:hint="eastAsia" w:cs="Times New Roman"/>
          <w:color w:val="auto"/>
          <w:lang w:eastAsia="zh-CN"/>
        </w:rPr>
        <w:t>（</w:t>
      </w:r>
      <w:r>
        <w:rPr>
          <w:rFonts w:hint="eastAsia" w:cs="Times New Roman"/>
          <w:color w:val="auto"/>
          <w:lang w:val="en-US" w:eastAsia="zh-CN"/>
        </w:rPr>
        <w:t>1</w:t>
      </w:r>
      <w:r>
        <w:rPr>
          <w:rFonts w:hint="eastAsia" w:cs="Times New Roman"/>
          <w:color w:val="auto"/>
          <w:lang w:eastAsia="zh-CN"/>
        </w:rPr>
        <w:t>）</w:t>
      </w:r>
      <w:r>
        <w:rPr>
          <w:rFonts w:hint="default" w:ascii="Times New Roman" w:hAnsi="Times New Roman" w:eastAsia="宋体" w:cs="Times New Roman"/>
          <w:color w:val="auto"/>
        </w:rPr>
        <w:t>施工期</w:t>
      </w:r>
    </w:p>
    <w:p w14:paraId="7D36364C">
      <w:pPr>
        <w:ind w:firstLine="480"/>
        <w:rPr>
          <w:rFonts w:hint="eastAsia" w:ascii="Times New Roman" w:hAnsi="Times New Roman" w:eastAsia="宋体" w:cs="Times New Roman"/>
          <w:color w:val="auto"/>
          <w:lang w:eastAsia="zh-CN"/>
        </w:rPr>
      </w:pPr>
      <w:r>
        <w:rPr>
          <w:rFonts w:hint="default" w:ascii="Times New Roman" w:hAnsi="Times New Roman" w:eastAsia="宋体" w:cs="Times New Roman"/>
          <w:color w:val="auto"/>
        </w:rPr>
        <w:t>施工期对环境空气的主要影响为施工扬尘，</w:t>
      </w:r>
      <w:r>
        <w:rPr>
          <w:rFonts w:hint="default" w:ascii="Times New Roman" w:hAnsi="Times New Roman" w:eastAsia="宋体" w:cs="Times New Roman"/>
          <w:color w:val="auto"/>
          <w:lang w:val="en-US" w:eastAsia="zh-CN"/>
        </w:rPr>
        <w:t>施工作业面要采取防尘抑尘措施，对已完成的并可能产生扬尘污染的作业面，要采取洒水或喷雾等防尘措施。对土石方、建筑垃圾能够回填利用的及时回填，无法利用的及时清运至</w:t>
      </w:r>
      <w:r>
        <w:rPr>
          <w:rFonts w:hint="eastAsia" w:ascii="Times New Roman" w:hAnsi="Times New Roman" w:eastAsia="宋体" w:cs="Times New Roman"/>
          <w:color w:val="auto"/>
          <w:lang w:val="en-US" w:eastAsia="zh-CN"/>
        </w:rPr>
        <w:t>弃渣场</w:t>
      </w:r>
      <w:r>
        <w:rPr>
          <w:rFonts w:hint="default" w:ascii="Times New Roman" w:hAnsi="Times New Roman" w:eastAsia="宋体" w:cs="Times New Roman"/>
          <w:color w:val="auto"/>
        </w:rPr>
        <w:t>。在施工工地内堆放水泥、灰土、砂石、建筑土方等易产生扬尘的粉状、粒状和块状建筑材料的，应按照“粉状入仓、块状入棚”的原则，采取封闭或者遮盖等防尘措施，现场搅拌混凝土、砂浆等建筑材料的，物料落料点应采取湿法除尘、收尘等措施；运输物料、渣土的车辆应采用密闭或其他措施防止物料遗撒造成扬尘污染</w:t>
      </w:r>
      <w:r>
        <w:rPr>
          <w:rFonts w:hint="eastAsia" w:cs="Times New Roman"/>
          <w:color w:val="auto"/>
          <w:lang w:eastAsia="zh-CN"/>
        </w:rPr>
        <w:t>。</w:t>
      </w:r>
      <w:r>
        <w:rPr>
          <w:rFonts w:hint="default" w:ascii="Times New Roman" w:hAnsi="Times New Roman" w:eastAsia="宋体" w:cs="Times New Roman"/>
          <w:color w:val="auto"/>
        </w:rPr>
        <w:t>施工路段及施工便道应适时洒水，减轻扬尘污染</w:t>
      </w:r>
      <w:r>
        <w:rPr>
          <w:rFonts w:hint="eastAsia" w:cs="Times New Roman"/>
          <w:color w:val="auto"/>
          <w:lang w:val="en-US" w:eastAsia="zh-CN"/>
        </w:rPr>
        <w:t>等。</w:t>
      </w:r>
    </w:p>
    <w:p w14:paraId="05C7EE71">
      <w:pPr>
        <w:ind w:firstLine="480"/>
        <w:rPr>
          <w:rFonts w:hint="eastAsia" w:ascii="Times New Roman" w:hAnsi="Times New Roman" w:eastAsia="宋体" w:cs="Times New Roman"/>
          <w:color w:val="auto"/>
          <w:lang w:eastAsia="zh-CN"/>
        </w:rPr>
      </w:pPr>
      <w:r>
        <w:rPr>
          <w:rFonts w:hint="eastAsia" w:cs="Times New Roman"/>
          <w:color w:val="auto"/>
          <w:lang w:eastAsia="zh-CN"/>
        </w:rPr>
        <w:t>（</w:t>
      </w:r>
      <w:r>
        <w:rPr>
          <w:rFonts w:hint="eastAsia" w:cs="Times New Roman"/>
          <w:color w:val="auto"/>
          <w:lang w:val="en-US" w:eastAsia="zh-CN"/>
        </w:rPr>
        <w:t>2</w:t>
      </w:r>
      <w:r>
        <w:rPr>
          <w:rFonts w:hint="eastAsia" w:cs="Times New Roman"/>
          <w:color w:val="auto"/>
          <w:lang w:eastAsia="zh-CN"/>
        </w:rPr>
        <w:t>）营运期</w:t>
      </w:r>
    </w:p>
    <w:p w14:paraId="11671FED">
      <w:pPr>
        <w:pStyle w:val="505"/>
        <w:rPr>
          <w:rFonts w:hint="default" w:ascii="Times New Roman" w:hAnsi="Times New Roman" w:eastAsia="宋体" w:cs="Times New Roman"/>
          <w:color w:val="auto"/>
        </w:rPr>
      </w:pPr>
      <w:bookmarkStart w:id="530" w:name="_Toc246761995"/>
      <w:bookmarkStart w:id="531" w:name="_Toc227360468"/>
      <w:bookmarkStart w:id="532" w:name="_Toc253050340"/>
      <w:r>
        <w:rPr>
          <w:rFonts w:hint="eastAsia" w:ascii="Times New Roman" w:hAnsi="Times New Roman" w:eastAsia="宋体" w:cs="Times New Roman"/>
          <w:snapToGrid w:val="0"/>
          <w:color w:val="auto"/>
          <w:lang w:eastAsia="zh-CN"/>
        </w:rPr>
        <w:fldChar w:fldCharType="begin"/>
      </w:r>
      <w:r>
        <w:rPr>
          <w:rFonts w:hint="eastAsia" w:ascii="Times New Roman" w:hAnsi="Times New Roman" w:eastAsia="宋体" w:cs="Times New Roman"/>
          <w:snapToGrid w:val="0"/>
          <w:color w:val="auto"/>
          <w:lang w:eastAsia="zh-CN"/>
        </w:rPr>
        <w:instrText xml:space="preserve"> = 1 \* GB3 \* MERGEFORMAT </w:instrText>
      </w:r>
      <w:r>
        <w:rPr>
          <w:rFonts w:hint="eastAsia" w:ascii="Times New Roman" w:hAnsi="Times New Roman" w:eastAsia="宋体" w:cs="Times New Roman"/>
          <w:snapToGrid w:val="0"/>
          <w:color w:val="auto"/>
          <w:lang w:eastAsia="zh-CN"/>
        </w:rPr>
        <w:fldChar w:fldCharType="separate"/>
      </w:r>
      <w:r>
        <w:rPr>
          <w:color w:val="auto"/>
        </w:rPr>
        <w:t>①</w:t>
      </w:r>
      <w:r>
        <w:rPr>
          <w:rFonts w:hint="eastAsia" w:ascii="Times New Roman" w:hAnsi="Times New Roman" w:eastAsia="宋体" w:cs="Times New Roman"/>
          <w:snapToGrid w:val="0"/>
          <w:color w:val="auto"/>
          <w:lang w:eastAsia="zh-CN"/>
        </w:rPr>
        <w:fldChar w:fldCharType="end"/>
      </w:r>
      <w:r>
        <w:rPr>
          <w:rFonts w:hint="default" w:ascii="Times New Roman" w:hAnsi="Times New Roman" w:eastAsia="宋体" w:cs="Times New Roman"/>
          <w:color w:val="auto"/>
        </w:rPr>
        <w:t>在道路两侧，特别是关心点临路较近的路段附近多植树、植灌木、种草，绿化，这样既可净化吸收车辆尾气中的污染物，又可美化环境和改善道路沿线景观。</w:t>
      </w:r>
    </w:p>
    <w:p w14:paraId="3798D105">
      <w:pPr>
        <w:pStyle w:val="505"/>
        <w:rPr>
          <w:rFonts w:hint="default" w:ascii="Times New Roman" w:hAnsi="Times New Roman" w:eastAsia="宋体" w:cs="Times New Roman"/>
          <w:color w:val="auto"/>
        </w:rPr>
      </w:pPr>
      <w:r>
        <w:rPr>
          <w:rFonts w:hint="eastAsia" w:ascii="Times New Roman" w:hAnsi="Times New Roman" w:eastAsia="宋体" w:cs="Times New Roman"/>
          <w:snapToGrid w:val="0"/>
          <w:color w:val="auto"/>
          <w:lang w:eastAsia="zh-CN"/>
        </w:rPr>
        <w:fldChar w:fldCharType="begin"/>
      </w:r>
      <w:r>
        <w:rPr>
          <w:rFonts w:hint="eastAsia" w:ascii="Times New Roman" w:hAnsi="Times New Roman" w:eastAsia="宋体" w:cs="Times New Roman"/>
          <w:snapToGrid w:val="0"/>
          <w:color w:val="auto"/>
          <w:lang w:eastAsia="zh-CN"/>
        </w:rPr>
        <w:instrText xml:space="preserve"> = 2 \* GB3 \* MERGEFORMAT </w:instrText>
      </w:r>
      <w:r>
        <w:rPr>
          <w:rFonts w:hint="eastAsia" w:ascii="Times New Roman" w:hAnsi="Times New Roman" w:eastAsia="宋体" w:cs="Times New Roman"/>
          <w:snapToGrid w:val="0"/>
          <w:color w:val="auto"/>
          <w:lang w:eastAsia="zh-CN"/>
        </w:rPr>
        <w:fldChar w:fldCharType="separate"/>
      </w:r>
      <w:r>
        <w:rPr>
          <w:color w:val="auto"/>
        </w:rPr>
        <w:t>②</w:t>
      </w:r>
      <w:r>
        <w:rPr>
          <w:rFonts w:hint="eastAsia" w:ascii="Times New Roman" w:hAnsi="Times New Roman" w:eastAsia="宋体" w:cs="Times New Roman"/>
          <w:snapToGrid w:val="0"/>
          <w:color w:val="auto"/>
          <w:lang w:eastAsia="zh-CN"/>
        </w:rPr>
        <w:fldChar w:fldCharType="end"/>
      </w:r>
      <w:r>
        <w:rPr>
          <w:rFonts w:hint="default" w:ascii="Times New Roman" w:hAnsi="Times New Roman" w:eastAsia="宋体" w:cs="Times New Roman"/>
          <w:color w:val="auto"/>
        </w:rPr>
        <w:t>加强组织管理，对上路车辆进行检查，禁止车况差、超载、遮盖不严容易洒落的车辆上路。</w:t>
      </w:r>
    </w:p>
    <w:p w14:paraId="19D276B5">
      <w:pPr>
        <w:pStyle w:val="505"/>
        <w:rPr>
          <w:rFonts w:hint="default" w:ascii="Times New Roman" w:hAnsi="Times New Roman" w:eastAsia="宋体" w:cs="Times New Roman"/>
          <w:color w:val="auto"/>
        </w:rPr>
      </w:pPr>
      <w:r>
        <w:rPr>
          <w:rFonts w:hint="eastAsia" w:ascii="宋体" w:hAnsi="宋体" w:eastAsia="宋体" w:cs="宋体"/>
          <w:color w:val="auto"/>
          <w:kern w:val="0"/>
          <w:sz w:val="24"/>
          <w:szCs w:val="24"/>
          <w:lang w:val="en-US" w:eastAsia="zh-CN" w:bidi="ar"/>
        </w:rPr>
        <w:fldChar w:fldCharType="begin"/>
      </w:r>
      <w:r>
        <w:rPr>
          <w:rFonts w:hint="eastAsia" w:ascii="宋体" w:hAnsi="宋体" w:eastAsia="宋体" w:cs="宋体"/>
          <w:color w:val="auto"/>
          <w:kern w:val="0"/>
          <w:sz w:val="24"/>
          <w:szCs w:val="24"/>
          <w:lang w:val="en-US" w:eastAsia="zh-CN" w:bidi="ar"/>
        </w:rPr>
        <w:instrText xml:space="preserve"> = 3 \* GB3 \* MERGEFORMAT </w:instrText>
      </w:r>
      <w:r>
        <w:rPr>
          <w:rFonts w:hint="eastAsia" w:ascii="宋体" w:hAnsi="宋体" w:eastAsia="宋体" w:cs="宋体"/>
          <w:color w:val="auto"/>
          <w:kern w:val="0"/>
          <w:sz w:val="24"/>
          <w:szCs w:val="24"/>
          <w:lang w:val="en-US" w:eastAsia="zh-CN" w:bidi="ar"/>
        </w:rPr>
        <w:fldChar w:fldCharType="separate"/>
      </w:r>
      <w:r>
        <w:rPr>
          <w:color w:val="auto"/>
        </w:rPr>
        <w:t>③</w:t>
      </w:r>
      <w:r>
        <w:rPr>
          <w:rFonts w:hint="eastAsia" w:ascii="宋体" w:hAnsi="宋体" w:eastAsia="宋体" w:cs="宋体"/>
          <w:color w:val="auto"/>
          <w:kern w:val="0"/>
          <w:sz w:val="24"/>
          <w:szCs w:val="24"/>
          <w:lang w:val="en-US" w:eastAsia="zh-CN" w:bidi="ar"/>
        </w:rPr>
        <w:fldChar w:fldCharType="end"/>
      </w:r>
      <w:r>
        <w:rPr>
          <w:rFonts w:hint="default" w:ascii="Times New Roman" w:hAnsi="Times New Roman" w:eastAsia="宋体" w:cs="Times New Roman"/>
          <w:color w:val="auto"/>
        </w:rPr>
        <w:t>加强路面养护和清洁，维护良好的路况，保证汽车在良好的路况下行驶，减少扬尘和尾气污染。加强对城市道路沿线绿化的养护，维护绿化的减污功能。</w:t>
      </w:r>
    </w:p>
    <w:p w14:paraId="630264B2">
      <w:pPr>
        <w:pStyle w:val="5"/>
        <w:ind w:left="0" w:leftChars="0" w:firstLine="0" w:firstLineChars="0"/>
        <w:rPr>
          <w:rFonts w:hint="default" w:ascii="Times New Roman" w:hAnsi="Times New Roman" w:eastAsia="宋体" w:cs="Times New Roman"/>
          <w:color w:val="auto"/>
        </w:rPr>
      </w:pPr>
      <w:bookmarkStart w:id="533" w:name="_Toc352320909"/>
      <w:bookmarkStart w:id="534" w:name="_Toc327801227"/>
      <w:bookmarkStart w:id="535" w:name="_Toc260057111"/>
      <w:bookmarkStart w:id="536" w:name="_Toc351046824"/>
      <w:bookmarkStart w:id="537" w:name="_Toc335726555"/>
      <w:bookmarkStart w:id="538" w:name="_Toc19658"/>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.3.3水环境影响分析结论</w:t>
      </w:r>
      <w:bookmarkEnd w:id="530"/>
      <w:bookmarkEnd w:id="531"/>
      <w:bookmarkEnd w:id="532"/>
      <w:bookmarkEnd w:id="533"/>
      <w:bookmarkEnd w:id="534"/>
      <w:bookmarkEnd w:id="535"/>
      <w:bookmarkEnd w:id="536"/>
      <w:bookmarkEnd w:id="537"/>
      <w:bookmarkEnd w:id="538"/>
    </w:p>
    <w:p w14:paraId="0EA3E47A">
      <w:pPr>
        <w:ind w:firstLine="480"/>
        <w:rPr>
          <w:rFonts w:hint="default" w:ascii="Times New Roman" w:hAnsi="Times New Roman" w:eastAsia="宋体" w:cs="Times New Roman"/>
          <w:color w:val="auto"/>
        </w:rPr>
      </w:pPr>
      <w:bookmarkStart w:id="539" w:name="_Toc322954913"/>
      <w:bookmarkStart w:id="540" w:name="_Toc246817514"/>
      <w:bookmarkStart w:id="541" w:name="_Toc246762314"/>
      <w:bookmarkStart w:id="542" w:name="_Toc322955891"/>
      <w:bookmarkStart w:id="543" w:name="_Toc246817951"/>
      <w:bookmarkStart w:id="544" w:name="_Toc246761996"/>
      <w:r>
        <w:rPr>
          <w:rFonts w:hint="default" w:ascii="Times New Roman" w:hAnsi="Times New Roman" w:eastAsia="宋体" w:cs="Times New Roman"/>
          <w:color w:val="auto"/>
        </w:rPr>
        <w:t>施工场地生产废水、混凝土拌和场含SS的碱性废水等直接排放，将会导致水体的泥沙、石油类等污染物含量增加，对水体产生污染影响。本环评建议在生活营地单独设置生活污水沉淀池1个，容积设置为5m</w:t>
      </w:r>
      <w:r>
        <w:rPr>
          <w:rFonts w:hint="default" w:ascii="Times New Roman" w:hAnsi="Times New Roman" w:eastAsia="宋体" w:cs="Times New Roman"/>
          <w:color w:val="auto"/>
          <w:vertAlign w:val="superscript"/>
        </w:rPr>
        <w:t>3</w:t>
      </w:r>
      <w:r>
        <w:rPr>
          <w:rFonts w:hint="default" w:ascii="Times New Roman" w:hAnsi="Times New Roman" w:eastAsia="宋体" w:cs="Times New Roman"/>
          <w:color w:val="auto"/>
        </w:rPr>
        <w:t>。项目施工过程中生活营地设置沉淀池，生活废水经沉淀处理后，回用于场地洒水抑尘，不外排，对地表水环境影响小。①在施工场地布置沉淀池，对混凝土拌和、预制过程中产生的含SS的碱性废水进行收集处理。②不得在跨越水体的河流管理范围内设置任何弃渣场地、料场及施工场地、施工营地。施工营地时应尽量租用当地民房，生活污水利用现有设施处理，若确实需要建设施工临时住房，施工生活营地选址应距河流岸边300m远，可采取设置化粪池进行收集处理，经处理后做农肥使用，严禁外排。</w:t>
      </w:r>
    </w:p>
    <w:p w14:paraId="796016AF">
      <w:pPr>
        <w:ind w:firstLine="480"/>
        <w:rPr>
          <w:rFonts w:hint="eastAsia" w:ascii="Times New Roman" w:hAnsi="Times New Roman" w:eastAsia="宋体" w:cs="Times New Roman"/>
          <w:color w:val="auto"/>
          <w:sz w:val="30"/>
          <w:szCs w:val="30"/>
          <w:lang w:val="en-US" w:eastAsia="zh-CN"/>
        </w:rPr>
      </w:pPr>
      <w:r>
        <w:rPr>
          <w:rFonts w:hint="default" w:ascii="Times New Roman" w:hAnsi="Times New Roman" w:eastAsia="宋体" w:cs="Times New Roman"/>
          <w:color w:val="auto"/>
        </w:rPr>
        <w:t>项目建成营运后，路面污染物随路面径流进入附近水体造成污染，其主要影响因素为：pH、SS、石油类，</w:t>
      </w:r>
      <w:r>
        <w:rPr>
          <w:rFonts w:hint="eastAsia" w:cs="Times New Roman"/>
          <w:color w:val="auto"/>
          <w:lang w:val="en-US" w:eastAsia="zh-CN"/>
        </w:rPr>
        <w:t>通过加强管理，减少随初期雨水冲刷而进入到路面径流污水中的SS和石油类等污染物量，</w:t>
      </w:r>
      <w:r>
        <w:rPr>
          <w:rFonts w:hint="default" w:ascii="Times New Roman" w:hAnsi="Times New Roman" w:eastAsia="宋体" w:cs="Times New Roman"/>
          <w:color w:val="auto"/>
        </w:rPr>
        <w:t>总体上影响轻微。</w:t>
      </w:r>
    </w:p>
    <w:bookmarkEnd w:id="539"/>
    <w:bookmarkEnd w:id="540"/>
    <w:bookmarkEnd w:id="541"/>
    <w:bookmarkEnd w:id="542"/>
    <w:bookmarkEnd w:id="543"/>
    <w:bookmarkEnd w:id="544"/>
    <w:p w14:paraId="4DA35C0C">
      <w:pPr>
        <w:pStyle w:val="5"/>
        <w:ind w:left="0" w:leftChars="0" w:firstLine="0" w:firstLineChars="0"/>
        <w:rPr>
          <w:rFonts w:hint="default" w:ascii="Times New Roman" w:hAnsi="Times New Roman" w:eastAsia="宋体" w:cs="Times New Roman"/>
          <w:color w:val="auto"/>
        </w:rPr>
      </w:pPr>
      <w:bookmarkStart w:id="545" w:name="_Toc335726556"/>
      <w:bookmarkStart w:id="546" w:name="_Toc227360469"/>
      <w:bookmarkStart w:id="547" w:name="_Toc352320910"/>
      <w:bookmarkStart w:id="548" w:name="_Toc246761997"/>
      <w:bookmarkStart w:id="549" w:name="_Toc260057112"/>
      <w:bookmarkStart w:id="550" w:name="_Toc327801228"/>
      <w:bookmarkStart w:id="551" w:name="_Toc253050341"/>
      <w:bookmarkStart w:id="552" w:name="_Toc25474"/>
      <w:bookmarkStart w:id="553" w:name="_Toc351046825"/>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.3.4固体废物处置及影响分析结论</w:t>
      </w:r>
      <w:bookmarkEnd w:id="545"/>
      <w:bookmarkEnd w:id="546"/>
      <w:bookmarkEnd w:id="547"/>
      <w:bookmarkEnd w:id="548"/>
      <w:bookmarkEnd w:id="549"/>
      <w:bookmarkEnd w:id="550"/>
      <w:bookmarkEnd w:id="551"/>
      <w:bookmarkEnd w:id="552"/>
      <w:bookmarkEnd w:id="553"/>
    </w:p>
    <w:p w14:paraId="75DDE6F7">
      <w:pPr>
        <w:ind w:firstLine="480"/>
        <w:rPr>
          <w:rFonts w:hint="default" w:ascii="Times New Roman" w:hAnsi="Times New Roman" w:eastAsia="宋体" w:cs="Times New Roman"/>
          <w:color w:val="auto"/>
        </w:rPr>
      </w:pPr>
      <w:bookmarkStart w:id="554" w:name="_Toc253050342"/>
      <w:bookmarkStart w:id="555" w:name="_Toc351046826"/>
      <w:bookmarkStart w:id="556" w:name="_Toc227360470"/>
      <w:bookmarkStart w:id="557" w:name="_Toc260057113"/>
      <w:bookmarkStart w:id="558" w:name="_Toc335726557"/>
      <w:bookmarkStart w:id="559" w:name="_Toc352320911"/>
      <w:bookmarkStart w:id="560" w:name="_Toc246761999"/>
      <w:bookmarkStart w:id="561" w:name="_Toc327801229"/>
      <w:r>
        <w:rPr>
          <w:rFonts w:hint="eastAsia" w:cs="Times New Roman"/>
          <w:color w:val="auto"/>
          <w:lang w:val="en-US" w:eastAsia="zh-CN"/>
        </w:rPr>
        <w:t>主要为施工期固废</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lang w:bidi="ar"/>
        </w:rPr>
        <w:t>运送散装建筑材料的车辆，用</w:t>
      </w:r>
      <w:r>
        <w:rPr>
          <w:rFonts w:hint="default" w:ascii="Times New Roman" w:hAnsi="Times New Roman" w:eastAsia="宋体" w:cs="Times New Roman"/>
          <w:color w:val="auto"/>
          <w:kern w:val="0"/>
          <w:lang w:eastAsia="zh-CN" w:bidi="ar"/>
        </w:rPr>
        <w:t>篷布</w:t>
      </w:r>
      <w:r>
        <w:rPr>
          <w:rFonts w:hint="default" w:ascii="Times New Roman" w:hAnsi="Times New Roman" w:eastAsia="宋体" w:cs="Times New Roman"/>
          <w:color w:val="auto"/>
          <w:kern w:val="0"/>
          <w:lang w:bidi="ar"/>
        </w:rPr>
        <w:t>遮盖，以防物料洒落</w:t>
      </w:r>
      <w:r>
        <w:rPr>
          <w:rFonts w:hint="eastAsia" w:cs="Times New Roman"/>
          <w:color w:val="auto"/>
          <w:kern w:val="0"/>
          <w:lang w:eastAsia="zh-CN" w:bidi="ar"/>
        </w:rPr>
        <w:t>；</w:t>
      </w:r>
      <w:r>
        <w:rPr>
          <w:rFonts w:hint="default" w:ascii="Times New Roman" w:hAnsi="Times New Roman" w:eastAsia="宋体" w:cs="Times New Roman"/>
          <w:color w:val="auto"/>
          <w:kern w:val="0"/>
          <w:lang w:bidi="ar"/>
        </w:rPr>
        <w:t>本工程产生的弃渣运至项目规划的弃渣场堆放</w:t>
      </w:r>
      <w:r>
        <w:rPr>
          <w:rFonts w:hint="eastAsia" w:cs="Times New Roman"/>
          <w:color w:val="auto"/>
          <w:kern w:val="0"/>
          <w:lang w:val="en-US" w:eastAsia="zh-CN" w:bidi="ar"/>
        </w:rPr>
        <w:t>处理</w:t>
      </w:r>
      <w:r>
        <w:rPr>
          <w:rFonts w:hint="default" w:ascii="Times New Roman" w:hAnsi="Times New Roman" w:eastAsia="宋体" w:cs="Times New Roman"/>
          <w:color w:val="auto"/>
        </w:rPr>
        <w:t>；</w:t>
      </w:r>
      <w:r>
        <w:rPr>
          <w:rFonts w:hint="default" w:ascii="Times New Roman" w:hAnsi="Times New Roman" w:eastAsia="宋体" w:cs="Times New Roman"/>
          <w:color w:val="auto"/>
          <w:kern w:val="0"/>
          <w:lang w:bidi="ar"/>
        </w:rPr>
        <w:t>项目内产生的拆迁建筑垃圾及废弃建筑材料经分拣、剔除后，废钢材等可以回收利用的，集中收集后外售综合利用；砖石、混凝土不可回收利用的，应妥善保管，优先供周边地区修补乡村道路或建筑使用，无法利用时运至政府指定地点堆存，在运输过程中为防止建筑垃圾沿路泼洒，应对运输车辆加盖篷布</w:t>
      </w:r>
      <w:r>
        <w:rPr>
          <w:rFonts w:hint="eastAsia" w:cs="Times New Roman"/>
          <w:color w:val="auto"/>
          <w:kern w:val="0"/>
          <w:lang w:val="en-US" w:eastAsia="zh-CN" w:bidi="ar"/>
        </w:rPr>
        <w:t>等</w:t>
      </w:r>
      <w:r>
        <w:rPr>
          <w:rFonts w:hint="default" w:ascii="Times New Roman" w:hAnsi="Times New Roman" w:eastAsia="宋体" w:cs="Times New Roman"/>
          <w:color w:val="auto"/>
        </w:rPr>
        <w:t>，施工期固废对环境影响小。</w:t>
      </w:r>
    </w:p>
    <w:p w14:paraId="290350A9">
      <w:pPr>
        <w:pStyle w:val="5"/>
        <w:ind w:left="0" w:leftChars="0" w:firstLine="0" w:firstLineChars="0"/>
        <w:rPr>
          <w:rFonts w:hint="default" w:ascii="Times New Roman" w:hAnsi="Times New Roman" w:eastAsia="宋体" w:cs="Times New Roman"/>
          <w:color w:val="auto"/>
        </w:rPr>
      </w:pPr>
      <w:bookmarkStart w:id="562" w:name="_Toc1060"/>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.3.5生态环境影响分析结论</w:t>
      </w:r>
      <w:bookmarkEnd w:id="554"/>
      <w:bookmarkEnd w:id="555"/>
      <w:bookmarkEnd w:id="556"/>
      <w:bookmarkEnd w:id="557"/>
      <w:bookmarkEnd w:id="558"/>
      <w:bookmarkEnd w:id="559"/>
      <w:bookmarkEnd w:id="560"/>
      <w:bookmarkEnd w:id="561"/>
      <w:bookmarkEnd w:id="562"/>
    </w:p>
    <w:p w14:paraId="19EC5CF1">
      <w:pPr>
        <w:ind w:firstLine="480"/>
        <w:rPr>
          <w:rFonts w:hint="default" w:ascii="Times New Roman" w:hAnsi="Times New Roman" w:eastAsia="宋体" w:cs="Times New Roman"/>
          <w:color w:val="auto"/>
        </w:rPr>
      </w:pPr>
      <w:bookmarkStart w:id="563" w:name="_Toc227360471"/>
      <w:bookmarkStart w:id="564" w:name="_Toc246762000"/>
      <w:bookmarkStart w:id="565" w:name="_Toc253050343"/>
      <w:r>
        <w:rPr>
          <w:rFonts w:hint="default" w:ascii="Times New Roman" w:hAnsi="Times New Roman" w:eastAsia="宋体" w:cs="Times New Roman"/>
          <w:color w:val="auto"/>
        </w:rPr>
        <w:t>项目</w:t>
      </w:r>
      <w:r>
        <w:rPr>
          <w:rFonts w:hint="eastAsia" w:cs="Times New Roman"/>
          <w:color w:val="auto"/>
          <w:lang w:val="en-US" w:eastAsia="zh-CN"/>
        </w:rPr>
        <w:t>施工期采取了避让措施、减缓措施和水土保持防治措施</w:t>
      </w:r>
      <w:r>
        <w:rPr>
          <w:rFonts w:hint="default" w:ascii="Times New Roman" w:hAnsi="Times New Roman" w:eastAsia="宋体" w:cs="Times New Roman"/>
          <w:color w:val="auto"/>
        </w:rPr>
        <w:t>。</w:t>
      </w:r>
      <w:r>
        <w:rPr>
          <w:rFonts w:hint="eastAsia" w:cs="Times New Roman"/>
          <w:color w:val="auto"/>
          <w:lang w:eastAsia="zh-CN"/>
        </w:rPr>
        <w:t>营运期</w:t>
      </w:r>
      <w:r>
        <w:rPr>
          <w:rFonts w:hint="default" w:ascii="Times New Roman" w:hAnsi="Times New Roman" w:eastAsia="宋体" w:cs="Times New Roman"/>
          <w:color w:val="auto"/>
          <w:kern w:val="0"/>
          <w:lang w:bidi="ar"/>
        </w:rPr>
        <w:t>加强沿线绿化恢复，做到公路绿化与现有自然景观协调，避免选用外来物种进行该路段边坡绿化</w:t>
      </w:r>
      <w:r>
        <w:rPr>
          <w:rFonts w:hint="default" w:ascii="Times New Roman" w:hAnsi="Times New Roman" w:eastAsia="宋体" w:cs="Times New Roman"/>
          <w:color w:val="auto"/>
        </w:rPr>
        <w:t>。项目建设对区域生态环境</w:t>
      </w:r>
      <w:r>
        <w:rPr>
          <w:rFonts w:hint="eastAsia" w:cs="Times New Roman"/>
          <w:color w:val="auto"/>
          <w:lang w:val="en-US" w:eastAsia="zh-CN"/>
        </w:rPr>
        <w:t>采取环评提出的措施后，环境影响可以接受</w:t>
      </w:r>
      <w:r>
        <w:rPr>
          <w:rFonts w:hint="default" w:ascii="Times New Roman" w:hAnsi="Times New Roman" w:eastAsia="宋体" w:cs="Times New Roman"/>
          <w:color w:val="auto"/>
        </w:rPr>
        <w:t>。</w:t>
      </w:r>
    </w:p>
    <w:p w14:paraId="21243F9A">
      <w:pPr>
        <w:pStyle w:val="5"/>
        <w:ind w:left="0" w:leftChars="0" w:firstLine="0" w:firstLineChars="0"/>
        <w:rPr>
          <w:rFonts w:hint="default" w:ascii="Times New Roman" w:hAnsi="Times New Roman" w:eastAsia="宋体" w:cs="Times New Roman"/>
          <w:color w:val="auto"/>
        </w:rPr>
      </w:pPr>
      <w:bookmarkStart w:id="566" w:name="_Toc260057114"/>
      <w:bookmarkStart w:id="567" w:name="_Toc352320912"/>
      <w:bookmarkStart w:id="568" w:name="_Toc335726558"/>
      <w:bookmarkStart w:id="569" w:name="_Toc10509"/>
      <w:bookmarkStart w:id="570" w:name="_Toc351046827"/>
      <w:bookmarkStart w:id="571" w:name="_Toc327801230"/>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.3.6社会影响评价结论</w:t>
      </w:r>
      <w:bookmarkEnd w:id="563"/>
      <w:bookmarkEnd w:id="564"/>
      <w:bookmarkEnd w:id="565"/>
      <w:bookmarkEnd w:id="566"/>
      <w:bookmarkEnd w:id="567"/>
      <w:bookmarkEnd w:id="568"/>
      <w:bookmarkEnd w:id="569"/>
      <w:bookmarkEnd w:id="570"/>
      <w:bookmarkEnd w:id="571"/>
    </w:p>
    <w:p w14:paraId="01A80BDC">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工程项目的建设，在建设征地、部分拆迁、公路建设等方面对沿线居民的生产、生活产生一定程度的不利影响，通过对施工方式的精心组织及合理安排，施工期间的社会影响问题可以减轻，对周边的环境影响较小。</w:t>
      </w:r>
    </w:p>
    <w:p w14:paraId="50D13DF0">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建设项目完成后，将改善周边区域的交通状况，使周边区域的人流、物流运输更加迅捷，对改善该地区的面貌起到一个积极作用，区域交通条件的改变，会给影响区人民带来更多的就业和发展机会，改变现在的投资环境，促进沿线生活水平的提高，为元江</w:t>
      </w:r>
      <w:r>
        <w:rPr>
          <w:rFonts w:hint="eastAsia" w:cs="Times New Roman"/>
          <w:color w:val="auto"/>
          <w:lang w:val="en-US" w:eastAsia="zh-CN"/>
        </w:rPr>
        <w:t>甘庄街道</w:t>
      </w:r>
      <w:r>
        <w:rPr>
          <w:rFonts w:hint="default" w:ascii="Times New Roman" w:hAnsi="Times New Roman" w:eastAsia="宋体" w:cs="Times New Roman"/>
          <w:color w:val="auto"/>
        </w:rPr>
        <w:t>的发展建设提供动力，对区域内居民生活质量的提高产生有利的影响。</w:t>
      </w:r>
    </w:p>
    <w:p w14:paraId="67920C6D">
      <w:pPr>
        <w:ind w:firstLine="480"/>
        <w:rPr>
          <w:rFonts w:hint="default" w:ascii="Times New Roman" w:hAnsi="Times New Roman" w:eastAsia="宋体" w:cs="Times New Roman"/>
          <w:color w:val="auto"/>
          <w:lang w:val="en-US" w:eastAsia="zh-CN"/>
        </w:rPr>
      </w:pPr>
      <w:r>
        <w:rPr>
          <w:rFonts w:hint="eastAsia"/>
          <w:color w:val="auto"/>
          <w:lang w:val="en-US" w:eastAsia="zh-CN"/>
        </w:rPr>
        <w:t>10.3.7环境风险影响评价结论</w:t>
      </w:r>
    </w:p>
    <w:p w14:paraId="39D9F9BE">
      <w:pPr>
        <w:keepNext w:val="0"/>
        <w:keepLines w:val="0"/>
        <w:widowControl/>
        <w:suppressLineNumbers w:val="0"/>
        <w:jc w:val="left"/>
        <w:rPr>
          <w:color w:val="auto"/>
        </w:rPr>
      </w:pPr>
      <w:bookmarkStart w:id="572" w:name="_Toc335726560"/>
      <w:bookmarkStart w:id="573" w:name="_Toc253050345"/>
      <w:bookmarkStart w:id="574" w:name="_Toc246762002"/>
      <w:bookmarkStart w:id="575" w:name="_Toc352321000"/>
      <w:bookmarkStart w:id="576" w:name="_Toc352320913"/>
      <w:bookmarkStart w:id="577" w:name="_Toc327801232"/>
      <w:bookmarkStart w:id="578" w:name="_Toc227360472"/>
      <w:bookmarkStart w:id="579" w:name="_Toc294958853"/>
      <w:bookmarkStart w:id="580" w:name="_Toc260057116"/>
      <w:bookmarkStart w:id="581" w:name="_Toc351046829"/>
      <w:bookmarkStart w:id="582" w:name="_Toc367844727"/>
      <w:r>
        <w:rPr>
          <w:rFonts w:hint="eastAsia" w:ascii="宋体" w:hAnsi="宋体" w:eastAsia="宋体" w:cs="宋体"/>
          <w:color w:val="auto"/>
          <w:kern w:val="0"/>
          <w:sz w:val="24"/>
          <w:szCs w:val="24"/>
          <w:lang w:val="en-US" w:eastAsia="zh-CN" w:bidi="ar"/>
        </w:rPr>
        <w:t>本公路不涉及跨越水体，工程距离较短，不是主要的危化品运输路线，根据风险分析，环境风险较小。</w:t>
      </w:r>
    </w:p>
    <w:p w14:paraId="64C64FBB">
      <w:pPr>
        <w:pStyle w:val="3"/>
        <w:numPr>
          <w:ilvl w:val="0"/>
          <w:numId w:val="0"/>
        </w:numPr>
        <w:rPr>
          <w:rFonts w:hint="default" w:ascii="Times New Roman" w:hAnsi="Times New Roman" w:eastAsia="宋体" w:cs="Times New Roman"/>
          <w:color w:val="auto"/>
        </w:rPr>
      </w:pPr>
      <w:bookmarkStart w:id="583" w:name="_Toc18008"/>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.4</w:t>
      </w:r>
      <w:bookmarkEnd w:id="572"/>
      <w:bookmarkEnd w:id="573"/>
      <w:bookmarkEnd w:id="574"/>
      <w:bookmarkEnd w:id="575"/>
      <w:bookmarkEnd w:id="576"/>
      <w:bookmarkEnd w:id="577"/>
      <w:bookmarkEnd w:id="578"/>
      <w:bookmarkEnd w:id="579"/>
      <w:bookmarkEnd w:id="580"/>
      <w:bookmarkEnd w:id="581"/>
      <w:r>
        <w:rPr>
          <w:rFonts w:hint="default" w:ascii="Times New Roman" w:hAnsi="Times New Roman" w:eastAsia="宋体" w:cs="Times New Roman"/>
          <w:color w:val="auto"/>
        </w:rPr>
        <w:t>公众参与</w:t>
      </w:r>
      <w:bookmarkEnd w:id="582"/>
      <w:bookmarkEnd w:id="583"/>
    </w:p>
    <w:p w14:paraId="0EE7E107">
      <w:pPr>
        <w:pStyle w:val="493"/>
        <w:spacing w:after="0" w:line="360" w:lineRule="auto"/>
        <w:ind w:firstLine="480"/>
        <w:rPr>
          <w:rStyle w:val="232"/>
          <w:rFonts w:hint="default" w:ascii="Times New Roman" w:hAnsi="Times New Roman" w:eastAsia="宋体" w:cs="Times New Roman"/>
          <w:color w:val="auto"/>
          <w:sz w:val="24"/>
          <w:szCs w:val="24"/>
        </w:rPr>
      </w:pPr>
      <w:r>
        <w:rPr>
          <w:rStyle w:val="232"/>
          <w:rFonts w:hint="default" w:ascii="Times New Roman" w:hAnsi="Times New Roman" w:eastAsia="宋体" w:cs="Times New Roman"/>
          <w:color w:val="auto"/>
          <w:sz w:val="24"/>
          <w:szCs w:val="24"/>
        </w:rPr>
        <w:t>本公司成立了项目组，组织踏勘了项目场址，考察了项目周围地区的环境状况，收集了项目相关资料，于2025年1月21日在“玉溪高古楼”网站上进行了第一次环境信息公示（公示网站链接：https://www.gaogulou.com/thread-1840681-1-1.html）。公示的主要内容包括①项目概况，②建设单位名称及联系方式，③环境影响报告书编制单位的名称，④征求公众意见的主要事项，⑤公众意见表的网络链接，⑥提交公众意见表的方式和途径。</w:t>
      </w:r>
    </w:p>
    <w:p w14:paraId="7DBE8780">
      <w:pPr>
        <w:pStyle w:val="3"/>
        <w:numPr>
          <w:ilvl w:val="0"/>
          <w:numId w:val="0"/>
        </w:numPr>
        <w:rPr>
          <w:rFonts w:hint="default" w:ascii="Times New Roman" w:hAnsi="Times New Roman" w:eastAsia="宋体" w:cs="Times New Roman"/>
          <w:color w:val="auto"/>
        </w:rPr>
      </w:pPr>
      <w:bookmarkStart w:id="584" w:name="_Toc10512"/>
      <w:bookmarkStart w:id="585" w:name="_Toc352320914"/>
      <w:bookmarkStart w:id="586" w:name="_Toc294958854"/>
      <w:bookmarkStart w:id="587" w:name="_Toc367844728"/>
      <w:bookmarkStart w:id="588" w:name="_Toc335726561"/>
      <w:bookmarkStart w:id="589" w:name="_Toc327801233"/>
      <w:bookmarkStart w:id="590" w:name="_Toc253050346"/>
      <w:bookmarkStart w:id="591" w:name="_Toc352321001"/>
      <w:bookmarkStart w:id="592" w:name="_Toc260057117"/>
      <w:bookmarkStart w:id="593" w:name="_Toc227360474"/>
      <w:bookmarkStart w:id="594" w:name="_Toc246762003"/>
      <w:bookmarkStart w:id="595" w:name="_Toc351046830"/>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rPr>
        <w:t>.5评价总结论</w:t>
      </w:r>
      <w:bookmarkEnd w:id="584"/>
      <w:bookmarkEnd w:id="585"/>
      <w:bookmarkEnd w:id="586"/>
      <w:bookmarkEnd w:id="587"/>
      <w:bookmarkEnd w:id="588"/>
      <w:bookmarkEnd w:id="589"/>
      <w:bookmarkEnd w:id="590"/>
      <w:bookmarkEnd w:id="591"/>
      <w:bookmarkEnd w:id="592"/>
      <w:bookmarkEnd w:id="593"/>
      <w:bookmarkEnd w:id="594"/>
      <w:bookmarkEnd w:id="595"/>
    </w:p>
    <w:p w14:paraId="2844A1FF">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本次元江火车站站前广场配套道路5号路建设项目位于元江县甘庄街道，</w:t>
      </w:r>
      <w:r>
        <w:rPr>
          <w:rFonts w:hint="default" w:ascii="Times New Roman" w:hAnsi="Times New Roman" w:eastAsia="宋体" w:cs="Times New Roman"/>
          <w:color w:val="auto"/>
          <w:kern w:val="0"/>
          <w:sz w:val="24"/>
          <w:szCs w:val="24"/>
          <w:lang w:val="en-US" w:eastAsia="zh-CN" w:bidi="ar"/>
        </w:rPr>
        <w:t>作为连接</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站与城市交通网络的关键纽带，对于提升</w:t>
      </w:r>
      <w:r>
        <w:rPr>
          <w:rFonts w:hint="eastAsia" w:cs="Times New Roman"/>
          <w:color w:val="auto"/>
          <w:kern w:val="0"/>
          <w:sz w:val="24"/>
          <w:szCs w:val="24"/>
          <w:lang w:val="en-US" w:eastAsia="zh-CN" w:bidi="ar"/>
        </w:rPr>
        <w:t>元江</w:t>
      </w:r>
      <w:r>
        <w:rPr>
          <w:rFonts w:hint="default" w:ascii="Times New Roman" w:hAnsi="Times New Roman" w:eastAsia="宋体" w:cs="Times New Roman"/>
          <w:color w:val="auto"/>
          <w:kern w:val="0"/>
          <w:sz w:val="24"/>
          <w:szCs w:val="24"/>
          <w:lang w:val="en-US" w:eastAsia="zh-CN" w:bidi="ar"/>
        </w:rPr>
        <w:t>站的交通疏解能力起着至关重要的作用</w:t>
      </w:r>
      <w:r>
        <w:rPr>
          <w:rFonts w:hint="eastAsia" w:ascii="Times New Roman" w:hAnsi="Times New Roman" w:eastAsia="宋体" w:cs="Times New Roman"/>
          <w:color w:val="auto"/>
          <w:kern w:val="0"/>
          <w:sz w:val="24"/>
          <w:szCs w:val="24"/>
          <w:lang w:val="en-US" w:eastAsia="zh-CN" w:bidi="ar"/>
        </w:rPr>
        <w:t>，而且本项目的建设有利于加强</w:t>
      </w:r>
      <w:r>
        <w:rPr>
          <w:rFonts w:hint="default" w:ascii="Times New Roman" w:hAnsi="Times New Roman" w:eastAsia="宋体" w:cs="Times New Roman"/>
          <w:color w:val="auto"/>
          <w:kern w:val="0"/>
          <w:sz w:val="24"/>
          <w:szCs w:val="24"/>
          <w:lang w:val="en-US" w:eastAsia="zh-CN" w:bidi="ar"/>
        </w:rPr>
        <w:t>元江火车站铁路</w:t>
      </w:r>
      <w:r>
        <w:rPr>
          <w:rFonts w:hint="eastAsia" w:cs="Times New Roman"/>
          <w:color w:val="auto"/>
          <w:kern w:val="0"/>
          <w:sz w:val="24"/>
          <w:szCs w:val="24"/>
          <w:lang w:val="en-US" w:eastAsia="zh-CN" w:bidi="ar"/>
        </w:rPr>
        <w:t>货运站</w:t>
      </w:r>
      <w:r>
        <w:rPr>
          <w:rFonts w:hint="default" w:ascii="Times New Roman" w:hAnsi="Times New Roman" w:eastAsia="宋体" w:cs="Times New Roman"/>
          <w:color w:val="auto"/>
          <w:kern w:val="0"/>
          <w:sz w:val="24"/>
          <w:szCs w:val="24"/>
          <w:lang w:val="en-US" w:eastAsia="zh-CN" w:bidi="ar"/>
        </w:rPr>
        <w:t>与甘庄工业园区的衔接，增加物流运输能力</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且</w:t>
      </w:r>
      <w:r>
        <w:rPr>
          <w:rFonts w:hint="default" w:ascii="Times New Roman" w:hAnsi="Times New Roman" w:eastAsia="宋体" w:cs="Times New Roman"/>
          <w:color w:val="auto"/>
        </w:rPr>
        <w:t>G213线甘庄段道路穿越集镇核心区，交通安全隐患突出</w:t>
      </w:r>
      <w:r>
        <w:rPr>
          <w:rFonts w:hint="default"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对集镇居民影响较大，</w:t>
      </w:r>
      <w:r>
        <w:rPr>
          <w:rFonts w:hint="default" w:ascii="Times New Roman" w:hAnsi="Times New Roman" w:eastAsia="宋体" w:cs="Times New Roman"/>
          <w:color w:val="auto"/>
        </w:rPr>
        <w:t>项目起、止点与G213相接</w:t>
      </w:r>
      <w:r>
        <w:rPr>
          <w:rFonts w:hint="eastAsia" w:cs="Times New Roman"/>
          <w:color w:val="auto"/>
          <w:lang w:eastAsia="zh-CN"/>
        </w:rPr>
        <w:t>，</w:t>
      </w:r>
      <w:r>
        <w:rPr>
          <w:rFonts w:hint="eastAsia" w:ascii="Times New Roman" w:hAnsi="Times New Roman" w:eastAsia="宋体" w:cs="Times New Roman"/>
          <w:color w:val="auto"/>
          <w:lang w:val="en-US" w:eastAsia="zh-CN"/>
        </w:rPr>
        <w:t>本项目的建设能</w:t>
      </w:r>
      <w:r>
        <w:rPr>
          <w:rFonts w:hint="default" w:ascii="Times New Roman" w:hAnsi="Times New Roman" w:eastAsia="宋体" w:cs="Times New Roman"/>
          <w:color w:val="auto"/>
        </w:rPr>
        <w:t>提高国道</w:t>
      </w:r>
      <w:r>
        <w:rPr>
          <w:rFonts w:hint="default" w:ascii="Times New Roman" w:hAnsi="Times New Roman" w:eastAsia="宋体" w:cs="Times New Roman"/>
          <w:color w:val="auto"/>
          <w:lang w:val="en-US" w:eastAsia="zh-CN"/>
        </w:rPr>
        <w:t>213</w:t>
      </w:r>
      <w:r>
        <w:rPr>
          <w:rFonts w:hint="default" w:ascii="Times New Roman" w:hAnsi="Times New Roman" w:eastAsia="宋体" w:cs="Times New Roman"/>
          <w:color w:val="auto"/>
        </w:rPr>
        <w:t>交通承载能力，</w:t>
      </w:r>
      <w:r>
        <w:rPr>
          <w:rFonts w:hint="eastAsia" w:ascii="Times New Roman" w:hAnsi="Times New Roman" w:eastAsia="宋体" w:cs="Times New Roman"/>
          <w:color w:val="auto"/>
          <w:lang w:val="en-US" w:eastAsia="zh-CN"/>
        </w:rPr>
        <w:t>并</w:t>
      </w:r>
      <w:r>
        <w:rPr>
          <w:rFonts w:hint="default" w:ascii="Times New Roman" w:hAnsi="Times New Roman" w:eastAsia="宋体" w:cs="Times New Roman"/>
          <w:color w:val="auto"/>
        </w:rPr>
        <w:t>减轻</w:t>
      </w:r>
      <w:r>
        <w:rPr>
          <w:rFonts w:hint="default" w:ascii="Times New Roman" w:hAnsi="Times New Roman" w:eastAsia="宋体" w:cs="Times New Roman"/>
          <w:color w:val="auto"/>
          <w:lang w:val="en-US" w:eastAsia="zh-CN"/>
        </w:rPr>
        <w:t>集镇</w:t>
      </w:r>
      <w:r>
        <w:rPr>
          <w:rFonts w:hint="eastAsia" w:ascii="Times New Roman" w:hAnsi="Times New Roman" w:eastAsia="宋体" w:cs="Times New Roman"/>
          <w:color w:val="auto"/>
          <w:lang w:val="en-US" w:eastAsia="zh-CN"/>
        </w:rPr>
        <w:t>交通</w:t>
      </w:r>
      <w:r>
        <w:rPr>
          <w:rFonts w:hint="default" w:ascii="Times New Roman" w:hAnsi="Times New Roman" w:eastAsia="宋体" w:cs="Times New Roman"/>
          <w:color w:val="auto"/>
        </w:rPr>
        <w:t>管理压力，</w:t>
      </w:r>
      <w:r>
        <w:rPr>
          <w:rFonts w:hint="eastAsia" w:ascii="Times New Roman" w:hAnsi="Times New Roman" w:eastAsia="宋体" w:cs="Times New Roman"/>
          <w:color w:val="auto"/>
          <w:lang w:val="en-US" w:eastAsia="zh-CN"/>
        </w:rPr>
        <w:t>且</w:t>
      </w:r>
      <w:r>
        <w:rPr>
          <w:rFonts w:hint="default" w:ascii="Times New Roman" w:hAnsi="Times New Roman" w:eastAsia="宋体" w:cs="Times New Roman"/>
          <w:color w:val="auto"/>
          <w:lang w:val="en-US" w:eastAsia="zh-CN"/>
        </w:rPr>
        <w:t>该项目已列入《元江县的“十四五”综合交通运输发展规划》，属于县级改移新建交通建设项目</w:t>
      </w:r>
      <w:r>
        <w:rPr>
          <w:rFonts w:hint="default" w:ascii="Times New Roman" w:hAnsi="Times New Roman" w:eastAsia="宋体" w:cs="Times New Roman"/>
          <w:color w:val="auto"/>
        </w:rPr>
        <w:t>。</w:t>
      </w:r>
    </w:p>
    <w:p w14:paraId="76D14DC5">
      <w:pPr>
        <w:pStyle w:val="74"/>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元江县发展和改革局于2024年10月31日出具了《关于元江火车站站前广场配套道路5号路建设项目立项的通知》（元发改〔2024〕88号），同意项目立项。</w:t>
      </w:r>
      <w:r>
        <w:rPr>
          <w:rFonts w:hint="default" w:ascii="Times New Roman" w:hAnsi="Times New Roman" w:eastAsia="宋体" w:cs="Times New Roman"/>
          <w:color w:val="auto"/>
          <w:lang w:eastAsia="zh-CN"/>
        </w:rPr>
        <w:t>元江哈尼族彝族傣族自治县交通运输局</w:t>
      </w:r>
      <w:r>
        <w:rPr>
          <w:rFonts w:hint="default" w:ascii="Times New Roman" w:hAnsi="Times New Roman" w:eastAsia="宋体" w:cs="Times New Roman"/>
          <w:color w:val="auto"/>
        </w:rPr>
        <w:t>委托云南平捷工程设计咨询有限公司编制完成了《元江火车站站前广场配套道路5号路建设项目可行性研究报告》，并于2024年12月4日取得元江县发展和改革局出具的《关于元江火车站站前广场配套道路5号路建设项目可行性研究报告的批复》（元发改〔2024〕89号）。项目于2025年5月编制完成了《元江火车站站前广场配套道路5号路建设项目一阶段初步设计》，并于2025年9月1日取得了</w:t>
      </w:r>
      <w:r>
        <w:rPr>
          <w:rFonts w:hint="default" w:ascii="Times New Roman" w:hAnsi="Times New Roman" w:eastAsia="宋体" w:cs="Times New Roman"/>
          <w:color w:val="auto"/>
          <w:lang w:eastAsia="zh-CN"/>
        </w:rPr>
        <w:t>元江哈尼族彝族傣族自治县交通运输局</w:t>
      </w:r>
      <w:r>
        <w:rPr>
          <w:rFonts w:hint="default" w:ascii="Times New Roman" w:hAnsi="Times New Roman" w:eastAsia="宋体" w:cs="Times New Roman"/>
          <w:color w:val="auto"/>
        </w:rPr>
        <w:t>《关于元江火车站站前广场配套道路5号路建设项目一阶段初步设计及概算的批复》（元交运发〔2025〕34号）。</w:t>
      </w:r>
    </w:p>
    <w:p w14:paraId="241361E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lang w:eastAsia="zh-CN"/>
        </w:rPr>
        <w:t>本次</w:t>
      </w:r>
      <w:r>
        <w:rPr>
          <w:rFonts w:hint="default" w:ascii="Times New Roman" w:hAnsi="Times New Roman" w:eastAsia="宋体" w:cs="Times New Roman"/>
          <w:color w:val="auto"/>
        </w:rPr>
        <w:t>评价对工程施工期和营运期可能产生的环境影响进行了全面的分析和评价，提出了针对性且具有可操作性的措施和建议。虽然本工程开发建设和运营将会对沿线生态环境、水环境、声环境及环境空气产生一定的不利影响，但只要落实本报告提出的减缓措施和保护措施，环保措施技术经济满足长期稳定达标和生态保护的要求，认真完成对敏感路段施工期的保护措施及营运期景观设计、生态恢复、警示牌、告示牌、路面径流收集、防撞墩、防撞护栏、事故沉淀池等措施；落实环保设施与主体工程建设的“三同时”制度，所产生的不利影响可以得到有效控制，并降至环境能接受的最低程度。</w:t>
      </w:r>
    </w:p>
    <w:p w14:paraId="17F3A8E2">
      <w:pPr>
        <w:ind w:firstLine="480"/>
        <w:rPr>
          <w:rFonts w:hint="default" w:ascii="Times New Roman" w:hAnsi="Times New Roman" w:eastAsia="宋体" w:cs="Times New Roman"/>
          <w:color w:val="auto"/>
        </w:rPr>
      </w:pPr>
      <w:r>
        <w:rPr>
          <w:rFonts w:hint="default" w:ascii="Times New Roman" w:hAnsi="Times New Roman" w:eastAsia="宋体" w:cs="Times New Roman"/>
          <w:color w:val="auto"/>
        </w:rPr>
        <w:t>综上，本评价认为，本项目在落实本报告书提出的环境保护措施和建议后，从环境保护的技术角度，项目建设可行。</w:t>
      </w:r>
    </w:p>
    <w:sectPr>
      <w:headerReference r:id="rId17" w:type="default"/>
      <w:footerReference r:id="rId18" w:type="default"/>
      <w:pgSz w:w="11906" w:h="16838"/>
      <w:pgMar w:top="1440" w:right="1080" w:bottom="1440" w:left="108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1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楷体">
    <w:altName w:val="宋体"/>
    <w:panose1 w:val="00000000000000000000"/>
    <w:charset w:val="86"/>
    <w:family w:val="decorative"/>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7F" w:usb3="00000000" w:csb0="203F01FF" w:csb1="DFFF0000"/>
  </w:font>
  <w:font w:name="仿宋_GB2312">
    <w:altName w:val="仿宋"/>
    <w:panose1 w:val="02010609030101010101"/>
    <w:charset w:val="86"/>
    <w:family w:val="decorative"/>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Geneva">
    <w:altName w:val="Arial"/>
    <w:panose1 w:val="00000000000000000000"/>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Roman">
    <w:altName w:val="Times New Roman"/>
    <w:panose1 w:val="00000000000000000000"/>
    <w:charset w:val="00"/>
    <w:family w:val="swiss"/>
    <w:pitch w:val="default"/>
    <w:sig w:usb0="00000000" w:usb1="00000000" w:usb2="00000000" w:usb3="00000000" w:csb0="00000000" w:csb1="00000000"/>
  </w:font>
  <w:font w:name="Arial Narrow">
    <w:altName w:val="Arial"/>
    <w:panose1 w:val="020B0606020202030204"/>
    <w:charset w:val="00"/>
    <w:family w:val="swiss"/>
    <w:pitch w:val="default"/>
    <w:sig w:usb0="00000000" w:usb1="00000000" w:usb2="00000000" w:usb3="00000000" w:csb0="2000009F" w:csb1="DFD70000"/>
  </w:font>
  <w:font w:name="华文仿宋">
    <w:panose1 w:val="02010600040101010101"/>
    <w:charset w:val="86"/>
    <w:family w:val="auto"/>
    <w:pitch w:val="default"/>
    <w:sig w:usb0="00000287" w:usb1="080F0000" w:usb2="00000000" w:usb3="00000000" w:csb0="0004009F" w:csb1="DFD70000"/>
  </w:font>
  <w:font w:name="Cambria Math">
    <w:panose1 w:val="02040503050406030204"/>
    <w:charset w:val="00"/>
    <w:family w:val="auto"/>
    <w:pitch w:val="default"/>
    <w:sig w:usb0="E00006FF" w:usb1="420024FF" w:usb2="02000000" w:usb3="00000000" w:csb0="2000019F" w:csb1="00000000"/>
    <w:embedRegular r:id="rId1" w:fontKey="{D53E00C8-CC79-4140-9F0E-80FFA34B7646}"/>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DB126">
    <w:pPr>
      <w:pStyle w:val="37"/>
      <w:ind w:firstLine="360"/>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8ED7F">
    <w:pPr>
      <w:pStyle w:val="37"/>
      <w:ind w:firstLine="360"/>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15F6CF7">
                          <w:pPr>
                            <w:pStyle w:val="37"/>
                            <w:ind w:firstLine="36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715F6CF7">
                    <w:pPr>
                      <w:pStyle w:val="37"/>
                      <w:ind w:firstLine="36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4006F">
    <w:pPr>
      <w:ind w:firstLine="480"/>
      <w:jc w:val="center"/>
      <w:rPr>
        <w:rFonts w:hint="eastAsia"/>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197BEE5">
                          <w:pPr>
                            <w:pStyle w:val="37"/>
                            <w:ind w:firstLine="360"/>
                          </w:pPr>
                          <w:r>
                            <w:fldChar w:fldCharType="begin"/>
                          </w:r>
                          <w:r>
                            <w:instrText xml:space="preserve"> PAGE  \* MERGEFORMAT </w:instrText>
                          </w:r>
                          <w:r>
                            <w:fldChar w:fldCharType="separate"/>
                          </w:r>
                          <w:r>
                            <w:t>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SujS4dIBAAClAwAADgAAAAAAAAABACAAAAAi&#10;AQAAZHJzL2Uyb0RvYy54bWxQSwUGAAAAAAYABgBZAQAAZgUAAAAA&#10;">
              <v:fill on="f" focussize="0,0"/>
              <v:stroke on="f" weight="1.25pt"/>
              <v:imagedata o:title=""/>
              <o:lock v:ext="edit" aspectratio="f"/>
              <v:textbox inset="0mm,0mm,0mm,0mm" style="mso-fit-shape-to-text:t;">
                <w:txbxContent>
                  <w:p w14:paraId="1197BEE5">
                    <w:pPr>
                      <w:pStyle w:val="37"/>
                      <w:ind w:firstLine="360"/>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5D0FB">
    <w:pPr>
      <w:pStyle w:val="37"/>
      <w:pBdr>
        <w:top w:val="single" w:color="auto" w:sz="4" w:space="1"/>
      </w:pBdr>
      <w:ind w:firstLine="360"/>
    </w:pPr>
    <w:r>
      <w:t xml:space="preserve">                  </w:t>
    </w:r>
    <w:r>
      <w:rPr>
        <w:rFonts w:hint="eastAsia"/>
      </w:rPr>
      <w:t xml:space="preserve">                      </w:t>
    </w:r>
    <w:r>
      <w:t xml:space="preserve">      </w:t>
    </w:r>
    <w:r>
      <w:fldChar w:fldCharType="begin"/>
    </w:r>
    <w:r>
      <w:instrText xml:space="preserve"> PAGE   \* MERGEFORMAT </w:instrText>
    </w:r>
    <w:r>
      <w:fldChar w:fldCharType="separate"/>
    </w:r>
    <w:r>
      <w:rPr>
        <w:lang w:val="zh-CN"/>
      </w:rPr>
      <w:t>70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C2588">
    <w:pPr>
      <w:pStyle w:val="24"/>
      <w:kinsoku w:val="0"/>
      <w:overflowPunct w:val="0"/>
      <w:spacing w:line="14" w:lineRule="auto"/>
      <w:ind w:firstLine="400"/>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81EEB4A">
                          <w:pPr>
                            <w:pStyle w:val="37"/>
                            <w:ind w:firstLine="360"/>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PS18p9IBAAClAwAADgAAAAAAAAABACAAAAAi&#10;AQAAZHJzL2Uyb0RvYy54bWxQSwUGAAAAAAYABgBZAQAAZgUAAAAA&#10;">
              <v:fill on="f" focussize="0,0"/>
              <v:stroke on="f" weight="1.25pt"/>
              <v:imagedata o:title=""/>
              <o:lock v:ext="edit" aspectratio="f"/>
              <v:textbox inset="0mm,0mm,0mm,0mm" style="mso-fit-shape-to-text:t;">
                <w:txbxContent>
                  <w:p w14:paraId="181EEB4A">
                    <w:pPr>
                      <w:pStyle w:val="37"/>
                      <w:ind w:firstLine="360"/>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246BD">
    <w:pPr>
      <w:ind w:firstLine="480"/>
      <w:jc w:val="center"/>
      <w:rPr>
        <w:rFonts w:hint="eastAsia"/>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A136CC4">
                          <w:pPr>
                            <w:pStyle w:val="37"/>
                            <w:ind w:firstLine="360"/>
                          </w:pPr>
                          <w:r>
                            <w:fldChar w:fldCharType="begin"/>
                          </w:r>
                          <w:r>
                            <w:instrText xml:space="preserve"> PAGE  \* MERGEFORMAT </w:instrText>
                          </w:r>
                          <w:r>
                            <w:fldChar w:fldCharType="separate"/>
                          </w:r>
                          <w:r>
                            <w:t>210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81ti7TAQAApQMAAA4AAAAAAAAAAQAgAAAA&#10;IgEAAGRycy9lMm9Eb2MueG1sUEsFBgAAAAAGAAYAWQEAAGcFAAAAAA==&#10;">
              <v:fill on="f" focussize="0,0"/>
              <v:stroke on="f" weight="1.25pt"/>
              <v:imagedata o:title=""/>
              <o:lock v:ext="edit" aspectratio="f"/>
              <v:textbox inset="0mm,0mm,0mm,0mm" style="mso-fit-shape-to-text:t;">
                <w:txbxContent>
                  <w:p w14:paraId="3A136CC4">
                    <w:pPr>
                      <w:pStyle w:val="37"/>
                      <w:ind w:firstLine="360"/>
                    </w:pPr>
                    <w:r>
                      <w:fldChar w:fldCharType="begin"/>
                    </w:r>
                    <w:r>
                      <w:instrText xml:space="preserve"> PAGE  \* MERGEFORMAT </w:instrText>
                    </w:r>
                    <w:r>
                      <w:fldChar w:fldCharType="separate"/>
                    </w:r>
                    <w:r>
                      <w:t>210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6C776">
    <w:pPr>
      <w:spacing w:line="14" w:lineRule="auto"/>
      <w:ind w:firstLine="480"/>
      <w:rPr>
        <w:sz w:val="19"/>
        <w:szCs w:val="19"/>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FB14934">
                          <w:pPr>
                            <w:pStyle w:val="37"/>
                            <w:ind w:firstLine="360"/>
                          </w:pPr>
                          <w:r>
                            <w:fldChar w:fldCharType="begin"/>
                          </w:r>
                          <w:r>
                            <w:instrText xml:space="preserve"> PAGE  \* MERGEFORMAT </w:instrText>
                          </w:r>
                          <w:r>
                            <w:fldChar w:fldCharType="separate"/>
                          </w:r>
                          <w:r>
                            <w:t>226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LIvq/3TAQAApwMAAA4AAAAAAAAAAQAgAAAA&#10;IgEAAGRycy9lMm9Eb2MueG1sUEsFBgAAAAAGAAYAWQEAAGcFAAAAAA==&#10;">
              <v:fill on="f" focussize="0,0"/>
              <v:stroke on="f" weight="1.25pt"/>
              <v:imagedata o:title=""/>
              <o:lock v:ext="edit" aspectratio="f"/>
              <v:textbox inset="0mm,0mm,0mm,0mm" style="mso-fit-shape-to-text:t;">
                <w:txbxContent>
                  <w:p w14:paraId="2FB14934">
                    <w:pPr>
                      <w:pStyle w:val="37"/>
                      <w:ind w:firstLine="360"/>
                    </w:pPr>
                    <w:r>
                      <w:fldChar w:fldCharType="begin"/>
                    </w:r>
                    <w:r>
                      <w:instrText xml:space="preserve"> PAGE  \* MERGEFORMAT </w:instrText>
                    </w:r>
                    <w:r>
                      <w:fldChar w:fldCharType="separate"/>
                    </w:r>
                    <w:r>
                      <w:t>226</w:t>
                    </w:r>
                    <w:r>
                      <w:fldChar w:fldCharType="end"/>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851535</wp:posOffset>
              </wp:positionH>
              <wp:positionV relativeFrom="page">
                <wp:posOffset>9919335</wp:posOffset>
              </wp:positionV>
              <wp:extent cx="1854200" cy="1397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54200" cy="139700"/>
                      </a:xfrm>
                      <a:prstGeom prst="rect">
                        <a:avLst/>
                      </a:prstGeom>
                      <a:noFill/>
                      <a:ln>
                        <a:noFill/>
                      </a:ln>
                    </wps:spPr>
                    <wps:txbx>
                      <w:txbxContent>
                        <w:p w14:paraId="4E002F89">
                          <w:pPr>
                            <w:spacing w:line="200" w:lineRule="exact"/>
                            <w:ind w:left="20" w:firstLine="360"/>
                            <w:jc w:val="left"/>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67.05pt;margin-top:781.05pt;height:11pt;width:146pt;mso-position-horizontal-relative:page;mso-position-vertical-relative:page;z-index:-251653120;mso-width-relative:page;mso-height-relative:page;" filled="f" stroked="f" coordsize="21600,21600" o:gfxdata="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OPglyXXAAAADQEAAA8AAAAAAAAAAQAgAAAAIgAAAGRycy9kb3ducmV2LnhtbFBLAQIU&#10;ABQAAAAIAIdO4kDKdB8kuwEAAHQDAAAOAAAAAAAAAAEAIAAAACYBAABkcnMvZTJvRG9jLnhtbFBL&#10;BQYAAAAABgAGAFkBAABTBQAAAAA=&#10;">
              <v:fill on="f" focussize="0,0"/>
              <v:stroke on="f"/>
              <v:imagedata o:title=""/>
              <o:lock v:ext="edit" aspectratio="f"/>
              <v:textbox inset="0mm,0mm,0mm,0mm">
                <w:txbxContent>
                  <w:p w14:paraId="4E002F89">
                    <w:pPr>
                      <w:spacing w:line="200" w:lineRule="exact"/>
                      <w:ind w:left="20" w:firstLine="360"/>
                      <w:jc w:val="left"/>
                      <w:rPr>
                        <w:rFonts w:ascii="宋体" w:hAnsi="宋体" w:cs="宋体"/>
                        <w:sz w:val="18"/>
                        <w:szCs w:val="18"/>
                      </w:rPr>
                    </w:pP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FDC7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sz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-17780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D1E77">
                          <w:pPr>
                            <w:pStyle w:val="37"/>
                          </w:pPr>
                          <w:r>
                            <w:fldChar w:fldCharType="begin"/>
                          </w:r>
                          <w:r>
                            <w:instrText xml:space="preserve"> PAGE  \* MERGEFORMAT </w:instrText>
                          </w:r>
                          <w:r>
                            <w:fldChar w:fldCharType="separate"/>
                          </w:r>
                          <w:r>
                            <w:t>- 5 -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4pt;height:144pt;width:144pt;mso-position-horizontal:center;mso-position-horizontal-relative:margin;mso-wrap-style:none;z-index:251666432;mso-width-relative:page;mso-height-relative:page;" filled="f" stroked="f" coordsize="21600,21600" o:gfxdata="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D6YarLUAAAABwEAAA8AAAAAAAAAAQAgAAAAIgAAAGRycy9kb3ducmV2LnhtbFBL&#10;AQIUABQAAAAIAIdO4kCChHYYMwIAAGMEAAAOAAAAAAAAAAEAIAAAACMBAABkcnMvZTJvRG9jLnht&#10;bFBLBQYAAAAABgAGAFkBAADIBQAAAAA=&#10;">
              <v:fill on="f" focussize="0,0"/>
              <v:stroke on="f" weight="0.5pt"/>
              <v:imagedata o:title=""/>
              <o:lock v:ext="edit" aspectratio="f"/>
              <v:textbox inset="0mm,0mm,0mm,0mm" style="mso-fit-shape-to-text:t;">
                <w:txbxContent>
                  <w:p w14:paraId="126D1E77">
                    <w:pPr>
                      <w:pStyle w:val="37"/>
                    </w:pPr>
                    <w:r>
                      <w:fldChar w:fldCharType="begin"/>
                    </w:r>
                    <w:r>
                      <w:instrText xml:space="preserve"> PAGE  \* MERGEFORMAT </w:instrText>
                    </w:r>
                    <w:r>
                      <w:fldChar w:fldCharType="separate"/>
                    </w:r>
                    <w:r>
                      <w:t>- 5 -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20DF1">
    <w:pPr>
      <w:pStyle w:val="38"/>
      <w:keepNext w:val="0"/>
      <w:keepLines w:val="0"/>
      <w:pageBreakBefore w:val="0"/>
      <w:widowControl w:val="0"/>
      <w:pBdr>
        <w:bottom w:val="single" w:color="auto" w:sz="4" w:space="0"/>
      </w:pBdr>
      <w:kinsoku/>
      <w:wordWrap/>
      <w:overflowPunct/>
      <w:topLinePunct w:val="0"/>
      <w:bidi w:val="0"/>
      <w:adjustRightInd w:val="0"/>
      <w:snapToGrid w:val="0"/>
      <w:spacing w:line="240" w:lineRule="auto"/>
      <w:ind w:firstLine="0" w:firstLineChars="0"/>
      <w:jc w:val="center"/>
      <w:textAlignment w:val="auto"/>
      <w:rPr>
        <w:u w:val="single"/>
      </w:rPr>
    </w:pPr>
    <w:r>
      <w:rPr>
        <w:rFonts w:hint="default" w:ascii="Times New Roman" w:hAnsi="Times New Roman" w:eastAsia="宋体" w:cs="Times New Roman"/>
        <w:color w:val="auto"/>
      </w:rPr>
      <w:t>元江火车站站前广场配套道路5号路建设项目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F3141">
    <w:pPr>
      <w:pStyle w:val="38"/>
      <w:ind w:firstLine="0" w:firstLineChars="0"/>
      <w:jc w:val="center"/>
      <w:rPr>
        <w:rFonts w:hint="eastAsia"/>
      </w:rPr>
    </w:pPr>
    <w:r>
      <w:rPr>
        <w:rFonts w:hint="eastAsia"/>
      </w:rPr>
      <w:t>元江火车站站前广场配套道路5号路建设项目环境影响报告书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4D5A8">
    <w:pPr>
      <w:pStyle w:val="38"/>
      <w:ind w:firstLine="0" w:firstLineChars="0"/>
      <w:jc w:val="both"/>
      <w:rPr>
        <w:rFonts w:hint="eastAsia"/>
      </w:rPr>
    </w:pPr>
    <w:r>
      <w:rPr>
        <w:rFonts w:hint="eastAsia"/>
      </w:rPr>
      <w:t xml:space="preserve">  元江火车站站前广场配套道路5号路建设项目环境影响报告书                                     </w:t>
    </w:r>
    <w:r>
      <w:rPr>
        <w:rFonts w:hint="eastAsia"/>
        <w:u w:val="singl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5302E">
    <w:pPr>
      <w:pStyle w:val="38"/>
      <w:ind w:firstLine="0" w:firstLineChars="0"/>
      <w:jc w:val="both"/>
      <w:rPr>
        <w:rFonts w:hint="eastAsia"/>
      </w:rPr>
    </w:pPr>
    <w:r>
      <w:rPr>
        <w:rFonts w:hint="eastAsia"/>
      </w:rPr>
      <w:t xml:space="preserve">  元江火车站站前广场配套道路5号路建设项目环境影响报告书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1E7E9">
    <w:pPr>
      <w:pStyle w:val="38"/>
      <w:ind w:firstLine="0" w:firstLineChars="0"/>
      <w:jc w:val="both"/>
      <w:rPr>
        <w:rFonts w:hint="eastAsia"/>
      </w:rPr>
    </w:pPr>
    <w:r>
      <w:rPr>
        <w:rFonts w:hint="eastAsia"/>
      </w:rPr>
      <w:t xml:space="preserve">  元江火车站站前广场配套道路5号路建设项目环境影响报告书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F21F">
    <w:pPr>
      <w:pStyle w:val="38"/>
    </w:pPr>
    <w:r>
      <w:rPr>
        <w:rFonts w:hint="eastAsia"/>
      </w:rPr>
      <w:t xml:space="preserve"> 元江火车站站前广场配套道路5号路建设项目环境影响报告书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53586"/>
    <w:multiLevelType w:val="singleLevel"/>
    <w:tmpl w:val="DD553586"/>
    <w:lvl w:ilvl="0" w:tentative="0">
      <w:start w:val="1"/>
      <w:numFmt w:val="decimal"/>
      <w:suff w:val="nothing"/>
      <w:lvlText w:val="（%1）"/>
      <w:lvlJc w:val="left"/>
    </w:lvl>
  </w:abstractNum>
  <w:abstractNum w:abstractNumId="1">
    <w:nsid w:val="1D2D06B0"/>
    <w:multiLevelType w:val="singleLevel"/>
    <w:tmpl w:val="1D2D06B0"/>
    <w:lvl w:ilvl="0" w:tentative="0">
      <w:start w:val="1"/>
      <w:numFmt w:val="lowerLetter"/>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hdrShapeDefaults>
    <o:shapelayout v:ext="edit">
      <o:idmap v:ext="edit" data="3"/>
    </o:shapelayout>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ExMTYxODU1ZDZmN2VkOTAxM2RmNjMyZGMwMDRkYmQifQ=="/>
  </w:docVars>
  <w:rsids>
    <w:rsidRoot w:val="00172A27"/>
    <w:rsid w:val="00001567"/>
    <w:rsid w:val="000027C8"/>
    <w:rsid w:val="000028A6"/>
    <w:rsid w:val="00002BD3"/>
    <w:rsid w:val="00002E55"/>
    <w:rsid w:val="00004428"/>
    <w:rsid w:val="00005AB3"/>
    <w:rsid w:val="00005B74"/>
    <w:rsid w:val="0000675C"/>
    <w:rsid w:val="00006795"/>
    <w:rsid w:val="00007672"/>
    <w:rsid w:val="000100B1"/>
    <w:rsid w:val="00010B81"/>
    <w:rsid w:val="00011124"/>
    <w:rsid w:val="00011156"/>
    <w:rsid w:val="00011DD9"/>
    <w:rsid w:val="00013A8C"/>
    <w:rsid w:val="00014464"/>
    <w:rsid w:val="00014DF5"/>
    <w:rsid w:val="000151C3"/>
    <w:rsid w:val="000159D7"/>
    <w:rsid w:val="00015D4E"/>
    <w:rsid w:val="00016256"/>
    <w:rsid w:val="00016AE4"/>
    <w:rsid w:val="00017364"/>
    <w:rsid w:val="00017D3E"/>
    <w:rsid w:val="00020063"/>
    <w:rsid w:val="00020E57"/>
    <w:rsid w:val="00021C8D"/>
    <w:rsid w:val="0002202E"/>
    <w:rsid w:val="000235C3"/>
    <w:rsid w:val="000238DF"/>
    <w:rsid w:val="000245A9"/>
    <w:rsid w:val="00025D06"/>
    <w:rsid w:val="00026684"/>
    <w:rsid w:val="00026C06"/>
    <w:rsid w:val="00027E88"/>
    <w:rsid w:val="0003067D"/>
    <w:rsid w:val="0003111B"/>
    <w:rsid w:val="0003230A"/>
    <w:rsid w:val="000324BD"/>
    <w:rsid w:val="00032842"/>
    <w:rsid w:val="000333C0"/>
    <w:rsid w:val="00033AB0"/>
    <w:rsid w:val="0003484E"/>
    <w:rsid w:val="00036721"/>
    <w:rsid w:val="00036AF5"/>
    <w:rsid w:val="00036EFA"/>
    <w:rsid w:val="000371D6"/>
    <w:rsid w:val="00037FE2"/>
    <w:rsid w:val="00040B44"/>
    <w:rsid w:val="00041870"/>
    <w:rsid w:val="0004261F"/>
    <w:rsid w:val="00043F18"/>
    <w:rsid w:val="000443A0"/>
    <w:rsid w:val="00050A89"/>
    <w:rsid w:val="00052774"/>
    <w:rsid w:val="00052C01"/>
    <w:rsid w:val="00052E5E"/>
    <w:rsid w:val="00052FBD"/>
    <w:rsid w:val="00053309"/>
    <w:rsid w:val="00054C33"/>
    <w:rsid w:val="00054D0F"/>
    <w:rsid w:val="00055320"/>
    <w:rsid w:val="00055CA8"/>
    <w:rsid w:val="000560BE"/>
    <w:rsid w:val="000564FB"/>
    <w:rsid w:val="00056D95"/>
    <w:rsid w:val="000575A1"/>
    <w:rsid w:val="0005767B"/>
    <w:rsid w:val="00057D4B"/>
    <w:rsid w:val="00060600"/>
    <w:rsid w:val="0006462D"/>
    <w:rsid w:val="00064729"/>
    <w:rsid w:val="00064AAF"/>
    <w:rsid w:val="00065D91"/>
    <w:rsid w:val="0006680E"/>
    <w:rsid w:val="00066FB2"/>
    <w:rsid w:val="00066FDB"/>
    <w:rsid w:val="000704FC"/>
    <w:rsid w:val="000707AF"/>
    <w:rsid w:val="00071836"/>
    <w:rsid w:val="00071A76"/>
    <w:rsid w:val="00071A81"/>
    <w:rsid w:val="000721B3"/>
    <w:rsid w:val="00072BA8"/>
    <w:rsid w:val="00073A54"/>
    <w:rsid w:val="00073BAC"/>
    <w:rsid w:val="0007515B"/>
    <w:rsid w:val="00080340"/>
    <w:rsid w:val="00080910"/>
    <w:rsid w:val="00080C14"/>
    <w:rsid w:val="00080C35"/>
    <w:rsid w:val="00080D9E"/>
    <w:rsid w:val="00080F61"/>
    <w:rsid w:val="00081E36"/>
    <w:rsid w:val="000838E6"/>
    <w:rsid w:val="00084F08"/>
    <w:rsid w:val="00084FBA"/>
    <w:rsid w:val="00085CA2"/>
    <w:rsid w:val="00085D18"/>
    <w:rsid w:val="00086794"/>
    <w:rsid w:val="0008739F"/>
    <w:rsid w:val="00087D31"/>
    <w:rsid w:val="00090F1D"/>
    <w:rsid w:val="00091A1C"/>
    <w:rsid w:val="000930DF"/>
    <w:rsid w:val="000934A1"/>
    <w:rsid w:val="00093CB6"/>
    <w:rsid w:val="00094ADB"/>
    <w:rsid w:val="000960C0"/>
    <w:rsid w:val="00097E70"/>
    <w:rsid w:val="000A01FE"/>
    <w:rsid w:val="000A1005"/>
    <w:rsid w:val="000A2104"/>
    <w:rsid w:val="000A2D15"/>
    <w:rsid w:val="000A35BC"/>
    <w:rsid w:val="000A4718"/>
    <w:rsid w:val="000A5358"/>
    <w:rsid w:val="000A56CF"/>
    <w:rsid w:val="000A6825"/>
    <w:rsid w:val="000A697B"/>
    <w:rsid w:val="000A7D3C"/>
    <w:rsid w:val="000B0496"/>
    <w:rsid w:val="000B05B7"/>
    <w:rsid w:val="000B1DA1"/>
    <w:rsid w:val="000B3279"/>
    <w:rsid w:val="000B37B9"/>
    <w:rsid w:val="000B46C0"/>
    <w:rsid w:val="000B5328"/>
    <w:rsid w:val="000B6132"/>
    <w:rsid w:val="000B7384"/>
    <w:rsid w:val="000B74B1"/>
    <w:rsid w:val="000B7F7A"/>
    <w:rsid w:val="000C0685"/>
    <w:rsid w:val="000C0693"/>
    <w:rsid w:val="000C1DF4"/>
    <w:rsid w:val="000C2088"/>
    <w:rsid w:val="000C27B2"/>
    <w:rsid w:val="000C409B"/>
    <w:rsid w:val="000C52D0"/>
    <w:rsid w:val="000C5353"/>
    <w:rsid w:val="000C5D71"/>
    <w:rsid w:val="000C5EE0"/>
    <w:rsid w:val="000C7887"/>
    <w:rsid w:val="000D04F7"/>
    <w:rsid w:val="000D0884"/>
    <w:rsid w:val="000D0E02"/>
    <w:rsid w:val="000D1914"/>
    <w:rsid w:val="000D26BE"/>
    <w:rsid w:val="000D35FA"/>
    <w:rsid w:val="000D461D"/>
    <w:rsid w:val="000D505A"/>
    <w:rsid w:val="000D5C03"/>
    <w:rsid w:val="000D5D26"/>
    <w:rsid w:val="000D66B4"/>
    <w:rsid w:val="000D796B"/>
    <w:rsid w:val="000D798E"/>
    <w:rsid w:val="000D7C67"/>
    <w:rsid w:val="000E0EDA"/>
    <w:rsid w:val="000E1413"/>
    <w:rsid w:val="000E17E6"/>
    <w:rsid w:val="000E187F"/>
    <w:rsid w:val="000E1C1C"/>
    <w:rsid w:val="000E1F89"/>
    <w:rsid w:val="000E215E"/>
    <w:rsid w:val="000E2D60"/>
    <w:rsid w:val="000E31D5"/>
    <w:rsid w:val="000E383A"/>
    <w:rsid w:val="000E38B1"/>
    <w:rsid w:val="000E3DC1"/>
    <w:rsid w:val="000E3F55"/>
    <w:rsid w:val="000E4150"/>
    <w:rsid w:val="000E4D97"/>
    <w:rsid w:val="000E50E7"/>
    <w:rsid w:val="000E5F77"/>
    <w:rsid w:val="000F34B0"/>
    <w:rsid w:val="000F3821"/>
    <w:rsid w:val="000F441D"/>
    <w:rsid w:val="000F4C5D"/>
    <w:rsid w:val="000F58E5"/>
    <w:rsid w:val="000F5C98"/>
    <w:rsid w:val="000F5D33"/>
    <w:rsid w:val="000F5E38"/>
    <w:rsid w:val="000F6485"/>
    <w:rsid w:val="000F661A"/>
    <w:rsid w:val="000F741A"/>
    <w:rsid w:val="000F757D"/>
    <w:rsid w:val="000F7A63"/>
    <w:rsid w:val="00100085"/>
    <w:rsid w:val="001002AD"/>
    <w:rsid w:val="0010078A"/>
    <w:rsid w:val="001008D9"/>
    <w:rsid w:val="001018C9"/>
    <w:rsid w:val="00101988"/>
    <w:rsid w:val="00102202"/>
    <w:rsid w:val="00102E58"/>
    <w:rsid w:val="00103E26"/>
    <w:rsid w:val="00104B02"/>
    <w:rsid w:val="0010506C"/>
    <w:rsid w:val="001050B5"/>
    <w:rsid w:val="00106F9E"/>
    <w:rsid w:val="001070B1"/>
    <w:rsid w:val="00110620"/>
    <w:rsid w:val="00110D14"/>
    <w:rsid w:val="00110F13"/>
    <w:rsid w:val="001118B7"/>
    <w:rsid w:val="001125F5"/>
    <w:rsid w:val="0011309C"/>
    <w:rsid w:val="00114BBB"/>
    <w:rsid w:val="00114C61"/>
    <w:rsid w:val="001152BD"/>
    <w:rsid w:val="00116E8D"/>
    <w:rsid w:val="001173F8"/>
    <w:rsid w:val="00120655"/>
    <w:rsid w:val="00120992"/>
    <w:rsid w:val="001217A4"/>
    <w:rsid w:val="00122AF1"/>
    <w:rsid w:val="00122FB7"/>
    <w:rsid w:val="00124AE7"/>
    <w:rsid w:val="00124B24"/>
    <w:rsid w:val="00124F31"/>
    <w:rsid w:val="00124F82"/>
    <w:rsid w:val="0012755A"/>
    <w:rsid w:val="001302C6"/>
    <w:rsid w:val="001304F9"/>
    <w:rsid w:val="00130BC1"/>
    <w:rsid w:val="00131922"/>
    <w:rsid w:val="00131E1F"/>
    <w:rsid w:val="00132022"/>
    <w:rsid w:val="00132B82"/>
    <w:rsid w:val="00134473"/>
    <w:rsid w:val="001347DC"/>
    <w:rsid w:val="00134B1F"/>
    <w:rsid w:val="00134D50"/>
    <w:rsid w:val="00135FCD"/>
    <w:rsid w:val="001367BA"/>
    <w:rsid w:val="001369E7"/>
    <w:rsid w:val="001376A3"/>
    <w:rsid w:val="001405AA"/>
    <w:rsid w:val="001411BE"/>
    <w:rsid w:val="00141A46"/>
    <w:rsid w:val="00141C11"/>
    <w:rsid w:val="00141E33"/>
    <w:rsid w:val="001426B9"/>
    <w:rsid w:val="00142762"/>
    <w:rsid w:val="00142B8E"/>
    <w:rsid w:val="00143A48"/>
    <w:rsid w:val="001442ED"/>
    <w:rsid w:val="00145C74"/>
    <w:rsid w:val="001472C1"/>
    <w:rsid w:val="0014732E"/>
    <w:rsid w:val="00147452"/>
    <w:rsid w:val="00147E1C"/>
    <w:rsid w:val="001500FA"/>
    <w:rsid w:val="00150192"/>
    <w:rsid w:val="00150A52"/>
    <w:rsid w:val="00151279"/>
    <w:rsid w:val="001516E6"/>
    <w:rsid w:val="00151B33"/>
    <w:rsid w:val="00152078"/>
    <w:rsid w:val="001524B8"/>
    <w:rsid w:val="00153EE5"/>
    <w:rsid w:val="00154E62"/>
    <w:rsid w:val="00157017"/>
    <w:rsid w:val="00160253"/>
    <w:rsid w:val="001604FE"/>
    <w:rsid w:val="00161461"/>
    <w:rsid w:val="00161B7D"/>
    <w:rsid w:val="00161B97"/>
    <w:rsid w:val="00161DD4"/>
    <w:rsid w:val="00163263"/>
    <w:rsid w:val="00164EBC"/>
    <w:rsid w:val="00164F0F"/>
    <w:rsid w:val="00164F51"/>
    <w:rsid w:val="0016650D"/>
    <w:rsid w:val="001666C5"/>
    <w:rsid w:val="00166EBF"/>
    <w:rsid w:val="00167B61"/>
    <w:rsid w:val="00167CFE"/>
    <w:rsid w:val="00170B66"/>
    <w:rsid w:val="00170B80"/>
    <w:rsid w:val="00172A27"/>
    <w:rsid w:val="00172AB6"/>
    <w:rsid w:val="0017358F"/>
    <w:rsid w:val="00174C3C"/>
    <w:rsid w:val="00174D82"/>
    <w:rsid w:val="0017516D"/>
    <w:rsid w:val="00175B8D"/>
    <w:rsid w:val="00177037"/>
    <w:rsid w:val="001776B2"/>
    <w:rsid w:val="0017788A"/>
    <w:rsid w:val="00180288"/>
    <w:rsid w:val="00180616"/>
    <w:rsid w:val="001820A8"/>
    <w:rsid w:val="00182582"/>
    <w:rsid w:val="00183429"/>
    <w:rsid w:val="001842C0"/>
    <w:rsid w:val="00184576"/>
    <w:rsid w:val="00184C9D"/>
    <w:rsid w:val="001856F8"/>
    <w:rsid w:val="00186804"/>
    <w:rsid w:val="001873DC"/>
    <w:rsid w:val="00187834"/>
    <w:rsid w:val="001906D5"/>
    <w:rsid w:val="001914EF"/>
    <w:rsid w:val="00191533"/>
    <w:rsid w:val="00191C90"/>
    <w:rsid w:val="00191EA3"/>
    <w:rsid w:val="00191EAF"/>
    <w:rsid w:val="00192EBD"/>
    <w:rsid w:val="0019577D"/>
    <w:rsid w:val="00196B35"/>
    <w:rsid w:val="00197DF9"/>
    <w:rsid w:val="00197EC7"/>
    <w:rsid w:val="001A00BC"/>
    <w:rsid w:val="001A0D2A"/>
    <w:rsid w:val="001A0E2E"/>
    <w:rsid w:val="001A14F2"/>
    <w:rsid w:val="001A1E21"/>
    <w:rsid w:val="001A1E54"/>
    <w:rsid w:val="001A223E"/>
    <w:rsid w:val="001A4611"/>
    <w:rsid w:val="001A5EB2"/>
    <w:rsid w:val="001A602E"/>
    <w:rsid w:val="001A6C05"/>
    <w:rsid w:val="001A73F8"/>
    <w:rsid w:val="001B094A"/>
    <w:rsid w:val="001B0F11"/>
    <w:rsid w:val="001B0FD7"/>
    <w:rsid w:val="001B1FB0"/>
    <w:rsid w:val="001B2DF1"/>
    <w:rsid w:val="001B2F66"/>
    <w:rsid w:val="001C0572"/>
    <w:rsid w:val="001C168A"/>
    <w:rsid w:val="001C1A0B"/>
    <w:rsid w:val="001C2692"/>
    <w:rsid w:val="001C2B0D"/>
    <w:rsid w:val="001C3B8F"/>
    <w:rsid w:val="001C4DD6"/>
    <w:rsid w:val="001C592C"/>
    <w:rsid w:val="001C6CA5"/>
    <w:rsid w:val="001C7336"/>
    <w:rsid w:val="001C7362"/>
    <w:rsid w:val="001C79AD"/>
    <w:rsid w:val="001D09A7"/>
    <w:rsid w:val="001D14AE"/>
    <w:rsid w:val="001D1797"/>
    <w:rsid w:val="001D1966"/>
    <w:rsid w:val="001D4100"/>
    <w:rsid w:val="001D410C"/>
    <w:rsid w:val="001D4158"/>
    <w:rsid w:val="001D59B7"/>
    <w:rsid w:val="001D5B16"/>
    <w:rsid w:val="001D659F"/>
    <w:rsid w:val="001D6950"/>
    <w:rsid w:val="001D696F"/>
    <w:rsid w:val="001E037B"/>
    <w:rsid w:val="001E04BF"/>
    <w:rsid w:val="001E18DF"/>
    <w:rsid w:val="001E23CB"/>
    <w:rsid w:val="001E2BD8"/>
    <w:rsid w:val="001E2C9C"/>
    <w:rsid w:val="001E2CA7"/>
    <w:rsid w:val="001E3280"/>
    <w:rsid w:val="001E342E"/>
    <w:rsid w:val="001E3685"/>
    <w:rsid w:val="001E3C2E"/>
    <w:rsid w:val="001E421A"/>
    <w:rsid w:val="001E44C7"/>
    <w:rsid w:val="001E565F"/>
    <w:rsid w:val="001E7297"/>
    <w:rsid w:val="001E7366"/>
    <w:rsid w:val="001E7392"/>
    <w:rsid w:val="001F04C9"/>
    <w:rsid w:val="001F0A75"/>
    <w:rsid w:val="001F0EFE"/>
    <w:rsid w:val="001F1498"/>
    <w:rsid w:val="001F29EA"/>
    <w:rsid w:val="001F34BE"/>
    <w:rsid w:val="001F3F01"/>
    <w:rsid w:val="001F461A"/>
    <w:rsid w:val="001F4880"/>
    <w:rsid w:val="001F633D"/>
    <w:rsid w:val="001F6FE0"/>
    <w:rsid w:val="00200196"/>
    <w:rsid w:val="00200BC3"/>
    <w:rsid w:val="00201397"/>
    <w:rsid w:val="0020173A"/>
    <w:rsid w:val="00201998"/>
    <w:rsid w:val="00202BB5"/>
    <w:rsid w:val="0020425B"/>
    <w:rsid w:val="002058D2"/>
    <w:rsid w:val="002067BD"/>
    <w:rsid w:val="00207FF1"/>
    <w:rsid w:val="00210F92"/>
    <w:rsid w:val="0021188A"/>
    <w:rsid w:val="002123AF"/>
    <w:rsid w:val="002136E4"/>
    <w:rsid w:val="002136F6"/>
    <w:rsid w:val="002144EC"/>
    <w:rsid w:val="00214F17"/>
    <w:rsid w:val="00214F49"/>
    <w:rsid w:val="00217014"/>
    <w:rsid w:val="0022092C"/>
    <w:rsid w:val="0022197C"/>
    <w:rsid w:val="00222412"/>
    <w:rsid w:val="002235D6"/>
    <w:rsid w:val="0022382E"/>
    <w:rsid w:val="00223ACA"/>
    <w:rsid w:val="00225196"/>
    <w:rsid w:val="00226484"/>
    <w:rsid w:val="002266CB"/>
    <w:rsid w:val="00227DC9"/>
    <w:rsid w:val="0023075E"/>
    <w:rsid w:val="00230B85"/>
    <w:rsid w:val="002311F8"/>
    <w:rsid w:val="002314D9"/>
    <w:rsid w:val="00231E36"/>
    <w:rsid w:val="0023301B"/>
    <w:rsid w:val="00233158"/>
    <w:rsid w:val="00233A07"/>
    <w:rsid w:val="00234A70"/>
    <w:rsid w:val="002350FD"/>
    <w:rsid w:val="00235119"/>
    <w:rsid w:val="00235170"/>
    <w:rsid w:val="00235A77"/>
    <w:rsid w:val="002360D1"/>
    <w:rsid w:val="002362C7"/>
    <w:rsid w:val="00236635"/>
    <w:rsid w:val="00237869"/>
    <w:rsid w:val="00241080"/>
    <w:rsid w:val="002423F5"/>
    <w:rsid w:val="00243049"/>
    <w:rsid w:val="00243BCA"/>
    <w:rsid w:val="00243C57"/>
    <w:rsid w:val="00243D12"/>
    <w:rsid w:val="00243FF6"/>
    <w:rsid w:val="00245547"/>
    <w:rsid w:val="002458D0"/>
    <w:rsid w:val="00245BC8"/>
    <w:rsid w:val="00245FD6"/>
    <w:rsid w:val="002461FD"/>
    <w:rsid w:val="00246570"/>
    <w:rsid w:val="00247101"/>
    <w:rsid w:val="002472E3"/>
    <w:rsid w:val="00247962"/>
    <w:rsid w:val="00247AEF"/>
    <w:rsid w:val="00250641"/>
    <w:rsid w:val="00250933"/>
    <w:rsid w:val="002518C6"/>
    <w:rsid w:val="00251BBE"/>
    <w:rsid w:val="00252300"/>
    <w:rsid w:val="00252A4C"/>
    <w:rsid w:val="0025334D"/>
    <w:rsid w:val="0025585A"/>
    <w:rsid w:val="00255DCC"/>
    <w:rsid w:val="00255EB9"/>
    <w:rsid w:val="0025622E"/>
    <w:rsid w:val="00256834"/>
    <w:rsid w:val="00256B4A"/>
    <w:rsid w:val="00256C1B"/>
    <w:rsid w:val="0025759F"/>
    <w:rsid w:val="00257835"/>
    <w:rsid w:val="00260A4F"/>
    <w:rsid w:val="00260EE5"/>
    <w:rsid w:val="0026111F"/>
    <w:rsid w:val="002617FD"/>
    <w:rsid w:val="00261AE6"/>
    <w:rsid w:val="00261D14"/>
    <w:rsid w:val="00262D42"/>
    <w:rsid w:val="00263C74"/>
    <w:rsid w:val="002640B4"/>
    <w:rsid w:val="00266161"/>
    <w:rsid w:val="0026630B"/>
    <w:rsid w:val="00266BFF"/>
    <w:rsid w:val="00266CD8"/>
    <w:rsid w:val="002702E7"/>
    <w:rsid w:val="00270C0B"/>
    <w:rsid w:val="00270C4E"/>
    <w:rsid w:val="00270E2D"/>
    <w:rsid w:val="00271232"/>
    <w:rsid w:val="00271510"/>
    <w:rsid w:val="0027218E"/>
    <w:rsid w:val="002742D9"/>
    <w:rsid w:val="00274908"/>
    <w:rsid w:val="00275012"/>
    <w:rsid w:val="00275448"/>
    <w:rsid w:val="002754AA"/>
    <w:rsid w:val="00275652"/>
    <w:rsid w:val="00275D59"/>
    <w:rsid w:val="002774EB"/>
    <w:rsid w:val="0027763E"/>
    <w:rsid w:val="002802B4"/>
    <w:rsid w:val="00280644"/>
    <w:rsid w:val="0028072B"/>
    <w:rsid w:val="00281450"/>
    <w:rsid w:val="00281D09"/>
    <w:rsid w:val="00281FC2"/>
    <w:rsid w:val="00282845"/>
    <w:rsid w:val="00283196"/>
    <w:rsid w:val="002833C8"/>
    <w:rsid w:val="0028379E"/>
    <w:rsid w:val="00283E6F"/>
    <w:rsid w:val="002859CF"/>
    <w:rsid w:val="00286826"/>
    <w:rsid w:val="0028686A"/>
    <w:rsid w:val="002874CE"/>
    <w:rsid w:val="002875EF"/>
    <w:rsid w:val="002906F7"/>
    <w:rsid w:val="00290B9E"/>
    <w:rsid w:val="00290C7C"/>
    <w:rsid w:val="002912B4"/>
    <w:rsid w:val="00291AA6"/>
    <w:rsid w:val="00291FFC"/>
    <w:rsid w:val="0029313B"/>
    <w:rsid w:val="0029337C"/>
    <w:rsid w:val="00293696"/>
    <w:rsid w:val="00293A66"/>
    <w:rsid w:val="00293CAE"/>
    <w:rsid w:val="002946E5"/>
    <w:rsid w:val="0029559E"/>
    <w:rsid w:val="00295762"/>
    <w:rsid w:val="00296C0A"/>
    <w:rsid w:val="002976FD"/>
    <w:rsid w:val="00297986"/>
    <w:rsid w:val="00297E33"/>
    <w:rsid w:val="002A04E0"/>
    <w:rsid w:val="002A1FEE"/>
    <w:rsid w:val="002A215F"/>
    <w:rsid w:val="002A3072"/>
    <w:rsid w:val="002A3A7D"/>
    <w:rsid w:val="002A3C12"/>
    <w:rsid w:val="002A46C1"/>
    <w:rsid w:val="002A4762"/>
    <w:rsid w:val="002A4E46"/>
    <w:rsid w:val="002A4F0A"/>
    <w:rsid w:val="002A5099"/>
    <w:rsid w:val="002A51C4"/>
    <w:rsid w:val="002A5830"/>
    <w:rsid w:val="002A6354"/>
    <w:rsid w:val="002A73E4"/>
    <w:rsid w:val="002A7597"/>
    <w:rsid w:val="002A78C6"/>
    <w:rsid w:val="002B009A"/>
    <w:rsid w:val="002B122D"/>
    <w:rsid w:val="002B12DF"/>
    <w:rsid w:val="002B1790"/>
    <w:rsid w:val="002B4639"/>
    <w:rsid w:val="002B5012"/>
    <w:rsid w:val="002B5A0D"/>
    <w:rsid w:val="002B5C79"/>
    <w:rsid w:val="002B600B"/>
    <w:rsid w:val="002B7BFD"/>
    <w:rsid w:val="002C1875"/>
    <w:rsid w:val="002C1D08"/>
    <w:rsid w:val="002C21F6"/>
    <w:rsid w:val="002C2983"/>
    <w:rsid w:val="002C2EE1"/>
    <w:rsid w:val="002C4353"/>
    <w:rsid w:val="002C4610"/>
    <w:rsid w:val="002C5538"/>
    <w:rsid w:val="002C653D"/>
    <w:rsid w:val="002C76E0"/>
    <w:rsid w:val="002C7B52"/>
    <w:rsid w:val="002D03FD"/>
    <w:rsid w:val="002D08DF"/>
    <w:rsid w:val="002D0CA7"/>
    <w:rsid w:val="002D0E1B"/>
    <w:rsid w:val="002D146B"/>
    <w:rsid w:val="002D2543"/>
    <w:rsid w:val="002D2588"/>
    <w:rsid w:val="002D2721"/>
    <w:rsid w:val="002D2892"/>
    <w:rsid w:val="002D59F4"/>
    <w:rsid w:val="002D5FE0"/>
    <w:rsid w:val="002E0646"/>
    <w:rsid w:val="002E1072"/>
    <w:rsid w:val="002E320F"/>
    <w:rsid w:val="002E3435"/>
    <w:rsid w:val="002E3B07"/>
    <w:rsid w:val="002E4720"/>
    <w:rsid w:val="002E541F"/>
    <w:rsid w:val="002F04B7"/>
    <w:rsid w:val="002F13F8"/>
    <w:rsid w:val="002F1DA8"/>
    <w:rsid w:val="002F236C"/>
    <w:rsid w:val="002F2E0D"/>
    <w:rsid w:val="002F3798"/>
    <w:rsid w:val="002F5746"/>
    <w:rsid w:val="002F5B98"/>
    <w:rsid w:val="002F6510"/>
    <w:rsid w:val="002F7D78"/>
    <w:rsid w:val="003006F2"/>
    <w:rsid w:val="00300A6C"/>
    <w:rsid w:val="003011B6"/>
    <w:rsid w:val="0030143E"/>
    <w:rsid w:val="003029F1"/>
    <w:rsid w:val="00302CF2"/>
    <w:rsid w:val="003031F9"/>
    <w:rsid w:val="003034E6"/>
    <w:rsid w:val="003034F5"/>
    <w:rsid w:val="00303E90"/>
    <w:rsid w:val="0030406A"/>
    <w:rsid w:val="003045A4"/>
    <w:rsid w:val="00304FB5"/>
    <w:rsid w:val="00306D3C"/>
    <w:rsid w:val="00307232"/>
    <w:rsid w:val="00310189"/>
    <w:rsid w:val="00310A91"/>
    <w:rsid w:val="00311A5C"/>
    <w:rsid w:val="00311BBB"/>
    <w:rsid w:val="0031202F"/>
    <w:rsid w:val="00313E40"/>
    <w:rsid w:val="003162EE"/>
    <w:rsid w:val="00316540"/>
    <w:rsid w:val="0031739A"/>
    <w:rsid w:val="00320E0A"/>
    <w:rsid w:val="00321BB0"/>
    <w:rsid w:val="00322CDD"/>
    <w:rsid w:val="00322D16"/>
    <w:rsid w:val="0032309D"/>
    <w:rsid w:val="0032322A"/>
    <w:rsid w:val="00323A41"/>
    <w:rsid w:val="00323BC5"/>
    <w:rsid w:val="00324181"/>
    <w:rsid w:val="00325368"/>
    <w:rsid w:val="00325C2A"/>
    <w:rsid w:val="003271CB"/>
    <w:rsid w:val="00327395"/>
    <w:rsid w:val="00327752"/>
    <w:rsid w:val="00330FCB"/>
    <w:rsid w:val="00331765"/>
    <w:rsid w:val="00331C07"/>
    <w:rsid w:val="0033206A"/>
    <w:rsid w:val="00332573"/>
    <w:rsid w:val="00332983"/>
    <w:rsid w:val="00332AC4"/>
    <w:rsid w:val="0033322F"/>
    <w:rsid w:val="00333323"/>
    <w:rsid w:val="00334201"/>
    <w:rsid w:val="00334AD8"/>
    <w:rsid w:val="00335F78"/>
    <w:rsid w:val="00336608"/>
    <w:rsid w:val="003379A7"/>
    <w:rsid w:val="00340150"/>
    <w:rsid w:val="003401BB"/>
    <w:rsid w:val="00340206"/>
    <w:rsid w:val="0034045E"/>
    <w:rsid w:val="00341108"/>
    <w:rsid w:val="00341A0B"/>
    <w:rsid w:val="00342309"/>
    <w:rsid w:val="00342920"/>
    <w:rsid w:val="003437B6"/>
    <w:rsid w:val="00343850"/>
    <w:rsid w:val="00344F72"/>
    <w:rsid w:val="0034545C"/>
    <w:rsid w:val="003457A0"/>
    <w:rsid w:val="00345EC4"/>
    <w:rsid w:val="00346013"/>
    <w:rsid w:val="0034616E"/>
    <w:rsid w:val="0034712D"/>
    <w:rsid w:val="00347688"/>
    <w:rsid w:val="00347D21"/>
    <w:rsid w:val="00352A2E"/>
    <w:rsid w:val="00354198"/>
    <w:rsid w:val="00354795"/>
    <w:rsid w:val="00354F30"/>
    <w:rsid w:val="003554B4"/>
    <w:rsid w:val="00355630"/>
    <w:rsid w:val="0035589C"/>
    <w:rsid w:val="003558DE"/>
    <w:rsid w:val="00355CD7"/>
    <w:rsid w:val="003561C7"/>
    <w:rsid w:val="003562B0"/>
    <w:rsid w:val="0035799A"/>
    <w:rsid w:val="0036008C"/>
    <w:rsid w:val="003601B6"/>
    <w:rsid w:val="00360D10"/>
    <w:rsid w:val="00362BD5"/>
    <w:rsid w:val="0036323E"/>
    <w:rsid w:val="003645A1"/>
    <w:rsid w:val="00364F0C"/>
    <w:rsid w:val="00365DA5"/>
    <w:rsid w:val="00367CB0"/>
    <w:rsid w:val="00367DF9"/>
    <w:rsid w:val="00367ECA"/>
    <w:rsid w:val="00371C94"/>
    <w:rsid w:val="003720BC"/>
    <w:rsid w:val="0037287E"/>
    <w:rsid w:val="00373691"/>
    <w:rsid w:val="00374C01"/>
    <w:rsid w:val="00374EC1"/>
    <w:rsid w:val="00376369"/>
    <w:rsid w:val="00377157"/>
    <w:rsid w:val="003774F9"/>
    <w:rsid w:val="00377557"/>
    <w:rsid w:val="003800EB"/>
    <w:rsid w:val="00380F7D"/>
    <w:rsid w:val="00382DDF"/>
    <w:rsid w:val="00382E2D"/>
    <w:rsid w:val="003840BA"/>
    <w:rsid w:val="00386E85"/>
    <w:rsid w:val="00390C59"/>
    <w:rsid w:val="00390F35"/>
    <w:rsid w:val="0039105F"/>
    <w:rsid w:val="003915A9"/>
    <w:rsid w:val="00391EDB"/>
    <w:rsid w:val="00392183"/>
    <w:rsid w:val="00392C40"/>
    <w:rsid w:val="00392FBB"/>
    <w:rsid w:val="003931FF"/>
    <w:rsid w:val="003937A5"/>
    <w:rsid w:val="0039571C"/>
    <w:rsid w:val="00395E27"/>
    <w:rsid w:val="003979A7"/>
    <w:rsid w:val="003A05D2"/>
    <w:rsid w:val="003A0FBF"/>
    <w:rsid w:val="003A1164"/>
    <w:rsid w:val="003A1747"/>
    <w:rsid w:val="003A27F7"/>
    <w:rsid w:val="003A4B10"/>
    <w:rsid w:val="003A4F2B"/>
    <w:rsid w:val="003A5D1F"/>
    <w:rsid w:val="003A6050"/>
    <w:rsid w:val="003A649F"/>
    <w:rsid w:val="003A71B0"/>
    <w:rsid w:val="003A7556"/>
    <w:rsid w:val="003A7812"/>
    <w:rsid w:val="003B008D"/>
    <w:rsid w:val="003B04A3"/>
    <w:rsid w:val="003B0B66"/>
    <w:rsid w:val="003B107E"/>
    <w:rsid w:val="003B1284"/>
    <w:rsid w:val="003B161B"/>
    <w:rsid w:val="003B175E"/>
    <w:rsid w:val="003B1A00"/>
    <w:rsid w:val="003B1A43"/>
    <w:rsid w:val="003B25AB"/>
    <w:rsid w:val="003B2B39"/>
    <w:rsid w:val="003B2C9F"/>
    <w:rsid w:val="003B35F8"/>
    <w:rsid w:val="003B3DB0"/>
    <w:rsid w:val="003B4725"/>
    <w:rsid w:val="003B556D"/>
    <w:rsid w:val="003B628F"/>
    <w:rsid w:val="003B70AB"/>
    <w:rsid w:val="003B77D0"/>
    <w:rsid w:val="003C0172"/>
    <w:rsid w:val="003C0E54"/>
    <w:rsid w:val="003C0FE8"/>
    <w:rsid w:val="003C1270"/>
    <w:rsid w:val="003C1A45"/>
    <w:rsid w:val="003C1B22"/>
    <w:rsid w:val="003C1C28"/>
    <w:rsid w:val="003C37B8"/>
    <w:rsid w:val="003C3A6C"/>
    <w:rsid w:val="003C4908"/>
    <w:rsid w:val="003C4B5A"/>
    <w:rsid w:val="003C5AD9"/>
    <w:rsid w:val="003C5EC5"/>
    <w:rsid w:val="003C5EDA"/>
    <w:rsid w:val="003C6449"/>
    <w:rsid w:val="003C7B43"/>
    <w:rsid w:val="003D092C"/>
    <w:rsid w:val="003D1309"/>
    <w:rsid w:val="003D1C77"/>
    <w:rsid w:val="003D2F3B"/>
    <w:rsid w:val="003D36C2"/>
    <w:rsid w:val="003D3E1A"/>
    <w:rsid w:val="003D405A"/>
    <w:rsid w:val="003D45E3"/>
    <w:rsid w:val="003D51B6"/>
    <w:rsid w:val="003D68B4"/>
    <w:rsid w:val="003E00BA"/>
    <w:rsid w:val="003E20C0"/>
    <w:rsid w:val="003E2235"/>
    <w:rsid w:val="003E2887"/>
    <w:rsid w:val="003E3186"/>
    <w:rsid w:val="003E36F6"/>
    <w:rsid w:val="003E4207"/>
    <w:rsid w:val="003E4609"/>
    <w:rsid w:val="003E4875"/>
    <w:rsid w:val="003E4A8C"/>
    <w:rsid w:val="003E5812"/>
    <w:rsid w:val="003E5FD0"/>
    <w:rsid w:val="003E7291"/>
    <w:rsid w:val="003E737C"/>
    <w:rsid w:val="003F05C1"/>
    <w:rsid w:val="003F0988"/>
    <w:rsid w:val="003F0AFD"/>
    <w:rsid w:val="003F19BB"/>
    <w:rsid w:val="003F19C1"/>
    <w:rsid w:val="003F3136"/>
    <w:rsid w:val="003F3BC2"/>
    <w:rsid w:val="003F3D99"/>
    <w:rsid w:val="003F5DA2"/>
    <w:rsid w:val="003F76AB"/>
    <w:rsid w:val="003F7DDD"/>
    <w:rsid w:val="00401DA7"/>
    <w:rsid w:val="0040267B"/>
    <w:rsid w:val="0040333E"/>
    <w:rsid w:val="00403383"/>
    <w:rsid w:val="0040363D"/>
    <w:rsid w:val="00403B4C"/>
    <w:rsid w:val="0040429F"/>
    <w:rsid w:val="0040458A"/>
    <w:rsid w:val="004046FA"/>
    <w:rsid w:val="00404775"/>
    <w:rsid w:val="00404892"/>
    <w:rsid w:val="0040491D"/>
    <w:rsid w:val="00405012"/>
    <w:rsid w:val="00405846"/>
    <w:rsid w:val="00406084"/>
    <w:rsid w:val="00406242"/>
    <w:rsid w:val="00406A54"/>
    <w:rsid w:val="00406A73"/>
    <w:rsid w:val="00406E4C"/>
    <w:rsid w:val="00406E64"/>
    <w:rsid w:val="004074F1"/>
    <w:rsid w:val="00407CFF"/>
    <w:rsid w:val="0041105B"/>
    <w:rsid w:val="00411166"/>
    <w:rsid w:val="00411DD6"/>
    <w:rsid w:val="0041405F"/>
    <w:rsid w:val="00414CBD"/>
    <w:rsid w:val="00415077"/>
    <w:rsid w:val="004150ED"/>
    <w:rsid w:val="00416236"/>
    <w:rsid w:val="00416BB7"/>
    <w:rsid w:val="0041703E"/>
    <w:rsid w:val="00417190"/>
    <w:rsid w:val="00421D66"/>
    <w:rsid w:val="00422A03"/>
    <w:rsid w:val="00422C23"/>
    <w:rsid w:val="00423027"/>
    <w:rsid w:val="004241F3"/>
    <w:rsid w:val="00424CF5"/>
    <w:rsid w:val="00425069"/>
    <w:rsid w:val="00425518"/>
    <w:rsid w:val="004258ED"/>
    <w:rsid w:val="00430223"/>
    <w:rsid w:val="00430995"/>
    <w:rsid w:val="00430A06"/>
    <w:rsid w:val="00430F0A"/>
    <w:rsid w:val="004335C3"/>
    <w:rsid w:val="004336F6"/>
    <w:rsid w:val="00433911"/>
    <w:rsid w:val="004342C9"/>
    <w:rsid w:val="00434641"/>
    <w:rsid w:val="0043498D"/>
    <w:rsid w:val="00434AFD"/>
    <w:rsid w:val="0043512C"/>
    <w:rsid w:val="0043756E"/>
    <w:rsid w:val="00437B9A"/>
    <w:rsid w:val="004407E4"/>
    <w:rsid w:val="00440D0A"/>
    <w:rsid w:val="004413C1"/>
    <w:rsid w:val="00442E47"/>
    <w:rsid w:val="00442E48"/>
    <w:rsid w:val="00443B68"/>
    <w:rsid w:val="00443C2F"/>
    <w:rsid w:val="00444ADE"/>
    <w:rsid w:val="00445563"/>
    <w:rsid w:val="00445BD8"/>
    <w:rsid w:val="0044653F"/>
    <w:rsid w:val="00446A5F"/>
    <w:rsid w:val="0045000B"/>
    <w:rsid w:val="0045072C"/>
    <w:rsid w:val="00451583"/>
    <w:rsid w:val="00451AC3"/>
    <w:rsid w:val="00452C0E"/>
    <w:rsid w:val="004530D9"/>
    <w:rsid w:val="0045397B"/>
    <w:rsid w:val="00453A6A"/>
    <w:rsid w:val="00453CE8"/>
    <w:rsid w:val="00453E62"/>
    <w:rsid w:val="00454040"/>
    <w:rsid w:val="00454086"/>
    <w:rsid w:val="004540D2"/>
    <w:rsid w:val="004541A3"/>
    <w:rsid w:val="00454492"/>
    <w:rsid w:val="0045475B"/>
    <w:rsid w:val="004574D5"/>
    <w:rsid w:val="00457BE6"/>
    <w:rsid w:val="0046022D"/>
    <w:rsid w:val="004602C7"/>
    <w:rsid w:val="0046059D"/>
    <w:rsid w:val="00460749"/>
    <w:rsid w:val="0046134B"/>
    <w:rsid w:val="00461A01"/>
    <w:rsid w:val="00461C5D"/>
    <w:rsid w:val="00462183"/>
    <w:rsid w:val="00462CEE"/>
    <w:rsid w:val="00463001"/>
    <w:rsid w:val="00463BD5"/>
    <w:rsid w:val="00465A7C"/>
    <w:rsid w:val="0046661B"/>
    <w:rsid w:val="00466A3F"/>
    <w:rsid w:val="004671F7"/>
    <w:rsid w:val="00467C7E"/>
    <w:rsid w:val="00467F13"/>
    <w:rsid w:val="004717B1"/>
    <w:rsid w:val="00472B3F"/>
    <w:rsid w:val="00473E52"/>
    <w:rsid w:val="00473E67"/>
    <w:rsid w:val="004748E8"/>
    <w:rsid w:val="004749A7"/>
    <w:rsid w:val="00475A7C"/>
    <w:rsid w:val="00476363"/>
    <w:rsid w:val="0047636B"/>
    <w:rsid w:val="0047642D"/>
    <w:rsid w:val="004767D5"/>
    <w:rsid w:val="00477286"/>
    <w:rsid w:val="00477B3C"/>
    <w:rsid w:val="004804C0"/>
    <w:rsid w:val="00480D1D"/>
    <w:rsid w:val="0048118C"/>
    <w:rsid w:val="00481466"/>
    <w:rsid w:val="00481DF1"/>
    <w:rsid w:val="004825B2"/>
    <w:rsid w:val="00483AF2"/>
    <w:rsid w:val="00483E9F"/>
    <w:rsid w:val="00484C43"/>
    <w:rsid w:val="004850C1"/>
    <w:rsid w:val="00486323"/>
    <w:rsid w:val="00486753"/>
    <w:rsid w:val="00490FFA"/>
    <w:rsid w:val="004938D6"/>
    <w:rsid w:val="00493CA0"/>
    <w:rsid w:val="0049488F"/>
    <w:rsid w:val="004948B4"/>
    <w:rsid w:val="00495E20"/>
    <w:rsid w:val="0049648C"/>
    <w:rsid w:val="00496B44"/>
    <w:rsid w:val="004971F9"/>
    <w:rsid w:val="00497B90"/>
    <w:rsid w:val="00497FF8"/>
    <w:rsid w:val="004A1C39"/>
    <w:rsid w:val="004A208C"/>
    <w:rsid w:val="004A2F05"/>
    <w:rsid w:val="004A2F2C"/>
    <w:rsid w:val="004A3C14"/>
    <w:rsid w:val="004A42C4"/>
    <w:rsid w:val="004A5A15"/>
    <w:rsid w:val="004A5A73"/>
    <w:rsid w:val="004A77A6"/>
    <w:rsid w:val="004B02A8"/>
    <w:rsid w:val="004B0F7D"/>
    <w:rsid w:val="004B3304"/>
    <w:rsid w:val="004B5053"/>
    <w:rsid w:val="004B5C52"/>
    <w:rsid w:val="004B5DF3"/>
    <w:rsid w:val="004B72D8"/>
    <w:rsid w:val="004B7F20"/>
    <w:rsid w:val="004C0242"/>
    <w:rsid w:val="004C0888"/>
    <w:rsid w:val="004C09A1"/>
    <w:rsid w:val="004C0AEA"/>
    <w:rsid w:val="004C10F6"/>
    <w:rsid w:val="004C15AE"/>
    <w:rsid w:val="004C1CEE"/>
    <w:rsid w:val="004C2BE3"/>
    <w:rsid w:val="004C3C24"/>
    <w:rsid w:val="004C4D4E"/>
    <w:rsid w:val="004C55F0"/>
    <w:rsid w:val="004C65D0"/>
    <w:rsid w:val="004C71E1"/>
    <w:rsid w:val="004C7816"/>
    <w:rsid w:val="004C7C6B"/>
    <w:rsid w:val="004C7CB0"/>
    <w:rsid w:val="004D0DC2"/>
    <w:rsid w:val="004D1350"/>
    <w:rsid w:val="004D2109"/>
    <w:rsid w:val="004D225A"/>
    <w:rsid w:val="004D231C"/>
    <w:rsid w:val="004D2F84"/>
    <w:rsid w:val="004D3E0F"/>
    <w:rsid w:val="004D47DD"/>
    <w:rsid w:val="004D4A23"/>
    <w:rsid w:val="004D50DF"/>
    <w:rsid w:val="004D547F"/>
    <w:rsid w:val="004D6A52"/>
    <w:rsid w:val="004D795D"/>
    <w:rsid w:val="004E019B"/>
    <w:rsid w:val="004E0409"/>
    <w:rsid w:val="004E050B"/>
    <w:rsid w:val="004E0A47"/>
    <w:rsid w:val="004E10D1"/>
    <w:rsid w:val="004E1726"/>
    <w:rsid w:val="004E1B9A"/>
    <w:rsid w:val="004E271D"/>
    <w:rsid w:val="004E3EAC"/>
    <w:rsid w:val="004E4E1E"/>
    <w:rsid w:val="004E542F"/>
    <w:rsid w:val="004E551C"/>
    <w:rsid w:val="004E5C34"/>
    <w:rsid w:val="004E73EC"/>
    <w:rsid w:val="004F0BE2"/>
    <w:rsid w:val="004F0D5A"/>
    <w:rsid w:val="004F1E1F"/>
    <w:rsid w:val="004F1F8A"/>
    <w:rsid w:val="004F367D"/>
    <w:rsid w:val="004F559D"/>
    <w:rsid w:val="004F62BF"/>
    <w:rsid w:val="004F7638"/>
    <w:rsid w:val="004F7E94"/>
    <w:rsid w:val="005019AA"/>
    <w:rsid w:val="00501A07"/>
    <w:rsid w:val="005020F4"/>
    <w:rsid w:val="0050281A"/>
    <w:rsid w:val="00503471"/>
    <w:rsid w:val="00503625"/>
    <w:rsid w:val="00503ECA"/>
    <w:rsid w:val="00507557"/>
    <w:rsid w:val="0051127A"/>
    <w:rsid w:val="005118B2"/>
    <w:rsid w:val="00511D82"/>
    <w:rsid w:val="0051213B"/>
    <w:rsid w:val="00512BEF"/>
    <w:rsid w:val="00512E48"/>
    <w:rsid w:val="00512EA5"/>
    <w:rsid w:val="00512FE1"/>
    <w:rsid w:val="00513498"/>
    <w:rsid w:val="0051381A"/>
    <w:rsid w:val="00516208"/>
    <w:rsid w:val="00516A7F"/>
    <w:rsid w:val="00516E35"/>
    <w:rsid w:val="00517CAF"/>
    <w:rsid w:val="005201B7"/>
    <w:rsid w:val="0052097A"/>
    <w:rsid w:val="0052160C"/>
    <w:rsid w:val="00521EFF"/>
    <w:rsid w:val="005226FF"/>
    <w:rsid w:val="00522C57"/>
    <w:rsid w:val="005233A6"/>
    <w:rsid w:val="00523D05"/>
    <w:rsid w:val="0052415A"/>
    <w:rsid w:val="00525365"/>
    <w:rsid w:val="00525AB0"/>
    <w:rsid w:val="00525CA0"/>
    <w:rsid w:val="0052734F"/>
    <w:rsid w:val="00527DCB"/>
    <w:rsid w:val="00530262"/>
    <w:rsid w:val="0053095F"/>
    <w:rsid w:val="00532053"/>
    <w:rsid w:val="00533165"/>
    <w:rsid w:val="00533C4E"/>
    <w:rsid w:val="00534331"/>
    <w:rsid w:val="005343B8"/>
    <w:rsid w:val="00536866"/>
    <w:rsid w:val="00536B8E"/>
    <w:rsid w:val="00537A6F"/>
    <w:rsid w:val="00537A80"/>
    <w:rsid w:val="00537CB7"/>
    <w:rsid w:val="00537F9B"/>
    <w:rsid w:val="00540F7F"/>
    <w:rsid w:val="00544993"/>
    <w:rsid w:val="005453E2"/>
    <w:rsid w:val="00545591"/>
    <w:rsid w:val="00545B4F"/>
    <w:rsid w:val="005476E1"/>
    <w:rsid w:val="00550332"/>
    <w:rsid w:val="0055041C"/>
    <w:rsid w:val="005513C2"/>
    <w:rsid w:val="005514AE"/>
    <w:rsid w:val="0055228E"/>
    <w:rsid w:val="00552F7F"/>
    <w:rsid w:val="005530C7"/>
    <w:rsid w:val="005536DB"/>
    <w:rsid w:val="00554838"/>
    <w:rsid w:val="00556159"/>
    <w:rsid w:val="0055623E"/>
    <w:rsid w:val="00557F78"/>
    <w:rsid w:val="005604C9"/>
    <w:rsid w:val="00560E0C"/>
    <w:rsid w:val="0056172B"/>
    <w:rsid w:val="00561855"/>
    <w:rsid w:val="005622D1"/>
    <w:rsid w:val="00562A7D"/>
    <w:rsid w:val="005630EA"/>
    <w:rsid w:val="005634B1"/>
    <w:rsid w:val="00564A7B"/>
    <w:rsid w:val="005651B7"/>
    <w:rsid w:val="00566DE0"/>
    <w:rsid w:val="0056734C"/>
    <w:rsid w:val="00567A62"/>
    <w:rsid w:val="00567F89"/>
    <w:rsid w:val="0057148E"/>
    <w:rsid w:val="005727CD"/>
    <w:rsid w:val="00572860"/>
    <w:rsid w:val="0057304B"/>
    <w:rsid w:val="00573D01"/>
    <w:rsid w:val="00574A28"/>
    <w:rsid w:val="0057506B"/>
    <w:rsid w:val="0057512E"/>
    <w:rsid w:val="0057517D"/>
    <w:rsid w:val="0057722E"/>
    <w:rsid w:val="005827A7"/>
    <w:rsid w:val="0058305C"/>
    <w:rsid w:val="00583258"/>
    <w:rsid w:val="005833C8"/>
    <w:rsid w:val="00583843"/>
    <w:rsid w:val="00583A29"/>
    <w:rsid w:val="005853DC"/>
    <w:rsid w:val="005854DE"/>
    <w:rsid w:val="005858E5"/>
    <w:rsid w:val="00586A60"/>
    <w:rsid w:val="00587674"/>
    <w:rsid w:val="00587D20"/>
    <w:rsid w:val="00587D3C"/>
    <w:rsid w:val="00587DFA"/>
    <w:rsid w:val="00590782"/>
    <w:rsid w:val="00591A9B"/>
    <w:rsid w:val="00591FB9"/>
    <w:rsid w:val="00592CC7"/>
    <w:rsid w:val="00593039"/>
    <w:rsid w:val="00595061"/>
    <w:rsid w:val="00597573"/>
    <w:rsid w:val="005A2EC6"/>
    <w:rsid w:val="005A3A48"/>
    <w:rsid w:val="005A3BEE"/>
    <w:rsid w:val="005A42C3"/>
    <w:rsid w:val="005A4360"/>
    <w:rsid w:val="005A46F9"/>
    <w:rsid w:val="005A4F69"/>
    <w:rsid w:val="005A5015"/>
    <w:rsid w:val="005A531E"/>
    <w:rsid w:val="005A57ED"/>
    <w:rsid w:val="005A5D9A"/>
    <w:rsid w:val="005A6821"/>
    <w:rsid w:val="005A698D"/>
    <w:rsid w:val="005B0533"/>
    <w:rsid w:val="005B1141"/>
    <w:rsid w:val="005B1BCF"/>
    <w:rsid w:val="005B2810"/>
    <w:rsid w:val="005B287B"/>
    <w:rsid w:val="005B2BE7"/>
    <w:rsid w:val="005B3039"/>
    <w:rsid w:val="005B4054"/>
    <w:rsid w:val="005B46FD"/>
    <w:rsid w:val="005B4738"/>
    <w:rsid w:val="005B4C86"/>
    <w:rsid w:val="005B5970"/>
    <w:rsid w:val="005B6561"/>
    <w:rsid w:val="005B6A01"/>
    <w:rsid w:val="005B6F56"/>
    <w:rsid w:val="005B71F4"/>
    <w:rsid w:val="005B7A57"/>
    <w:rsid w:val="005B7E61"/>
    <w:rsid w:val="005C0974"/>
    <w:rsid w:val="005C206D"/>
    <w:rsid w:val="005C46A5"/>
    <w:rsid w:val="005C471B"/>
    <w:rsid w:val="005C541C"/>
    <w:rsid w:val="005C587E"/>
    <w:rsid w:val="005C5A53"/>
    <w:rsid w:val="005C5CA3"/>
    <w:rsid w:val="005C5D4C"/>
    <w:rsid w:val="005C5F24"/>
    <w:rsid w:val="005C6401"/>
    <w:rsid w:val="005C64BB"/>
    <w:rsid w:val="005C672C"/>
    <w:rsid w:val="005C6A5F"/>
    <w:rsid w:val="005C7316"/>
    <w:rsid w:val="005C7B06"/>
    <w:rsid w:val="005C7CE9"/>
    <w:rsid w:val="005D1F95"/>
    <w:rsid w:val="005D262A"/>
    <w:rsid w:val="005D46C7"/>
    <w:rsid w:val="005D47ED"/>
    <w:rsid w:val="005D505C"/>
    <w:rsid w:val="005D5D59"/>
    <w:rsid w:val="005D6020"/>
    <w:rsid w:val="005D61D7"/>
    <w:rsid w:val="005D6275"/>
    <w:rsid w:val="005D739E"/>
    <w:rsid w:val="005D7D61"/>
    <w:rsid w:val="005E1C34"/>
    <w:rsid w:val="005E1DF3"/>
    <w:rsid w:val="005E4D13"/>
    <w:rsid w:val="005E4DAA"/>
    <w:rsid w:val="005E62ED"/>
    <w:rsid w:val="005E6E6E"/>
    <w:rsid w:val="005F0176"/>
    <w:rsid w:val="005F1388"/>
    <w:rsid w:val="005F1577"/>
    <w:rsid w:val="005F25B8"/>
    <w:rsid w:val="005F2CEE"/>
    <w:rsid w:val="005F3557"/>
    <w:rsid w:val="005F4FC7"/>
    <w:rsid w:val="005F5940"/>
    <w:rsid w:val="005F69FE"/>
    <w:rsid w:val="005F6BE6"/>
    <w:rsid w:val="005F6C9C"/>
    <w:rsid w:val="005F6F83"/>
    <w:rsid w:val="006000A0"/>
    <w:rsid w:val="006002AE"/>
    <w:rsid w:val="006002B5"/>
    <w:rsid w:val="00600FDE"/>
    <w:rsid w:val="00603680"/>
    <w:rsid w:val="00604F6E"/>
    <w:rsid w:val="006050BA"/>
    <w:rsid w:val="006067B2"/>
    <w:rsid w:val="006075B9"/>
    <w:rsid w:val="006100E2"/>
    <w:rsid w:val="00611719"/>
    <w:rsid w:val="00613EBC"/>
    <w:rsid w:val="00613FBE"/>
    <w:rsid w:val="00614C41"/>
    <w:rsid w:val="006155DE"/>
    <w:rsid w:val="00615702"/>
    <w:rsid w:val="00615747"/>
    <w:rsid w:val="006158A9"/>
    <w:rsid w:val="00617E8B"/>
    <w:rsid w:val="006200D9"/>
    <w:rsid w:val="0062124E"/>
    <w:rsid w:val="006222DD"/>
    <w:rsid w:val="00623744"/>
    <w:rsid w:val="00623FF5"/>
    <w:rsid w:val="00624B1A"/>
    <w:rsid w:val="00625588"/>
    <w:rsid w:val="006257A4"/>
    <w:rsid w:val="006258A8"/>
    <w:rsid w:val="0062647D"/>
    <w:rsid w:val="006266DE"/>
    <w:rsid w:val="00626F2F"/>
    <w:rsid w:val="0062712A"/>
    <w:rsid w:val="006306B6"/>
    <w:rsid w:val="00631464"/>
    <w:rsid w:val="00631C4A"/>
    <w:rsid w:val="00632013"/>
    <w:rsid w:val="00632260"/>
    <w:rsid w:val="00633C47"/>
    <w:rsid w:val="00634597"/>
    <w:rsid w:val="006346A3"/>
    <w:rsid w:val="00634CC2"/>
    <w:rsid w:val="00634DA7"/>
    <w:rsid w:val="00635D20"/>
    <w:rsid w:val="0063780C"/>
    <w:rsid w:val="006422AF"/>
    <w:rsid w:val="006432B1"/>
    <w:rsid w:val="00643874"/>
    <w:rsid w:val="00643F33"/>
    <w:rsid w:val="0064429E"/>
    <w:rsid w:val="00644578"/>
    <w:rsid w:val="00644E5E"/>
    <w:rsid w:val="006456F9"/>
    <w:rsid w:val="00645CAE"/>
    <w:rsid w:val="00645EBF"/>
    <w:rsid w:val="0065013B"/>
    <w:rsid w:val="006523A8"/>
    <w:rsid w:val="00652C80"/>
    <w:rsid w:val="0065457A"/>
    <w:rsid w:val="006554D3"/>
    <w:rsid w:val="00656396"/>
    <w:rsid w:val="006563A3"/>
    <w:rsid w:val="00657190"/>
    <w:rsid w:val="00661CF4"/>
    <w:rsid w:val="00662028"/>
    <w:rsid w:val="006626ED"/>
    <w:rsid w:val="00662CCD"/>
    <w:rsid w:val="00663819"/>
    <w:rsid w:val="00664506"/>
    <w:rsid w:val="006664B3"/>
    <w:rsid w:val="006671B7"/>
    <w:rsid w:val="00667488"/>
    <w:rsid w:val="00667A26"/>
    <w:rsid w:val="00670FB1"/>
    <w:rsid w:val="006724C2"/>
    <w:rsid w:val="00672A80"/>
    <w:rsid w:val="00673697"/>
    <w:rsid w:val="00674885"/>
    <w:rsid w:val="00675644"/>
    <w:rsid w:val="0067594F"/>
    <w:rsid w:val="00675C70"/>
    <w:rsid w:val="0067640F"/>
    <w:rsid w:val="0067797F"/>
    <w:rsid w:val="0068158A"/>
    <w:rsid w:val="0068158B"/>
    <w:rsid w:val="00681F44"/>
    <w:rsid w:val="006858D9"/>
    <w:rsid w:val="0068627B"/>
    <w:rsid w:val="0068659D"/>
    <w:rsid w:val="006868A6"/>
    <w:rsid w:val="00686DDE"/>
    <w:rsid w:val="00687440"/>
    <w:rsid w:val="00690C2B"/>
    <w:rsid w:val="00690CC5"/>
    <w:rsid w:val="00691C2B"/>
    <w:rsid w:val="00691CA9"/>
    <w:rsid w:val="00692F7E"/>
    <w:rsid w:val="00694D56"/>
    <w:rsid w:val="006954CD"/>
    <w:rsid w:val="006955EC"/>
    <w:rsid w:val="00695709"/>
    <w:rsid w:val="0069580C"/>
    <w:rsid w:val="00695B57"/>
    <w:rsid w:val="00695DA8"/>
    <w:rsid w:val="0069630E"/>
    <w:rsid w:val="00697C32"/>
    <w:rsid w:val="006A305E"/>
    <w:rsid w:val="006A4284"/>
    <w:rsid w:val="006A4F7D"/>
    <w:rsid w:val="006A6096"/>
    <w:rsid w:val="006A60BD"/>
    <w:rsid w:val="006A651E"/>
    <w:rsid w:val="006A7339"/>
    <w:rsid w:val="006A7F8A"/>
    <w:rsid w:val="006B0136"/>
    <w:rsid w:val="006B067C"/>
    <w:rsid w:val="006B0B32"/>
    <w:rsid w:val="006B0CFD"/>
    <w:rsid w:val="006B16AA"/>
    <w:rsid w:val="006B2699"/>
    <w:rsid w:val="006B35C9"/>
    <w:rsid w:val="006B43D3"/>
    <w:rsid w:val="006B4CD2"/>
    <w:rsid w:val="006B5F67"/>
    <w:rsid w:val="006B6A73"/>
    <w:rsid w:val="006B6D17"/>
    <w:rsid w:val="006B6E5A"/>
    <w:rsid w:val="006C025E"/>
    <w:rsid w:val="006C218B"/>
    <w:rsid w:val="006C2720"/>
    <w:rsid w:val="006C3145"/>
    <w:rsid w:val="006C394F"/>
    <w:rsid w:val="006C3C96"/>
    <w:rsid w:val="006C4B50"/>
    <w:rsid w:val="006C4BA6"/>
    <w:rsid w:val="006C4DA6"/>
    <w:rsid w:val="006C50C7"/>
    <w:rsid w:val="006C68E4"/>
    <w:rsid w:val="006C6ED3"/>
    <w:rsid w:val="006D0ED6"/>
    <w:rsid w:val="006D1298"/>
    <w:rsid w:val="006D14CA"/>
    <w:rsid w:val="006D1652"/>
    <w:rsid w:val="006D1887"/>
    <w:rsid w:val="006D22B2"/>
    <w:rsid w:val="006D296A"/>
    <w:rsid w:val="006D40A4"/>
    <w:rsid w:val="006D54C6"/>
    <w:rsid w:val="006D6914"/>
    <w:rsid w:val="006D7F0D"/>
    <w:rsid w:val="006E2386"/>
    <w:rsid w:val="006E29C8"/>
    <w:rsid w:val="006E2F18"/>
    <w:rsid w:val="006E3130"/>
    <w:rsid w:val="006E467C"/>
    <w:rsid w:val="006E4E75"/>
    <w:rsid w:val="006E5975"/>
    <w:rsid w:val="006E66F9"/>
    <w:rsid w:val="006F0080"/>
    <w:rsid w:val="006F01B2"/>
    <w:rsid w:val="006F044C"/>
    <w:rsid w:val="006F1358"/>
    <w:rsid w:val="006F1A81"/>
    <w:rsid w:val="006F1CFC"/>
    <w:rsid w:val="006F1F58"/>
    <w:rsid w:val="006F3B5C"/>
    <w:rsid w:val="006F5120"/>
    <w:rsid w:val="006F5F0D"/>
    <w:rsid w:val="006F660C"/>
    <w:rsid w:val="006F6DAE"/>
    <w:rsid w:val="006F6E7E"/>
    <w:rsid w:val="006F748E"/>
    <w:rsid w:val="0070007D"/>
    <w:rsid w:val="007005FB"/>
    <w:rsid w:val="00700AB6"/>
    <w:rsid w:val="00701A79"/>
    <w:rsid w:val="00701F5B"/>
    <w:rsid w:val="00701F80"/>
    <w:rsid w:val="007023CF"/>
    <w:rsid w:val="00702FD6"/>
    <w:rsid w:val="00703E0E"/>
    <w:rsid w:val="007047FB"/>
    <w:rsid w:val="00704973"/>
    <w:rsid w:val="0070515B"/>
    <w:rsid w:val="00705401"/>
    <w:rsid w:val="0070648A"/>
    <w:rsid w:val="00706B52"/>
    <w:rsid w:val="00706BB4"/>
    <w:rsid w:val="00707814"/>
    <w:rsid w:val="00707897"/>
    <w:rsid w:val="00707CE7"/>
    <w:rsid w:val="00710426"/>
    <w:rsid w:val="007111EA"/>
    <w:rsid w:val="00711E97"/>
    <w:rsid w:val="0071390F"/>
    <w:rsid w:val="00713C17"/>
    <w:rsid w:val="00714263"/>
    <w:rsid w:val="007158D7"/>
    <w:rsid w:val="0071687B"/>
    <w:rsid w:val="00716897"/>
    <w:rsid w:val="00716989"/>
    <w:rsid w:val="00716E79"/>
    <w:rsid w:val="007201B1"/>
    <w:rsid w:val="007202AF"/>
    <w:rsid w:val="00720769"/>
    <w:rsid w:val="00720C54"/>
    <w:rsid w:val="00721FE9"/>
    <w:rsid w:val="0072219B"/>
    <w:rsid w:val="0072283D"/>
    <w:rsid w:val="007230E4"/>
    <w:rsid w:val="0072343B"/>
    <w:rsid w:val="00723E1C"/>
    <w:rsid w:val="00724A54"/>
    <w:rsid w:val="007250B3"/>
    <w:rsid w:val="00725A51"/>
    <w:rsid w:val="00725AA3"/>
    <w:rsid w:val="0073000A"/>
    <w:rsid w:val="00730E16"/>
    <w:rsid w:val="00731312"/>
    <w:rsid w:val="0073176A"/>
    <w:rsid w:val="00733915"/>
    <w:rsid w:val="00733C77"/>
    <w:rsid w:val="00734981"/>
    <w:rsid w:val="007349E2"/>
    <w:rsid w:val="00734DC6"/>
    <w:rsid w:val="00735218"/>
    <w:rsid w:val="0073550A"/>
    <w:rsid w:val="0073587A"/>
    <w:rsid w:val="00735E7A"/>
    <w:rsid w:val="00736704"/>
    <w:rsid w:val="007371B9"/>
    <w:rsid w:val="00737478"/>
    <w:rsid w:val="00737E50"/>
    <w:rsid w:val="00740C20"/>
    <w:rsid w:val="00741607"/>
    <w:rsid w:val="0074180B"/>
    <w:rsid w:val="00741AA9"/>
    <w:rsid w:val="007430D8"/>
    <w:rsid w:val="007435D5"/>
    <w:rsid w:val="00743C76"/>
    <w:rsid w:val="00747C04"/>
    <w:rsid w:val="00750A3C"/>
    <w:rsid w:val="00750D29"/>
    <w:rsid w:val="00750E9F"/>
    <w:rsid w:val="00751F7A"/>
    <w:rsid w:val="007520C9"/>
    <w:rsid w:val="00753234"/>
    <w:rsid w:val="00753FCD"/>
    <w:rsid w:val="007544D9"/>
    <w:rsid w:val="007615EC"/>
    <w:rsid w:val="007621A1"/>
    <w:rsid w:val="00762A7F"/>
    <w:rsid w:val="00763194"/>
    <w:rsid w:val="00763CCC"/>
    <w:rsid w:val="00764C09"/>
    <w:rsid w:val="007650BB"/>
    <w:rsid w:val="00765240"/>
    <w:rsid w:val="00765F0A"/>
    <w:rsid w:val="0076611F"/>
    <w:rsid w:val="00767114"/>
    <w:rsid w:val="0077147E"/>
    <w:rsid w:val="00771D07"/>
    <w:rsid w:val="00774512"/>
    <w:rsid w:val="007746B5"/>
    <w:rsid w:val="007756E2"/>
    <w:rsid w:val="00776605"/>
    <w:rsid w:val="0078055D"/>
    <w:rsid w:val="007810BC"/>
    <w:rsid w:val="00782CC3"/>
    <w:rsid w:val="0078334F"/>
    <w:rsid w:val="00783A30"/>
    <w:rsid w:val="00784B20"/>
    <w:rsid w:val="007854AA"/>
    <w:rsid w:val="0078551F"/>
    <w:rsid w:val="00785B85"/>
    <w:rsid w:val="00785DB4"/>
    <w:rsid w:val="0078642A"/>
    <w:rsid w:val="00786D14"/>
    <w:rsid w:val="0078706C"/>
    <w:rsid w:val="007873EB"/>
    <w:rsid w:val="00792B7E"/>
    <w:rsid w:val="0079343A"/>
    <w:rsid w:val="00793D30"/>
    <w:rsid w:val="00794978"/>
    <w:rsid w:val="00794DCD"/>
    <w:rsid w:val="0079533E"/>
    <w:rsid w:val="0079565D"/>
    <w:rsid w:val="007957D6"/>
    <w:rsid w:val="0079699A"/>
    <w:rsid w:val="00797454"/>
    <w:rsid w:val="007A079F"/>
    <w:rsid w:val="007A1B9E"/>
    <w:rsid w:val="007A40BD"/>
    <w:rsid w:val="007A4BAE"/>
    <w:rsid w:val="007A53A8"/>
    <w:rsid w:val="007A5E6D"/>
    <w:rsid w:val="007A75B8"/>
    <w:rsid w:val="007A767B"/>
    <w:rsid w:val="007A7F64"/>
    <w:rsid w:val="007A7FED"/>
    <w:rsid w:val="007B0BD7"/>
    <w:rsid w:val="007B1B7B"/>
    <w:rsid w:val="007B2A92"/>
    <w:rsid w:val="007B2D0F"/>
    <w:rsid w:val="007B364D"/>
    <w:rsid w:val="007B462C"/>
    <w:rsid w:val="007B4DC9"/>
    <w:rsid w:val="007B5151"/>
    <w:rsid w:val="007B560A"/>
    <w:rsid w:val="007B562D"/>
    <w:rsid w:val="007B59F9"/>
    <w:rsid w:val="007B5CA1"/>
    <w:rsid w:val="007B7703"/>
    <w:rsid w:val="007C01AA"/>
    <w:rsid w:val="007C09BD"/>
    <w:rsid w:val="007C0B18"/>
    <w:rsid w:val="007C25E3"/>
    <w:rsid w:val="007C2936"/>
    <w:rsid w:val="007C2B15"/>
    <w:rsid w:val="007C2EC3"/>
    <w:rsid w:val="007C37E9"/>
    <w:rsid w:val="007C3A18"/>
    <w:rsid w:val="007C3E39"/>
    <w:rsid w:val="007C3F24"/>
    <w:rsid w:val="007C404E"/>
    <w:rsid w:val="007C4BC1"/>
    <w:rsid w:val="007C50E0"/>
    <w:rsid w:val="007C5276"/>
    <w:rsid w:val="007C573A"/>
    <w:rsid w:val="007C58FA"/>
    <w:rsid w:val="007C5AEA"/>
    <w:rsid w:val="007C670C"/>
    <w:rsid w:val="007C706C"/>
    <w:rsid w:val="007C72E2"/>
    <w:rsid w:val="007C7FED"/>
    <w:rsid w:val="007D0884"/>
    <w:rsid w:val="007D1C80"/>
    <w:rsid w:val="007D1F40"/>
    <w:rsid w:val="007D2A51"/>
    <w:rsid w:val="007D44A2"/>
    <w:rsid w:val="007D47CD"/>
    <w:rsid w:val="007D56AB"/>
    <w:rsid w:val="007D5FD1"/>
    <w:rsid w:val="007D6094"/>
    <w:rsid w:val="007D7019"/>
    <w:rsid w:val="007D720E"/>
    <w:rsid w:val="007D74E0"/>
    <w:rsid w:val="007D7588"/>
    <w:rsid w:val="007E0110"/>
    <w:rsid w:val="007E0166"/>
    <w:rsid w:val="007E04CC"/>
    <w:rsid w:val="007E0BBA"/>
    <w:rsid w:val="007E0FFA"/>
    <w:rsid w:val="007E195C"/>
    <w:rsid w:val="007E2480"/>
    <w:rsid w:val="007E2D29"/>
    <w:rsid w:val="007E2F16"/>
    <w:rsid w:val="007E313A"/>
    <w:rsid w:val="007E3BB6"/>
    <w:rsid w:val="007E3FE5"/>
    <w:rsid w:val="007E45B5"/>
    <w:rsid w:val="007E5D2E"/>
    <w:rsid w:val="007E62C5"/>
    <w:rsid w:val="007E6A1C"/>
    <w:rsid w:val="007E6E91"/>
    <w:rsid w:val="007E76EE"/>
    <w:rsid w:val="007E7F70"/>
    <w:rsid w:val="007F0DAE"/>
    <w:rsid w:val="007F1172"/>
    <w:rsid w:val="007F1342"/>
    <w:rsid w:val="007F145A"/>
    <w:rsid w:val="007F1829"/>
    <w:rsid w:val="007F27DF"/>
    <w:rsid w:val="007F3D39"/>
    <w:rsid w:val="007F403C"/>
    <w:rsid w:val="007F4378"/>
    <w:rsid w:val="007F4992"/>
    <w:rsid w:val="007F55F3"/>
    <w:rsid w:val="007F575E"/>
    <w:rsid w:val="007F5766"/>
    <w:rsid w:val="007F5C64"/>
    <w:rsid w:val="007F5CFA"/>
    <w:rsid w:val="007F6575"/>
    <w:rsid w:val="007F6607"/>
    <w:rsid w:val="007F71C5"/>
    <w:rsid w:val="00800A2A"/>
    <w:rsid w:val="00801852"/>
    <w:rsid w:val="0080422C"/>
    <w:rsid w:val="008060F6"/>
    <w:rsid w:val="0080626A"/>
    <w:rsid w:val="00806BF4"/>
    <w:rsid w:val="0080706B"/>
    <w:rsid w:val="008078F8"/>
    <w:rsid w:val="00807DB3"/>
    <w:rsid w:val="0081181C"/>
    <w:rsid w:val="008135C8"/>
    <w:rsid w:val="00814A81"/>
    <w:rsid w:val="0081517E"/>
    <w:rsid w:val="008156D1"/>
    <w:rsid w:val="008172F0"/>
    <w:rsid w:val="00817508"/>
    <w:rsid w:val="00820ABC"/>
    <w:rsid w:val="00820F31"/>
    <w:rsid w:val="008218FF"/>
    <w:rsid w:val="0082216F"/>
    <w:rsid w:val="00823258"/>
    <w:rsid w:val="00823DFE"/>
    <w:rsid w:val="00824E8D"/>
    <w:rsid w:val="00827560"/>
    <w:rsid w:val="00827AEC"/>
    <w:rsid w:val="008304C8"/>
    <w:rsid w:val="00831B1C"/>
    <w:rsid w:val="00831EA5"/>
    <w:rsid w:val="00832C32"/>
    <w:rsid w:val="0083456A"/>
    <w:rsid w:val="008345A0"/>
    <w:rsid w:val="00835B71"/>
    <w:rsid w:val="008362A8"/>
    <w:rsid w:val="008368A4"/>
    <w:rsid w:val="00837E77"/>
    <w:rsid w:val="00840BE7"/>
    <w:rsid w:val="00840DC8"/>
    <w:rsid w:val="008423F5"/>
    <w:rsid w:val="00842DC9"/>
    <w:rsid w:val="00842F94"/>
    <w:rsid w:val="008431E5"/>
    <w:rsid w:val="0084455F"/>
    <w:rsid w:val="008448A2"/>
    <w:rsid w:val="00844A97"/>
    <w:rsid w:val="00844AEA"/>
    <w:rsid w:val="00845CED"/>
    <w:rsid w:val="00846099"/>
    <w:rsid w:val="008474E0"/>
    <w:rsid w:val="008502E5"/>
    <w:rsid w:val="008518C0"/>
    <w:rsid w:val="00851E08"/>
    <w:rsid w:val="008529B1"/>
    <w:rsid w:val="00852C94"/>
    <w:rsid w:val="008534B2"/>
    <w:rsid w:val="00853A01"/>
    <w:rsid w:val="008541C0"/>
    <w:rsid w:val="00855888"/>
    <w:rsid w:val="00855A31"/>
    <w:rsid w:val="008568E3"/>
    <w:rsid w:val="00860DD6"/>
    <w:rsid w:val="00860EAD"/>
    <w:rsid w:val="008614A9"/>
    <w:rsid w:val="0086226B"/>
    <w:rsid w:val="008628E3"/>
    <w:rsid w:val="00863C76"/>
    <w:rsid w:val="00863CFB"/>
    <w:rsid w:val="00866001"/>
    <w:rsid w:val="00866DF6"/>
    <w:rsid w:val="008702B4"/>
    <w:rsid w:val="008708E0"/>
    <w:rsid w:val="00871AFF"/>
    <w:rsid w:val="00872377"/>
    <w:rsid w:val="00872BD1"/>
    <w:rsid w:val="008731B1"/>
    <w:rsid w:val="00874D6F"/>
    <w:rsid w:val="00874E5F"/>
    <w:rsid w:val="00876066"/>
    <w:rsid w:val="00876763"/>
    <w:rsid w:val="00877EB7"/>
    <w:rsid w:val="008810B1"/>
    <w:rsid w:val="00881269"/>
    <w:rsid w:val="008813C5"/>
    <w:rsid w:val="008815E9"/>
    <w:rsid w:val="00883A84"/>
    <w:rsid w:val="00884304"/>
    <w:rsid w:val="00884A35"/>
    <w:rsid w:val="00884AED"/>
    <w:rsid w:val="0088550E"/>
    <w:rsid w:val="00885B6B"/>
    <w:rsid w:val="00886120"/>
    <w:rsid w:val="0088624C"/>
    <w:rsid w:val="00886BE3"/>
    <w:rsid w:val="00887749"/>
    <w:rsid w:val="008905FA"/>
    <w:rsid w:val="008910D4"/>
    <w:rsid w:val="00891DAE"/>
    <w:rsid w:val="0089207C"/>
    <w:rsid w:val="0089220C"/>
    <w:rsid w:val="008926D0"/>
    <w:rsid w:val="00892FA6"/>
    <w:rsid w:val="00893474"/>
    <w:rsid w:val="00893E59"/>
    <w:rsid w:val="0089449B"/>
    <w:rsid w:val="00894E03"/>
    <w:rsid w:val="008967CE"/>
    <w:rsid w:val="008968CB"/>
    <w:rsid w:val="00896B14"/>
    <w:rsid w:val="0089720D"/>
    <w:rsid w:val="00897C33"/>
    <w:rsid w:val="008A1BB1"/>
    <w:rsid w:val="008A23D6"/>
    <w:rsid w:val="008A26D9"/>
    <w:rsid w:val="008A275F"/>
    <w:rsid w:val="008A319F"/>
    <w:rsid w:val="008A41A1"/>
    <w:rsid w:val="008A4895"/>
    <w:rsid w:val="008A4F87"/>
    <w:rsid w:val="008A4FFB"/>
    <w:rsid w:val="008A516F"/>
    <w:rsid w:val="008A61A4"/>
    <w:rsid w:val="008A624B"/>
    <w:rsid w:val="008A64A4"/>
    <w:rsid w:val="008A6CED"/>
    <w:rsid w:val="008B10D7"/>
    <w:rsid w:val="008B1D7A"/>
    <w:rsid w:val="008B247E"/>
    <w:rsid w:val="008B24C7"/>
    <w:rsid w:val="008B3481"/>
    <w:rsid w:val="008B4584"/>
    <w:rsid w:val="008B6CDD"/>
    <w:rsid w:val="008B6FFF"/>
    <w:rsid w:val="008B776D"/>
    <w:rsid w:val="008B79C0"/>
    <w:rsid w:val="008C0DC9"/>
    <w:rsid w:val="008C119B"/>
    <w:rsid w:val="008C1EAD"/>
    <w:rsid w:val="008C2304"/>
    <w:rsid w:val="008C3E5D"/>
    <w:rsid w:val="008C40D1"/>
    <w:rsid w:val="008C5D61"/>
    <w:rsid w:val="008C756F"/>
    <w:rsid w:val="008C76E1"/>
    <w:rsid w:val="008C7954"/>
    <w:rsid w:val="008D0A7D"/>
    <w:rsid w:val="008D1C96"/>
    <w:rsid w:val="008D2A5F"/>
    <w:rsid w:val="008D2E22"/>
    <w:rsid w:val="008D37FB"/>
    <w:rsid w:val="008D390D"/>
    <w:rsid w:val="008D393B"/>
    <w:rsid w:val="008D3DB0"/>
    <w:rsid w:val="008D487C"/>
    <w:rsid w:val="008D4BB8"/>
    <w:rsid w:val="008D5298"/>
    <w:rsid w:val="008E05DE"/>
    <w:rsid w:val="008E16C4"/>
    <w:rsid w:val="008E2339"/>
    <w:rsid w:val="008E38FE"/>
    <w:rsid w:val="008E4090"/>
    <w:rsid w:val="008E41B0"/>
    <w:rsid w:val="008E4324"/>
    <w:rsid w:val="008E446B"/>
    <w:rsid w:val="008E4CC4"/>
    <w:rsid w:val="008E5696"/>
    <w:rsid w:val="008E5D37"/>
    <w:rsid w:val="008E6479"/>
    <w:rsid w:val="008F192E"/>
    <w:rsid w:val="008F1C8C"/>
    <w:rsid w:val="008F1D97"/>
    <w:rsid w:val="008F23A5"/>
    <w:rsid w:val="008F2C8A"/>
    <w:rsid w:val="008F3490"/>
    <w:rsid w:val="008F4458"/>
    <w:rsid w:val="008F4910"/>
    <w:rsid w:val="008F5173"/>
    <w:rsid w:val="008F66B5"/>
    <w:rsid w:val="008F69C8"/>
    <w:rsid w:val="008F7090"/>
    <w:rsid w:val="008F72CD"/>
    <w:rsid w:val="008F7459"/>
    <w:rsid w:val="008F762F"/>
    <w:rsid w:val="008F76D0"/>
    <w:rsid w:val="008F7A04"/>
    <w:rsid w:val="008F7D39"/>
    <w:rsid w:val="0090029A"/>
    <w:rsid w:val="009016FF"/>
    <w:rsid w:val="0090182D"/>
    <w:rsid w:val="0090252D"/>
    <w:rsid w:val="00902DFC"/>
    <w:rsid w:val="0090308D"/>
    <w:rsid w:val="00903B04"/>
    <w:rsid w:val="00904791"/>
    <w:rsid w:val="00904817"/>
    <w:rsid w:val="009056ED"/>
    <w:rsid w:val="009058BF"/>
    <w:rsid w:val="00905B6C"/>
    <w:rsid w:val="00907CB1"/>
    <w:rsid w:val="009108DB"/>
    <w:rsid w:val="009111B4"/>
    <w:rsid w:val="00911BD5"/>
    <w:rsid w:val="00911DA7"/>
    <w:rsid w:val="0091260D"/>
    <w:rsid w:val="009128EB"/>
    <w:rsid w:val="00913297"/>
    <w:rsid w:val="009134A1"/>
    <w:rsid w:val="009136FC"/>
    <w:rsid w:val="00915770"/>
    <w:rsid w:val="00916346"/>
    <w:rsid w:val="00916508"/>
    <w:rsid w:val="00916AE6"/>
    <w:rsid w:val="00917CB1"/>
    <w:rsid w:val="0092098B"/>
    <w:rsid w:val="00920D64"/>
    <w:rsid w:val="0092150E"/>
    <w:rsid w:val="00921A92"/>
    <w:rsid w:val="009232DB"/>
    <w:rsid w:val="0092334F"/>
    <w:rsid w:val="0092344A"/>
    <w:rsid w:val="009234A4"/>
    <w:rsid w:val="00923690"/>
    <w:rsid w:val="00923F3B"/>
    <w:rsid w:val="00924BE9"/>
    <w:rsid w:val="0092560A"/>
    <w:rsid w:val="00926DAA"/>
    <w:rsid w:val="0092759A"/>
    <w:rsid w:val="00930326"/>
    <w:rsid w:val="009309FA"/>
    <w:rsid w:val="00930A22"/>
    <w:rsid w:val="00930C1F"/>
    <w:rsid w:val="00930C20"/>
    <w:rsid w:val="00930DE8"/>
    <w:rsid w:val="00931096"/>
    <w:rsid w:val="009311E0"/>
    <w:rsid w:val="00931774"/>
    <w:rsid w:val="0093177E"/>
    <w:rsid w:val="00931FC3"/>
    <w:rsid w:val="00933E87"/>
    <w:rsid w:val="0093680C"/>
    <w:rsid w:val="00936C59"/>
    <w:rsid w:val="0094028D"/>
    <w:rsid w:val="009413EE"/>
    <w:rsid w:val="009425EB"/>
    <w:rsid w:val="00942D47"/>
    <w:rsid w:val="00942E5E"/>
    <w:rsid w:val="00942F5F"/>
    <w:rsid w:val="0094311C"/>
    <w:rsid w:val="00943ECF"/>
    <w:rsid w:val="00944518"/>
    <w:rsid w:val="009451B8"/>
    <w:rsid w:val="00945F65"/>
    <w:rsid w:val="00946426"/>
    <w:rsid w:val="00946610"/>
    <w:rsid w:val="00947B55"/>
    <w:rsid w:val="00950FB7"/>
    <w:rsid w:val="0095145D"/>
    <w:rsid w:val="00951560"/>
    <w:rsid w:val="00951967"/>
    <w:rsid w:val="00951D04"/>
    <w:rsid w:val="00951ED3"/>
    <w:rsid w:val="009520BA"/>
    <w:rsid w:val="009529A4"/>
    <w:rsid w:val="00953960"/>
    <w:rsid w:val="00953BC0"/>
    <w:rsid w:val="00954F26"/>
    <w:rsid w:val="00955ED7"/>
    <w:rsid w:val="009560F2"/>
    <w:rsid w:val="00956A1A"/>
    <w:rsid w:val="009575CD"/>
    <w:rsid w:val="00957E2D"/>
    <w:rsid w:val="009606A4"/>
    <w:rsid w:val="00960713"/>
    <w:rsid w:val="00961661"/>
    <w:rsid w:val="00961A01"/>
    <w:rsid w:val="0096282D"/>
    <w:rsid w:val="009630BF"/>
    <w:rsid w:val="00963347"/>
    <w:rsid w:val="00963880"/>
    <w:rsid w:val="00963FFD"/>
    <w:rsid w:val="00965000"/>
    <w:rsid w:val="00965062"/>
    <w:rsid w:val="009657DC"/>
    <w:rsid w:val="00965AC8"/>
    <w:rsid w:val="00966CDC"/>
    <w:rsid w:val="00966F83"/>
    <w:rsid w:val="00970118"/>
    <w:rsid w:val="0097047D"/>
    <w:rsid w:val="0097073A"/>
    <w:rsid w:val="00971845"/>
    <w:rsid w:val="00972D9F"/>
    <w:rsid w:val="00973447"/>
    <w:rsid w:val="00973679"/>
    <w:rsid w:val="009741B1"/>
    <w:rsid w:val="0097460B"/>
    <w:rsid w:val="00974F83"/>
    <w:rsid w:val="00975767"/>
    <w:rsid w:val="0097597E"/>
    <w:rsid w:val="009765C4"/>
    <w:rsid w:val="00977136"/>
    <w:rsid w:val="009802C5"/>
    <w:rsid w:val="0098068A"/>
    <w:rsid w:val="00980DDB"/>
    <w:rsid w:val="009815A8"/>
    <w:rsid w:val="0098177C"/>
    <w:rsid w:val="009819F6"/>
    <w:rsid w:val="00982333"/>
    <w:rsid w:val="0098379D"/>
    <w:rsid w:val="00983964"/>
    <w:rsid w:val="00984789"/>
    <w:rsid w:val="00984889"/>
    <w:rsid w:val="00985E5F"/>
    <w:rsid w:val="00986B23"/>
    <w:rsid w:val="009900EF"/>
    <w:rsid w:val="00990140"/>
    <w:rsid w:val="00990BC9"/>
    <w:rsid w:val="00991A30"/>
    <w:rsid w:val="00991F0C"/>
    <w:rsid w:val="00991F1B"/>
    <w:rsid w:val="0099522B"/>
    <w:rsid w:val="00995DFB"/>
    <w:rsid w:val="00996E46"/>
    <w:rsid w:val="0099783F"/>
    <w:rsid w:val="00997BC8"/>
    <w:rsid w:val="009A0382"/>
    <w:rsid w:val="009A07D6"/>
    <w:rsid w:val="009A0D18"/>
    <w:rsid w:val="009A1C41"/>
    <w:rsid w:val="009A2B85"/>
    <w:rsid w:val="009A3C26"/>
    <w:rsid w:val="009A45C8"/>
    <w:rsid w:val="009A4C6C"/>
    <w:rsid w:val="009A5B05"/>
    <w:rsid w:val="009A5B53"/>
    <w:rsid w:val="009A6198"/>
    <w:rsid w:val="009A6484"/>
    <w:rsid w:val="009B0642"/>
    <w:rsid w:val="009B0B84"/>
    <w:rsid w:val="009B0F44"/>
    <w:rsid w:val="009B1160"/>
    <w:rsid w:val="009B11B9"/>
    <w:rsid w:val="009B13E0"/>
    <w:rsid w:val="009B2308"/>
    <w:rsid w:val="009B2C3C"/>
    <w:rsid w:val="009B4862"/>
    <w:rsid w:val="009B49F8"/>
    <w:rsid w:val="009B4F23"/>
    <w:rsid w:val="009B707A"/>
    <w:rsid w:val="009C00D6"/>
    <w:rsid w:val="009C0278"/>
    <w:rsid w:val="009C133C"/>
    <w:rsid w:val="009C14E0"/>
    <w:rsid w:val="009C1F29"/>
    <w:rsid w:val="009C2255"/>
    <w:rsid w:val="009C26A0"/>
    <w:rsid w:val="009C29B2"/>
    <w:rsid w:val="009C2F40"/>
    <w:rsid w:val="009C47C1"/>
    <w:rsid w:val="009C4AA1"/>
    <w:rsid w:val="009C5C3A"/>
    <w:rsid w:val="009C6428"/>
    <w:rsid w:val="009C6960"/>
    <w:rsid w:val="009C6D6F"/>
    <w:rsid w:val="009C6DC4"/>
    <w:rsid w:val="009C6DD0"/>
    <w:rsid w:val="009C79EB"/>
    <w:rsid w:val="009C7F5A"/>
    <w:rsid w:val="009D09C3"/>
    <w:rsid w:val="009D0A6A"/>
    <w:rsid w:val="009D2AC5"/>
    <w:rsid w:val="009D2F3B"/>
    <w:rsid w:val="009D3B43"/>
    <w:rsid w:val="009D5C5B"/>
    <w:rsid w:val="009D6098"/>
    <w:rsid w:val="009D6228"/>
    <w:rsid w:val="009D71DA"/>
    <w:rsid w:val="009D730A"/>
    <w:rsid w:val="009D7EE4"/>
    <w:rsid w:val="009E0535"/>
    <w:rsid w:val="009E1024"/>
    <w:rsid w:val="009E1063"/>
    <w:rsid w:val="009E1E3B"/>
    <w:rsid w:val="009E3405"/>
    <w:rsid w:val="009E4517"/>
    <w:rsid w:val="009E6B06"/>
    <w:rsid w:val="009E6B3D"/>
    <w:rsid w:val="009E7077"/>
    <w:rsid w:val="009E7FD5"/>
    <w:rsid w:val="009F0EEF"/>
    <w:rsid w:val="009F1103"/>
    <w:rsid w:val="009F1B73"/>
    <w:rsid w:val="009F2982"/>
    <w:rsid w:val="009F3125"/>
    <w:rsid w:val="009F3C65"/>
    <w:rsid w:val="009F3EBE"/>
    <w:rsid w:val="009F4107"/>
    <w:rsid w:val="009F5A7F"/>
    <w:rsid w:val="009F5DA7"/>
    <w:rsid w:val="009F6A5A"/>
    <w:rsid w:val="009F6B0B"/>
    <w:rsid w:val="009F6E3E"/>
    <w:rsid w:val="009F7B86"/>
    <w:rsid w:val="00A00C23"/>
    <w:rsid w:val="00A00C75"/>
    <w:rsid w:val="00A00CFF"/>
    <w:rsid w:val="00A01345"/>
    <w:rsid w:val="00A01A1C"/>
    <w:rsid w:val="00A01CDC"/>
    <w:rsid w:val="00A02CAB"/>
    <w:rsid w:val="00A03617"/>
    <w:rsid w:val="00A03E83"/>
    <w:rsid w:val="00A04335"/>
    <w:rsid w:val="00A04EEA"/>
    <w:rsid w:val="00A056A0"/>
    <w:rsid w:val="00A058BB"/>
    <w:rsid w:val="00A05BFA"/>
    <w:rsid w:val="00A06392"/>
    <w:rsid w:val="00A066DA"/>
    <w:rsid w:val="00A108B1"/>
    <w:rsid w:val="00A12767"/>
    <w:rsid w:val="00A127B7"/>
    <w:rsid w:val="00A12A01"/>
    <w:rsid w:val="00A13038"/>
    <w:rsid w:val="00A13A31"/>
    <w:rsid w:val="00A14247"/>
    <w:rsid w:val="00A162C5"/>
    <w:rsid w:val="00A172F2"/>
    <w:rsid w:val="00A174E6"/>
    <w:rsid w:val="00A2124A"/>
    <w:rsid w:val="00A22290"/>
    <w:rsid w:val="00A2341D"/>
    <w:rsid w:val="00A239C9"/>
    <w:rsid w:val="00A23DC8"/>
    <w:rsid w:val="00A246EE"/>
    <w:rsid w:val="00A24AAD"/>
    <w:rsid w:val="00A25770"/>
    <w:rsid w:val="00A259FD"/>
    <w:rsid w:val="00A25A73"/>
    <w:rsid w:val="00A25C42"/>
    <w:rsid w:val="00A25FC0"/>
    <w:rsid w:val="00A270B9"/>
    <w:rsid w:val="00A27BC4"/>
    <w:rsid w:val="00A301F4"/>
    <w:rsid w:val="00A30A81"/>
    <w:rsid w:val="00A31319"/>
    <w:rsid w:val="00A32D94"/>
    <w:rsid w:val="00A336E9"/>
    <w:rsid w:val="00A339C7"/>
    <w:rsid w:val="00A33F0C"/>
    <w:rsid w:val="00A35320"/>
    <w:rsid w:val="00A35C8F"/>
    <w:rsid w:val="00A35CD7"/>
    <w:rsid w:val="00A36679"/>
    <w:rsid w:val="00A37B4C"/>
    <w:rsid w:val="00A37E0B"/>
    <w:rsid w:val="00A37E1A"/>
    <w:rsid w:val="00A40953"/>
    <w:rsid w:val="00A40AB7"/>
    <w:rsid w:val="00A41506"/>
    <w:rsid w:val="00A4237B"/>
    <w:rsid w:val="00A42DEB"/>
    <w:rsid w:val="00A43D37"/>
    <w:rsid w:val="00A44238"/>
    <w:rsid w:val="00A44AEF"/>
    <w:rsid w:val="00A45627"/>
    <w:rsid w:val="00A47654"/>
    <w:rsid w:val="00A50A8C"/>
    <w:rsid w:val="00A52922"/>
    <w:rsid w:val="00A53A95"/>
    <w:rsid w:val="00A546C6"/>
    <w:rsid w:val="00A55DA2"/>
    <w:rsid w:val="00A56271"/>
    <w:rsid w:val="00A56468"/>
    <w:rsid w:val="00A5786F"/>
    <w:rsid w:val="00A579CB"/>
    <w:rsid w:val="00A57F29"/>
    <w:rsid w:val="00A60560"/>
    <w:rsid w:val="00A60B3A"/>
    <w:rsid w:val="00A61530"/>
    <w:rsid w:val="00A622ED"/>
    <w:rsid w:val="00A63F21"/>
    <w:rsid w:val="00A642A6"/>
    <w:rsid w:val="00A64854"/>
    <w:rsid w:val="00A65594"/>
    <w:rsid w:val="00A66AE1"/>
    <w:rsid w:val="00A67511"/>
    <w:rsid w:val="00A706D3"/>
    <w:rsid w:val="00A70A52"/>
    <w:rsid w:val="00A7128E"/>
    <w:rsid w:val="00A71F90"/>
    <w:rsid w:val="00A724EB"/>
    <w:rsid w:val="00A72814"/>
    <w:rsid w:val="00A75B6F"/>
    <w:rsid w:val="00A75CEB"/>
    <w:rsid w:val="00A76EF3"/>
    <w:rsid w:val="00A76FF6"/>
    <w:rsid w:val="00A8002F"/>
    <w:rsid w:val="00A82610"/>
    <w:rsid w:val="00A8328B"/>
    <w:rsid w:val="00A835E8"/>
    <w:rsid w:val="00A836C1"/>
    <w:rsid w:val="00A84223"/>
    <w:rsid w:val="00A84521"/>
    <w:rsid w:val="00A86008"/>
    <w:rsid w:val="00A86604"/>
    <w:rsid w:val="00A86DE0"/>
    <w:rsid w:val="00A87354"/>
    <w:rsid w:val="00A9360A"/>
    <w:rsid w:val="00A93C3D"/>
    <w:rsid w:val="00A93F71"/>
    <w:rsid w:val="00A943C7"/>
    <w:rsid w:val="00A94478"/>
    <w:rsid w:val="00A94BD5"/>
    <w:rsid w:val="00A950B1"/>
    <w:rsid w:val="00A95A01"/>
    <w:rsid w:val="00A963C6"/>
    <w:rsid w:val="00A96463"/>
    <w:rsid w:val="00A97E4D"/>
    <w:rsid w:val="00AA05A5"/>
    <w:rsid w:val="00AA06ED"/>
    <w:rsid w:val="00AA07BC"/>
    <w:rsid w:val="00AA087C"/>
    <w:rsid w:val="00AA1D95"/>
    <w:rsid w:val="00AA2E07"/>
    <w:rsid w:val="00AA3499"/>
    <w:rsid w:val="00AA378C"/>
    <w:rsid w:val="00AA46A0"/>
    <w:rsid w:val="00AA4CDA"/>
    <w:rsid w:val="00AA5E6C"/>
    <w:rsid w:val="00AA6155"/>
    <w:rsid w:val="00AA6231"/>
    <w:rsid w:val="00AA6DBD"/>
    <w:rsid w:val="00AA7A58"/>
    <w:rsid w:val="00AB0449"/>
    <w:rsid w:val="00AB0679"/>
    <w:rsid w:val="00AB15F2"/>
    <w:rsid w:val="00AB2102"/>
    <w:rsid w:val="00AB215F"/>
    <w:rsid w:val="00AB2C6C"/>
    <w:rsid w:val="00AB34D4"/>
    <w:rsid w:val="00AB3D9D"/>
    <w:rsid w:val="00AB5736"/>
    <w:rsid w:val="00AB6477"/>
    <w:rsid w:val="00AB6482"/>
    <w:rsid w:val="00AB6602"/>
    <w:rsid w:val="00AB79FB"/>
    <w:rsid w:val="00AC0256"/>
    <w:rsid w:val="00AC042F"/>
    <w:rsid w:val="00AC10A1"/>
    <w:rsid w:val="00AC15E4"/>
    <w:rsid w:val="00AC23A2"/>
    <w:rsid w:val="00AC2538"/>
    <w:rsid w:val="00AC2D45"/>
    <w:rsid w:val="00AC2F46"/>
    <w:rsid w:val="00AC335F"/>
    <w:rsid w:val="00AC3BDE"/>
    <w:rsid w:val="00AC583C"/>
    <w:rsid w:val="00AC6279"/>
    <w:rsid w:val="00AC6C8C"/>
    <w:rsid w:val="00AC7C34"/>
    <w:rsid w:val="00AC7FC7"/>
    <w:rsid w:val="00AD0C0A"/>
    <w:rsid w:val="00AD0CB9"/>
    <w:rsid w:val="00AD1912"/>
    <w:rsid w:val="00AD1E00"/>
    <w:rsid w:val="00AD2365"/>
    <w:rsid w:val="00AD373F"/>
    <w:rsid w:val="00AD4592"/>
    <w:rsid w:val="00AD5CA1"/>
    <w:rsid w:val="00AD5FF8"/>
    <w:rsid w:val="00AD6565"/>
    <w:rsid w:val="00AD6AD1"/>
    <w:rsid w:val="00AD6E8E"/>
    <w:rsid w:val="00AD7535"/>
    <w:rsid w:val="00AD7AC0"/>
    <w:rsid w:val="00AD7C2D"/>
    <w:rsid w:val="00AD7C59"/>
    <w:rsid w:val="00AD7C94"/>
    <w:rsid w:val="00AD7EB6"/>
    <w:rsid w:val="00AE108E"/>
    <w:rsid w:val="00AE2129"/>
    <w:rsid w:val="00AE27F3"/>
    <w:rsid w:val="00AE2FB8"/>
    <w:rsid w:val="00AE386E"/>
    <w:rsid w:val="00AE4DE5"/>
    <w:rsid w:val="00AE5EC3"/>
    <w:rsid w:val="00AE6857"/>
    <w:rsid w:val="00AE74C4"/>
    <w:rsid w:val="00AF069D"/>
    <w:rsid w:val="00AF0B11"/>
    <w:rsid w:val="00AF15D9"/>
    <w:rsid w:val="00AF1CA2"/>
    <w:rsid w:val="00AF1FE8"/>
    <w:rsid w:val="00AF2CDE"/>
    <w:rsid w:val="00AF33FE"/>
    <w:rsid w:val="00AF3484"/>
    <w:rsid w:val="00AF359E"/>
    <w:rsid w:val="00AF3B81"/>
    <w:rsid w:val="00AF3F85"/>
    <w:rsid w:val="00AF4191"/>
    <w:rsid w:val="00AF5015"/>
    <w:rsid w:val="00AF55E6"/>
    <w:rsid w:val="00AF6062"/>
    <w:rsid w:val="00AF6973"/>
    <w:rsid w:val="00AF69F7"/>
    <w:rsid w:val="00AF6FCA"/>
    <w:rsid w:val="00B00CAC"/>
    <w:rsid w:val="00B0189B"/>
    <w:rsid w:val="00B02E22"/>
    <w:rsid w:val="00B03018"/>
    <w:rsid w:val="00B033D5"/>
    <w:rsid w:val="00B03C96"/>
    <w:rsid w:val="00B040F8"/>
    <w:rsid w:val="00B04742"/>
    <w:rsid w:val="00B04DD7"/>
    <w:rsid w:val="00B05334"/>
    <w:rsid w:val="00B0653F"/>
    <w:rsid w:val="00B0686C"/>
    <w:rsid w:val="00B06FC1"/>
    <w:rsid w:val="00B10FFE"/>
    <w:rsid w:val="00B112A2"/>
    <w:rsid w:val="00B115AE"/>
    <w:rsid w:val="00B1196E"/>
    <w:rsid w:val="00B12ED9"/>
    <w:rsid w:val="00B130E1"/>
    <w:rsid w:val="00B1438B"/>
    <w:rsid w:val="00B14586"/>
    <w:rsid w:val="00B155FF"/>
    <w:rsid w:val="00B16B47"/>
    <w:rsid w:val="00B17323"/>
    <w:rsid w:val="00B17713"/>
    <w:rsid w:val="00B17925"/>
    <w:rsid w:val="00B17AA5"/>
    <w:rsid w:val="00B211F0"/>
    <w:rsid w:val="00B21F0E"/>
    <w:rsid w:val="00B242BF"/>
    <w:rsid w:val="00B2499E"/>
    <w:rsid w:val="00B2599B"/>
    <w:rsid w:val="00B26438"/>
    <w:rsid w:val="00B264BE"/>
    <w:rsid w:val="00B2796A"/>
    <w:rsid w:val="00B30A1E"/>
    <w:rsid w:val="00B311CF"/>
    <w:rsid w:val="00B316C9"/>
    <w:rsid w:val="00B31778"/>
    <w:rsid w:val="00B32455"/>
    <w:rsid w:val="00B32C72"/>
    <w:rsid w:val="00B33201"/>
    <w:rsid w:val="00B33264"/>
    <w:rsid w:val="00B33E49"/>
    <w:rsid w:val="00B34425"/>
    <w:rsid w:val="00B350CB"/>
    <w:rsid w:val="00B35EE9"/>
    <w:rsid w:val="00B3734C"/>
    <w:rsid w:val="00B4067D"/>
    <w:rsid w:val="00B407BE"/>
    <w:rsid w:val="00B407C2"/>
    <w:rsid w:val="00B408DD"/>
    <w:rsid w:val="00B40F17"/>
    <w:rsid w:val="00B432FC"/>
    <w:rsid w:val="00B44196"/>
    <w:rsid w:val="00B4441D"/>
    <w:rsid w:val="00B44D71"/>
    <w:rsid w:val="00B450A8"/>
    <w:rsid w:val="00B45106"/>
    <w:rsid w:val="00B466CA"/>
    <w:rsid w:val="00B46DB5"/>
    <w:rsid w:val="00B47349"/>
    <w:rsid w:val="00B5058B"/>
    <w:rsid w:val="00B51225"/>
    <w:rsid w:val="00B51A88"/>
    <w:rsid w:val="00B527A5"/>
    <w:rsid w:val="00B5284C"/>
    <w:rsid w:val="00B53163"/>
    <w:rsid w:val="00B53C50"/>
    <w:rsid w:val="00B53CBA"/>
    <w:rsid w:val="00B543E7"/>
    <w:rsid w:val="00B5459E"/>
    <w:rsid w:val="00B55D73"/>
    <w:rsid w:val="00B56DC4"/>
    <w:rsid w:val="00B57B0D"/>
    <w:rsid w:val="00B63D0E"/>
    <w:rsid w:val="00B65129"/>
    <w:rsid w:val="00B65398"/>
    <w:rsid w:val="00B65874"/>
    <w:rsid w:val="00B659FD"/>
    <w:rsid w:val="00B65FB1"/>
    <w:rsid w:val="00B66DC3"/>
    <w:rsid w:val="00B66FF8"/>
    <w:rsid w:val="00B67627"/>
    <w:rsid w:val="00B67B26"/>
    <w:rsid w:val="00B67B47"/>
    <w:rsid w:val="00B70EC3"/>
    <w:rsid w:val="00B71A18"/>
    <w:rsid w:val="00B72214"/>
    <w:rsid w:val="00B723C0"/>
    <w:rsid w:val="00B730DD"/>
    <w:rsid w:val="00B73155"/>
    <w:rsid w:val="00B73202"/>
    <w:rsid w:val="00B73920"/>
    <w:rsid w:val="00B74281"/>
    <w:rsid w:val="00B75013"/>
    <w:rsid w:val="00B75E0B"/>
    <w:rsid w:val="00B764DE"/>
    <w:rsid w:val="00B76FF8"/>
    <w:rsid w:val="00B777D8"/>
    <w:rsid w:val="00B77FCF"/>
    <w:rsid w:val="00B80291"/>
    <w:rsid w:val="00B8036B"/>
    <w:rsid w:val="00B80ABB"/>
    <w:rsid w:val="00B80BA6"/>
    <w:rsid w:val="00B819E2"/>
    <w:rsid w:val="00B83C1B"/>
    <w:rsid w:val="00B841C1"/>
    <w:rsid w:val="00B8432C"/>
    <w:rsid w:val="00B85523"/>
    <w:rsid w:val="00B86324"/>
    <w:rsid w:val="00B86568"/>
    <w:rsid w:val="00B871C0"/>
    <w:rsid w:val="00B87C1B"/>
    <w:rsid w:val="00B87F61"/>
    <w:rsid w:val="00B90882"/>
    <w:rsid w:val="00B90A0A"/>
    <w:rsid w:val="00B90F79"/>
    <w:rsid w:val="00B911D1"/>
    <w:rsid w:val="00B912CB"/>
    <w:rsid w:val="00B91BB3"/>
    <w:rsid w:val="00B9346F"/>
    <w:rsid w:val="00B9352C"/>
    <w:rsid w:val="00B95EA7"/>
    <w:rsid w:val="00B96102"/>
    <w:rsid w:val="00B96315"/>
    <w:rsid w:val="00B9671E"/>
    <w:rsid w:val="00B97BAE"/>
    <w:rsid w:val="00B97FEE"/>
    <w:rsid w:val="00BA09AB"/>
    <w:rsid w:val="00BA0EA3"/>
    <w:rsid w:val="00BA1A7B"/>
    <w:rsid w:val="00BA1D23"/>
    <w:rsid w:val="00BA1DBA"/>
    <w:rsid w:val="00BA2ADE"/>
    <w:rsid w:val="00BA2AE7"/>
    <w:rsid w:val="00BA2EB1"/>
    <w:rsid w:val="00BA39E5"/>
    <w:rsid w:val="00BA4577"/>
    <w:rsid w:val="00BA5118"/>
    <w:rsid w:val="00BA586A"/>
    <w:rsid w:val="00BA5A35"/>
    <w:rsid w:val="00BA664A"/>
    <w:rsid w:val="00BA6E37"/>
    <w:rsid w:val="00BA7438"/>
    <w:rsid w:val="00BA7CA9"/>
    <w:rsid w:val="00BB0C17"/>
    <w:rsid w:val="00BB1481"/>
    <w:rsid w:val="00BB1B01"/>
    <w:rsid w:val="00BB1BCD"/>
    <w:rsid w:val="00BB2EC7"/>
    <w:rsid w:val="00BB35B3"/>
    <w:rsid w:val="00BB3E57"/>
    <w:rsid w:val="00BB42D7"/>
    <w:rsid w:val="00BB5180"/>
    <w:rsid w:val="00BB6B64"/>
    <w:rsid w:val="00BC1933"/>
    <w:rsid w:val="00BC1CA3"/>
    <w:rsid w:val="00BC20CF"/>
    <w:rsid w:val="00BC20F1"/>
    <w:rsid w:val="00BC2FFB"/>
    <w:rsid w:val="00BC3285"/>
    <w:rsid w:val="00BC3D4B"/>
    <w:rsid w:val="00BC4C0B"/>
    <w:rsid w:val="00BC54F6"/>
    <w:rsid w:val="00BC562A"/>
    <w:rsid w:val="00BC64F4"/>
    <w:rsid w:val="00BC7BB1"/>
    <w:rsid w:val="00BD1FA9"/>
    <w:rsid w:val="00BD25D3"/>
    <w:rsid w:val="00BD3360"/>
    <w:rsid w:val="00BD372B"/>
    <w:rsid w:val="00BD5116"/>
    <w:rsid w:val="00BD52D5"/>
    <w:rsid w:val="00BD5A02"/>
    <w:rsid w:val="00BD65BF"/>
    <w:rsid w:val="00BD6708"/>
    <w:rsid w:val="00BD6758"/>
    <w:rsid w:val="00BD7FAC"/>
    <w:rsid w:val="00BE00BC"/>
    <w:rsid w:val="00BE029A"/>
    <w:rsid w:val="00BE1649"/>
    <w:rsid w:val="00BE2CBC"/>
    <w:rsid w:val="00BE3098"/>
    <w:rsid w:val="00BE384E"/>
    <w:rsid w:val="00BE5170"/>
    <w:rsid w:val="00BE517F"/>
    <w:rsid w:val="00BE6C0F"/>
    <w:rsid w:val="00BE7378"/>
    <w:rsid w:val="00BE7427"/>
    <w:rsid w:val="00BF0071"/>
    <w:rsid w:val="00BF013F"/>
    <w:rsid w:val="00BF0353"/>
    <w:rsid w:val="00BF052D"/>
    <w:rsid w:val="00BF1A71"/>
    <w:rsid w:val="00BF2BD4"/>
    <w:rsid w:val="00BF2C0F"/>
    <w:rsid w:val="00BF38C4"/>
    <w:rsid w:val="00BF3978"/>
    <w:rsid w:val="00BF3D6C"/>
    <w:rsid w:val="00BF4A1F"/>
    <w:rsid w:val="00BF694B"/>
    <w:rsid w:val="00BF6B24"/>
    <w:rsid w:val="00BF794C"/>
    <w:rsid w:val="00C00B57"/>
    <w:rsid w:val="00C00F61"/>
    <w:rsid w:val="00C01096"/>
    <w:rsid w:val="00C032D7"/>
    <w:rsid w:val="00C03499"/>
    <w:rsid w:val="00C03A79"/>
    <w:rsid w:val="00C042D1"/>
    <w:rsid w:val="00C0582D"/>
    <w:rsid w:val="00C05B35"/>
    <w:rsid w:val="00C05C6B"/>
    <w:rsid w:val="00C063E7"/>
    <w:rsid w:val="00C06B81"/>
    <w:rsid w:val="00C077A9"/>
    <w:rsid w:val="00C0791E"/>
    <w:rsid w:val="00C10154"/>
    <w:rsid w:val="00C10203"/>
    <w:rsid w:val="00C1120A"/>
    <w:rsid w:val="00C11FE1"/>
    <w:rsid w:val="00C12EC4"/>
    <w:rsid w:val="00C13CAA"/>
    <w:rsid w:val="00C1403D"/>
    <w:rsid w:val="00C14254"/>
    <w:rsid w:val="00C145E8"/>
    <w:rsid w:val="00C15A93"/>
    <w:rsid w:val="00C15CD9"/>
    <w:rsid w:val="00C1611A"/>
    <w:rsid w:val="00C16326"/>
    <w:rsid w:val="00C16917"/>
    <w:rsid w:val="00C20D4B"/>
    <w:rsid w:val="00C21BB7"/>
    <w:rsid w:val="00C235B1"/>
    <w:rsid w:val="00C24BAA"/>
    <w:rsid w:val="00C250C2"/>
    <w:rsid w:val="00C25A94"/>
    <w:rsid w:val="00C26517"/>
    <w:rsid w:val="00C26B41"/>
    <w:rsid w:val="00C26C73"/>
    <w:rsid w:val="00C31267"/>
    <w:rsid w:val="00C331F8"/>
    <w:rsid w:val="00C3365D"/>
    <w:rsid w:val="00C33ABC"/>
    <w:rsid w:val="00C34FC7"/>
    <w:rsid w:val="00C35A22"/>
    <w:rsid w:val="00C35BC5"/>
    <w:rsid w:val="00C3714B"/>
    <w:rsid w:val="00C37FBF"/>
    <w:rsid w:val="00C40048"/>
    <w:rsid w:val="00C40118"/>
    <w:rsid w:val="00C40755"/>
    <w:rsid w:val="00C419D3"/>
    <w:rsid w:val="00C427F0"/>
    <w:rsid w:val="00C42C3B"/>
    <w:rsid w:val="00C435D8"/>
    <w:rsid w:val="00C43D6F"/>
    <w:rsid w:val="00C441BF"/>
    <w:rsid w:val="00C45025"/>
    <w:rsid w:val="00C45C2E"/>
    <w:rsid w:val="00C473AD"/>
    <w:rsid w:val="00C50AD1"/>
    <w:rsid w:val="00C50DD8"/>
    <w:rsid w:val="00C5122E"/>
    <w:rsid w:val="00C51F3D"/>
    <w:rsid w:val="00C5213A"/>
    <w:rsid w:val="00C52554"/>
    <w:rsid w:val="00C529C9"/>
    <w:rsid w:val="00C55220"/>
    <w:rsid w:val="00C5546B"/>
    <w:rsid w:val="00C55D6D"/>
    <w:rsid w:val="00C5643E"/>
    <w:rsid w:val="00C564C7"/>
    <w:rsid w:val="00C565D6"/>
    <w:rsid w:val="00C56BF0"/>
    <w:rsid w:val="00C57D1A"/>
    <w:rsid w:val="00C6017D"/>
    <w:rsid w:val="00C60C93"/>
    <w:rsid w:val="00C62984"/>
    <w:rsid w:val="00C63C72"/>
    <w:rsid w:val="00C64CB5"/>
    <w:rsid w:val="00C64CED"/>
    <w:rsid w:val="00C6569F"/>
    <w:rsid w:val="00C662CD"/>
    <w:rsid w:val="00C665A4"/>
    <w:rsid w:val="00C66D43"/>
    <w:rsid w:val="00C676B5"/>
    <w:rsid w:val="00C70756"/>
    <w:rsid w:val="00C71D60"/>
    <w:rsid w:val="00C72357"/>
    <w:rsid w:val="00C72BC8"/>
    <w:rsid w:val="00C73B48"/>
    <w:rsid w:val="00C74862"/>
    <w:rsid w:val="00C760DE"/>
    <w:rsid w:val="00C76B29"/>
    <w:rsid w:val="00C7725E"/>
    <w:rsid w:val="00C805F4"/>
    <w:rsid w:val="00C82014"/>
    <w:rsid w:val="00C82B7E"/>
    <w:rsid w:val="00C83EC3"/>
    <w:rsid w:val="00C855E7"/>
    <w:rsid w:val="00C86DAD"/>
    <w:rsid w:val="00C86F95"/>
    <w:rsid w:val="00C873D0"/>
    <w:rsid w:val="00C87A22"/>
    <w:rsid w:val="00C87D5C"/>
    <w:rsid w:val="00C903B7"/>
    <w:rsid w:val="00C908E8"/>
    <w:rsid w:val="00C91947"/>
    <w:rsid w:val="00C92056"/>
    <w:rsid w:val="00C93186"/>
    <w:rsid w:val="00C93191"/>
    <w:rsid w:val="00C94110"/>
    <w:rsid w:val="00C945C4"/>
    <w:rsid w:val="00C945D3"/>
    <w:rsid w:val="00C95484"/>
    <w:rsid w:val="00C956AA"/>
    <w:rsid w:val="00C96FC1"/>
    <w:rsid w:val="00C9700B"/>
    <w:rsid w:val="00C975CF"/>
    <w:rsid w:val="00C97E5B"/>
    <w:rsid w:val="00CA051A"/>
    <w:rsid w:val="00CA0AF4"/>
    <w:rsid w:val="00CA0BD7"/>
    <w:rsid w:val="00CA0E4D"/>
    <w:rsid w:val="00CA15ED"/>
    <w:rsid w:val="00CA1782"/>
    <w:rsid w:val="00CA3881"/>
    <w:rsid w:val="00CA45DE"/>
    <w:rsid w:val="00CA4A09"/>
    <w:rsid w:val="00CA4C5F"/>
    <w:rsid w:val="00CA5000"/>
    <w:rsid w:val="00CA535F"/>
    <w:rsid w:val="00CA58A8"/>
    <w:rsid w:val="00CA604B"/>
    <w:rsid w:val="00CA70F6"/>
    <w:rsid w:val="00CA734D"/>
    <w:rsid w:val="00CA7AE8"/>
    <w:rsid w:val="00CA7BB3"/>
    <w:rsid w:val="00CB0155"/>
    <w:rsid w:val="00CB036B"/>
    <w:rsid w:val="00CB0F19"/>
    <w:rsid w:val="00CB1583"/>
    <w:rsid w:val="00CB1E3B"/>
    <w:rsid w:val="00CB264B"/>
    <w:rsid w:val="00CB2B55"/>
    <w:rsid w:val="00CB2FBB"/>
    <w:rsid w:val="00CB34EB"/>
    <w:rsid w:val="00CB57F0"/>
    <w:rsid w:val="00CB5947"/>
    <w:rsid w:val="00CB6A66"/>
    <w:rsid w:val="00CB76B0"/>
    <w:rsid w:val="00CC0371"/>
    <w:rsid w:val="00CC1A7D"/>
    <w:rsid w:val="00CC1EE3"/>
    <w:rsid w:val="00CC2C58"/>
    <w:rsid w:val="00CC520E"/>
    <w:rsid w:val="00CC6799"/>
    <w:rsid w:val="00CC68F9"/>
    <w:rsid w:val="00CC77C5"/>
    <w:rsid w:val="00CC7D42"/>
    <w:rsid w:val="00CC7FA7"/>
    <w:rsid w:val="00CD0084"/>
    <w:rsid w:val="00CD0183"/>
    <w:rsid w:val="00CD09CD"/>
    <w:rsid w:val="00CD12A0"/>
    <w:rsid w:val="00CD12F2"/>
    <w:rsid w:val="00CD1358"/>
    <w:rsid w:val="00CD177E"/>
    <w:rsid w:val="00CD1C95"/>
    <w:rsid w:val="00CD2448"/>
    <w:rsid w:val="00CD2A37"/>
    <w:rsid w:val="00CD3322"/>
    <w:rsid w:val="00CD3EB7"/>
    <w:rsid w:val="00CD45DB"/>
    <w:rsid w:val="00CD46E2"/>
    <w:rsid w:val="00CD5C40"/>
    <w:rsid w:val="00CD6014"/>
    <w:rsid w:val="00CD61D4"/>
    <w:rsid w:val="00CD6950"/>
    <w:rsid w:val="00CD6E92"/>
    <w:rsid w:val="00CD7692"/>
    <w:rsid w:val="00CE0672"/>
    <w:rsid w:val="00CE070B"/>
    <w:rsid w:val="00CE107C"/>
    <w:rsid w:val="00CE153D"/>
    <w:rsid w:val="00CE1F41"/>
    <w:rsid w:val="00CE2AEB"/>
    <w:rsid w:val="00CE3D83"/>
    <w:rsid w:val="00CE4CF1"/>
    <w:rsid w:val="00CE651B"/>
    <w:rsid w:val="00CE72AE"/>
    <w:rsid w:val="00CF0365"/>
    <w:rsid w:val="00CF06C3"/>
    <w:rsid w:val="00CF1C06"/>
    <w:rsid w:val="00CF218F"/>
    <w:rsid w:val="00CF33ED"/>
    <w:rsid w:val="00CF35EC"/>
    <w:rsid w:val="00CF3CA3"/>
    <w:rsid w:val="00CF4279"/>
    <w:rsid w:val="00CF4C78"/>
    <w:rsid w:val="00CF5399"/>
    <w:rsid w:val="00CF540C"/>
    <w:rsid w:val="00CF667C"/>
    <w:rsid w:val="00CF6DC2"/>
    <w:rsid w:val="00CF7995"/>
    <w:rsid w:val="00D00488"/>
    <w:rsid w:val="00D00D79"/>
    <w:rsid w:val="00D031EC"/>
    <w:rsid w:val="00D04607"/>
    <w:rsid w:val="00D04A96"/>
    <w:rsid w:val="00D053E5"/>
    <w:rsid w:val="00D063A9"/>
    <w:rsid w:val="00D0666A"/>
    <w:rsid w:val="00D06BA3"/>
    <w:rsid w:val="00D10454"/>
    <w:rsid w:val="00D10661"/>
    <w:rsid w:val="00D1131F"/>
    <w:rsid w:val="00D11DF5"/>
    <w:rsid w:val="00D129CF"/>
    <w:rsid w:val="00D1314F"/>
    <w:rsid w:val="00D13E68"/>
    <w:rsid w:val="00D14CF9"/>
    <w:rsid w:val="00D159AD"/>
    <w:rsid w:val="00D16483"/>
    <w:rsid w:val="00D16608"/>
    <w:rsid w:val="00D1797E"/>
    <w:rsid w:val="00D2095D"/>
    <w:rsid w:val="00D20B81"/>
    <w:rsid w:val="00D2157A"/>
    <w:rsid w:val="00D22C7F"/>
    <w:rsid w:val="00D232F7"/>
    <w:rsid w:val="00D236EB"/>
    <w:rsid w:val="00D255BF"/>
    <w:rsid w:val="00D2588D"/>
    <w:rsid w:val="00D25E57"/>
    <w:rsid w:val="00D270E6"/>
    <w:rsid w:val="00D27145"/>
    <w:rsid w:val="00D3019B"/>
    <w:rsid w:val="00D307FB"/>
    <w:rsid w:val="00D30957"/>
    <w:rsid w:val="00D311A2"/>
    <w:rsid w:val="00D3122F"/>
    <w:rsid w:val="00D318C4"/>
    <w:rsid w:val="00D32DF0"/>
    <w:rsid w:val="00D33114"/>
    <w:rsid w:val="00D33839"/>
    <w:rsid w:val="00D33A00"/>
    <w:rsid w:val="00D34EA4"/>
    <w:rsid w:val="00D34EBC"/>
    <w:rsid w:val="00D375C1"/>
    <w:rsid w:val="00D37651"/>
    <w:rsid w:val="00D37E97"/>
    <w:rsid w:val="00D4196C"/>
    <w:rsid w:val="00D43747"/>
    <w:rsid w:val="00D44AD2"/>
    <w:rsid w:val="00D45356"/>
    <w:rsid w:val="00D4624E"/>
    <w:rsid w:val="00D469BE"/>
    <w:rsid w:val="00D46B11"/>
    <w:rsid w:val="00D47737"/>
    <w:rsid w:val="00D47DBD"/>
    <w:rsid w:val="00D47DD9"/>
    <w:rsid w:val="00D50356"/>
    <w:rsid w:val="00D50697"/>
    <w:rsid w:val="00D50B1F"/>
    <w:rsid w:val="00D50C19"/>
    <w:rsid w:val="00D50C2C"/>
    <w:rsid w:val="00D50D48"/>
    <w:rsid w:val="00D51CC5"/>
    <w:rsid w:val="00D532B7"/>
    <w:rsid w:val="00D5441D"/>
    <w:rsid w:val="00D54A67"/>
    <w:rsid w:val="00D5507D"/>
    <w:rsid w:val="00D55540"/>
    <w:rsid w:val="00D55EF9"/>
    <w:rsid w:val="00D57676"/>
    <w:rsid w:val="00D57ACE"/>
    <w:rsid w:val="00D61055"/>
    <w:rsid w:val="00D6207E"/>
    <w:rsid w:val="00D6229E"/>
    <w:rsid w:val="00D627F5"/>
    <w:rsid w:val="00D6325F"/>
    <w:rsid w:val="00D63584"/>
    <w:rsid w:val="00D638DA"/>
    <w:rsid w:val="00D63B90"/>
    <w:rsid w:val="00D63F5A"/>
    <w:rsid w:val="00D64C85"/>
    <w:rsid w:val="00D656F6"/>
    <w:rsid w:val="00D65F05"/>
    <w:rsid w:val="00D663F9"/>
    <w:rsid w:val="00D66985"/>
    <w:rsid w:val="00D701ED"/>
    <w:rsid w:val="00D701FC"/>
    <w:rsid w:val="00D70952"/>
    <w:rsid w:val="00D70BA0"/>
    <w:rsid w:val="00D70D0E"/>
    <w:rsid w:val="00D71463"/>
    <w:rsid w:val="00D72A03"/>
    <w:rsid w:val="00D732E2"/>
    <w:rsid w:val="00D73384"/>
    <w:rsid w:val="00D73B62"/>
    <w:rsid w:val="00D74D45"/>
    <w:rsid w:val="00D76F1D"/>
    <w:rsid w:val="00D77680"/>
    <w:rsid w:val="00D77AEE"/>
    <w:rsid w:val="00D77E06"/>
    <w:rsid w:val="00D80492"/>
    <w:rsid w:val="00D8050D"/>
    <w:rsid w:val="00D8136F"/>
    <w:rsid w:val="00D813A2"/>
    <w:rsid w:val="00D81AC1"/>
    <w:rsid w:val="00D81F0D"/>
    <w:rsid w:val="00D829E0"/>
    <w:rsid w:val="00D82C1E"/>
    <w:rsid w:val="00D83416"/>
    <w:rsid w:val="00D83F18"/>
    <w:rsid w:val="00D853EE"/>
    <w:rsid w:val="00D856E8"/>
    <w:rsid w:val="00D862B5"/>
    <w:rsid w:val="00D86761"/>
    <w:rsid w:val="00D8682A"/>
    <w:rsid w:val="00D86DF1"/>
    <w:rsid w:val="00D903B2"/>
    <w:rsid w:val="00D91361"/>
    <w:rsid w:val="00D9149A"/>
    <w:rsid w:val="00D9164A"/>
    <w:rsid w:val="00D918B9"/>
    <w:rsid w:val="00D91C83"/>
    <w:rsid w:val="00D925ED"/>
    <w:rsid w:val="00D937AD"/>
    <w:rsid w:val="00D93AB1"/>
    <w:rsid w:val="00D949AA"/>
    <w:rsid w:val="00D94A79"/>
    <w:rsid w:val="00D9502D"/>
    <w:rsid w:val="00D95DF3"/>
    <w:rsid w:val="00D96163"/>
    <w:rsid w:val="00D96400"/>
    <w:rsid w:val="00D97F4B"/>
    <w:rsid w:val="00DA00B9"/>
    <w:rsid w:val="00DA0FA0"/>
    <w:rsid w:val="00DA21B9"/>
    <w:rsid w:val="00DA223E"/>
    <w:rsid w:val="00DA2A57"/>
    <w:rsid w:val="00DA2EA1"/>
    <w:rsid w:val="00DA469F"/>
    <w:rsid w:val="00DA740B"/>
    <w:rsid w:val="00DA747E"/>
    <w:rsid w:val="00DB0CAE"/>
    <w:rsid w:val="00DB0FC3"/>
    <w:rsid w:val="00DB1D42"/>
    <w:rsid w:val="00DB1E15"/>
    <w:rsid w:val="00DB25F3"/>
    <w:rsid w:val="00DB2650"/>
    <w:rsid w:val="00DB381A"/>
    <w:rsid w:val="00DB4B2A"/>
    <w:rsid w:val="00DB4DF4"/>
    <w:rsid w:val="00DB55F5"/>
    <w:rsid w:val="00DB55FF"/>
    <w:rsid w:val="00DB5967"/>
    <w:rsid w:val="00DB5998"/>
    <w:rsid w:val="00DB5C36"/>
    <w:rsid w:val="00DB6245"/>
    <w:rsid w:val="00DB66F7"/>
    <w:rsid w:val="00DB6BE9"/>
    <w:rsid w:val="00DB731D"/>
    <w:rsid w:val="00DB75D8"/>
    <w:rsid w:val="00DB79BD"/>
    <w:rsid w:val="00DC09B4"/>
    <w:rsid w:val="00DC0A6B"/>
    <w:rsid w:val="00DC2BB4"/>
    <w:rsid w:val="00DC504C"/>
    <w:rsid w:val="00DC57DF"/>
    <w:rsid w:val="00DC5A31"/>
    <w:rsid w:val="00DC5AA2"/>
    <w:rsid w:val="00DC72A5"/>
    <w:rsid w:val="00DC77BF"/>
    <w:rsid w:val="00DD0250"/>
    <w:rsid w:val="00DD15BA"/>
    <w:rsid w:val="00DD18DB"/>
    <w:rsid w:val="00DD1DF5"/>
    <w:rsid w:val="00DD2D1A"/>
    <w:rsid w:val="00DD31A6"/>
    <w:rsid w:val="00DD3F9F"/>
    <w:rsid w:val="00DD42E4"/>
    <w:rsid w:val="00DD4D74"/>
    <w:rsid w:val="00DD51B5"/>
    <w:rsid w:val="00DD530B"/>
    <w:rsid w:val="00DD59D8"/>
    <w:rsid w:val="00DD5B08"/>
    <w:rsid w:val="00DD79C6"/>
    <w:rsid w:val="00DE00E1"/>
    <w:rsid w:val="00DE042B"/>
    <w:rsid w:val="00DE05EF"/>
    <w:rsid w:val="00DE0F63"/>
    <w:rsid w:val="00DE2B0C"/>
    <w:rsid w:val="00DE4651"/>
    <w:rsid w:val="00DE47BF"/>
    <w:rsid w:val="00DE4A94"/>
    <w:rsid w:val="00DE4F47"/>
    <w:rsid w:val="00DE5246"/>
    <w:rsid w:val="00DE6EC3"/>
    <w:rsid w:val="00DE71D6"/>
    <w:rsid w:val="00DF0CC7"/>
    <w:rsid w:val="00DF24C8"/>
    <w:rsid w:val="00DF55BF"/>
    <w:rsid w:val="00DF5BCD"/>
    <w:rsid w:val="00DF71F7"/>
    <w:rsid w:val="00DF73EE"/>
    <w:rsid w:val="00DF7DFE"/>
    <w:rsid w:val="00E013AA"/>
    <w:rsid w:val="00E01423"/>
    <w:rsid w:val="00E0144D"/>
    <w:rsid w:val="00E0180E"/>
    <w:rsid w:val="00E0212A"/>
    <w:rsid w:val="00E02A94"/>
    <w:rsid w:val="00E03E2A"/>
    <w:rsid w:val="00E04CD0"/>
    <w:rsid w:val="00E05A3E"/>
    <w:rsid w:val="00E06C29"/>
    <w:rsid w:val="00E1107A"/>
    <w:rsid w:val="00E127D4"/>
    <w:rsid w:val="00E12DB3"/>
    <w:rsid w:val="00E13A67"/>
    <w:rsid w:val="00E14089"/>
    <w:rsid w:val="00E14244"/>
    <w:rsid w:val="00E16152"/>
    <w:rsid w:val="00E16DAA"/>
    <w:rsid w:val="00E17AF0"/>
    <w:rsid w:val="00E2052A"/>
    <w:rsid w:val="00E20DB7"/>
    <w:rsid w:val="00E214F4"/>
    <w:rsid w:val="00E22B14"/>
    <w:rsid w:val="00E22F81"/>
    <w:rsid w:val="00E23FB6"/>
    <w:rsid w:val="00E2403D"/>
    <w:rsid w:val="00E24194"/>
    <w:rsid w:val="00E246DB"/>
    <w:rsid w:val="00E24ABA"/>
    <w:rsid w:val="00E25E29"/>
    <w:rsid w:val="00E26EAB"/>
    <w:rsid w:val="00E3046D"/>
    <w:rsid w:val="00E322CA"/>
    <w:rsid w:val="00E325FB"/>
    <w:rsid w:val="00E32ADA"/>
    <w:rsid w:val="00E32FA6"/>
    <w:rsid w:val="00E33C1C"/>
    <w:rsid w:val="00E340D9"/>
    <w:rsid w:val="00E3467A"/>
    <w:rsid w:val="00E34DD7"/>
    <w:rsid w:val="00E34EF7"/>
    <w:rsid w:val="00E3502D"/>
    <w:rsid w:val="00E369EB"/>
    <w:rsid w:val="00E36C7E"/>
    <w:rsid w:val="00E36EC4"/>
    <w:rsid w:val="00E36EF7"/>
    <w:rsid w:val="00E4024A"/>
    <w:rsid w:val="00E40CD6"/>
    <w:rsid w:val="00E41461"/>
    <w:rsid w:val="00E43734"/>
    <w:rsid w:val="00E4405A"/>
    <w:rsid w:val="00E44763"/>
    <w:rsid w:val="00E4549C"/>
    <w:rsid w:val="00E45608"/>
    <w:rsid w:val="00E45844"/>
    <w:rsid w:val="00E46205"/>
    <w:rsid w:val="00E477D4"/>
    <w:rsid w:val="00E47E3D"/>
    <w:rsid w:val="00E50157"/>
    <w:rsid w:val="00E5021D"/>
    <w:rsid w:val="00E50233"/>
    <w:rsid w:val="00E50810"/>
    <w:rsid w:val="00E51167"/>
    <w:rsid w:val="00E514B0"/>
    <w:rsid w:val="00E51A3E"/>
    <w:rsid w:val="00E522FD"/>
    <w:rsid w:val="00E54644"/>
    <w:rsid w:val="00E549BE"/>
    <w:rsid w:val="00E57AF3"/>
    <w:rsid w:val="00E57E36"/>
    <w:rsid w:val="00E628CA"/>
    <w:rsid w:val="00E63CA0"/>
    <w:rsid w:val="00E64D52"/>
    <w:rsid w:val="00E64F65"/>
    <w:rsid w:val="00E66622"/>
    <w:rsid w:val="00E672A8"/>
    <w:rsid w:val="00E6773D"/>
    <w:rsid w:val="00E7000D"/>
    <w:rsid w:val="00E71325"/>
    <w:rsid w:val="00E739B3"/>
    <w:rsid w:val="00E75360"/>
    <w:rsid w:val="00E77176"/>
    <w:rsid w:val="00E7759C"/>
    <w:rsid w:val="00E8144F"/>
    <w:rsid w:val="00E81D0A"/>
    <w:rsid w:val="00E81F3E"/>
    <w:rsid w:val="00E82396"/>
    <w:rsid w:val="00E831C3"/>
    <w:rsid w:val="00E8368F"/>
    <w:rsid w:val="00E842B4"/>
    <w:rsid w:val="00E848E8"/>
    <w:rsid w:val="00E84B1D"/>
    <w:rsid w:val="00E84F78"/>
    <w:rsid w:val="00E8524C"/>
    <w:rsid w:val="00E85A9E"/>
    <w:rsid w:val="00E86BAA"/>
    <w:rsid w:val="00E877CE"/>
    <w:rsid w:val="00E90395"/>
    <w:rsid w:val="00E9133A"/>
    <w:rsid w:val="00E913DB"/>
    <w:rsid w:val="00E947DC"/>
    <w:rsid w:val="00E95924"/>
    <w:rsid w:val="00E96870"/>
    <w:rsid w:val="00E971D0"/>
    <w:rsid w:val="00EA28B6"/>
    <w:rsid w:val="00EA35E3"/>
    <w:rsid w:val="00EA3616"/>
    <w:rsid w:val="00EA4501"/>
    <w:rsid w:val="00EA49EA"/>
    <w:rsid w:val="00EA4F18"/>
    <w:rsid w:val="00EA5062"/>
    <w:rsid w:val="00EA6377"/>
    <w:rsid w:val="00EA6828"/>
    <w:rsid w:val="00EA6E25"/>
    <w:rsid w:val="00EA6FEB"/>
    <w:rsid w:val="00EA7868"/>
    <w:rsid w:val="00EA7977"/>
    <w:rsid w:val="00EB191F"/>
    <w:rsid w:val="00EB2A54"/>
    <w:rsid w:val="00EB2F64"/>
    <w:rsid w:val="00EB35FC"/>
    <w:rsid w:val="00EB38C9"/>
    <w:rsid w:val="00EB3B36"/>
    <w:rsid w:val="00EB4F95"/>
    <w:rsid w:val="00EB5A07"/>
    <w:rsid w:val="00EB6D46"/>
    <w:rsid w:val="00EB7A16"/>
    <w:rsid w:val="00EB7CFD"/>
    <w:rsid w:val="00EC0388"/>
    <w:rsid w:val="00EC0415"/>
    <w:rsid w:val="00EC1341"/>
    <w:rsid w:val="00EC2350"/>
    <w:rsid w:val="00EC2625"/>
    <w:rsid w:val="00EC48C7"/>
    <w:rsid w:val="00EC5B54"/>
    <w:rsid w:val="00EC7755"/>
    <w:rsid w:val="00ED153B"/>
    <w:rsid w:val="00ED1919"/>
    <w:rsid w:val="00ED1AF7"/>
    <w:rsid w:val="00ED1BD3"/>
    <w:rsid w:val="00ED1DC0"/>
    <w:rsid w:val="00ED22A9"/>
    <w:rsid w:val="00ED2FF7"/>
    <w:rsid w:val="00ED3AB4"/>
    <w:rsid w:val="00ED3EFA"/>
    <w:rsid w:val="00ED41E3"/>
    <w:rsid w:val="00ED538E"/>
    <w:rsid w:val="00ED5DE1"/>
    <w:rsid w:val="00ED68A1"/>
    <w:rsid w:val="00ED6CEB"/>
    <w:rsid w:val="00ED7D04"/>
    <w:rsid w:val="00EE0022"/>
    <w:rsid w:val="00EE0758"/>
    <w:rsid w:val="00EE1664"/>
    <w:rsid w:val="00EE22BF"/>
    <w:rsid w:val="00EE258B"/>
    <w:rsid w:val="00EE33F5"/>
    <w:rsid w:val="00EE481A"/>
    <w:rsid w:val="00EE5170"/>
    <w:rsid w:val="00EE603B"/>
    <w:rsid w:val="00EE6374"/>
    <w:rsid w:val="00EE6702"/>
    <w:rsid w:val="00EE69E0"/>
    <w:rsid w:val="00EE6C5F"/>
    <w:rsid w:val="00EE7667"/>
    <w:rsid w:val="00EF0019"/>
    <w:rsid w:val="00EF0186"/>
    <w:rsid w:val="00EF04AB"/>
    <w:rsid w:val="00EF0718"/>
    <w:rsid w:val="00EF111F"/>
    <w:rsid w:val="00EF1716"/>
    <w:rsid w:val="00EF1910"/>
    <w:rsid w:val="00EF2E63"/>
    <w:rsid w:val="00EF3205"/>
    <w:rsid w:val="00EF3857"/>
    <w:rsid w:val="00EF4140"/>
    <w:rsid w:val="00EF574B"/>
    <w:rsid w:val="00EF5C45"/>
    <w:rsid w:val="00EF6233"/>
    <w:rsid w:val="00EF6E4D"/>
    <w:rsid w:val="00EF6F8D"/>
    <w:rsid w:val="00EF7568"/>
    <w:rsid w:val="00EF79F2"/>
    <w:rsid w:val="00EF7DF9"/>
    <w:rsid w:val="00F01987"/>
    <w:rsid w:val="00F01C3D"/>
    <w:rsid w:val="00F022AE"/>
    <w:rsid w:val="00F02826"/>
    <w:rsid w:val="00F02ED2"/>
    <w:rsid w:val="00F0407F"/>
    <w:rsid w:val="00F04154"/>
    <w:rsid w:val="00F04DA5"/>
    <w:rsid w:val="00F05384"/>
    <w:rsid w:val="00F05D3D"/>
    <w:rsid w:val="00F05F3C"/>
    <w:rsid w:val="00F06A28"/>
    <w:rsid w:val="00F06B79"/>
    <w:rsid w:val="00F06EE6"/>
    <w:rsid w:val="00F07667"/>
    <w:rsid w:val="00F10708"/>
    <w:rsid w:val="00F10A17"/>
    <w:rsid w:val="00F11826"/>
    <w:rsid w:val="00F1719F"/>
    <w:rsid w:val="00F2060F"/>
    <w:rsid w:val="00F20A6D"/>
    <w:rsid w:val="00F230EA"/>
    <w:rsid w:val="00F251B6"/>
    <w:rsid w:val="00F25496"/>
    <w:rsid w:val="00F2577C"/>
    <w:rsid w:val="00F25E05"/>
    <w:rsid w:val="00F25E31"/>
    <w:rsid w:val="00F2630D"/>
    <w:rsid w:val="00F267EA"/>
    <w:rsid w:val="00F27C95"/>
    <w:rsid w:val="00F31319"/>
    <w:rsid w:val="00F31EEB"/>
    <w:rsid w:val="00F332AE"/>
    <w:rsid w:val="00F34205"/>
    <w:rsid w:val="00F34478"/>
    <w:rsid w:val="00F34534"/>
    <w:rsid w:val="00F35876"/>
    <w:rsid w:val="00F35CB7"/>
    <w:rsid w:val="00F36192"/>
    <w:rsid w:val="00F36C64"/>
    <w:rsid w:val="00F40458"/>
    <w:rsid w:val="00F40B63"/>
    <w:rsid w:val="00F410EF"/>
    <w:rsid w:val="00F4162A"/>
    <w:rsid w:val="00F417A3"/>
    <w:rsid w:val="00F41A4F"/>
    <w:rsid w:val="00F429B2"/>
    <w:rsid w:val="00F437AD"/>
    <w:rsid w:val="00F43BCB"/>
    <w:rsid w:val="00F446BA"/>
    <w:rsid w:val="00F44B4E"/>
    <w:rsid w:val="00F44C21"/>
    <w:rsid w:val="00F46B8D"/>
    <w:rsid w:val="00F47959"/>
    <w:rsid w:val="00F514A4"/>
    <w:rsid w:val="00F517E7"/>
    <w:rsid w:val="00F51BDE"/>
    <w:rsid w:val="00F522E2"/>
    <w:rsid w:val="00F52684"/>
    <w:rsid w:val="00F52992"/>
    <w:rsid w:val="00F53629"/>
    <w:rsid w:val="00F53FBF"/>
    <w:rsid w:val="00F54113"/>
    <w:rsid w:val="00F54763"/>
    <w:rsid w:val="00F54B8C"/>
    <w:rsid w:val="00F566E3"/>
    <w:rsid w:val="00F569B5"/>
    <w:rsid w:val="00F573BE"/>
    <w:rsid w:val="00F6030D"/>
    <w:rsid w:val="00F6046A"/>
    <w:rsid w:val="00F60A42"/>
    <w:rsid w:val="00F61744"/>
    <w:rsid w:val="00F617A5"/>
    <w:rsid w:val="00F621FA"/>
    <w:rsid w:val="00F6233F"/>
    <w:rsid w:val="00F6250C"/>
    <w:rsid w:val="00F63A0A"/>
    <w:rsid w:val="00F63E07"/>
    <w:rsid w:val="00F63F91"/>
    <w:rsid w:val="00F63FD9"/>
    <w:rsid w:val="00F64CAD"/>
    <w:rsid w:val="00F6581E"/>
    <w:rsid w:val="00F65868"/>
    <w:rsid w:val="00F65AEC"/>
    <w:rsid w:val="00F65E9E"/>
    <w:rsid w:val="00F65F41"/>
    <w:rsid w:val="00F6601A"/>
    <w:rsid w:val="00F6616E"/>
    <w:rsid w:val="00F668D1"/>
    <w:rsid w:val="00F66B55"/>
    <w:rsid w:val="00F670DC"/>
    <w:rsid w:val="00F67879"/>
    <w:rsid w:val="00F701D2"/>
    <w:rsid w:val="00F703E3"/>
    <w:rsid w:val="00F708FF"/>
    <w:rsid w:val="00F70B9D"/>
    <w:rsid w:val="00F70E37"/>
    <w:rsid w:val="00F71DC4"/>
    <w:rsid w:val="00F71F74"/>
    <w:rsid w:val="00F72A26"/>
    <w:rsid w:val="00F74031"/>
    <w:rsid w:val="00F75B14"/>
    <w:rsid w:val="00F75EF0"/>
    <w:rsid w:val="00F7772B"/>
    <w:rsid w:val="00F80425"/>
    <w:rsid w:val="00F8075C"/>
    <w:rsid w:val="00F80E89"/>
    <w:rsid w:val="00F81463"/>
    <w:rsid w:val="00F8168A"/>
    <w:rsid w:val="00F83541"/>
    <w:rsid w:val="00F8383B"/>
    <w:rsid w:val="00F84FA0"/>
    <w:rsid w:val="00F8552A"/>
    <w:rsid w:val="00F856CE"/>
    <w:rsid w:val="00F86248"/>
    <w:rsid w:val="00F868E5"/>
    <w:rsid w:val="00F86BF3"/>
    <w:rsid w:val="00F87816"/>
    <w:rsid w:val="00F905B8"/>
    <w:rsid w:val="00F90B8C"/>
    <w:rsid w:val="00F914ED"/>
    <w:rsid w:val="00F92144"/>
    <w:rsid w:val="00F927B3"/>
    <w:rsid w:val="00F94219"/>
    <w:rsid w:val="00F95955"/>
    <w:rsid w:val="00F959ED"/>
    <w:rsid w:val="00F965F9"/>
    <w:rsid w:val="00F96634"/>
    <w:rsid w:val="00F979B9"/>
    <w:rsid w:val="00FA01BF"/>
    <w:rsid w:val="00FA0225"/>
    <w:rsid w:val="00FA1B88"/>
    <w:rsid w:val="00FA2C06"/>
    <w:rsid w:val="00FA2FF9"/>
    <w:rsid w:val="00FA3FB4"/>
    <w:rsid w:val="00FA4561"/>
    <w:rsid w:val="00FA4642"/>
    <w:rsid w:val="00FA4716"/>
    <w:rsid w:val="00FA4A1A"/>
    <w:rsid w:val="00FA4D0C"/>
    <w:rsid w:val="00FA58ED"/>
    <w:rsid w:val="00FA598C"/>
    <w:rsid w:val="00FA6F2D"/>
    <w:rsid w:val="00FB0896"/>
    <w:rsid w:val="00FB0A60"/>
    <w:rsid w:val="00FB0B00"/>
    <w:rsid w:val="00FB0F50"/>
    <w:rsid w:val="00FB1AB3"/>
    <w:rsid w:val="00FB2114"/>
    <w:rsid w:val="00FB3282"/>
    <w:rsid w:val="00FB3C39"/>
    <w:rsid w:val="00FB41FC"/>
    <w:rsid w:val="00FB4812"/>
    <w:rsid w:val="00FB4BD1"/>
    <w:rsid w:val="00FB52FE"/>
    <w:rsid w:val="00FB5377"/>
    <w:rsid w:val="00FB6C09"/>
    <w:rsid w:val="00FC0F1D"/>
    <w:rsid w:val="00FC20C4"/>
    <w:rsid w:val="00FC24F7"/>
    <w:rsid w:val="00FC2E73"/>
    <w:rsid w:val="00FC391E"/>
    <w:rsid w:val="00FC399E"/>
    <w:rsid w:val="00FC3B13"/>
    <w:rsid w:val="00FC44FE"/>
    <w:rsid w:val="00FC6ED2"/>
    <w:rsid w:val="00FC6F4F"/>
    <w:rsid w:val="00FC70F7"/>
    <w:rsid w:val="00FC72C0"/>
    <w:rsid w:val="00FC74A3"/>
    <w:rsid w:val="00FC75AA"/>
    <w:rsid w:val="00FD23E3"/>
    <w:rsid w:val="00FD28ED"/>
    <w:rsid w:val="00FD2A1D"/>
    <w:rsid w:val="00FD317B"/>
    <w:rsid w:val="00FD6204"/>
    <w:rsid w:val="00FE03B9"/>
    <w:rsid w:val="00FE0920"/>
    <w:rsid w:val="00FE16CA"/>
    <w:rsid w:val="00FE20F3"/>
    <w:rsid w:val="00FE219B"/>
    <w:rsid w:val="00FE2841"/>
    <w:rsid w:val="00FE2B09"/>
    <w:rsid w:val="00FE47BB"/>
    <w:rsid w:val="00FE5A69"/>
    <w:rsid w:val="00FE7547"/>
    <w:rsid w:val="00FE7DAC"/>
    <w:rsid w:val="00FE7DAE"/>
    <w:rsid w:val="00FF003A"/>
    <w:rsid w:val="00FF0219"/>
    <w:rsid w:val="00FF024C"/>
    <w:rsid w:val="00FF04FF"/>
    <w:rsid w:val="00FF12DB"/>
    <w:rsid w:val="00FF1561"/>
    <w:rsid w:val="00FF25CE"/>
    <w:rsid w:val="00FF2804"/>
    <w:rsid w:val="00FF2A1F"/>
    <w:rsid w:val="00FF3E02"/>
    <w:rsid w:val="00FF4AD1"/>
    <w:rsid w:val="00FF5EE1"/>
    <w:rsid w:val="010202C7"/>
    <w:rsid w:val="0103164E"/>
    <w:rsid w:val="010C1AEF"/>
    <w:rsid w:val="010F6FE5"/>
    <w:rsid w:val="01126736"/>
    <w:rsid w:val="011955DA"/>
    <w:rsid w:val="011E411A"/>
    <w:rsid w:val="011E5EC5"/>
    <w:rsid w:val="01204062"/>
    <w:rsid w:val="01234F14"/>
    <w:rsid w:val="01243FDF"/>
    <w:rsid w:val="0129659B"/>
    <w:rsid w:val="0130169F"/>
    <w:rsid w:val="01333F51"/>
    <w:rsid w:val="01352776"/>
    <w:rsid w:val="014B7635"/>
    <w:rsid w:val="014E6C26"/>
    <w:rsid w:val="0150611E"/>
    <w:rsid w:val="01550331"/>
    <w:rsid w:val="015B73E5"/>
    <w:rsid w:val="015C51C0"/>
    <w:rsid w:val="0173247E"/>
    <w:rsid w:val="0173520B"/>
    <w:rsid w:val="01756592"/>
    <w:rsid w:val="017728E6"/>
    <w:rsid w:val="01854B79"/>
    <w:rsid w:val="01862551"/>
    <w:rsid w:val="018954D4"/>
    <w:rsid w:val="019743BD"/>
    <w:rsid w:val="01A136A6"/>
    <w:rsid w:val="01A6397F"/>
    <w:rsid w:val="01AA718D"/>
    <w:rsid w:val="01B27ACB"/>
    <w:rsid w:val="01B32398"/>
    <w:rsid w:val="01BE0A1B"/>
    <w:rsid w:val="01C0228C"/>
    <w:rsid w:val="01C20BC1"/>
    <w:rsid w:val="01C7267B"/>
    <w:rsid w:val="01CB7BB3"/>
    <w:rsid w:val="01CC1D13"/>
    <w:rsid w:val="01CE1DDD"/>
    <w:rsid w:val="01CF5F53"/>
    <w:rsid w:val="01D04539"/>
    <w:rsid w:val="01D4709F"/>
    <w:rsid w:val="01DD45EB"/>
    <w:rsid w:val="01E15D28"/>
    <w:rsid w:val="01E220AF"/>
    <w:rsid w:val="01E23B3E"/>
    <w:rsid w:val="01F039DD"/>
    <w:rsid w:val="01F21136"/>
    <w:rsid w:val="01F338D4"/>
    <w:rsid w:val="01FE084B"/>
    <w:rsid w:val="01FF30AD"/>
    <w:rsid w:val="02037E92"/>
    <w:rsid w:val="020A56E1"/>
    <w:rsid w:val="021251DB"/>
    <w:rsid w:val="0216315C"/>
    <w:rsid w:val="021C1320"/>
    <w:rsid w:val="022862E2"/>
    <w:rsid w:val="02292ADF"/>
    <w:rsid w:val="023030B9"/>
    <w:rsid w:val="0231147D"/>
    <w:rsid w:val="02320D85"/>
    <w:rsid w:val="023356D0"/>
    <w:rsid w:val="023868FE"/>
    <w:rsid w:val="023F5A4A"/>
    <w:rsid w:val="024159B9"/>
    <w:rsid w:val="02447331"/>
    <w:rsid w:val="02465F35"/>
    <w:rsid w:val="024B5469"/>
    <w:rsid w:val="02547386"/>
    <w:rsid w:val="0259279D"/>
    <w:rsid w:val="02603F70"/>
    <w:rsid w:val="02687F70"/>
    <w:rsid w:val="02692F32"/>
    <w:rsid w:val="026E50A7"/>
    <w:rsid w:val="026E78E1"/>
    <w:rsid w:val="0274645A"/>
    <w:rsid w:val="027541CF"/>
    <w:rsid w:val="027B3765"/>
    <w:rsid w:val="027B6D6D"/>
    <w:rsid w:val="027C7347"/>
    <w:rsid w:val="027D793A"/>
    <w:rsid w:val="027E23FE"/>
    <w:rsid w:val="027E40DB"/>
    <w:rsid w:val="028958E6"/>
    <w:rsid w:val="028D12A5"/>
    <w:rsid w:val="028E25EE"/>
    <w:rsid w:val="02907E5C"/>
    <w:rsid w:val="029B7032"/>
    <w:rsid w:val="02A85C88"/>
    <w:rsid w:val="02B00E9E"/>
    <w:rsid w:val="02B553C5"/>
    <w:rsid w:val="02B72843"/>
    <w:rsid w:val="02BF6871"/>
    <w:rsid w:val="02C10E5B"/>
    <w:rsid w:val="02C12BDE"/>
    <w:rsid w:val="02C72526"/>
    <w:rsid w:val="02D05D51"/>
    <w:rsid w:val="02D11A02"/>
    <w:rsid w:val="02D476A3"/>
    <w:rsid w:val="02D65E35"/>
    <w:rsid w:val="02ED60D6"/>
    <w:rsid w:val="02F44A0D"/>
    <w:rsid w:val="0300383D"/>
    <w:rsid w:val="03020175"/>
    <w:rsid w:val="030B0C13"/>
    <w:rsid w:val="030F1A1A"/>
    <w:rsid w:val="030F6468"/>
    <w:rsid w:val="0311697F"/>
    <w:rsid w:val="03144FE3"/>
    <w:rsid w:val="031707FD"/>
    <w:rsid w:val="031F2842"/>
    <w:rsid w:val="03202CC9"/>
    <w:rsid w:val="03260FA0"/>
    <w:rsid w:val="0327629C"/>
    <w:rsid w:val="03276F1E"/>
    <w:rsid w:val="032833C4"/>
    <w:rsid w:val="032A4C89"/>
    <w:rsid w:val="032A51C9"/>
    <w:rsid w:val="032D386D"/>
    <w:rsid w:val="032D4F92"/>
    <w:rsid w:val="03310F7E"/>
    <w:rsid w:val="03315152"/>
    <w:rsid w:val="03323602"/>
    <w:rsid w:val="033903D3"/>
    <w:rsid w:val="03420019"/>
    <w:rsid w:val="0347666D"/>
    <w:rsid w:val="034B6350"/>
    <w:rsid w:val="034D03E4"/>
    <w:rsid w:val="0353507B"/>
    <w:rsid w:val="0355254C"/>
    <w:rsid w:val="035B1646"/>
    <w:rsid w:val="035C2E8A"/>
    <w:rsid w:val="036110DD"/>
    <w:rsid w:val="03641D93"/>
    <w:rsid w:val="0364663E"/>
    <w:rsid w:val="03652576"/>
    <w:rsid w:val="03680805"/>
    <w:rsid w:val="03680939"/>
    <w:rsid w:val="036A16DF"/>
    <w:rsid w:val="036C407A"/>
    <w:rsid w:val="03787F87"/>
    <w:rsid w:val="037C087B"/>
    <w:rsid w:val="037C1A0F"/>
    <w:rsid w:val="038D26AD"/>
    <w:rsid w:val="03935066"/>
    <w:rsid w:val="039449A0"/>
    <w:rsid w:val="039579AA"/>
    <w:rsid w:val="039B2CDC"/>
    <w:rsid w:val="039C74FA"/>
    <w:rsid w:val="03A358A1"/>
    <w:rsid w:val="03A7022A"/>
    <w:rsid w:val="03AD7A3F"/>
    <w:rsid w:val="03B50F2A"/>
    <w:rsid w:val="03B7242B"/>
    <w:rsid w:val="03B90697"/>
    <w:rsid w:val="03BD28D4"/>
    <w:rsid w:val="03C9543C"/>
    <w:rsid w:val="03CE4315"/>
    <w:rsid w:val="03D94967"/>
    <w:rsid w:val="03DC25CD"/>
    <w:rsid w:val="03E25571"/>
    <w:rsid w:val="03E26A0E"/>
    <w:rsid w:val="03E84F01"/>
    <w:rsid w:val="03EF5BC3"/>
    <w:rsid w:val="03F86685"/>
    <w:rsid w:val="03FA0FB7"/>
    <w:rsid w:val="04077D02"/>
    <w:rsid w:val="040B094E"/>
    <w:rsid w:val="040C1A4C"/>
    <w:rsid w:val="04120512"/>
    <w:rsid w:val="04135E8E"/>
    <w:rsid w:val="04151317"/>
    <w:rsid w:val="04216712"/>
    <w:rsid w:val="0422058F"/>
    <w:rsid w:val="042D0FB6"/>
    <w:rsid w:val="04307542"/>
    <w:rsid w:val="04475E1C"/>
    <w:rsid w:val="044A0962"/>
    <w:rsid w:val="04513084"/>
    <w:rsid w:val="04522510"/>
    <w:rsid w:val="0452282D"/>
    <w:rsid w:val="0453270C"/>
    <w:rsid w:val="045D444B"/>
    <w:rsid w:val="045E198A"/>
    <w:rsid w:val="04617163"/>
    <w:rsid w:val="04662CE0"/>
    <w:rsid w:val="046D54C6"/>
    <w:rsid w:val="04815CE0"/>
    <w:rsid w:val="048318A8"/>
    <w:rsid w:val="0484710B"/>
    <w:rsid w:val="04852154"/>
    <w:rsid w:val="048B7CF3"/>
    <w:rsid w:val="04926C7F"/>
    <w:rsid w:val="049D3F52"/>
    <w:rsid w:val="049D4E64"/>
    <w:rsid w:val="049F61EE"/>
    <w:rsid w:val="04A00E44"/>
    <w:rsid w:val="04A427D1"/>
    <w:rsid w:val="04AC7CC0"/>
    <w:rsid w:val="04B20F38"/>
    <w:rsid w:val="04B673B2"/>
    <w:rsid w:val="04BF4DAC"/>
    <w:rsid w:val="04C23BE3"/>
    <w:rsid w:val="04C85E14"/>
    <w:rsid w:val="04CC0295"/>
    <w:rsid w:val="04D46311"/>
    <w:rsid w:val="04DE55B6"/>
    <w:rsid w:val="04E8693B"/>
    <w:rsid w:val="04F438E9"/>
    <w:rsid w:val="04F71826"/>
    <w:rsid w:val="04F73D52"/>
    <w:rsid w:val="04F852A8"/>
    <w:rsid w:val="04FB0466"/>
    <w:rsid w:val="04FB2ACA"/>
    <w:rsid w:val="04FD6FE3"/>
    <w:rsid w:val="050C2D15"/>
    <w:rsid w:val="050F2B12"/>
    <w:rsid w:val="0517022A"/>
    <w:rsid w:val="051C01D9"/>
    <w:rsid w:val="051F236A"/>
    <w:rsid w:val="05204CE9"/>
    <w:rsid w:val="05223859"/>
    <w:rsid w:val="05235FB3"/>
    <w:rsid w:val="052747FE"/>
    <w:rsid w:val="052F5509"/>
    <w:rsid w:val="053041C3"/>
    <w:rsid w:val="05342168"/>
    <w:rsid w:val="05355F06"/>
    <w:rsid w:val="053A3F27"/>
    <w:rsid w:val="053A6FA7"/>
    <w:rsid w:val="053C4F1A"/>
    <w:rsid w:val="05400551"/>
    <w:rsid w:val="05416045"/>
    <w:rsid w:val="054775EB"/>
    <w:rsid w:val="054C5084"/>
    <w:rsid w:val="05585376"/>
    <w:rsid w:val="0558602B"/>
    <w:rsid w:val="055943EE"/>
    <w:rsid w:val="055E38D3"/>
    <w:rsid w:val="0566531A"/>
    <w:rsid w:val="057333F0"/>
    <w:rsid w:val="05744D15"/>
    <w:rsid w:val="05777577"/>
    <w:rsid w:val="0577793D"/>
    <w:rsid w:val="0579049C"/>
    <w:rsid w:val="057A194A"/>
    <w:rsid w:val="057D4377"/>
    <w:rsid w:val="05814DC6"/>
    <w:rsid w:val="05840C66"/>
    <w:rsid w:val="058554CC"/>
    <w:rsid w:val="058631AB"/>
    <w:rsid w:val="058732A9"/>
    <w:rsid w:val="058B3E8B"/>
    <w:rsid w:val="058B4953"/>
    <w:rsid w:val="05940262"/>
    <w:rsid w:val="05941826"/>
    <w:rsid w:val="059565ED"/>
    <w:rsid w:val="059E6762"/>
    <w:rsid w:val="05A249AC"/>
    <w:rsid w:val="05A41A8A"/>
    <w:rsid w:val="05A8383C"/>
    <w:rsid w:val="05B32146"/>
    <w:rsid w:val="05BA14EF"/>
    <w:rsid w:val="05BB6569"/>
    <w:rsid w:val="05BC001D"/>
    <w:rsid w:val="05C0144C"/>
    <w:rsid w:val="05C06FFE"/>
    <w:rsid w:val="05C22690"/>
    <w:rsid w:val="05C9277A"/>
    <w:rsid w:val="05D67C3E"/>
    <w:rsid w:val="05DD2037"/>
    <w:rsid w:val="05DD63DB"/>
    <w:rsid w:val="05DD758E"/>
    <w:rsid w:val="05DE2864"/>
    <w:rsid w:val="05DE35DE"/>
    <w:rsid w:val="05E05EFE"/>
    <w:rsid w:val="05E2291F"/>
    <w:rsid w:val="05E40331"/>
    <w:rsid w:val="05E6142A"/>
    <w:rsid w:val="05E731CE"/>
    <w:rsid w:val="05E77EEF"/>
    <w:rsid w:val="05F30538"/>
    <w:rsid w:val="05F63C9D"/>
    <w:rsid w:val="05F6580F"/>
    <w:rsid w:val="05F94116"/>
    <w:rsid w:val="05FB3269"/>
    <w:rsid w:val="05FC7CC3"/>
    <w:rsid w:val="05FF0FBF"/>
    <w:rsid w:val="060E4937"/>
    <w:rsid w:val="060F32F6"/>
    <w:rsid w:val="06107D5F"/>
    <w:rsid w:val="06163723"/>
    <w:rsid w:val="061765D8"/>
    <w:rsid w:val="061920E0"/>
    <w:rsid w:val="061A5730"/>
    <w:rsid w:val="061B7280"/>
    <w:rsid w:val="06251DC9"/>
    <w:rsid w:val="062C2424"/>
    <w:rsid w:val="063A7071"/>
    <w:rsid w:val="064E3C01"/>
    <w:rsid w:val="06513D55"/>
    <w:rsid w:val="06527CC1"/>
    <w:rsid w:val="06547114"/>
    <w:rsid w:val="06582860"/>
    <w:rsid w:val="065F5D0A"/>
    <w:rsid w:val="066D10F1"/>
    <w:rsid w:val="066E5836"/>
    <w:rsid w:val="06707CA1"/>
    <w:rsid w:val="067162BA"/>
    <w:rsid w:val="06727A65"/>
    <w:rsid w:val="06737B77"/>
    <w:rsid w:val="067466EE"/>
    <w:rsid w:val="06825CFD"/>
    <w:rsid w:val="06831270"/>
    <w:rsid w:val="0684406D"/>
    <w:rsid w:val="0684508E"/>
    <w:rsid w:val="06853A33"/>
    <w:rsid w:val="06873614"/>
    <w:rsid w:val="069D02EA"/>
    <w:rsid w:val="069F5DDC"/>
    <w:rsid w:val="06A52B52"/>
    <w:rsid w:val="06A770E1"/>
    <w:rsid w:val="06AB5B05"/>
    <w:rsid w:val="06AC2E94"/>
    <w:rsid w:val="06AE557B"/>
    <w:rsid w:val="06B06CF3"/>
    <w:rsid w:val="06B171BE"/>
    <w:rsid w:val="06B71C35"/>
    <w:rsid w:val="06BA3025"/>
    <w:rsid w:val="06BF207C"/>
    <w:rsid w:val="06C414CE"/>
    <w:rsid w:val="06C85DC2"/>
    <w:rsid w:val="06C95B8E"/>
    <w:rsid w:val="06CC419C"/>
    <w:rsid w:val="06CD5931"/>
    <w:rsid w:val="06CF23FA"/>
    <w:rsid w:val="06D00CB7"/>
    <w:rsid w:val="06D81902"/>
    <w:rsid w:val="06DA2402"/>
    <w:rsid w:val="06DC76BA"/>
    <w:rsid w:val="06DD70FD"/>
    <w:rsid w:val="06DE4486"/>
    <w:rsid w:val="06F21AD4"/>
    <w:rsid w:val="06F513C4"/>
    <w:rsid w:val="06F622D8"/>
    <w:rsid w:val="06FF6437"/>
    <w:rsid w:val="07077A45"/>
    <w:rsid w:val="0710093F"/>
    <w:rsid w:val="07166A20"/>
    <w:rsid w:val="07166F3D"/>
    <w:rsid w:val="071A2970"/>
    <w:rsid w:val="072A4291"/>
    <w:rsid w:val="072C02A7"/>
    <w:rsid w:val="072E5E8E"/>
    <w:rsid w:val="072E6848"/>
    <w:rsid w:val="072F7C15"/>
    <w:rsid w:val="07362409"/>
    <w:rsid w:val="073A1386"/>
    <w:rsid w:val="073B3885"/>
    <w:rsid w:val="073D4208"/>
    <w:rsid w:val="073F4FB3"/>
    <w:rsid w:val="0743165E"/>
    <w:rsid w:val="0745610A"/>
    <w:rsid w:val="07513318"/>
    <w:rsid w:val="075A116D"/>
    <w:rsid w:val="075C6C90"/>
    <w:rsid w:val="075D11EB"/>
    <w:rsid w:val="0761362B"/>
    <w:rsid w:val="07697C46"/>
    <w:rsid w:val="076C5335"/>
    <w:rsid w:val="076D09AE"/>
    <w:rsid w:val="076F45FE"/>
    <w:rsid w:val="077E6852"/>
    <w:rsid w:val="079202F1"/>
    <w:rsid w:val="07A36247"/>
    <w:rsid w:val="07A60FF8"/>
    <w:rsid w:val="07A63573"/>
    <w:rsid w:val="07AF3E3D"/>
    <w:rsid w:val="07B03788"/>
    <w:rsid w:val="07B16004"/>
    <w:rsid w:val="07B173DD"/>
    <w:rsid w:val="07BC7BBD"/>
    <w:rsid w:val="07BD2389"/>
    <w:rsid w:val="07C34A85"/>
    <w:rsid w:val="07D71C43"/>
    <w:rsid w:val="07E734A7"/>
    <w:rsid w:val="07ED21AB"/>
    <w:rsid w:val="07F429FE"/>
    <w:rsid w:val="07F44184"/>
    <w:rsid w:val="07F45151"/>
    <w:rsid w:val="07F63846"/>
    <w:rsid w:val="07F663C7"/>
    <w:rsid w:val="07F67DFE"/>
    <w:rsid w:val="07FD05BD"/>
    <w:rsid w:val="07FD2212"/>
    <w:rsid w:val="07FE6BFF"/>
    <w:rsid w:val="0807278E"/>
    <w:rsid w:val="08095AEF"/>
    <w:rsid w:val="08103ADB"/>
    <w:rsid w:val="08142891"/>
    <w:rsid w:val="081E0893"/>
    <w:rsid w:val="082072A8"/>
    <w:rsid w:val="08245A10"/>
    <w:rsid w:val="08294D79"/>
    <w:rsid w:val="082A2F44"/>
    <w:rsid w:val="082A3838"/>
    <w:rsid w:val="082B3498"/>
    <w:rsid w:val="082C2612"/>
    <w:rsid w:val="08303413"/>
    <w:rsid w:val="083724CC"/>
    <w:rsid w:val="083E2B64"/>
    <w:rsid w:val="084B4E39"/>
    <w:rsid w:val="084C21AB"/>
    <w:rsid w:val="084D52A8"/>
    <w:rsid w:val="084E26F2"/>
    <w:rsid w:val="084F0F6C"/>
    <w:rsid w:val="085D1644"/>
    <w:rsid w:val="086065E0"/>
    <w:rsid w:val="08651FC9"/>
    <w:rsid w:val="0865456A"/>
    <w:rsid w:val="086E4EC1"/>
    <w:rsid w:val="086F5796"/>
    <w:rsid w:val="08780A71"/>
    <w:rsid w:val="087B0D65"/>
    <w:rsid w:val="087B3FC1"/>
    <w:rsid w:val="087C09E3"/>
    <w:rsid w:val="087E28D9"/>
    <w:rsid w:val="088069A3"/>
    <w:rsid w:val="0881042C"/>
    <w:rsid w:val="088B207C"/>
    <w:rsid w:val="088D7AC1"/>
    <w:rsid w:val="08975D42"/>
    <w:rsid w:val="089762E0"/>
    <w:rsid w:val="08982669"/>
    <w:rsid w:val="089F5245"/>
    <w:rsid w:val="08A16A4E"/>
    <w:rsid w:val="08A34525"/>
    <w:rsid w:val="08A46510"/>
    <w:rsid w:val="08A56C2B"/>
    <w:rsid w:val="08A8485F"/>
    <w:rsid w:val="08AA4622"/>
    <w:rsid w:val="08AD0571"/>
    <w:rsid w:val="08AE41C2"/>
    <w:rsid w:val="08AF5C18"/>
    <w:rsid w:val="08B055B3"/>
    <w:rsid w:val="08B9117E"/>
    <w:rsid w:val="08BC032B"/>
    <w:rsid w:val="08BD1AD8"/>
    <w:rsid w:val="08C5386B"/>
    <w:rsid w:val="08C61D83"/>
    <w:rsid w:val="08C76C33"/>
    <w:rsid w:val="08C913EE"/>
    <w:rsid w:val="08C92292"/>
    <w:rsid w:val="08CC20A5"/>
    <w:rsid w:val="08CC6054"/>
    <w:rsid w:val="08DB2682"/>
    <w:rsid w:val="08DE4305"/>
    <w:rsid w:val="08E04023"/>
    <w:rsid w:val="08F021EC"/>
    <w:rsid w:val="08F4613B"/>
    <w:rsid w:val="08FF5A16"/>
    <w:rsid w:val="090507B8"/>
    <w:rsid w:val="090C3819"/>
    <w:rsid w:val="090D0D19"/>
    <w:rsid w:val="09105781"/>
    <w:rsid w:val="0918515F"/>
    <w:rsid w:val="091C742D"/>
    <w:rsid w:val="092278CF"/>
    <w:rsid w:val="092315D1"/>
    <w:rsid w:val="09244C6E"/>
    <w:rsid w:val="09315057"/>
    <w:rsid w:val="09324120"/>
    <w:rsid w:val="09384630"/>
    <w:rsid w:val="093A6B1E"/>
    <w:rsid w:val="093E7C17"/>
    <w:rsid w:val="09427CC4"/>
    <w:rsid w:val="09456BCE"/>
    <w:rsid w:val="09464A49"/>
    <w:rsid w:val="094828BC"/>
    <w:rsid w:val="094B39FD"/>
    <w:rsid w:val="094E4E80"/>
    <w:rsid w:val="09530DAF"/>
    <w:rsid w:val="0954141E"/>
    <w:rsid w:val="09673D08"/>
    <w:rsid w:val="096A450A"/>
    <w:rsid w:val="096D005F"/>
    <w:rsid w:val="096F18D1"/>
    <w:rsid w:val="09815D8D"/>
    <w:rsid w:val="09843CDC"/>
    <w:rsid w:val="09890A98"/>
    <w:rsid w:val="098B69E2"/>
    <w:rsid w:val="098E5704"/>
    <w:rsid w:val="09907C01"/>
    <w:rsid w:val="09923359"/>
    <w:rsid w:val="0999781B"/>
    <w:rsid w:val="099A3E4B"/>
    <w:rsid w:val="099B3CCF"/>
    <w:rsid w:val="09A049EE"/>
    <w:rsid w:val="09A47BE9"/>
    <w:rsid w:val="09AE6AFD"/>
    <w:rsid w:val="09B122BA"/>
    <w:rsid w:val="09B20C41"/>
    <w:rsid w:val="09B51E50"/>
    <w:rsid w:val="09B729BC"/>
    <w:rsid w:val="09B84559"/>
    <w:rsid w:val="09BC0F7D"/>
    <w:rsid w:val="09C01F84"/>
    <w:rsid w:val="09C2263B"/>
    <w:rsid w:val="09C33662"/>
    <w:rsid w:val="09C46909"/>
    <w:rsid w:val="09C64E07"/>
    <w:rsid w:val="09C9622D"/>
    <w:rsid w:val="09CC596A"/>
    <w:rsid w:val="09CD13F3"/>
    <w:rsid w:val="09CD27F9"/>
    <w:rsid w:val="09D40CAA"/>
    <w:rsid w:val="09D45A8B"/>
    <w:rsid w:val="09D84E12"/>
    <w:rsid w:val="09D93CD0"/>
    <w:rsid w:val="09E0499B"/>
    <w:rsid w:val="09F30880"/>
    <w:rsid w:val="09FB5089"/>
    <w:rsid w:val="0A0010E3"/>
    <w:rsid w:val="0A0030B9"/>
    <w:rsid w:val="0A085CEC"/>
    <w:rsid w:val="0A136016"/>
    <w:rsid w:val="0A1D187D"/>
    <w:rsid w:val="0A206308"/>
    <w:rsid w:val="0A360B7D"/>
    <w:rsid w:val="0A387F80"/>
    <w:rsid w:val="0A391A26"/>
    <w:rsid w:val="0A40718A"/>
    <w:rsid w:val="0A437337"/>
    <w:rsid w:val="0A4D0098"/>
    <w:rsid w:val="0A4E7FE6"/>
    <w:rsid w:val="0A635480"/>
    <w:rsid w:val="0A672534"/>
    <w:rsid w:val="0A691653"/>
    <w:rsid w:val="0A6B7AC9"/>
    <w:rsid w:val="0A740FD6"/>
    <w:rsid w:val="0A7F6F2E"/>
    <w:rsid w:val="0A8179B2"/>
    <w:rsid w:val="0A8B36DC"/>
    <w:rsid w:val="0A9B175A"/>
    <w:rsid w:val="0AA736A7"/>
    <w:rsid w:val="0AAB2D68"/>
    <w:rsid w:val="0AAC065F"/>
    <w:rsid w:val="0AAD66DB"/>
    <w:rsid w:val="0AB21E64"/>
    <w:rsid w:val="0AB92EEF"/>
    <w:rsid w:val="0ABF55E4"/>
    <w:rsid w:val="0AC76ABD"/>
    <w:rsid w:val="0AC84022"/>
    <w:rsid w:val="0AC8554E"/>
    <w:rsid w:val="0AC8606F"/>
    <w:rsid w:val="0ACE2D07"/>
    <w:rsid w:val="0AD03706"/>
    <w:rsid w:val="0AD04734"/>
    <w:rsid w:val="0AD06B65"/>
    <w:rsid w:val="0AD4502F"/>
    <w:rsid w:val="0AD47146"/>
    <w:rsid w:val="0ADD2D76"/>
    <w:rsid w:val="0ADD6B52"/>
    <w:rsid w:val="0AE71B58"/>
    <w:rsid w:val="0AE83D36"/>
    <w:rsid w:val="0AE97D17"/>
    <w:rsid w:val="0AEC70F2"/>
    <w:rsid w:val="0AF021BB"/>
    <w:rsid w:val="0AFA0334"/>
    <w:rsid w:val="0AFF0743"/>
    <w:rsid w:val="0B0106DF"/>
    <w:rsid w:val="0B065684"/>
    <w:rsid w:val="0B0A2734"/>
    <w:rsid w:val="0B1B3DE7"/>
    <w:rsid w:val="0B1B62B1"/>
    <w:rsid w:val="0B200D91"/>
    <w:rsid w:val="0B216BAE"/>
    <w:rsid w:val="0B260484"/>
    <w:rsid w:val="0B273B41"/>
    <w:rsid w:val="0B281064"/>
    <w:rsid w:val="0B296785"/>
    <w:rsid w:val="0B2F212A"/>
    <w:rsid w:val="0B322D32"/>
    <w:rsid w:val="0B32332F"/>
    <w:rsid w:val="0B325009"/>
    <w:rsid w:val="0B3D5605"/>
    <w:rsid w:val="0B3F6276"/>
    <w:rsid w:val="0B411FF1"/>
    <w:rsid w:val="0B446265"/>
    <w:rsid w:val="0B4745F5"/>
    <w:rsid w:val="0B4807A6"/>
    <w:rsid w:val="0B4D17E2"/>
    <w:rsid w:val="0B4D79AD"/>
    <w:rsid w:val="0B4F14EB"/>
    <w:rsid w:val="0B4F4FB6"/>
    <w:rsid w:val="0B5A0D6D"/>
    <w:rsid w:val="0B5A345D"/>
    <w:rsid w:val="0B5C7013"/>
    <w:rsid w:val="0B6419FC"/>
    <w:rsid w:val="0B646348"/>
    <w:rsid w:val="0B693791"/>
    <w:rsid w:val="0B6A175C"/>
    <w:rsid w:val="0B6D4A25"/>
    <w:rsid w:val="0B6F16C1"/>
    <w:rsid w:val="0B70276E"/>
    <w:rsid w:val="0B71177D"/>
    <w:rsid w:val="0B744453"/>
    <w:rsid w:val="0B7922C6"/>
    <w:rsid w:val="0B7E58C1"/>
    <w:rsid w:val="0B7E71A8"/>
    <w:rsid w:val="0B7F0B6B"/>
    <w:rsid w:val="0B8909A2"/>
    <w:rsid w:val="0B895525"/>
    <w:rsid w:val="0B8A0245"/>
    <w:rsid w:val="0B8C3A71"/>
    <w:rsid w:val="0B8E4642"/>
    <w:rsid w:val="0B942AB6"/>
    <w:rsid w:val="0BA00D01"/>
    <w:rsid w:val="0BA079B6"/>
    <w:rsid w:val="0BA21A21"/>
    <w:rsid w:val="0BA87679"/>
    <w:rsid w:val="0BAB051C"/>
    <w:rsid w:val="0BB126FE"/>
    <w:rsid w:val="0BB21501"/>
    <w:rsid w:val="0BB2413A"/>
    <w:rsid w:val="0BB63B91"/>
    <w:rsid w:val="0BB93035"/>
    <w:rsid w:val="0BC12A19"/>
    <w:rsid w:val="0BC518E8"/>
    <w:rsid w:val="0BCD720D"/>
    <w:rsid w:val="0BD11FC9"/>
    <w:rsid w:val="0BD61999"/>
    <w:rsid w:val="0BD73867"/>
    <w:rsid w:val="0BDB21F5"/>
    <w:rsid w:val="0BDF3F2B"/>
    <w:rsid w:val="0BE45C4B"/>
    <w:rsid w:val="0BE4698A"/>
    <w:rsid w:val="0BE56CFF"/>
    <w:rsid w:val="0BF05783"/>
    <w:rsid w:val="0BF966B3"/>
    <w:rsid w:val="0BFA2B5B"/>
    <w:rsid w:val="0BFA670A"/>
    <w:rsid w:val="0C065739"/>
    <w:rsid w:val="0C0A53FB"/>
    <w:rsid w:val="0C0C306B"/>
    <w:rsid w:val="0C0E2E5C"/>
    <w:rsid w:val="0C0F718D"/>
    <w:rsid w:val="0C160153"/>
    <w:rsid w:val="0C16186E"/>
    <w:rsid w:val="0C174FC1"/>
    <w:rsid w:val="0C240D67"/>
    <w:rsid w:val="0C2F6ABB"/>
    <w:rsid w:val="0C396568"/>
    <w:rsid w:val="0C3C15F0"/>
    <w:rsid w:val="0C3F0372"/>
    <w:rsid w:val="0C464132"/>
    <w:rsid w:val="0C4F69F9"/>
    <w:rsid w:val="0C5644A9"/>
    <w:rsid w:val="0C57467A"/>
    <w:rsid w:val="0C590E59"/>
    <w:rsid w:val="0C593E4E"/>
    <w:rsid w:val="0C5D7943"/>
    <w:rsid w:val="0C5E02A7"/>
    <w:rsid w:val="0C647B66"/>
    <w:rsid w:val="0C691C9D"/>
    <w:rsid w:val="0C6950B0"/>
    <w:rsid w:val="0C6D6502"/>
    <w:rsid w:val="0C6F2901"/>
    <w:rsid w:val="0C7C6FE1"/>
    <w:rsid w:val="0C8418DA"/>
    <w:rsid w:val="0C8853F9"/>
    <w:rsid w:val="0C8A6F18"/>
    <w:rsid w:val="0C8D7CD9"/>
    <w:rsid w:val="0C960709"/>
    <w:rsid w:val="0C9E5D42"/>
    <w:rsid w:val="0CA00521"/>
    <w:rsid w:val="0CA210BE"/>
    <w:rsid w:val="0CA247F7"/>
    <w:rsid w:val="0CA43CE5"/>
    <w:rsid w:val="0CA95D84"/>
    <w:rsid w:val="0CAD64EA"/>
    <w:rsid w:val="0CB336DF"/>
    <w:rsid w:val="0CBC10D8"/>
    <w:rsid w:val="0CC5343C"/>
    <w:rsid w:val="0CC57042"/>
    <w:rsid w:val="0CCA58A3"/>
    <w:rsid w:val="0CCB4FEB"/>
    <w:rsid w:val="0CCD01A5"/>
    <w:rsid w:val="0CD2394A"/>
    <w:rsid w:val="0CD23F4E"/>
    <w:rsid w:val="0CDF4A9F"/>
    <w:rsid w:val="0CE22120"/>
    <w:rsid w:val="0CE2720C"/>
    <w:rsid w:val="0CE72CA8"/>
    <w:rsid w:val="0CE7774F"/>
    <w:rsid w:val="0CEA6A5D"/>
    <w:rsid w:val="0CEB23D8"/>
    <w:rsid w:val="0CED2647"/>
    <w:rsid w:val="0CFC5949"/>
    <w:rsid w:val="0CFF7AB2"/>
    <w:rsid w:val="0D013F3E"/>
    <w:rsid w:val="0D07785B"/>
    <w:rsid w:val="0D092619"/>
    <w:rsid w:val="0D1A1755"/>
    <w:rsid w:val="0D1A4E4E"/>
    <w:rsid w:val="0D1B1F55"/>
    <w:rsid w:val="0D212D35"/>
    <w:rsid w:val="0D302EAD"/>
    <w:rsid w:val="0D446478"/>
    <w:rsid w:val="0D447E67"/>
    <w:rsid w:val="0D452EF8"/>
    <w:rsid w:val="0D4626B6"/>
    <w:rsid w:val="0D463D77"/>
    <w:rsid w:val="0D48188A"/>
    <w:rsid w:val="0D4867B4"/>
    <w:rsid w:val="0D495794"/>
    <w:rsid w:val="0D496A35"/>
    <w:rsid w:val="0D4D77F5"/>
    <w:rsid w:val="0D61616B"/>
    <w:rsid w:val="0D6201D8"/>
    <w:rsid w:val="0D6D5C6B"/>
    <w:rsid w:val="0D6D5CA6"/>
    <w:rsid w:val="0D707F6E"/>
    <w:rsid w:val="0D75546D"/>
    <w:rsid w:val="0D776EED"/>
    <w:rsid w:val="0D7C418B"/>
    <w:rsid w:val="0D7D63BF"/>
    <w:rsid w:val="0D7F3744"/>
    <w:rsid w:val="0D7F5FE3"/>
    <w:rsid w:val="0D8E025E"/>
    <w:rsid w:val="0D946161"/>
    <w:rsid w:val="0D995D92"/>
    <w:rsid w:val="0D9C5468"/>
    <w:rsid w:val="0DA02C57"/>
    <w:rsid w:val="0DA2177B"/>
    <w:rsid w:val="0DA45E62"/>
    <w:rsid w:val="0DAA6076"/>
    <w:rsid w:val="0DAE314B"/>
    <w:rsid w:val="0DB370E2"/>
    <w:rsid w:val="0DB46EAC"/>
    <w:rsid w:val="0DB93A1B"/>
    <w:rsid w:val="0DC8579F"/>
    <w:rsid w:val="0DC9619E"/>
    <w:rsid w:val="0DCF2B5B"/>
    <w:rsid w:val="0DD255D7"/>
    <w:rsid w:val="0DD55EC7"/>
    <w:rsid w:val="0DD72AC9"/>
    <w:rsid w:val="0DE02DFB"/>
    <w:rsid w:val="0DE23F8D"/>
    <w:rsid w:val="0DE6032D"/>
    <w:rsid w:val="0DEB29A9"/>
    <w:rsid w:val="0DEB47B6"/>
    <w:rsid w:val="0DEF45AC"/>
    <w:rsid w:val="0DF25ABF"/>
    <w:rsid w:val="0DF5501F"/>
    <w:rsid w:val="0DF801BD"/>
    <w:rsid w:val="0E00561A"/>
    <w:rsid w:val="0E0106D8"/>
    <w:rsid w:val="0E01305D"/>
    <w:rsid w:val="0E0816D7"/>
    <w:rsid w:val="0E0A01EF"/>
    <w:rsid w:val="0E0F5806"/>
    <w:rsid w:val="0E194AFC"/>
    <w:rsid w:val="0E1A1702"/>
    <w:rsid w:val="0E234965"/>
    <w:rsid w:val="0E263DD5"/>
    <w:rsid w:val="0E2B28F9"/>
    <w:rsid w:val="0E3205B5"/>
    <w:rsid w:val="0E3D5180"/>
    <w:rsid w:val="0E446EDC"/>
    <w:rsid w:val="0E46332F"/>
    <w:rsid w:val="0E4C1376"/>
    <w:rsid w:val="0E4C7FC7"/>
    <w:rsid w:val="0E4F562F"/>
    <w:rsid w:val="0E500DEC"/>
    <w:rsid w:val="0E5227CB"/>
    <w:rsid w:val="0E5F6201"/>
    <w:rsid w:val="0E607A76"/>
    <w:rsid w:val="0E631B3B"/>
    <w:rsid w:val="0E661DFE"/>
    <w:rsid w:val="0E664FB7"/>
    <w:rsid w:val="0E7349DE"/>
    <w:rsid w:val="0E75546A"/>
    <w:rsid w:val="0E7942DA"/>
    <w:rsid w:val="0E7B2D95"/>
    <w:rsid w:val="0E8043CC"/>
    <w:rsid w:val="0E811660"/>
    <w:rsid w:val="0E820842"/>
    <w:rsid w:val="0E8225EF"/>
    <w:rsid w:val="0E834684"/>
    <w:rsid w:val="0E8E5B6D"/>
    <w:rsid w:val="0E903218"/>
    <w:rsid w:val="0E9345E1"/>
    <w:rsid w:val="0E975A8F"/>
    <w:rsid w:val="0E9D03C8"/>
    <w:rsid w:val="0E9E6774"/>
    <w:rsid w:val="0E9F7F23"/>
    <w:rsid w:val="0EA15333"/>
    <w:rsid w:val="0EA87FD7"/>
    <w:rsid w:val="0EAC4ECA"/>
    <w:rsid w:val="0EB37514"/>
    <w:rsid w:val="0EB44BC6"/>
    <w:rsid w:val="0EBA007E"/>
    <w:rsid w:val="0EC017CA"/>
    <w:rsid w:val="0EC84E53"/>
    <w:rsid w:val="0ECF2B9E"/>
    <w:rsid w:val="0EDB14D0"/>
    <w:rsid w:val="0EDB4DE2"/>
    <w:rsid w:val="0EE34FDD"/>
    <w:rsid w:val="0EE51768"/>
    <w:rsid w:val="0EE733BE"/>
    <w:rsid w:val="0EEC72FD"/>
    <w:rsid w:val="0EEF4153"/>
    <w:rsid w:val="0EF04971"/>
    <w:rsid w:val="0EF102B2"/>
    <w:rsid w:val="0EF819F9"/>
    <w:rsid w:val="0EF82DD5"/>
    <w:rsid w:val="0EFF693A"/>
    <w:rsid w:val="0F035A27"/>
    <w:rsid w:val="0F073847"/>
    <w:rsid w:val="0F0E0BAD"/>
    <w:rsid w:val="0F0F79F0"/>
    <w:rsid w:val="0F121605"/>
    <w:rsid w:val="0F141F00"/>
    <w:rsid w:val="0F15573C"/>
    <w:rsid w:val="0F156D1E"/>
    <w:rsid w:val="0F157B00"/>
    <w:rsid w:val="0F196EC8"/>
    <w:rsid w:val="0F244D20"/>
    <w:rsid w:val="0F2848A3"/>
    <w:rsid w:val="0F290139"/>
    <w:rsid w:val="0F3379E7"/>
    <w:rsid w:val="0F34750C"/>
    <w:rsid w:val="0F371842"/>
    <w:rsid w:val="0F392FBA"/>
    <w:rsid w:val="0F3B639C"/>
    <w:rsid w:val="0F3F13C8"/>
    <w:rsid w:val="0F433677"/>
    <w:rsid w:val="0F4C2836"/>
    <w:rsid w:val="0F4E206E"/>
    <w:rsid w:val="0F4E398C"/>
    <w:rsid w:val="0F514912"/>
    <w:rsid w:val="0F5B5303"/>
    <w:rsid w:val="0F5C653F"/>
    <w:rsid w:val="0F5E6042"/>
    <w:rsid w:val="0F5F5769"/>
    <w:rsid w:val="0F601CE6"/>
    <w:rsid w:val="0F650B6A"/>
    <w:rsid w:val="0F686233"/>
    <w:rsid w:val="0F6F2F6A"/>
    <w:rsid w:val="0F75122A"/>
    <w:rsid w:val="0F775701"/>
    <w:rsid w:val="0F7B3202"/>
    <w:rsid w:val="0F7C1B8F"/>
    <w:rsid w:val="0F7D081D"/>
    <w:rsid w:val="0F8429D8"/>
    <w:rsid w:val="0F8624E2"/>
    <w:rsid w:val="0F8861C6"/>
    <w:rsid w:val="0F8C67A1"/>
    <w:rsid w:val="0F8F4032"/>
    <w:rsid w:val="0F9551A6"/>
    <w:rsid w:val="0F9A6144"/>
    <w:rsid w:val="0FA02167"/>
    <w:rsid w:val="0FA73AB5"/>
    <w:rsid w:val="0FAB4324"/>
    <w:rsid w:val="0FB2358A"/>
    <w:rsid w:val="0FB333C5"/>
    <w:rsid w:val="0FB71F81"/>
    <w:rsid w:val="0FBB0317"/>
    <w:rsid w:val="0FCF2727"/>
    <w:rsid w:val="0FD9602F"/>
    <w:rsid w:val="0FDD4FE1"/>
    <w:rsid w:val="0FDD6FBF"/>
    <w:rsid w:val="0FDE0B5F"/>
    <w:rsid w:val="0FDE750E"/>
    <w:rsid w:val="0FE31A76"/>
    <w:rsid w:val="0FE36529"/>
    <w:rsid w:val="0FE57C01"/>
    <w:rsid w:val="0FE74287"/>
    <w:rsid w:val="0FEB02BF"/>
    <w:rsid w:val="0FF06814"/>
    <w:rsid w:val="0FF15BED"/>
    <w:rsid w:val="0FF218F3"/>
    <w:rsid w:val="0FF85228"/>
    <w:rsid w:val="0FFE1A00"/>
    <w:rsid w:val="10070959"/>
    <w:rsid w:val="10097232"/>
    <w:rsid w:val="100B4FB0"/>
    <w:rsid w:val="100E4358"/>
    <w:rsid w:val="101C5E1E"/>
    <w:rsid w:val="10215809"/>
    <w:rsid w:val="10253CBC"/>
    <w:rsid w:val="10256E56"/>
    <w:rsid w:val="10281CE5"/>
    <w:rsid w:val="103157B3"/>
    <w:rsid w:val="10341DCE"/>
    <w:rsid w:val="10353A9D"/>
    <w:rsid w:val="10367FC3"/>
    <w:rsid w:val="103B2F75"/>
    <w:rsid w:val="103C6FEE"/>
    <w:rsid w:val="10413A59"/>
    <w:rsid w:val="1042150F"/>
    <w:rsid w:val="10483B28"/>
    <w:rsid w:val="104B39F3"/>
    <w:rsid w:val="105570A4"/>
    <w:rsid w:val="10624AA6"/>
    <w:rsid w:val="10662D9A"/>
    <w:rsid w:val="10674823"/>
    <w:rsid w:val="106B2469"/>
    <w:rsid w:val="106D21A6"/>
    <w:rsid w:val="106F4C36"/>
    <w:rsid w:val="10761316"/>
    <w:rsid w:val="107E09EC"/>
    <w:rsid w:val="1081373A"/>
    <w:rsid w:val="1089415A"/>
    <w:rsid w:val="108B7708"/>
    <w:rsid w:val="10A822D0"/>
    <w:rsid w:val="10AE2F80"/>
    <w:rsid w:val="10AF4E07"/>
    <w:rsid w:val="10B7545C"/>
    <w:rsid w:val="10BE1F37"/>
    <w:rsid w:val="10C32E68"/>
    <w:rsid w:val="10CD6A27"/>
    <w:rsid w:val="10D9643D"/>
    <w:rsid w:val="10E443F3"/>
    <w:rsid w:val="10E52B1C"/>
    <w:rsid w:val="10EB039F"/>
    <w:rsid w:val="10F213F2"/>
    <w:rsid w:val="10F36A9A"/>
    <w:rsid w:val="10F44996"/>
    <w:rsid w:val="10FE2B03"/>
    <w:rsid w:val="110337FD"/>
    <w:rsid w:val="11054770"/>
    <w:rsid w:val="11072D80"/>
    <w:rsid w:val="1108639A"/>
    <w:rsid w:val="110C086B"/>
    <w:rsid w:val="110E103D"/>
    <w:rsid w:val="11161CF7"/>
    <w:rsid w:val="111959B3"/>
    <w:rsid w:val="111B285D"/>
    <w:rsid w:val="111C7B46"/>
    <w:rsid w:val="11200BAF"/>
    <w:rsid w:val="11287BC6"/>
    <w:rsid w:val="112D634B"/>
    <w:rsid w:val="112E777A"/>
    <w:rsid w:val="11311614"/>
    <w:rsid w:val="11385C62"/>
    <w:rsid w:val="113C1DCE"/>
    <w:rsid w:val="113E4B07"/>
    <w:rsid w:val="113F4F21"/>
    <w:rsid w:val="114138EA"/>
    <w:rsid w:val="1144213C"/>
    <w:rsid w:val="11490CE3"/>
    <w:rsid w:val="114D5F51"/>
    <w:rsid w:val="11552A3B"/>
    <w:rsid w:val="116004EB"/>
    <w:rsid w:val="1160777A"/>
    <w:rsid w:val="1173169A"/>
    <w:rsid w:val="11751DCA"/>
    <w:rsid w:val="117D2ADC"/>
    <w:rsid w:val="11862182"/>
    <w:rsid w:val="118624CE"/>
    <w:rsid w:val="118A3194"/>
    <w:rsid w:val="11921CA8"/>
    <w:rsid w:val="11977683"/>
    <w:rsid w:val="119E13F8"/>
    <w:rsid w:val="119F0096"/>
    <w:rsid w:val="119F1122"/>
    <w:rsid w:val="11A17DEF"/>
    <w:rsid w:val="11AE6ACE"/>
    <w:rsid w:val="11AF482C"/>
    <w:rsid w:val="11B5409B"/>
    <w:rsid w:val="11B57043"/>
    <w:rsid w:val="11B57140"/>
    <w:rsid w:val="11B7795B"/>
    <w:rsid w:val="11C21066"/>
    <w:rsid w:val="11C33A52"/>
    <w:rsid w:val="11CD53B1"/>
    <w:rsid w:val="11D04BBB"/>
    <w:rsid w:val="11D24805"/>
    <w:rsid w:val="11D566EF"/>
    <w:rsid w:val="11DE1853"/>
    <w:rsid w:val="11E60249"/>
    <w:rsid w:val="11F56E65"/>
    <w:rsid w:val="11F621DE"/>
    <w:rsid w:val="11F63C02"/>
    <w:rsid w:val="11F67A01"/>
    <w:rsid w:val="11F760F7"/>
    <w:rsid w:val="11F9768C"/>
    <w:rsid w:val="12034A9A"/>
    <w:rsid w:val="12054F16"/>
    <w:rsid w:val="12100C3E"/>
    <w:rsid w:val="12167FA6"/>
    <w:rsid w:val="12210913"/>
    <w:rsid w:val="12224F25"/>
    <w:rsid w:val="12261FFD"/>
    <w:rsid w:val="122675D8"/>
    <w:rsid w:val="122A1D3A"/>
    <w:rsid w:val="122B41EF"/>
    <w:rsid w:val="122F379E"/>
    <w:rsid w:val="123C46E3"/>
    <w:rsid w:val="124275E1"/>
    <w:rsid w:val="124830CB"/>
    <w:rsid w:val="12484472"/>
    <w:rsid w:val="124A0BA7"/>
    <w:rsid w:val="124A510F"/>
    <w:rsid w:val="12506F3D"/>
    <w:rsid w:val="125407FA"/>
    <w:rsid w:val="12550BB3"/>
    <w:rsid w:val="12594C08"/>
    <w:rsid w:val="12596521"/>
    <w:rsid w:val="125E0226"/>
    <w:rsid w:val="125F66C0"/>
    <w:rsid w:val="12692C83"/>
    <w:rsid w:val="126A0C77"/>
    <w:rsid w:val="127B7FE4"/>
    <w:rsid w:val="127D324C"/>
    <w:rsid w:val="127E7DA4"/>
    <w:rsid w:val="12822476"/>
    <w:rsid w:val="12832B7C"/>
    <w:rsid w:val="12893873"/>
    <w:rsid w:val="128A0855"/>
    <w:rsid w:val="128C508D"/>
    <w:rsid w:val="128E06AE"/>
    <w:rsid w:val="12925EBC"/>
    <w:rsid w:val="12943229"/>
    <w:rsid w:val="12955B07"/>
    <w:rsid w:val="12964432"/>
    <w:rsid w:val="12A12B5F"/>
    <w:rsid w:val="12A937C8"/>
    <w:rsid w:val="12B6042B"/>
    <w:rsid w:val="12B62CBE"/>
    <w:rsid w:val="12B92010"/>
    <w:rsid w:val="12BA2180"/>
    <w:rsid w:val="12C31273"/>
    <w:rsid w:val="12C75F8E"/>
    <w:rsid w:val="12C87EAA"/>
    <w:rsid w:val="12CA5B28"/>
    <w:rsid w:val="12D127E6"/>
    <w:rsid w:val="12D219F0"/>
    <w:rsid w:val="12D83B5B"/>
    <w:rsid w:val="12DA314A"/>
    <w:rsid w:val="12DB4C4A"/>
    <w:rsid w:val="12DF27B5"/>
    <w:rsid w:val="12E60416"/>
    <w:rsid w:val="12ED4D38"/>
    <w:rsid w:val="12ED5292"/>
    <w:rsid w:val="12F75445"/>
    <w:rsid w:val="130124BB"/>
    <w:rsid w:val="130674D3"/>
    <w:rsid w:val="13072E02"/>
    <w:rsid w:val="130733D8"/>
    <w:rsid w:val="130858B0"/>
    <w:rsid w:val="130F1AFD"/>
    <w:rsid w:val="13102E10"/>
    <w:rsid w:val="1311441D"/>
    <w:rsid w:val="13134A7A"/>
    <w:rsid w:val="13144513"/>
    <w:rsid w:val="131B27D7"/>
    <w:rsid w:val="131B332B"/>
    <w:rsid w:val="131F06B1"/>
    <w:rsid w:val="131F312C"/>
    <w:rsid w:val="13216D14"/>
    <w:rsid w:val="132A7137"/>
    <w:rsid w:val="13317DC4"/>
    <w:rsid w:val="13390840"/>
    <w:rsid w:val="13395DDD"/>
    <w:rsid w:val="1343366B"/>
    <w:rsid w:val="134868C0"/>
    <w:rsid w:val="134B1535"/>
    <w:rsid w:val="134C279C"/>
    <w:rsid w:val="134E0F5E"/>
    <w:rsid w:val="134F68EB"/>
    <w:rsid w:val="13502C38"/>
    <w:rsid w:val="135134ED"/>
    <w:rsid w:val="13574E14"/>
    <w:rsid w:val="135C46F8"/>
    <w:rsid w:val="135D437B"/>
    <w:rsid w:val="13604DF7"/>
    <w:rsid w:val="13606344"/>
    <w:rsid w:val="13645771"/>
    <w:rsid w:val="136D1A37"/>
    <w:rsid w:val="136E06D4"/>
    <w:rsid w:val="13700DB4"/>
    <w:rsid w:val="13783CFD"/>
    <w:rsid w:val="13784ED5"/>
    <w:rsid w:val="138148DB"/>
    <w:rsid w:val="13874436"/>
    <w:rsid w:val="139417EF"/>
    <w:rsid w:val="1397574B"/>
    <w:rsid w:val="13985B17"/>
    <w:rsid w:val="13990C3B"/>
    <w:rsid w:val="13A45337"/>
    <w:rsid w:val="13B0468F"/>
    <w:rsid w:val="13CC4106"/>
    <w:rsid w:val="13D66F49"/>
    <w:rsid w:val="13DD5BF2"/>
    <w:rsid w:val="13E6571A"/>
    <w:rsid w:val="13EA3F48"/>
    <w:rsid w:val="13F27D5E"/>
    <w:rsid w:val="13F34B94"/>
    <w:rsid w:val="14017009"/>
    <w:rsid w:val="140467BA"/>
    <w:rsid w:val="140A7F92"/>
    <w:rsid w:val="140C0161"/>
    <w:rsid w:val="14104D0D"/>
    <w:rsid w:val="141429DC"/>
    <w:rsid w:val="14153D80"/>
    <w:rsid w:val="141C48FC"/>
    <w:rsid w:val="14200AD5"/>
    <w:rsid w:val="14257507"/>
    <w:rsid w:val="14395C0B"/>
    <w:rsid w:val="1445600D"/>
    <w:rsid w:val="144C1992"/>
    <w:rsid w:val="14534236"/>
    <w:rsid w:val="145B767A"/>
    <w:rsid w:val="145C5AB1"/>
    <w:rsid w:val="145F41FC"/>
    <w:rsid w:val="14653AAF"/>
    <w:rsid w:val="14672649"/>
    <w:rsid w:val="14763EE6"/>
    <w:rsid w:val="147703DE"/>
    <w:rsid w:val="147B1292"/>
    <w:rsid w:val="147F28D9"/>
    <w:rsid w:val="14841809"/>
    <w:rsid w:val="14904B4F"/>
    <w:rsid w:val="149275CF"/>
    <w:rsid w:val="1494770B"/>
    <w:rsid w:val="14951027"/>
    <w:rsid w:val="14980B5E"/>
    <w:rsid w:val="14994A18"/>
    <w:rsid w:val="149A2065"/>
    <w:rsid w:val="14A139C0"/>
    <w:rsid w:val="14AD58DD"/>
    <w:rsid w:val="14AE5818"/>
    <w:rsid w:val="14BA1BCC"/>
    <w:rsid w:val="14C02433"/>
    <w:rsid w:val="14C8682E"/>
    <w:rsid w:val="14C87E0E"/>
    <w:rsid w:val="14CD5D1C"/>
    <w:rsid w:val="14CE14EE"/>
    <w:rsid w:val="14CE2B9E"/>
    <w:rsid w:val="14D26FE7"/>
    <w:rsid w:val="14D47416"/>
    <w:rsid w:val="14DB3524"/>
    <w:rsid w:val="14DB68D3"/>
    <w:rsid w:val="14E11255"/>
    <w:rsid w:val="14E806DE"/>
    <w:rsid w:val="14EA5F4F"/>
    <w:rsid w:val="14EB44C6"/>
    <w:rsid w:val="14EC1850"/>
    <w:rsid w:val="14EC2E56"/>
    <w:rsid w:val="14EF7C9D"/>
    <w:rsid w:val="14F50BA7"/>
    <w:rsid w:val="14FE3D99"/>
    <w:rsid w:val="150528BC"/>
    <w:rsid w:val="150B01A5"/>
    <w:rsid w:val="15101BA9"/>
    <w:rsid w:val="15105194"/>
    <w:rsid w:val="151412DC"/>
    <w:rsid w:val="1527576D"/>
    <w:rsid w:val="153605A4"/>
    <w:rsid w:val="153E7291"/>
    <w:rsid w:val="15450F2B"/>
    <w:rsid w:val="154570E3"/>
    <w:rsid w:val="15466C77"/>
    <w:rsid w:val="154A096C"/>
    <w:rsid w:val="154F3721"/>
    <w:rsid w:val="15505634"/>
    <w:rsid w:val="15524097"/>
    <w:rsid w:val="155241D4"/>
    <w:rsid w:val="155527FB"/>
    <w:rsid w:val="155D5409"/>
    <w:rsid w:val="1563170A"/>
    <w:rsid w:val="15665071"/>
    <w:rsid w:val="15681ABF"/>
    <w:rsid w:val="1569778E"/>
    <w:rsid w:val="156D428E"/>
    <w:rsid w:val="15733C4B"/>
    <w:rsid w:val="157913AE"/>
    <w:rsid w:val="15834F93"/>
    <w:rsid w:val="15950C0F"/>
    <w:rsid w:val="15953C4D"/>
    <w:rsid w:val="1596778E"/>
    <w:rsid w:val="159C2C4E"/>
    <w:rsid w:val="159C623A"/>
    <w:rsid w:val="15A20525"/>
    <w:rsid w:val="15A27AC2"/>
    <w:rsid w:val="15A80E50"/>
    <w:rsid w:val="15A86157"/>
    <w:rsid w:val="15B35A78"/>
    <w:rsid w:val="15BC6DBD"/>
    <w:rsid w:val="15CE57D3"/>
    <w:rsid w:val="15DD4F26"/>
    <w:rsid w:val="15DD71AB"/>
    <w:rsid w:val="15E213DA"/>
    <w:rsid w:val="15E811DF"/>
    <w:rsid w:val="15F006CF"/>
    <w:rsid w:val="15F72450"/>
    <w:rsid w:val="15FC6940"/>
    <w:rsid w:val="15FC71CC"/>
    <w:rsid w:val="1600493F"/>
    <w:rsid w:val="160B087E"/>
    <w:rsid w:val="160B6BF9"/>
    <w:rsid w:val="160D0A66"/>
    <w:rsid w:val="161A65B2"/>
    <w:rsid w:val="16237167"/>
    <w:rsid w:val="162569B5"/>
    <w:rsid w:val="162766FB"/>
    <w:rsid w:val="162A2B23"/>
    <w:rsid w:val="16323913"/>
    <w:rsid w:val="16360B6A"/>
    <w:rsid w:val="1637590D"/>
    <w:rsid w:val="163A6212"/>
    <w:rsid w:val="163F34B3"/>
    <w:rsid w:val="16437004"/>
    <w:rsid w:val="16476F47"/>
    <w:rsid w:val="16481A4F"/>
    <w:rsid w:val="16515DA5"/>
    <w:rsid w:val="165815B7"/>
    <w:rsid w:val="165E741A"/>
    <w:rsid w:val="166055D6"/>
    <w:rsid w:val="16614C44"/>
    <w:rsid w:val="166514B8"/>
    <w:rsid w:val="16653318"/>
    <w:rsid w:val="1666200B"/>
    <w:rsid w:val="16674865"/>
    <w:rsid w:val="16692001"/>
    <w:rsid w:val="167022D3"/>
    <w:rsid w:val="16723FC9"/>
    <w:rsid w:val="167266DF"/>
    <w:rsid w:val="1676140A"/>
    <w:rsid w:val="16787A08"/>
    <w:rsid w:val="167B5B15"/>
    <w:rsid w:val="167E63F6"/>
    <w:rsid w:val="1682242C"/>
    <w:rsid w:val="168A1AC8"/>
    <w:rsid w:val="168B24F8"/>
    <w:rsid w:val="168C5514"/>
    <w:rsid w:val="169361C8"/>
    <w:rsid w:val="16937A55"/>
    <w:rsid w:val="16971D76"/>
    <w:rsid w:val="169747FD"/>
    <w:rsid w:val="169C2460"/>
    <w:rsid w:val="169E3D14"/>
    <w:rsid w:val="16A30F04"/>
    <w:rsid w:val="16A5176C"/>
    <w:rsid w:val="16A55E6F"/>
    <w:rsid w:val="16A64E2E"/>
    <w:rsid w:val="16B075F2"/>
    <w:rsid w:val="16B21D52"/>
    <w:rsid w:val="16B33AE7"/>
    <w:rsid w:val="16B34638"/>
    <w:rsid w:val="16BB0A2C"/>
    <w:rsid w:val="16BE6148"/>
    <w:rsid w:val="16C453C7"/>
    <w:rsid w:val="16CB7B8A"/>
    <w:rsid w:val="16D3589E"/>
    <w:rsid w:val="16DA4E46"/>
    <w:rsid w:val="16DE6365"/>
    <w:rsid w:val="16E00EE2"/>
    <w:rsid w:val="16E15982"/>
    <w:rsid w:val="16E84A82"/>
    <w:rsid w:val="16E9643F"/>
    <w:rsid w:val="16EB37FB"/>
    <w:rsid w:val="16EC04C1"/>
    <w:rsid w:val="16F1117E"/>
    <w:rsid w:val="16F24629"/>
    <w:rsid w:val="16F35175"/>
    <w:rsid w:val="16F801F0"/>
    <w:rsid w:val="16F90E06"/>
    <w:rsid w:val="16FC3CD8"/>
    <w:rsid w:val="170860EE"/>
    <w:rsid w:val="170C10DC"/>
    <w:rsid w:val="17114EBE"/>
    <w:rsid w:val="1716062D"/>
    <w:rsid w:val="17175DD4"/>
    <w:rsid w:val="1719649E"/>
    <w:rsid w:val="17211FD7"/>
    <w:rsid w:val="172579D7"/>
    <w:rsid w:val="17267DC3"/>
    <w:rsid w:val="172A38DE"/>
    <w:rsid w:val="173449AA"/>
    <w:rsid w:val="173B39C6"/>
    <w:rsid w:val="173B3A6D"/>
    <w:rsid w:val="173D66C2"/>
    <w:rsid w:val="173F28A5"/>
    <w:rsid w:val="17404C78"/>
    <w:rsid w:val="17446BF5"/>
    <w:rsid w:val="174D6F99"/>
    <w:rsid w:val="174F3B0C"/>
    <w:rsid w:val="17503636"/>
    <w:rsid w:val="17512363"/>
    <w:rsid w:val="17532FEC"/>
    <w:rsid w:val="1755358F"/>
    <w:rsid w:val="175C7BBA"/>
    <w:rsid w:val="175D0294"/>
    <w:rsid w:val="175D2C92"/>
    <w:rsid w:val="175F78AE"/>
    <w:rsid w:val="17656E0C"/>
    <w:rsid w:val="1768136C"/>
    <w:rsid w:val="176B022B"/>
    <w:rsid w:val="177237DB"/>
    <w:rsid w:val="177470C4"/>
    <w:rsid w:val="1776351C"/>
    <w:rsid w:val="177819D9"/>
    <w:rsid w:val="17783449"/>
    <w:rsid w:val="178751D0"/>
    <w:rsid w:val="178D0EE7"/>
    <w:rsid w:val="178F7C22"/>
    <w:rsid w:val="17930870"/>
    <w:rsid w:val="17950176"/>
    <w:rsid w:val="1798216E"/>
    <w:rsid w:val="17987D56"/>
    <w:rsid w:val="17A459AF"/>
    <w:rsid w:val="17B5506E"/>
    <w:rsid w:val="17B82F20"/>
    <w:rsid w:val="17BC6982"/>
    <w:rsid w:val="17BF08DF"/>
    <w:rsid w:val="17BF2CB8"/>
    <w:rsid w:val="17C51EF4"/>
    <w:rsid w:val="17C573D9"/>
    <w:rsid w:val="17C90B96"/>
    <w:rsid w:val="17CB0EAD"/>
    <w:rsid w:val="17CC7D95"/>
    <w:rsid w:val="17CD76A0"/>
    <w:rsid w:val="17CE7CA9"/>
    <w:rsid w:val="17DE67FF"/>
    <w:rsid w:val="17E374CB"/>
    <w:rsid w:val="17E56C68"/>
    <w:rsid w:val="17E90F75"/>
    <w:rsid w:val="17EB6FBC"/>
    <w:rsid w:val="17ED74E2"/>
    <w:rsid w:val="17F06AEC"/>
    <w:rsid w:val="17F84EE5"/>
    <w:rsid w:val="18005BE8"/>
    <w:rsid w:val="18065CD8"/>
    <w:rsid w:val="180B65E1"/>
    <w:rsid w:val="180C486F"/>
    <w:rsid w:val="180E0CD2"/>
    <w:rsid w:val="1810448B"/>
    <w:rsid w:val="18133ACD"/>
    <w:rsid w:val="181A5BC6"/>
    <w:rsid w:val="181D3856"/>
    <w:rsid w:val="18207C22"/>
    <w:rsid w:val="18215D1C"/>
    <w:rsid w:val="18223F1C"/>
    <w:rsid w:val="18235518"/>
    <w:rsid w:val="182D5205"/>
    <w:rsid w:val="18302D65"/>
    <w:rsid w:val="18340353"/>
    <w:rsid w:val="18387FB2"/>
    <w:rsid w:val="184179EE"/>
    <w:rsid w:val="18433EB2"/>
    <w:rsid w:val="1849765A"/>
    <w:rsid w:val="184A6904"/>
    <w:rsid w:val="184C7B6A"/>
    <w:rsid w:val="184F570C"/>
    <w:rsid w:val="184F62E6"/>
    <w:rsid w:val="18525FCC"/>
    <w:rsid w:val="185D1384"/>
    <w:rsid w:val="186A013C"/>
    <w:rsid w:val="186C7540"/>
    <w:rsid w:val="186E7D78"/>
    <w:rsid w:val="187D7E1C"/>
    <w:rsid w:val="18834232"/>
    <w:rsid w:val="18834721"/>
    <w:rsid w:val="18837F01"/>
    <w:rsid w:val="188E15EE"/>
    <w:rsid w:val="188F37B2"/>
    <w:rsid w:val="18954D51"/>
    <w:rsid w:val="1896375D"/>
    <w:rsid w:val="189B6C99"/>
    <w:rsid w:val="18A007C7"/>
    <w:rsid w:val="18A0484C"/>
    <w:rsid w:val="18A2364F"/>
    <w:rsid w:val="18A306B6"/>
    <w:rsid w:val="18A474F0"/>
    <w:rsid w:val="18AD3194"/>
    <w:rsid w:val="18AE4BEC"/>
    <w:rsid w:val="18B1266D"/>
    <w:rsid w:val="18B6162A"/>
    <w:rsid w:val="18B63E00"/>
    <w:rsid w:val="18BF1596"/>
    <w:rsid w:val="18C106A2"/>
    <w:rsid w:val="18C42ECD"/>
    <w:rsid w:val="18D62A18"/>
    <w:rsid w:val="18D71166"/>
    <w:rsid w:val="18DB2D20"/>
    <w:rsid w:val="18E62E7B"/>
    <w:rsid w:val="18EA5A48"/>
    <w:rsid w:val="18EF68B1"/>
    <w:rsid w:val="18F23BAF"/>
    <w:rsid w:val="18FE3F2B"/>
    <w:rsid w:val="19035CDF"/>
    <w:rsid w:val="190F7374"/>
    <w:rsid w:val="1919233D"/>
    <w:rsid w:val="19196CE4"/>
    <w:rsid w:val="191B5954"/>
    <w:rsid w:val="191E097B"/>
    <w:rsid w:val="191E3F7C"/>
    <w:rsid w:val="1921507D"/>
    <w:rsid w:val="192328BE"/>
    <w:rsid w:val="192A37C4"/>
    <w:rsid w:val="192C2584"/>
    <w:rsid w:val="192C2EF6"/>
    <w:rsid w:val="19384C9F"/>
    <w:rsid w:val="19436901"/>
    <w:rsid w:val="19586A0E"/>
    <w:rsid w:val="195B408C"/>
    <w:rsid w:val="195E13BE"/>
    <w:rsid w:val="19635CBE"/>
    <w:rsid w:val="19640ED4"/>
    <w:rsid w:val="19660295"/>
    <w:rsid w:val="196C328D"/>
    <w:rsid w:val="196E203B"/>
    <w:rsid w:val="197135DA"/>
    <w:rsid w:val="19735FFC"/>
    <w:rsid w:val="198069B8"/>
    <w:rsid w:val="19877C8E"/>
    <w:rsid w:val="198B7A4C"/>
    <w:rsid w:val="198D7DCB"/>
    <w:rsid w:val="199179D3"/>
    <w:rsid w:val="1992534E"/>
    <w:rsid w:val="199423D8"/>
    <w:rsid w:val="19954997"/>
    <w:rsid w:val="199E044D"/>
    <w:rsid w:val="19A661C0"/>
    <w:rsid w:val="19A83BB1"/>
    <w:rsid w:val="19AC2F69"/>
    <w:rsid w:val="19AF51AD"/>
    <w:rsid w:val="19B00B28"/>
    <w:rsid w:val="19B46B80"/>
    <w:rsid w:val="19BC264B"/>
    <w:rsid w:val="19BE729C"/>
    <w:rsid w:val="19C26F9A"/>
    <w:rsid w:val="19C3210F"/>
    <w:rsid w:val="19C77265"/>
    <w:rsid w:val="19C823C3"/>
    <w:rsid w:val="19CB3C6D"/>
    <w:rsid w:val="19CC5AB1"/>
    <w:rsid w:val="19CF3C4F"/>
    <w:rsid w:val="19D76D62"/>
    <w:rsid w:val="19D91A3E"/>
    <w:rsid w:val="19DA7E8D"/>
    <w:rsid w:val="19DC487E"/>
    <w:rsid w:val="19E70B99"/>
    <w:rsid w:val="19E77F3A"/>
    <w:rsid w:val="19E9150A"/>
    <w:rsid w:val="19EC6EF4"/>
    <w:rsid w:val="19FC6670"/>
    <w:rsid w:val="19FE23C8"/>
    <w:rsid w:val="1A0416A7"/>
    <w:rsid w:val="1A047BF2"/>
    <w:rsid w:val="1A083012"/>
    <w:rsid w:val="1A087F84"/>
    <w:rsid w:val="1A0D6077"/>
    <w:rsid w:val="1A0D7DB6"/>
    <w:rsid w:val="1A0F5017"/>
    <w:rsid w:val="1A141794"/>
    <w:rsid w:val="1A196A9C"/>
    <w:rsid w:val="1A1A6C3C"/>
    <w:rsid w:val="1A2520F8"/>
    <w:rsid w:val="1A274B80"/>
    <w:rsid w:val="1A2C7B3B"/>
    <w:rsid w:val="1A2E5F3F"/>
    <w:rsid w:val="1A366CFF"/>
    <w:rsid w:val="1A390E0B"/>
    <w:rsid w:val="1A401E79"/>
    <w:rsid w:val="1A410FE4"/>
    <w:rsid w:val="1A422507"/>
    <w:rsid w:val="1A451080"/>
    <w:rsid w:val="1A451E05"/>
    <w:rsid w:val="1A466488"/>
    <w:rsid w:val="1A4B5A6B"/>
    <w:rsid w:val="1A4B74EA"/>
    <w:rsid w:val="1A4D590D"/>
    <w:rsid w:val="1A5044C7"/>
    <w:rsid w:val="1A5178C0"/>
    <w:rsid w:val="1A6B4269"/>
    <w:rsid w:val="1A6E41C3"/>
    <w:rsid w:val="1A78473D"/>
    <w:rsid w:val="1A7A6085"/>
    <w:rsid w:val="1A7A6623"/>
    <w:rsid w:val="1A7E6CA5"/>
    <w:rsid w:val="1A8C05E8"/>
    <w:rsid w:val="1A9A6F04"/>
    <w:rsid w:val="1A9C2073"/>
    <w:rsid w:val="1A9D6758"/>
    <w:rsid w:val="1AA3160C"/>
    <w:rsid w:val="1AA53300"/>
    <w:rsid w:val="1AA703E0"/>
    <w:rsid w:val="1AA705AD"/>
    <w:rsid w:val="1AB02318"/>
    <w:rsid w:val="1AB23A71"/>
    <w:rsid w:val="1AB602DC"/>
    <w:rsid w:val="1AB806C8"/>
    <w:rsid w:val="1AB856D1"/>
    <w:rsid w:val="1ABA14C1"/>
    <w:rsid w:val="1ABD0A29"/>
    <w:rsid w:val="1AC15309"/>
    <w:rsid w:val="1AC50497"/>
    <w:rsid w:val="1AC56F6E"/>
    <w:rsid w:val="1AC84576"/>
    <w:rsid w:val="1AD77903"/>
    <w:rsid w:val="1ADC1947"/>
    <w:rsid w:val="1AE550E4"/>
    <w:rsid w:val="1AE61553"/>
    <w:rsid w:val="1AE85E40"/>
    <w:rsid w:val="1AEC6857"/>
    <w:rsid w:val="1AF03701"/>
    <w:rsid w:val="1AF867E0"/>
    <w:rsid w:val="1AF94866"/>
    <w:rsid w:val="1B0A2CAF"/>
    <w:rsid w:val="1B0C5964"/>
    <w:rsid w:val="1B197D33"/>
    <w:rsid w:val="1B1E0368"/>
    <w:rsid w:val="1B203917"/>
    <w:rsid w:val="1B2321FB"/>
    <w:rsid w:val="1B297BCC"/>
    <w:rsid w:val="1B2B4496"/>
    <w:rsid w:val="1B2C6129"/>
    <w:rsid w:val="1B2D1D86"/>
    <w:rsid w:val="1B303D4B"/>
    <w:rsid w:val="1B330BA4"/>
    <w:rsid w:val="1B37173C"/>
    <w:rsid w:val="1B373549"/>
    <w:rsid w:val="1B3D31A0"/>
    <w:rsid w:val="1B3D5A02"/>
    <w:rsid w:val="1B4D5FF5"/>
    <w:rsid w:val="1B4E76A9"/>
    <w:rsid w:val="1B52045E"/>
    <w:rsid w:val="1B59379E"/>
    <w:rsid w:val="1B5B5A0D"/>
    <w:rsid w:val="1B5D20F5"/>
    <w:rsid w:val="1B5E1503"/>
    <w:rsid w:val="1B601C9C"/>
    <w:rsid w:val="1B6355B1"/>
    <w:rsid w:val="1B652151"/>
    <w:rsid w:val="1B652F84"/>
    <w:rsid w:val="1B674C81"/>
    <w:rsid w:val="1B6A7845"/>
    <w:rsid w:val="1B6E33D3"/>
    <w:rsid w:val="1B7E434A"/>
    <w:rsid w:val="1B9006E6"/>
    <w:rsid w:val="1B923950"/>
    <w:rsid w:val="1B943F36"/>
    <w:rsid w:val="1B9A3FE9"/>
    <w:rsid w:val="1B9B4E9A"/>
    <w:rsid w:val="1BA42069"/>
    <w:rsid w:val="1BA54F84"/>
    <w:rsid w:val="1BA94682"/>
    <w:rsid w:val="1BAE407C"/>
    <w:rsid w:val="1BAE4BF8"/>
    <w:rsid w:val="1BBB2A46"/>
    <w:rsid w:val="1BCA75E3"/>
    <w:rsid w:val="1BCD0437"/>
    <w:rsid w:val="1BCD3B54"/>
    <w:rsid w:val="1BD87601"/>
    <w:rsid w:val="1BDB3547"/>
    <w:rsid w:val="1BDE76F6"/>
    <w:rsid w:val="1BE70658"/>
    <w:rsid w:val="1BE70ADD"/>
    <w:rsid w:val="1BE87F7C"/>
    <w:rsid w:val="1BEC295B"/>
    <w:rsid w:val="1BEC5F3C"/>
    <w:rsid w:val="1BF442AC"/>
    <w:rsid w:val="1BF47D6B"/>
    <w:rsid w:val="1BF70F1B"/>
    <w:rsid w:val="1BFA654F"/>
    <w:rsid w:val="1BFC6D39"/>
    <w:rsid w:val="1BFD0D1C"/>
    <w:rsid w:val="1BFE0342"/>
    <w:rsid w:val="1C00080C"/>
    <w:rsid w:val="1C0326F1"/>
    <w:rsid w:val="1C054770"/>
    <w:rsid w:val="1C0577A4"/>
    <w:rsid w:val="1C12075C"/>
    <w:rsid w:val="1C1626D7"/>
    <w:rsid w:val="1C19317C"/>
    <w:rsid w:val="1C227D72"/>
    <w:rsid w:val="1C236351"/>
    <w:rsid w:val="1C2D7AE8"/>
    <w:rsid w:val="1C2F5CDF"/>
    <w:rsid w:val="1C317CFA"/>
    <w:rsid w:val="1C3413C7"/>
    <w:rsid w:val="1C347605"/>
    <w:rsid w:val="1C35683F"/>
    <w:rsid w:val="1C395DC0"/>
    <w:rsid w:val="1C3A000F"/>
    <w:rsid w:val="1C3D39D3"/>
    <w:rsid w:val="1C446CFF"/>
    <w:rsid w:val="1C477430"/>
    <w:rsid w:val="1C495E60"/>
    <w:rsid w:val="1C4A4500"/>
    <w:rsid w:val="1C4B5BD2"/>
    <w:rsid w:val="1C5512A1"/>
    <w:rsid w:val="1C5C3C00"/>
    <w:rsid w:val="1C5E7865"/>
    <w:rsid w:val="1C6C6362"/>
    <w:rsid w:val="1C6D4011"/>
    <w:rsid w:val="1C6E0593"/>
    <w:rsid w:val="1C703F1C"/>
    <w:rsid w:val="1C705856"/>
    <w:rsid w:val="1C717F64"/>
    <w:rsid w:val="1C727404"/>
    <w:rsid w:val="1C7A1D36"/>
    <w:rsid w:val="1C7E5665"/>
    <w:rsid w:val="1C810E11"/>
    <w:rsid w:val="1C892615"/>
    <w:rsid w:val="1C8A1859"/>
    <w:rsid w:val="1C8B008F"/>
    <w:rsid w:val="1C8B4D75"/>
    <w:rsid w:val="1C93774D"/>
    <w:rsid w:val="1CA3523D"/>
    <w:rsid w:val="1CA61380"/>
    <w:rsid w:val="1CAB66EC"/>
    <w:rsid w:val="1CB31CA2"/>
    <w:rsid w:val="1CB94C8E"/>
    <w:rsid w:val="1CC1261C"/>
    <w:rsid w:val="1CC12928"/>
    <w:rsid w:val="1CC3627E"/>
    <w:rsid w:val="1CC6435E"/>
    <w:rsid w:val="1CC84C9B"/>
    <w:rsid w:val="1CCB1CE6"/>
    <w:rsid w:val="1CD334B2"/>
    <w:rsid w:val="1CD661C5"/>
    <w:rsid w:val="1CD80D4B"/>
    <w:rsid w:val="1CDA39F8"/>
    <w:rsid w:val="1CE22D41"/>
    <w:rsid w:val="1CEB0D80"/>
    <w:rsid w:val="1CF57C97"/>
    <w:rsid w:val="1CFC140A"/>
    <w:rsid w:val="1D066E2A"/>
    <w:rsid w:val="1D0B3707"/>
    <w:rsid w:val="1D1006D7"/>
    <w:rsid w:val="1D183EFF"/>
    <w:rsid w:val="1D1959CD"/>
    <w:rsid w:val="1D1C2FE4"/>
    <w:rsid w:val="1D1D342E"/>
    <w:rsid w:val="1D1F19FA"/>
    <w:rsid w:val="1D220B93"/>
    <w:rsid w:val="1D2708E4"/>
    <w:rsid w:val="1D35751E"/>
    <w:rsid w:val="1D36049A"/>
    <w:rsid w:val="1D396B98"/>
    <w:rsid w:val="1D4F2284"/>
    <w:rsid w:val="1D4F3FFD"/>
    <w:rsid w:val="1D535D47"/>
    <w:rsid w:val="1D551AD6"/>
    <w:rsid w:val="1D59143B"/>
    <w:rsid w:val="1D5A2DFA"/>
    <w:rsid w:val="1D5B0CF5"/>
    <w:rsid w:val="1D5D046A"/>
    <w:rsid w:val="1D621548"/>
    <w:rsid w:val="1D635234"/>
    <w:rsid w:val="1D6944BF"/>
    <w:rsid w:val="1D6D7247"/>
    <w:rsid w:val="1D70376F"/>
    <w:rsid w:val="1D790692"/>
    <w:rsid w:val="1D817F0B"/>
    <w:rsid w:val="1D861AC6"/>
    <w:rsid w:val="1D8A2847"/>
    <w:rsid w:val="1D8D23E8"/>
    <w:rsid w:val="1D8F614A"/>
    <w:rsid w:val="1D960774"/>
    <w:rsid w:val="1D994A74"/>
    <w:rsid w:val="1D9A7ADE"/>
    <w:rsid w:val="1DA01868"/>
    <w:rsid w:val="1DAC6370"/>
    <w:rsid w:val="1DAE2562"/>
    <w:rsid w:val="1DB40165"/>
    <w:rsid w:val="1DB4375C"/>
    <w:rsid w:val="1DB55C66"/>
    <w:rsid w:val="1DBF2029"/>
    <w:rsid w:val="1DC6194A"/>
    <w:rsid w:val="1DCD6E93"/>
    <w:rsid w:val="1DD16DA8"/>
    <w:rsid w:val="1DD24CB3"/>
    <w:rsid w:val="1DD54665"/>
    <w:rsid w:val="1DD75FFA"/>
    <w:rsid w:val="1DD954DF"/>
    <w:rsid w:val="1DDE5290"/>
    <w:rsid w:val="1DE10240"/>
    <w:rsid w:val="1DE4506B"/>
    <w:rsid w:val="1DE83E11"/>
    <w:rsid w:val="1DF47EFC"/>
    <w:rsid w:val="1DFC1A50"/>
    <w:rsid w:val="1E033EBE"/>
    <w:rsid w:val="1E0E41E6"/>
    <w:rsid w:val="1E127E75"/>
    <w:rsid w:val="1E143029"/>
    <w:rsid w:val="1E1458EF"/>
    <w:rsid w:val="1E1A4EED"/>
    <w:rsid w:val="1E1A7D56"/>
    <w:rsid w:val="1E1F24B1"/>
    <w:rsid w:val="1E210771"/>
    <w:rsid w:val="1E24472F"/>
    <w:rsid w:val="1E287795"/>
    <w:rsid w:val="1E2B2634"/>
    <w:rsid w:val="1E364110"/>
    <w:rsid w:val="1E3750C6"/>
    <w:rsid w:val="1E3D5840"/>
    <w:rsid w:val="1E3E5F9B"/>
    <w:rsid w:val="1E4531A2"/>
    <w:rsid w:val="1E4A638A"/>
    <w:rsid w:val="1E4C4110"/>
    <w:rsid w:val="1E530176"/>
    <w:rsid w:val="1E584EE3"/>
    <w:rsid w:val="1E5D0BDF"/>
    <w:rsid w:val="1E6B5C44"/>
    <w:rsid w:val="1E711709"/>
    <w:rsid w:val="1E7918C3"/>
    <w:rsid w:val="1E7A1999"/>
    <w:rsid w:val="1E7C03FB"/>
    <w:rsid w:val="1E7D1E2E"/>
    <w:rsid w:val="1E7E07DB"/>
    <w:rsid w:val="1E7E610F"/>
    <w:rsid w:val="1E843600"/>
    <w:rsid w:val="1E8818F8"/>
    <w:rsid w:val="1E984EF3"/>
    <w:rsid w:val="1E994F54"/>
    <w:rsid w:val="1E9A4DE2"/>
    <w:rsid w:val="1E9F5117"/>
    <w:rsid w:val="1EA13DC5"/>
    <w:rsid w:val="1EB35AF6"/>
    <w:rsid w:val="1EC31959"/>
    <w:rsid w:val="1EC94F3B"/>
    <w:rsid w:val="1ECB71FD"/>
    <w:rsid w:val="1ECE3347"/>
    <w:rsid w:val="1EDE693F"/>
    <w:rsid w:val="1EE032F3"/>
    <w:rsid w:val="1EE14A6B"/>
    <w:rsid w:val="1EE46955"/>
    <w:rsid w:val="1EEF2062"/>
    <w:rsid w:val="1EF35603"/>
    <w:rsid w:val="1EF44133"/>
    <w:rsid w:val="1EF97409"/>
    <w:rsid w:val="1F025427"/>
    <w:rsid w:val="1F037118"/>
    <w:rsid w:val="1F072E8A"/>
    <w:rsid w:val="1F112CF0"/>
    <w:rsid w:val="1F1966CA"/>
    <w:rsid w:val="1F293E98"/>
    <w:rsid w:val="1F2F2CFF"/>
    <w:rsid w:val="1F320012"/>
    <w:rsid w:val="1F3709D4"/>
    <w:rsid w:val="1F3D68D2"/>
    <w:rsid w:val="1F3E0CC0"/>
    <w:rsid w:val="1F444234"/>
    <w:rsid w:val="1F4B3CC4"/>
    <w:rsid w:val="1F4B6F5A"/>
    <w:rsid w:val="1F4D4737"/>
    <w:rsid w:val="1F4E7ADE"/>
    <w:rsid w:val="1F5104FF"/>
    <w:rsid w:val="1F526F79"/>
    <w:rsid w:val="1F583BD5"/>
    <w:rsid w:val="1F590C4C"/>
    <w:rsid w:val="1F5A5F67"/>
    <w:rsid w:val="1F646797"/>
    <w:rsid w:val="1F68720A"/>
    <w:rsid w:val="1F68792F"/>
    <w:rsid w:val="1F691B08"/>
    <w:rsid w:val="1F6F0A14"/>
    <w:rsid w:val="1F772663"/>
    <w:rsid w:val="1F7845D9"/>
    <w:rsid w:val="1F794B77"/>
    <w:rsid w:val="1F7974FB"/>
    <w:rsid w:val="1F811A3B"/>
    <w:rsid w:val="1F834462"/>
    <w:rsid w:val="1F87243B"/>
    <w:rsid w:val="1F8915AE"/>
    <w:rsid w:val="1F8E1C42"/>
    <w:rsid w:val="1F924A43"/>
    <w:rsid w:val="1F9A2D26"/>
    <w:rsid w:val="1F9C38AE"/>
    <w:rsid w:val="1FB34C75"/>
    <w:rsid w:val="1FBB4A59"/>
    <w:rsid w:val="1FC6520A"/>
    <w:rsid w:val="1FC922CD"/>
    <w:rsid w:val="1FC94C71"/>
    <w:rsid w:val="1FCE25CB"/>
    <w:rsid w:val="1FCF5B85"/>
    <w:rsid w:val="1FD1781A"/>
    <w:rsid w:val="1FD76275"/>
    <w:rsid w:val="1FD86F45"/>
    <w:rsid w:val="1FDD536E"/>
    <w:rsid w:val="1FE7494E"/>
    <w:rsid w:val="1FEA72DE"/>
    <w:rsid w:val="1FEC620B"/>
    <w:rsid w:val="1FF03594"/>
    <w:rsid w:val="1FF3220E"/>
    <w:rsid w:val="1FF44E3D"/>
    <w:rsid w:val="1FF84AC4"/>
    <w:rsid w:val="1FFE1110"/>
    <w:rsid w:val="20075229"/>
    <w:rsid w:val="2009617D"/>
    <w:rsid w:val="2016471D"/>
    <w:rsid w:val="20192B32"/>
    <w:rsid w:val="201A7E27"/>
    <w:rsid w:val="20221539"/>
    <w:rsid w:val="20242DED"/>
    <w:rsid w:val="202557DA"/>
    <w:rsid w:val="203126D3"/>
    <w:rsid w:val="20317857"/>
    <w:rsid w:val="203B22E3"/>
    <w:rsid w:val="20457135"/>
    <w:rsid w:val="204573DC"/>
    <w:rsid w:val="204B488E"/>
    <w:rsid w:val="204B6A5D"/>
    <w:rsid w:val="204D71B5"/>
    <w:rsid w:val="20574E04"/>
    <w:rsid w:val="206566D9"/>
    <w:rsid w:val="206F70D3"/>
    <w:rsid w:val="20732059"/>
    <w:rsid w:val="20741882"/>
    <w:rsid w:val="20772476"/>
    <w:rsid w:val="20831DB9"/>
    <w:rsid w:val="208404D9"/>
    <w:rsid w:val="208418C3"/>
    <w:rsid w:val="208D0CF1"/>
    <w:rsid w:val="20917CE7"/>
    <w:rsid w:val="20947E93"/>
    <w:rsid w:val="20962F18"/>
    <w:rsid w:val="209763BF"/>
    <w:rsid w:val="209765CE"/>
    <w:rsid w:val="20992BA8"/>
    <w:rsid w:val="20A016FF"/>
    <w:rsid w:val="20A37878"/>
    <w:rsid w:val="20A71BBC"/>
    <w:rsid w:val="20B91FAF"/>
    <w:rsid w:val="20C20786"/>
    <w:rsid w:val="20CF5F38"/>
    <w:rsid w:val="20D46CFF"/>
    <w:rsid w:val="20DB67E4"/>
    <w:rsid w:val="20E043A9"/>
    <w:rsid w:val="20E616FA"/>
    <w:rsid w:val="20E74CE1"/>
    <w:rsid w:val="20ED6C60"/>
    <w:rsid w:val="20EF02AD"/>
    <w:rsid w:val="20F045AB"/>
    <w:rsid w:val="20F1570F"/>
    <w:rsid w:val="20F74BFC"/>
    <w:rsid w:val="20FA6DBE"/>
    <w:rsid w:val="20FB21BE"/>
    <w:rsid w:val="20FB58FB"/>
    <w:rsid w:val="20FF7888"/>
    <w:rsid w:val="21026C91"/>
    <w:rsid w:val="210E1547"/>
    <w:rsid w:val="21114446"/>
    <w:rsid w:val="211C5EAB"/>
    <w:rsid w:val="21237944"/>
    <w:rsid w:val="212C3A61"/>
    <w:rsid w:val="213308B0"/>
    <w:rsid w:val="21341EB5"/>
    <w:rsid w:val="213F1578"/>
    <w:rsid w:val="213F1C5D"/>
    <w:rsid w:val="214A6898"/>
    <w:rsid w:val="21552227"/>
    <w:rsid w:val="216D2D88"/>
    <w:rsid w:val="216E52AE"/>
    <w:rsid w:val="216F0C68"/>
    <w:rsid w:val="218020E2"/>
    <w:rsid w:val="21805220"/>
    <w:rsid w:val="218114DA"/>
    <w:rsid w:val="21822022"/>
    <w:rsid w:val="218A1F0C"/>
    <w:rsid w:val="218F3C14"/>
    <w:rsid w:val="2191375D"/>
    <w:rsid w:val="21944562"/>
    <w:rsid w:val="21960DC1"/>
    <w:rsid w:val="21983D26"/>
    <w:rsid w:val="219958C3"/>
    <w:rsid w:val="219E79E5"/>
    <w:rsid w:val="219F309B"/>
    <w:rsid w:val="21A207C7"/>
    <w:rsid w:val="21A213D7"/>
    <w:rsid w:val="21A2249E"/>
    <w:rsid w:val="21A3590A"/>
    <w:rsid w:val="21A360D0"/>
    <w:rsid w:val="21A818B0"/>
    <w:rsid w:val="21A91372"/>
    <w:rsid w:val="21B5417F"/>
    <w:rsid w:val="21BB0D32"/>
    <w:rsid w:val="21BB4BEB"/>
    <w:rsid w:val="21BD30CE"/>
    <w:rsid w:val="21C26BBB"/>
    <w:rsid w:val="21C62145"/>
    <w:rsid w:val="21C92F06"/>
    <w:rsid w:val="21CF6578"/>
    <w:rsid w:val="21D74E53"/>
    <w:rsid w:val="21DA61CF"/>
    <w:rsid w:val="21DE3D8A"/>
    <w:rsid w:val="21DE514B"/>
    <w:rsid w:val="21E36C06"/>
    <w:rsid w:val="21EA04E1"/>
    <w:rsid w:val="21FA3B2A"/>
    <w:rsid w:val="21FA5682"/>
    <w:rsid w:val="21FD18FA"/>
    <w:rsid w:val="22010B1F"/>
    <w:rsid w:val="220727ED"/>
    <w:rsid w:val="220B7FB5"/>
    <w:rsid w:val="220E659E"/>
    <w:rsid w:val="22172C03"/>
    <w:rsid w:val="221B11FF"/>
    <w:rsid w:val="22231EE1"/>
    <w:rsid w:val="22277EC9"/>
    <w:rsid w:val="222858FA"/>
    <w:rsid w:val="222C74EC"/>
    <w:rsid w:val="22304A89"/>
    <w:rsid w:val="223175AB"/>
    <w:rsid w:val="223A6404"/>
    <w:rsid w:val="223E45B3"/>
    <w:rsid w:val="224277CC"/>
    <w:rsid w:val="22436672"/>
    <w:rsid w:val="2247559A"/>
    <w:rsid w:val="224849FC"/>
    <w:rsid w:val="224F75F6"/>
    <w:rsid w:val="225E43F5"/>
    <w:rsid w:val="22623FCE"/>
    <w:rsid w:val="22683043"/>
    <w:rsid w:val="226C0A6F"/>
    <w:rsid w:val="226C42D8"/>
    <w:rsid w:val="226D471A"/>
    <w:rsid w:val="22727732"/>
    <w:rsid w:val="22791F50"/>
    <w:rsid w:val="227C3410"/>
    <w:rsid w:val="228907BA"/>
    <w:rsid w:val="228B496F"/>
    <w:rsid w:val="228D6F8E"/>
    <w:rsid w:val="22956DCB"/>
    <w:rsid w:val="229C2577"/>
    <w:rsid w:val="229C4B0C"/>
    <w:rsid w:val="22A0561C"/>
    <w:rsid w:val="22A21634"/>
    <w:rsid w:val="22A45A25"/>
    <w:rsid w:val="22A64C9E"/>
    <w:rsid w:val="22AB60D6"/>
    <w:rsid w:val="22BC52EB"/>
    <w:rsid w:val="22C24386"/>
    <w:rsid w:val="22C80F9A"/>
    <w:rsid w:val="22D8294D"/>
    <w:rsid w:val="22D8388B"/>
    <w:rsid w:val="22DC0282"/>
    <w:rsid w:val="22DD6AA8"/>
    <w:rsid w:val="22DE0DF3"/>
    <w:rsid w:val="22E04D0D"/>
    <w:rsid w:val="22EC0A39"/>
    <w:rsid w:val="22EC240D"/>
    <w:rsid w:val="22EF75EC"/>
    <w:rsid w:val="22F109F5"/>
    <w:rsid w:val="22F741BB"/>
    <w:rsid w:val="22F91C49"/>
    <w:rsid w:val="22FA7E26"/>
    <w:rsid w:val="22FC4DD8"/>
    <w:rsid w:val="22FF1751"/>
    <w:rsid w:val="230025F3"/>
    <w:rsid w:val="230A7D1A"/>
    <w:rsid w:val="230B5501"/>
    <w:rsid w:val="230C1265"/>
    <w:rsid w:val="230E0766"/>
    <w:rsid w:val="23170A3B"/>
    <w:rsid w:val="23205339"/>
    <w:rsid w:val="232421DA"/>
    <w:rsid w:val="23246574"/>
    <w:rsid w:val="23261002"/>
    <w:rsid w:val="23263C61"/>
    <w:rsid w:val="232C1FFD"/>
    <w:rsid w:val="2331540C"/>
    <w:rsid w:val="233C54C8"/>
    <w:rsid w:val="233E0FDB"/>
    <w:rsid w:val="23457BFE"/>
    <w:rsid w:val="234750F9"/>
    <w:rsid w:val="234D7C8C"/>
    <w:rsid w:val="234E560B"/>
    <w:rsid w:val="23503A7F"/>
    <w:rsid w:val="235651D1"/>
    <w:rsid w:val="235F60BF"/>
    <w:rsid w:val="23675422"/>
    <w:rsid w:val="237039DA"/>
    <w:rsid w:val="2375265C"/>
    <w:rsid w:val="23760AF7"/>
    <w:rsid w:val="23777976"/>
    <w:rsid w:val="237B640F"/>
    <w:rsid w:val="237D04F3"/>
    <w:rsid w:val="238C3AD2"/>
    <w:rsid w:val="239028D3"/>
    <w:rsid w:val="23952F37"/>
    <w:rsid w:val="23980531"/>
    <w:rsid w:val="239A22B2"/>
    <w:rsid w:val="23A34005"/>
    <w:rsid w:val="23A362E5"/>
    <w:rsid w:val="23A372C9"/>
    <w:rsid w:val="23AD51ED"/>
    <w:rsid w:val="23AF16A9"/>
    <w:rsid w:val="23AF641F"/>
    <w:rsid w:val="23B00951"/>
    <w:rsid w:val="23B51E27"/>
    <w:rsid w:val="23B81C18"/>
    <w:rsid w:val="23BC41C1"/>
    <w:rsid w:val="23C056D6"/>
    <w:rsid w:val="23C36CB3"/>
    <w:rsid w:val="23C9481C"/>
    <w:rsid w:val="23C96CA1"/>
    <w:rsid w:val="23CD4053"/>
    <w:rsid w:val="23DD3CAF"/>
    <w:rsid w:val="23E06368"/>
    <w:rsid w:val="23E15690"/>
    <w:rsid w:val="23E20370"/>
    <w:rsid w:val="23F221FF"/>
    <w:rsid w:val="23FB3D7E"/>
    <w:rsid w:val="24016EAF"/>
    <w:rsid w:val="24027958"/>
    <w:rsid w:val="24030F14"/>
    <w:rsid w:val="24046BDF"/>
    <w:rsid w:val="240555D4"/>
    <w:rsid w:val="240A3E48"/>
    <w:rsid w:val="240B79DE"/>
    <w:rsid w:val="240D6303"/>
    <w:rsid w:val="24125735"/>
    <w:rsid w:val="24143FCA"/>
    <w:rsid w:val="24170709"/>
    <w:rsid w:val="2417469C"/>
    <w:rsid w:val="241A0B1A"/>
    <w:rsid w:val="241F2131"/>
    <w:rsid w:val="241F5D35"/>
    <w:rsid w:val="24214DAF"/>
    <w:rsid w:val="24217CAE"/>
    <w:rsid w:val="24221C9F"/>
    <w:rsid w:val="24331E2B"/>
    <w:rsid w:val="244136E3"/>
    <w:rsid w:val="24456131"/>
    <w:rsid w:val="24465B13"/>
    <w:rsid w:val="24503701"/>
    <w:rsid w:val="245133AB"/>
    <w:rsid w:val="24521639"/>
    <w:rsid w:val="2454030C"/>
    <w:rsid w:val="24574638"/>
    <w:rsid w:val="245C4748"/>
    <w:rsid w:val="245C752E"/>
    <w:rsid w:val="246043E7"/>
    <w:rsid w:val="246274D0"/>
    <w:rsid w:val="246C69A9"/>
    <w:rsid w:val="246E4B56"/>
    <w:rsid w:val="24704561"/>
    <w:rsid w:val="24705901"/>
    <w:rsid w:val="24793E2A"/>
    <w:rsid w:val="247B5392"/>
    <w:rsid w:val="24807D6F"/>
    <w:rsid w:val="24871A9C"/>
    <w:rsid w:val="248F4E07"/>
    <w:rsid w:val="249A2247"/>
    <w:rsid w:val="249C0655"/>
    <w:rsid w:val="249D79FF"/>
    <w:rsid w:val="249E7DD6"/>
    <w:rsid w:val="249F1F01"/>
    <w:rsid w:val="249F27CE"/>
    <w:rsid w:val="24A42709"/>
    <w:rsid w:val="24AC284E"/>
    <w:rsid w:val="24AF7424"/>
    <w:rsid w:val="24B15902"/>
    <w:rsid w:val="24B25FBC"/>
    <w:rsid w:val="24B751BF"/>
    <w:rsid w:val="24B8081E"/>
    <w:rsid w:val="24BC5563"/>
    <w:rsid w:val="24C07093"/>
    <w:rsid w:val="24C3687B"/>
    <w:rsid w:val="24C66EAE"/>
    <w:rsid w:val="24C84A9A"/>
    <w:rsid w:val="24CA41B0"/>
    <w:rsid w:val="24CE45AA"/>
    <w:rsid w:val="24CF5F1E"/>
    <w:rsid w:val="24CF7186"/>
    <w:rsid w:val="24D07BD1"/>
    <w:rsid w:val="24D614FE"/>
    <w:rsid w:val="24EE04CA"/>
    <w:rsid w:val="24F037FE"/>
    <w:rsid w:val="24F36C5A"/>
    <w:rsid w:val="24F73704"/>
    <w:rsid w:val="24FA5504"/>
    <w:rsid w:val="2501606B"/>
    <w:rsid w:val="2506643F"/>
    <w:rsid w:val="25100171"/>
    <w:rsid w:val="251A4230"/>
    <w:rsid w:val="251E0203"/>
    <w:rsid w:val="252E7B87"/>
    <w:rsid w:val="25351181"/>
    <w:rsid w:val="253E7237"/>
    <w:rsid w:val="253F23A5"/>
    <w:rsid w:val="25433CC9"/>
    <w:rsid w:val="25435A71"/>
    <w:rsid w:val="254B7502"/>
    <w:rsid w:val="255158E1"/>
    <w:rsid w:val="25552FE4"/>
    <w:rsid w:val="255D123B"/>
    <w:rsid w:val="255E595D"/>
    <w:rsid w:val="255F211A"/>
    <w:rsid w:val="2562483B"/>
    <w:rsid w:val="25667CAD"/>
    <w:rsid w:val="256D03B3"/>
    <w:rsid w:val="25730E7A"/>
    <w:rsid w:val="25784F4E"/>
    <w:rsid w:val="25867034"/>
    <w:rsid w:val="25890F24"/>
    <w:rsid w:val="258F71CA"/>
    <w:rsid w:val="25911B72"/>
    <w:rsid w:val="2597694E"/>
    <w:rsid w:val="259A430B"/>
    <w:rsid w:val="259B1696"/>
    <w:rsid w:val="259B4C14"/>
    <w:rsid w:val="259F2057"/>
    <w:rsid w:val="25A004CE"/>
    <w:rsid w:val="25A16A08"/>
    <w:rsid w:val="25A2257D"/>
    <w:rsid w:val="25A678CC"/>
    <w:rsid w:val="25AE7411"/>
    <w:rsid w:val="25B12274"/>
    <w:rsid w:val="25B12B77"/>
    <w:rsid w:val="25B3399A"/>
    <w:rsid w:val="25B47752"/>
    <w:rsid w:val="25B50493"/>
    <w:rsid w:val="25B53388"/>
    <w:rsid w:val="25C22AA6"/>
    <w:rsid w:val="25C5145D"/>
    <w:rsid w:val="25D26944"/>
    <w:rsid w:val="25D44D54"/>
    <w:rsid w:val="25D7457E"/>
    <w:rsid w:val="25D76397"/>
    <w:rsid w:val="25D9034B"/>
    <w:rsid w:val="25DC3817"/>
    <w:rsid w:val="25E06409"/>
    <w:rsid w:val="25E40FA8"/>
    <w:rsid w:val="25E858F7"/>
    <w:rsid w:val="25F26428"/>
    <w:rsid w:val="25F606D1"/>
    <w:rsid w:val="25F91D50"/>
    <w:rsid w:val="25FE4028"/>
    <w:rsid w:val="26076FD1"/>
    <w:rsid w:val="260C1826"/>
    <w:rsid w:val="260C6B69"/>
    <w:rsid w:val="260F32D4"/>
    <w:rsid w:val="261104F9"/>
    <w:rsid w:val="261120F3"/>
    <w:rsid w:val="262143E1"/>
    <w:rsid w:val="2625613D"/>
    <w:rsid w:val="262F762A"/>
    <w:rsid w:val="264075E1"/>
    <w:rsid w:val="265160AF"/>
    <w:rsid w:val="26550646"/>
    <w:rsid w:val="265F3BB3"/>
    <w:rsid w:val="2672642D"/>
    <w:rsid w:val="26793695"/>
    <w:rsid w:val="268561F6"/>
    <w:rsid w:val="268726E6"/>
    <w:rsid w:val="268929C9"/>
    <w:rsid w:val="26922210"/>
    <w:rsid w:val="26986F65"/>
    <w:rsid w:val="26995094"/>
    <w:rsid w:val="269B5151"/>
    <w:rsid w:val="269C4F84"/>
    <w:rsid w:val="269D1D21"/>
    <w:rsid w:val="269E2224"/>
    <w:rsid w:val="26A374D4"/>
    <w:rsid w:val="26A7077D"/>
    <w:rsid w:val="26AE7843"/>
    <w:rsid w:val="26C667C9"/>
    <w:rsid w:val="26C757BF"/>
    <w:rsid w:val="26D542D8"/>
    <w:rsid w:val="26DD0017"/>
    <w:rsid w:val="26E23BA4"/>
    <w:rsid w:val="26E73BA5"/>
    <w:rsid w:val="26E96006"/>
    <w:rsid w:val="26ED71F1"/>
    <w:rsid w:val="26ED7E36"/>
    <w:rsid w:val="26F15DED"/>
    <w:rsid w:val="26F24B3F"/>
    <w:rsid w:val="26F465AD"/>
    <w:rsid w:val="26F52E2A"/>
    <w:rsid w:val="26FA6025"/>
    <w:rsid w:val="27044BB1"/>
    <w:rsid w:val="270554A4"/>
    <w:rsid w:val="270658A2"/>
    <w:rsid w:val="27122D6B"/>
    <w:rsid w:val="27167023"/>
    <w:rsid w:val="271B299E"/>
    <w:rsid w:val="2728784C"/>
    <w:rsid w:val="272B0C30"/>
    <w:rsid w:val="27366980"/>
    <w:rsid w:val="273818F3"/>
    <w:rsid w:val="27383B26"/>
    <w:rsid w:val="273A46C1"/>
    <w:rsid w:val="273F7426"/>
    <w:rsid w:val="274B2F06"/>
    <w:rsid w:val="27540B9C"/>
    <w:rsid w:val="275506E9"/>
    <w:rsid w:val="275673FA"/>
    <w:rsid w:val="275A46A5"/>
    <w:rsid w:val="275C2A28"/>
    <w:rsid w:val="275C4C5F"/>
    <w:rsid w:val="276B053B"/>
    <w:rsid w:val="276B12E9"/>
    <w:rsid w:val="27707051"/>
    <w:rsid w:val="27730C2A"/>
    <w:rsid w:val="277B0C0B"/>
    <w:rsid w:val="277C10D9"/>
    <w:rsid w:val="277C2096"/>
    <w:rsid w:val="277D1F2A"/>
    <w:rsid w:val="277E2FAC"/>
    <w:rsid w:val="278017CB"/>
    <w:rsid w:val="27834280"/>
    <w:rsid w:val="27871D53"/>
    <w:rsid w:val="278A5C71"/>
    <w:rsid w:val="278C6F5A"/>
    <w:rsid w:val="27941DE6"/>
    <w:rsid w:val="2799745C"/>
    <w:rsid w:val="27A50C77"/>
    <w:rsid w:val="27A91495"/>
    <w:rsid w:val="27AC5626"/>
    <w:rsid w:val="27AE043B"/>
    <w:rsid w:val="27B6339D"/>
    <w:rsid w:val="27BD2107"/>
    <w:rsid w:val="27BE01C9"/>
    <w:rsid w:val="27C10C4A"/>
    <w:rsid w:val="27C70948"/>
    <w:rsid w:val="27C82873"/>
    <w:rsid w:val="27CA1C3E"/>
    <w:rsid w:val="27CA4F65"/>
    <w:rsid w:val="27CB1F4E"/>
    <w:rsid w:val="27CD0FDC"/>
    <w:rsid w:val="27CD33D2"/>
    <w:rsid w:val="27CE09DA"/>
    <w:rsid w:val="27D47DB3"/>
    <w:rsid w:val="27D62703"/>
    <w:rsid w:val="27DF3343"/>
    <w:rsid w:val="27E222D8"/>
    <w:rsid w:val="27F23F7A"/>
    <w:rsid w:val="27F6038B"/>
    <w:rsid w:val="27F63EA1"/>
    <w:rsid w:val="27F7193A"/>
    <w:rsid w:val="27F838E0"/>
    <w:rsid w:val="27F87568"/>
    <w:rsid w:val="27FC6872"/>
    <w:rsid w:val="27FD7A59"/>
    <w:rsid w:val="28013AF5"/>
    <w:rsid w:val="28032A34"/>
    <w:rsid w:val="28050805"/>
    <w:rsid w:val="28062AAE"/>
    <w:rsid w:val="28070C8B"/>
    <w:rsid w:val="280C180B"/>
    <w:rsid w:val="281E271F"/>
    <w:rsid w:val="281F2202"/>
    <w:rsid w:val="2824423E"/>
    <w:rsid w:val="2825419D"/>
    <w:rsid w:val="282728F6"/>
    <w:rsid w:val="282B13BB"/>
    <w:rsid w:val="282E11DB"/>
    <w:rsid w:val="283760AA"/>
    <w:rsid w:val="28434B5E"/>
    <w:rsid w:val="284718DD"/>
    <w:rsid w:val="284A7D62"/>
    <w:rsid w:val="284F2C8F"/>
    <w:rsid w:val="285444B3"/>
    <w:rsid w:val="28546B59"/>
    <w:rsid w:val="2857110C"/>
    <w:rsid w:val="285758B3"/>
    <w:rsid w:val="28595D34"/>
    <w:rsid w:val="28611414"/>
    <w:rsid w:val="28674E9B"/>
    <w:rsid w:val="28675245"/>
    <w:rsid w:val="28682F1B"/>
    <w:rsid w:val="287178F4"/>
    <w:rsid w:val="287537D3"/>
    <w:rsid w:val="28777265"/>
    <w:rsid w:val="28795C84"/>
    <w:rsid w:val="287A4846"/>
    <w:rsid w:val="287B505E"/>
    <w:rsid w:val="287C41A1"/>
    <w:rsid w:val="287F5E66"/>
    <w:rsid w:val="28826D93"/>
    <w:rsid w:val="288309D3"/>
    <w:rsid w:val="28884063"/>
    <w:rsid w:val="288C2FF9"/>
    <w:rsid w:val="288F2F9A"/>
    <w:rsid w:val="288F5611"/>
    <w:rsid w:val="289423F3"/>
    <w:rsid w:val="2897599F"/>
    <w:rsid w:val="289B3F5C"/>
    <w:rsid w:val="28A20A4C"/>
    <w:rsid w:val="28AA428B"/>
    <w:rsid w:val="28B300BA"/>
    <w:rsid w:val="28B64015"/>
    <w:rsid w:val="28B745DC"/>
    <w:rsid w:val="28B9397F"/>
    <w:rsid w:val="28BF4752"/>
    <w:rsid w:val="28CE55C8"/>
    <w:rsid w:val="28DA277C"/>
    <w:rsid w:val="28DB742D"/>
    <w:rsid w:val="28DD2102"/>
    <w:rsid w:val="28E44735"/>
    <w:rsid w:val="28E60832"/>
    <w:rsid w:val="28E76298"/>
    <w:rsid w:val="28EB0782"/>
    <w:rsid w:val="28ED7B72"/>
    <w:rsid w:val="28EE026E"/>
    <w:rsid w:val="28EE2297"/>
    <w:rsid w:val="28F03157"/>
    <w:rsid w:val="28F11C08"/>
    <w:rsid w:val="28F1392B"/>
    <w:rsid w:val="28F66AC2"/>
    <w:rsid w:val="28F71845"/>
    <w:rsid w:val="28F82AA4"/>
    <w:rsid w:val="29006DAB"/>
    <w:rsid w:val="29084946"/>
    <w:rsid w:val="290970DD"/>
    <w:rsid w:val="29123AE9"/>
    <w:rsid w:val="29233A0E"/>
    <w:rsid w:val="29246990"/>
    <w:rsid w:val="29247EE2"/>
    <w:rsid w:val="29257697"/>
    <w:rsid w:val="29323E83"/>
    <w:rsid w:val="29340D33"/>
    <w:rsid w:val="293563CF"/>
    <w:rsid w:val="293875F5"/>
    <w:rsid w:val="293B2F99"/>
    <w:rsid w:val="293D7774"/>
    <w:rsid w:val="293E0220"/>
    <w:rsid w:val="293F7552"/>
    <w:rsid w:val="2942797D"/>
    <w:rsid w:val="29494272"/>
    <w:rsid w:val="294A6E2A"/>
    <w:rsid w:val="29570562"/>
    <w:rsid w:val="295C7152"/>
    <w:rsid w:val="29606564"/>
    <w:rsid w:val="296E1401"/>
    <w:rsid w:val="296E50EC"/>
    <w:rsid w:val="29720DC0"/>
    <w:rsid w:val="297F074B"/>
    <w:rsid w:val="29850180"/>
    <w:rsid w:val="29884C22"/>
    <w:rsid w:val="298B6C9A"/>
    <w:rsid w:val="298C1931"/>
    <w:rsid w:val="298C48F2"/>
    <w:rsid w:val="298D0699"/>
    <w:rsid w:val="29991F53"/>
    <w:rsid w:val="29A44037"/>
    <w:rsid w:val="29A513EB"/>
    <w:rsid w:val="29A9630E"/>
    <w:rsid w:val="29B26680"/>
    <w:rsid w:val="29BA71D3"/>
    <w:rsid w:val="29BC42FC"/>
    <w:rsid w:val="29BD4A81"/>
    <w:rsid w:val="29C37225"/>
    <w:rsid w:val="29CE10A9"/>
    <w:rsid w:val="29CF56EC"/>
    <w:rsid w:val="29D31EFC"/>
    <w:rsid w:val="29D56BC0"/>
    <w:rsid w:val="29D83C4D"/>
    <w:rsid w:val="29D96043"/>
    <w:rsid w:val="29DF50AF"/>
    <w:rsid w:val="29E318A3"/>
    <w:rsid w:val="2A006CED"/>
    <w:rsid w:val="2A0108DE"/>
    <w:rsid w:val="2A0534CF"/>
    <w:rsid w:val="2A073947"/>
    <w:rsid w:val="2A0A2AF0"/>
    <w:rsid w:val="2A0D60EA"/>
    <w:rsid w:val="2A1060BE"/>
    <w:rsid w:val="2A153CC4"/>
    <w:rsid w:val="2A183726"/>
    <w:rsid w:val="2A1B56DC"/>
    <w:rsid w:val="2A1C36C9"/>
    <w:rsid w:val="2A1F0593"/>
    <w:rsid w:val="2A2468C7"/>
    <w:rsid w:val="2A273336"/>
    <w:rsid w:val="2A2A16B4"/>
    <w:rsid w:val="2A352584"/>
    <w:rsid w:val="2A3617FC"/>
    <w:rsid w:val="2A382EF9"/>
    <w:rsid w:val="2A3A501F"/>
    <w:rsid w:val="2A3E5C57"/>
    <w:rsid w:val="2A493AF5"/>
    <w:rsid w:val="2A4A0DA6"/>
    <w:rsid w:val="2A4A454D"/>
    <w:rsid w:val="2A4E38DE"/>
    <w:rsid w:val="2A4F46AA"/>
    <w:rsid w:val="2A4F4BD1"/>
    <w:rsid w:val="2A500865"/>
    <w:rsid w:val="2A515183"/>
    <w:rsid w:val="2A576E18"/>
    <w:rsid w:val="2A581FC6"/>
    <w:rsid w:val="2A5A2406"/>
    <w:rsid w:val="2A5D14A7"/>
    <w:rsid w:val="2A5D500B"/>
    <w:rsid w:val="2A5E081E"/>
    <w:rsid w:val="2A617457"/>
    <w:rsid w:val="2A6234EF"/>
    <w:rsid w:val="2A645D51"/>
    <w:rsid w:val="2A657780"/>
    <w:rsid w:val="2A6D59AF"/>
    <w:rsid w:val="2A701A69"/>
    <w:rsid w:val="2A720875"/>
    <w:rsid w:val="2A777648"/>
    <w:rsid w:val="2A7B5516"/>
    <w:rsid w:val="2A7D0A86"/>
    <w:rsid w:val="2A7D5108"/>
    <w:rsid w:val="2A870DA0"/>
    <w:rsid w:val="2A8A2DF2"/>
    <w:rsid w:val="2A8C32C8"/>
    <w:rsid w:val="2A982058"/>
    <w:rsid w:val="2A9C02BD"/>
    <w:rsid w:val="2A9F6396"/>
    <w:rsid w:val="2AA12054"/>
    <w:rsid w:val="2AA9675E"/>
    <w:rsid w:val="2AB5727E"/>
    <w:rsid w:val="2AB61F07"/>
    <w:rsid w:val="2AB82A43"/>
    <w:rsid w:val="2ABB53D9"/>
    <w:rsid w:val="2ABF023E"/>
    <w:rsid w:val="2AC3240B"/>
    <w:rsid w:val="2ACB61A4"/>
    <w:rsid w:val="2AD45C3D"/>
    <w:rsid w:val="2AD77A29"/>
    <w:rsid w:val="2ADE48E5"/>
    <w:rsid w:val="2AE03EE7"/>
    <w:rsid w:val="2AE04A2F"/>
    <w:rsid w:val="2AE41CCA"/>
    <w:rsid w:val="2AE75AEF"/>
    <w:rsid w:val="2AF1150E"/>
    <w:rsid w:val="2AF23091"/>
    <w:rsid w:val="2AF35225"/>
    <w:rsid w:val="2AF4622C"/>
    <w:rsid w:val="2AF85994"/>
    <w:rsid w:val="2AFD4847"/>
    <w:rsid w:val="2AFE28F7"/>
    <w:rsid w:val="2B02288F"/>
    <w:rsid w:val="2B0322FF"/>
    <w:rsid w:val="2B055519"/>
    <w:rsid w:val="2B0B011B"/>
    <w:rsid w:val="2B1232B5"/>
    <w:rsid w:val="2B16419A"/>
    <w:rsid w:val="2B2C3D51"/>
    <w:rsid w:val="2B2D6D34"/>
    <w:rsid w:val="2B325553"/>
    <w:rsid w:val="2B3A3424"/>
    <w:rsid w:val="2B423461"/>
    <w:rsid w:val="2B434906"/>
    <w:rsid w:val="2B437110"/>
    <w:rsid w:val="2B4719A6"/>
    <w:rsid w:val="2B481F81"/>
    <w:rsid w:val="2B4C13DB"/>
    <w:rsid w:val="2B4D3727"/>
    <w:rsid w:val="2B52660D"/>
    <w:rsid w:val="2B5824CE"/>
    <w:rsid w:val="2B5D2696"/>
    <w:rsid w:val="2B5E3730"/>
    <w:rsid w:val="2B617B86"/>
    <w:rsid w:val="2B673AF7"/>
    <w:rsid w:val="2B6866B6"/>
    <w:rsid w:val="2B6E79B7"/>
    <w:rsid w:val="2B710205"/>
    <w:rsid w:val="2B81312F"/>
    <w:rsid w:val="2B830B12"/>
    <w:rsid w:val="2B864263"/>
    <w:rsid w:val="2B871724"/>
    <w:rsid w:val="2B8B610C"/>
    <w:rsid w:val="2B8C154C"/>
    <w:rsid w:val="2B952668"/>
    <w:rsid w:val="2B9C0A5F"/>
    <w:rsid w:val="2B9C74C3"/>
    <w:rsid w:val="2BA04A1F"/>
    <w:rsid w:val="2BA0660B"/>
    <w:rsid w:val="2BA630B5"/>
    <w:rsid w:val="2BA86F19"/>
    <w:rsid w:val="2BAD5413"/>
    <w:rsid w:val="2BB16F07"/>
    <w:rsid w:val="2BB24D89"/>
    <w:rsid w:val="2BBF270A"/>
    <w:rsid w:val="2BC723A6"/>
    <w:rsid w:val="2BCB0263"/>
    <w:rsid w:val="2BCE3A65"/>
    <w:rsid w:val="2BD07AFB"/>
    <w:rsid w:val="2BD117B2"/>
    <w:rsid w:val="2BD56956"/>
    <w:rsid w:val="2BE8504E"/>
    <w:rsid w:val="2BEF1DB1"/>
    <w:rsid w:val="2BF07A95"/>
    <w:rsid w:val="2BF10878"/>
    <w:rsid w:val="2BF67C9C"/>
    <w:rsid w:val="2BFB5C13"/>
    <w:rsid w:val="2C002302"/>
    <w:rsid w:val="2C03100A"/>
    <w:rsid w:val="2C0C409A"/>
    <w:rsid w:val="2C1211FE"/>
    <w:rsid w:val="2C161269"/>
    <w:rsid w:val="2C227C69"/>
    <w:rsid w:val="2C255178"/>
    <w:rsid w:val="2C2C3640"/>
    <w:rsid w:val="2C2E19B0"/>
    <w:rsid w:val="2C3175D5"/>
    <w:rsid w:val="2C347C1D"/>
    <w:rsid w:val="2C375C75"/>
    <w:rsid w:val="2C386F30"/>
    <w:rsid w:val="2C397E9D"/>
    <w:rsid w:val="2C3C1146"/>
    <w:rsid w:val="2C3D5AE5"/>
    <w:rsid w:val="2C471AF8"/>
    <w:rsid w:val="2C4A17EC"/>
    <w:rsid w:val="2C4A5FAA"/>
    <w:rsid w:val="2C5E3EB6"/>
    <w:rsid w:val="2C67330B"/>
    <w:rsid w:val="2C6F7045"/>
    <w:rsid w:val="2C726707"/>
    <w:rsid w:val="2C7A6EAB"/>
    <w:rsid w:val="2C835338"/>
    <w:rsid w:val="2C85044E"/>
    <w:rsid w:val="2C8C0839"/>
    <w:rsid w:val="2C8C59AA"/>
    <w:rsid w:val="2C8D3A66"/>
    <w:rsid w:val="2C8F3E83"/>
    <w:rsid w:val="2C930B6E"/>
    <w:rsid w:val="2C956D22"/>
    <w:rsid w:val="2C9605EA"/>
    <w:rsid w:val="2C962B0F"/>
    <w:rsid w:val="2C9A2083"/>
    <w:rsid w:val="2C9D4570"/>
    <w:rsid w:val="2CA011D5"/>
    <w:rsid w:val="2CA51306"/>
    <w:rsid w:val="2CA64265"/>
    <w:rsid w:val="2CAD55B5"/>
    <w:rsid w:val="2CB17563"/>
    <w:rsid w:val="2CB90C8F"/>
    <w:rsid w:val="2CBC7C58"/>
    <w:rsid w:val="2CC408AE"/>
    <w:rsid w:val="2CC41E58"/>
    <w:rsid w:val="2CCB53B7"/>
    <w:rsid w:val="2CCC507D"/>
    <w:rsid w:val="2CCE6B69"/>
    <w:rsid w:val="2CD15FA4"/>
    <w:rsid w:val="2CD72920"/>
    <w:rsid w:val="2CDF3643"/>
    <w:rsid w:val="2CEC3CE2"/>
    <w:rsid w:val="2CEE3F6F"/>
    <w:rsid w:val="2CF42658"/>
    <w:rsid w:val="2CF50DE1"/>
    <w:rsid w:val="2CF94186"/>
    <w:rsid w:val="2CFB1533"/>
    <w:rsid w:val="2D036404"/>
    <w:rsid w:val="2D036D87"/>
    <w:rsid w:val="2D0419E9"/>
    <w:rsid w:val="2D04586F"/>
    <w:rsid w:val="2D0F13B5"/>
    <w:rsid w:val="2D1219DA"/>
    <w:rsid w:val="2D1D1858"/>
    <w:rsid w:val="2D1E06F4"/>
    <w:rsid w:val="2D23206C"/>
    <w:rsid w:val="2D2A4D13"/>
    <w:rsid w:val="2D2C71AB"/>
    <w:rsid w:val="2D322095"/>
    <w:rsid w:val="2D3237F3"/>
    <w:rsid w:val="2D3737CC"/>
    <w:rsid w:val="2D3928CA"/>
    <w:rsid w:val="2D3B4E1A"/>
    <w:rsid w:val="2D410ECC"/>
    <w:rsid w:val="2D4662AA"/>
    <w:rsid w:val="2D595FCE"/>
    <w:rsid w:val="2D606DE9"/>
    <w:rsid w:val="2D622F94"/>
    <w:rsid w:val="2D683446"/>
    <w:rsid w:val="2D6D668C"/>
    <w:rsid w:val="2D6D7DB9"/>
    <w:rsid w:val="2D725E00"/>
    <w:rsid w:val="2D756501"/>
    <w:rsid w:val="2D8378CA"/>
    <w:rsid w:val="2D8712D1"/>
    <w:rsid w:val="2D8C3D88"/>
    <w:rsid w:val="2D99571E"/>
    <w:rsid w:val="2DA15526"/>
    <w:rsid w:val="2DA1697F"/>
    <w:rsid w:val="2DA50EC1"/>
    <w:rsid w:val="2DAB6A8A"/>
    <w:rsid w:val="2DAB7308"/>
    <w:rsid w:val="2DAE5076"/>
    <w:rsid w:val="2DB24574"/>
    <w:rsid w:val="2DB66A94"/>
    <w:rsid w:val="2DBA6B23"/>
    <w:rsid w:val="2DBF44E3"/>
    <w:rsid w:val="2DC503B2"/>
    <w:rsid w:val="2DC575AF"/>
    <w:rsid w:val="2DCE0149"/>
    <w:rsid w:val="2DD53631"/>
    <w:rsid w:val="2DD97CD5"/>
    <w:rsid w:val="2DDD2EC9"/>
    <w:rsid w:val="2DE56D93"/>
    <w:rsid w:val="2DF326E1"/>
    <w:rsid w:val="2DF36496"/>
    <w:rsid w:val="2DF520E7"/>
    <w:rsid w:val="2DF633E8"/>
    <w:rsid w:val="2DF86F05"/>
    <w:rsid w:val="2DFB3E85"/>
    <w:rsid w:val="2DFF3A0D"/>
    <w:rsid w:val="2E05761E"/>
    <w:rsid w:val="2E0778A3"/>
    <w:rsid w:val="2E0B2ED8"/>
    <w:rsid w:val="2E103836"/>
    <w:rsid w:val="2E127196"/>
    <w:rsid w:val="2E17669C"/>
    <w:rsid w:val="2E1B77DD"/>
    <w:rsid w:val="2E1B7AD5"/>
    <w:rsid w:val="2E226D8B"/>
    <w:rsid w:val="2E284856"/>
    <w:rsid w:val="2E29214A"/>
    <w:rsid w:val="2E2947D8"/>
    <w:rsid w:val="2E2D6F4F"/>
    <w:rsid w:val="2E2F6125"/>
    <w:rsid w:val="2E3A21AD"/>
    <w:rsid w:val="2E401265"/>
    <w:rsid w:val="2E401423"/>
    <w:rsid w:val="2E486DFD"/>
    <w:rsid w:val="2E492601"/>
    <w:rsid w:val="2E501AE8"/>
    <w:rsid w:val="2E513149"/>
    <w:rsid w:val="2E5569AB"/>
    <w:rsid w:val="2E583E76"/>
    <w:rsid w:val="2E67393A"/>
    <w:rsid w:val="2E6C67AA"/>
    <w:rsid w:val="2E6F1DEF"/>
    <w:rsid w:val="2E99703D"/>
    <w:rsid w:val="2EA00717"/>
    <w:rsid w:val="2EA20F28"/>
    <w:rsid w:val="2EA40CA4"/>
    <w:rsid w:val="2EAD2997"/>
    <w:rsid w:val="2EAF6DA3"/>
    <w:rsid w:val="2EB63ED9"/>
    <w:rsid w:val="2EC36695"/>
    <w:rsid w:val="2ECC04C2"/>
    <w:rsid w:val="2ECE7122"/>
    <w:rsid w:val="2ED20F83"/>
    <w:rsid w:val="2ED3195C"/>
    <w:rsid w:val="2ED64D14"/>
    <w:rsid w:val="2ED71DE3"/>
    <w:rsid w:val="2EDB7187"/>
    <w:rsid w:val="2EE36F29"/>
    <w:rsid w:val="2EED6C57"/>
    <w:rsid w:val="2EFF4C28"/>
    <w:rsid w:val="2F03795E"/>
    <w:rsid w:val="2F041A0E"/>
    <w:rsid w:val="2F075E3A"/>
    <w:rsid w:val="2F1E6EF9"/>
    <w:rsid w:val="2F2336A6"/>
    <w:rsid w:val="2F292FDE"/>
    <w:rsid w:val="2F305E79"/>
    <w:rsid w:val="2F313F67"/>
    <w:rsid w:val="2F352EAE"/>
    <w:rsid w:val="2F395281"/>
    <w:rsid w:val="2F3C40A5"/>
    <w:rsid w:val="2F3E2B2E"/>
    <w:rsid w:val="2F432A8A"/>
    <w:rsid w:val="2F46250D"/>
    <w:rsid w:val="2F482C07"/>
    <w:rsid w:val="2F4921F8"/>
    <w:rsid w:val="2F492F33"/>
    <w:rsid w:val="2F493BCF"/>
    <w:rsid w:val="2F4A3E20"/>
    <w:rsid w:val="2F4A7832"/>
    <w:rsid w:val="2F593BB0"/>
    <w:rsid w:val="2F5D74EB"/>
    <w:rsid w:val="2F73764A"/>
    <w:rsid w:val="2F76093A"/>
    <w:rsid w:val="2F7B45A3"/>
    <w:rsid w:val="2F7E75D5"/>
    <w:rsid w:val="2F8439DC"/>
    <w:rsid w:val="2F861667"/>
    <w:rsid w:val="2F897959"/>
    <w:rsid w:val="2F8C4B69"/>
    <w:rsid w:val="2F94759F"/>
    <w:rsid w:val="2F950560"/>
    <w:rsid w:val="2F96637F"/>
    <w:rsid w:val="2F9C5A7F"/>
    <w:rsid w:val="2F9D7CB5"/>
    <w:rsid w:val="2FA13114"/>
    <w:rsid w:val="2FA60853"/>
    <w:rsid w:val="2FAC47F2"/>
    <w:rsid w:val="2FB4591E"/>
    <w:rsid w:val="2FC552B2"/>
    <w:rsid w:val="2FC57661"/>
    <w:rsid w:val="2FCA1879"/>
    <w:rsid w:val="2FCB3F49"/>
    <w:rsid w:val="2FCB5C70"/>
    <w:rsid w:val="2FCB63FF"/>
    <w:rsid w:val="2FCE2E3E"/>
    <w:rsid w:val="2FCE69DC"/>
    <w:rsid w:val="2FD14541"/>
    <w:rsid w:val="2FD14E8F"/>
    <w:rsid w:val="2FDE7C2E"/>
    <w:rsid w:val="2FE9399A"/>
    <w:rsid w:val="2FF14910"/>
    <w:rsid w:val="2FF70D5E"/>
    <w:rsid w:val="2FFA779F"/>
    <w:rsid w:val="300025F5"/>
    <w:rsid w:val="30056FF5"/>
    <w:rsid w:val="300A6B7B"/>
    <w:rsid w:val="300C7328"/>
    <w:rsid w:val="300D2ADF"/>
    <w:rsid w:val="30101C78"/>
    <w:rsid w:val="30122FDE"/>
    <w:rsid w:val="30163006"/>
    <w:rsid w:val="3016794D"/>
    <w:rsid w:val="301A1733"/>
    <w:rsid w:val="302317E0"/>
    <w:rsid w:val="3023765B"/>
    <w:rsid w:val="30255DC1"/>
    <w:rsid w:val="30263D32"/>
    <w:rsid w:val="30284FAD"/>
    <w:rsid w:val="302B33DC"/>
    <w:rsid w:val="302D1838"/>
    <w:rsid w:val="30332E5F"/>
    <w:rsid w:val="3044198B"/>
    <w:rsid w:val="30481E73"/>
    <w:rsid w:val="304920C7"/>
    <w:rsid w:val="304C2B03"/>
    <w:rsid w:val="30535F61"/>
    <w:rsid w:val="30587482"/>
    <w:rsid w:val="305C08EA"/>
    <w:rsid w:val="305D0F90"/>
    <w:rsid w:val="305F0ADB"/>
    <w:rsid w:val="30662129"/>
    <w:rsid w:val="30672D0C"/>
    <w:rsid w:val="30703E3D"/>
    <w:rsid w:val="30741328"/>
    <w:rsid w:val="307E1B51"/>
    <w:rsid w:val="307F52A3"/>
    <w:rsid w:val="30805281"/>
    <w:rsid w:val="3082161C"/>
    <w:rsid w:val="30827962"/>
    <w:rsid w:val="30867B07"/>
    <w:rsid w:val="30886612"/>
    <w:rsid w:val="308C3BF0"/>
    <w:rsid w:val="309762F0"/>
    <w:rsid w:val="30985799"/>
    <w:rsid w:val="309C1287"/>
    <w:rsid w:val="309C779E"/>
    <w:rsid w:val="309F45D5"/>
    <w:rsid w:val="30A36EA0"/>
    <w:rsid w:val="30A61190"/>
    <w:rsid w:val="30A61F69"/>
    <w:rsid w:val="30A937C9"/>
    <w:rsid w:val="30AA03E1"/>
    <w:rsid w:val="30AE11EB"/>
    <w:rsid w:val="30AE3CF3"/>
    <w:rsid w:val="30B34516"/>
    <w:rsid w:val="30B361A9"/>
    <w:rsid w:val="30C11B5A"/>
    <w:rsid w:val="30C93ED6"/>
    <w:rsid w:val="30CB1DFA"/>
    <w:rsid w:val="30D21CEA"/>
    <w:rsid w:val="30D32B22"/>
    <w:rsid w:val="30D47CF7"/>
    <w:rsid w:val="30DB2A51"/>
    <w:rsid w:val="30DB700C"/>
    <w:rsid w:val="30DE7D64"/>
    <w:rsid w:val="30E1393B"/>
    <w:rsid w:val="30EE549B"/>
    <w:rsid w:val="30F15916"/>
    <w:rsid w:val="30F26A3B"/>
    <w:rsid w:val="30F71D58"/>
    <w:rsid w:val="30F722A5"/>
    <w:rsid w:val="31001353"/>
    <w:rsid w:val="310B2C7B"/>
    <w:rsid w:val="310E49D1"/>
    <w:rsid w:val="31152065"/>
    <w:rsid w:val="311E66F1"/>
    <w:rsid w:val="312024D3"/>
    <w:rsid w:val="31205CF4"/>
    <w:rsid w:val="31210BB1"/>
    <w:rsid w:val="31222DDE"/>
    <w:rsid w:val="3123043E"/>
    <w:rsid w:val="31231A22"/>
    <w:rsid w:val="312D2520"/>
    <w:rsid w:val="31334060"/>
    <w:rsid w:val="31395BC9"/>
    <w:rsid w:val="31400DB8"/>
    <w:rsid w:val="31425796"/>
    <w:rsid w:val="31441857"/>
    <w:rsid w:val="31571ED2"/>
    <w:rsid w:val="31584D56"/>
    <w:rsid w:val="31694176"/>
    <w:rsid w:val="316A56A8"/>
    <w:rsid w:val="316C5E58"/>
    <w:rsid w:val="316E7D47"/>
    <w:rsid w:val="316F7444"/>
    <w:rsid w:val="317B4E0F"/>
    <w:rsid w:val="317E4B44"/>
    <w:rsid w:val="318007A3"/>
    <w:rsid w:val="31861C27"/>
    <w:rsid w:val="31893694"/>
    <w:rsid w:val="318B7226"/>
    <w:rsid w:val="318C393F"/>
    <w:rsid w:val="318E032D"/>
    <w:rsid w:val="31973F0A"/>
    <w:rsid w:val="31A43E03"/>
    <w:rsid w:val="31A44C44"/>
    <w:rsid w:val="31A464F8"/>
    <w:rsid w:val="31A62D5E"/>
    <w:rsid w:val="31A84F0C"/>
    <w:rsid w:val="31A94970"/>
    <w:rsid w:val="31AC662D"/>
    <w:rsid w:val="31BA30FB"/>
    <w:rsid w:val="31C11439"/>
    <w:rsid w:val="31C11713"/>
    <w:rsid w:val="31C61555"/>
    <w:rsid w:val="31C6433C"/>
    <w:rsid w:val="31C65883"/>
    <w:rsid w:val="31C8106B"/>
    <w:rsid w:val="31CA4A7C"/>
    <w:rsid w:val="31D47C06"/>
    <w:rsid w:val="31DA4D95"/>
    <w:rsid w:val="31DE5CBA"/>
    <w:rsid w:val="31E165E5"/>
    <w:rsid w:val="31EB2C78"/>
    <w:rsid w:val="31ED7592"/>
    <w:rsid w:val="31F51BA0"/>
    <w:rsid w:val="32037172"/>
    <w:rsid w:val="320967A0"/>
    <w:rsid w:val="320B5311"/>
    <w:rsid w:val="320C051B"/>
    <w:rsid w:val="32161366"/>
    <w:rsid w:val="321652E0"/>
    <w:rsid w:val="321759AB"/>
    <w:rsid w:val="321971E9"/>
    <w:rsid w:val="322546BE"/>
    <w:rsid w:val="322F2C7C"/>
    <w:rsid w:val="32344A6A"/>
    <w:rsid w:val="32350C17"/>
    <w:rsid w:val="323853D4"/>
    <w:rsid w:val="323C71A0"/>
    <w:rsid w:val="323F41E6"/>
    <w:rsid w:val="32410D00"/>
    <w:rsid w:val="3241653E"/>
    <w:rsid w:val="32424610"/>
    <w:rsid w:val="32437C4F"/>
    <w:rsid w:val="324D587C"/>
    <w:rsid w:val="324F13E1"/>
    <w:rsid w:val="325A60E7"/>
    <w:rsid w:val="32662B6C"/>
    <w:rsid w:val="32722968"/>
    <w:rsid w:val="32781467"/>
    <w:rsid w:val="32787A37"/>
    <w:rsid w:val="327B6DEF"/>
    <w:rsid w:val="327D3F6A"/>
    <w:rsid w:val="327F1E46"/>
    <w:rsid w:val="32834268"/>
    <w:rsid w:val="3289365C"/>
    <w:rsid w:val="32911F8C"/>
    <w:rsid w:val="3294471A"/>
    <w:rsid w:val="3299201F"/>
    <w:rsid w:val="32995C9E"/>
    <w:rsid w:val="32A1150C"/>
    <w:rsid w:val="32A47E80"/>
    <w:rsid w:val="32B437DF"/>
    <w:rsid w:val="32BB3488"/>
    <w:rsid w:val="32C25BFF"/>
    <w:rsid w:val="32C97A35"/>
    <w:rsid w:val="32CB157E"/>
    <w:rsid w:val="32CD206B"/>
    <w:rsid w:val="32CE0A23"/>
    <w:rsid w:val="32D560F7"/>
    <w:rsid w:val="32D67862"/>
    <w:rsid w:val="32DA58C4"/>
    <w:rsid w:val="32E2791B"/>
    <w:rsid w:val="32E62BF8"/>
    <w:rsid w:val="32E9477D"/>
    <w:rsid w:val="32EB0977"/>
    <w:rsid w:val="32F2114A"/>
    <w:rsid w:val="32F405C5"/>
    <w:rsid w:val="32F90571"/>
    <w:rsid w:val="330132F7"/>
    <w:rsid w:val="33013A45"/>
    <w:rsid w:val="33044C2E"/>
    <w:rsid w:val="33052009"/>
    <w:rsid w:val="33092ACD"/>
    <w:rsid w:val="330F00EC"/>
    <w:rsid w:val="330F1E73"/>
    <w:rsid w:val="330F519D"/>
    <w:rsid w:val="33117596"/>
    <w:rsid w:val="331E24A0"/>
    <w:rsid w:val="331E6004"/>
    <w:rsid w:val="331F58DE"/>
    <w:rsid w:val="33244E1F"/>
    <w:rsid w:val="33270BB6"/>
    <w:rsid w:val="33281BFF"/>
    <w:rsid w:val="332E3EF4"/>
    <w:rsid w:val="332E6329"/>
    <w:rsid w:val="3330276B"/>
    <w:rsid w:val="333251E5"/>
    <w:rsid w:val="333769BF"/>
    <w:rsid w:val="33417ECC"/>
    <w:rsid w:val="33420172"/>
    <w:rsid w:val="334362E3"/>
    <w:rsid w:val="33447BB0"/>
    <w:rsid w:val="3347004A"/>
    <w:rsid w:val="334E0F9F"/>
    <w:rsid w:val="33552E16"/>
    <w:rsid w:val="33570034"/>
    <w:rsid w:val="33590AD6"/>
    <w:rsid w:val="3363339F"/>
    <w:rsid w:val="33680508"/>
    <w:rsid w:val="336D6AA0"/>
    <w:rsid w:val="336E6D6C"/>
    <w:rsid w:val="336F1BF4"/>
    <w:rsid w:val="33716E00"/>
    <w:rsid w:val="337A73CB"/>
    <w:rsid w:val="337C64A9"/>
    <w:rsid w:val="338B0C39"/>
    <w:rsid w:val="338C7FA3"/>
    <w:rsid w:val="3390498F"/>
    <w:rsid w:val="33927E83"/>
    <w:rsid w:val="339654AD"/>
    <w:rsid w:val="33983656"/>
    <w:rsid w:val="33994A92"/>
    <w:rsid w:val="33996E23"/>
    <w:rsid w:val="339B6AAD"/>
    <w:rsid w:val="33A60872"/>
    <w:rsid w:val="33A81F51"/>
    <w:rsid w:val="33AD0E22"/>
    <w:rsid w:val="33B02489"/>
    <w:rsid w:val="33B149E8"/>
    <w:rsid w:val="33B464DB"/>
    <w:rsid w:val="33B87772"/>
    <w:rsid w:val="33C15907"/>
    <w:rsid w:val="33C32846"/>
    <w:rsid w:val="33C77188"/>
    <w:rsid w:val="33C92E92"/>
    <w:rsid w:val="33CB5A32"/>
    <w:rsid w:val="33CD2F59"/>
    <w:rsid w:val="33D43028"/>
    <w:rsid w:val="33D50A90"/>
    <w:rsid w:val="33F05275"/>
    <w:rsid w:val="33F07C41"/>
    <w:rsid w:val="33FA5F10"/>
    <w:rsid w:val="34027F61"/>
    <w:rsid w:val="3408164C"/>
    <w:rsid w:val="340E36E0"/>
    <w:rsid w:val="341869FF"/>
    <w:rsid w:val="341E5E2D"/>
    <w:rsid w:val="341F6E14"/>
    <w:rsid w:val="34202AEB"/>
    <w:rsid w:val="342B612C"/>
    <w:rsid w:val="342E7809"/>
    <w:rsid w:val="34313C29"/>
    <w:rsid w:val="34417299"/>
    <w:rsid w:val="344551A0"/>
    <w:rsid w:val="344C6A64"/>
    <w:rsid w:val="34545CA5"/>
    <w:rsid w:val="345B2AE4"/>
    <w:rsid w:val="345D54E8"/>
    <w:rsid w:val="346156B9"/>
    <w:rsid w:val="34651EE4"/>
    <w:rsid w:val="346A4A14"/>
    <w:rsid w:val="346D4674"/>
    <w:rsid w:val="34704512"/>
    <w:rsid w:val="347A4D6D"/>
    <w:rsid w:val="347E40D7"/>
    <w:rsid w:val="347F0647"/>
    <w:rsid w:val="348F2689"/>
    <w:rsid w:val="34907107"/>
    <w:rsid w:val="349128E9"/>
    <w:rsid w:val="34977706"/>
    <w:rsid w:val="34997C0F"/>
    <w:rsid w:val="349C194E"/>
    <w:rsid w:val="34A352A1"/>
    <w:rsid w:val="34A5746A"/>
    <w:rsid w:val="34A60066"/>
    <w:rsid w:val="34A941D6"/>
    <w:rsid w:val="34A955EF"/>
    <w:rsid w:val="34AD4B60"/>
    <w:rsid w:val="34B453EB"/>
    <w:rsid w:val="34B766BD"/>
    <w:rsid w:val="34B86825"/>
    <w:rsid w:val="34BA568B"/>
    <w:rsid w:val="34BB17F4"/>
    <w:rsid w:val="34C15E8B"/>
    <w:rsid w:val="34C2285C"/>
    <w:rsid w:val="34C8788D"/>
    <w:rsid w:val="34D131E1"/>
    <w:rsid w:val="34D232F0"/>
    <w:rsid w:val="34D80418"/>
    <w:rsid w:val="34D83C7C"/>
    <w:rsid w:val="34DA72E0"/>
    <w:rsid w:val="34DD0710"/>
    <w:rsid w:val="34EF75E9"/>
    <w:rsid w:val="34F07412"/>
    <w:rsid w:val="34F15705"/>
    <w:rsid w:val="34F24297"/>
    <w:rsid w:val="34FB4AD5"/>
    <w:rsid w:val="3501475C"/>
    <w:rsid w:val="350A07E8"/>
    <w:rsid w:val="351A4E5F"/>
    <w:rsid w:val="351B7C15"/>
    <w:rsid w:val="352E3CE7"/>
    <w:rsid w:val="352E59D3"/>
    <w:rsid w:val="35381D93"/>
    <w:rsid w:val="353B1834"/>
    <w:rsid w:val="353C4A0A"/>
    <w:rsid w:val="353F7E6A"/>
    <w:rsid w:val="3546655F"/>
    <w:rsid w:val="35481A29"/>
    <w:rsid w:val="35483BEF"/>
    <w:rsid w:val="35496999"/>
    <w:rsid w:val="354B48C1"/>
    <w:rsid w:val="354D466A"/>
    <w:rsid w:val="3550408A"/>
    <w:rsid w:val="355138B7"/>
    <w:rsid w:val="355B04B1"/>
    <w:rsid w:val="355E04E3"/>
    <w:rsid w:val="355F3AA6"/>
    <w:rsid w:val="35655492"/>
    <w:rsid w:val="35694117"/>
    <w:rsid w:val="356D1F68"/>
    <w:rsid w:val="356E6E56"/>
    <w:rsid w:val="35754BC2"/>
    <w:rsid w:val="357635BE"/>
    <w:rsid w:val="35772174"/>
    <w:rsid w:val="357770B1"/>
    <w:rsid w:val="35794AEA"/>
    <w:rsid w:val="35794CC7"/>
    <w:rsid w:val="35804E44"/>
    <w:rsid w:val="35885627"/>
    <w:rsid w:val="358877C1"/>
    <w:rsid w:val="358E37F0"/>
    <w:rsid w:val="358F57C4"/>
    <w:rsid w:val="359A2559"/>
    <w:rsid w:val="359A6B68"/>
    <w:rsid w:val="359D04F9"/>
    <w:rsid w:val="35A07901"/>
    <w:rsid w:val="35A329A6"/>
    <w:rsid w:val="35AB2128"/>
    <w:rsid w:val="35AD1C2C"/>
    <w:rsid w:val="35B30CEC"/>
    <w:rsid w:val="35BC6782"/>
    <w:rsid w:val="35C20688"/>
    <w:rsid w:val="35C62CAE"/>
    <w:rsid w:val="35D244EE"/>
    <w:rsid w:val="35D43AAF"/>
    <w:rsid w:val="35D735C9"/>
    <w:rsid w:val="35D83320"/>
    <w:rsid w:val="35DB135A"/>
    <w:rsid w:val="35DC1B1E"/>
    <w:rsid w:val="35F01A7F"/>
    <w:rsid w:val="35F470D4"/>
    <w:rsid w:val="35F60FD1"/>
    <w:rsid w:val="35F66CAB"/>
    <w:rsid w:val="35F8790B"/>
    <w:rsid w:val="3607035F"/>
    <w:rsid w:val="36077DAE"/>
    <w:rsid w:val="360F7BD1"/>
    <w:rsid w:val="3615317C"/>
    <w:rsid w:val="36181ECA"/>
    <w:rsid w:val="361E2C3D"/>
    <w:rsid w:val="362776A9"/>
    <w:rsid w:val="363133B6"/>
    <w:rsid w:val="3633228A"/>
    <w:rsid w:val="363340DC"/>
    <w:rsid w:val="36352C99"/>
    <w:rsid w:val="3636049F"/>
    <w:rsid w:val="363A763E"/>
    <w:rsid w:val="36405876"/>
    <w:rsid w:val="3648701C"/>
    <w:rsid w:val="365437B1"/>
    <w:rsid w:val="36561C41"/>
    <w:rsid w:val="36574074"/>
    <w:rsid w:val="3659141A"/>
    <w:rsid w:val="365C281A"/>
    <w:rsid w:val="365F789A"/>
    <w:rsid w:val="36666BD2"/>
    <w:rsid w:val="366A5629"/>
    <w:rsid w:val="36722626"/>
    <w:rsid w:val="36750402"/>
    <w:rsid w:val="36791083"/>
    <w:rsid w:val="367B02E6"/>
    <w:rsid w:val="367E1BE6"/>
    <w:rsid w:val="36831D80"/>
    <w:rsid w:val="368560F8"/>
    <w:rsid w:val="368577FB"/>
    <w:rsid w:val="368B780D"/>
    <w:rsid w:val="368D7D24"/>
    <w:rsid w:val="36957C31"/>
    <w:rsid w:val="36970B36"/>
    <w:rsid w:val="36A67F5C"/>
    <w:rsid w:val="36AC06E8"/>
    <w:rsid w:val="36B172AA"/>
    <w:rsid w:val="36B549A5"/>
    <w:rsid w:val="36C31F90"/>
    <w:rsid w:val="36CC13F9"/>
    <w:rsid w:val="36CD174B"/>
    <w:rsid w:val="36CD28DB"/>
    <w:rsid w:val="36D63B40"/>
    <w:rsid w:val="36DA485B"/>
    <w:rsid w:val="36DC17FC"/>
    <w:rsid w:val="36DF0A91"/>
    <w:rsid w:val="36E52F8D"/>
    <w:rsid w:val="36E96C53"/>
    <w:rsid w:val="36EB5473"/>
    <w:rsid w:val="36F074A4"/>
    <w:rsid w:val="36F1473D"/>
    <w:rsid w:val="36F457DB"/>
    <w:rsid w:val="36F91FB5"/>
    <w:rsid w:val="36F95FEB"/>
    <w:rsid w:val="36FC4F3A"/>
    <w:rsid w:val="37012757"/>
    <w:rsid w:val="37057E54"/>
    <w:rsid w:val="37166169"/>
    <w:rsid w:val="37213909"/>
    <w:rsid w:val="37213F7B"/>
    <w:rsid w:val="37224833"/>
    <w:rsid w:val="3725046B"/>
    <w:rsid w:val="37297CB0"/>
    <w:rsid w:val="372A4CE9"/>
    <w:rsid w:val="372C6993"/>
    <w:rsid w:val="372F24DD"/>
    <w:rsid w:val="3731629E"/>
    <w:rsid w:val="37323275"/>
    <w:rsid w:val="37364B9A"/>
    <w:rsid w:val="37384336"/>
    <w:rsid w:val="373A471D"/>
    <w:rsid w:val="373D541B"/>
    <w:rsid w:val="37450948"/>
    <w:rsid w:val="37463734"/>
    <w:rsid w:val="37472068"/>
    <w:rsid w:val="374C6D2E"/>
    <w:rsid w:val="37520374"/>
    <w:rsid w:val="375B3314"/>
    <w:rsid w:val="375F064D"/>
    <w:rsid w:val="375F5B95"/>
    <w:rsid w:val="376851CA"/>
    <w:rsid w:val="376B1DC0"/>
    <w:rsid w:val="376E3CE9"/>
    <w:rsid w:val="376E5474"/>
    <w:rsid w:val="376F3E90"/>
    <w:rsid w:val="37707BBE"/>
    <w:rsid w:val="377121F7"/>
    <w:rsid w:val="3775505C"/>
    <w:rsid w:val="377A1AA0"/>
    <w:rsid w:val="377C66F0"/>
    <w:rsid w:val="377D61B0"/>
    <w:rsid w:val="37815099"/>
    <w:rsid w:val="37892C7B"/>
    <w:rsid w:val="378A758F"/>
    <w:rsid w:val="378D1093"/>
    <w:rsid w:val="378F7544"/>
    <w:rsid w:val="379328FA"/>
    <w:rsid w:val="379D53FE"/>
    <w:rsid w:val="379E6E53"/>
    <w:rsid w:val="379F7FAE"/>
    <w:rsid w:val="37A8202C"/>
    <w:rsid w:val="37AE6E08"/>
    <w:rsid w:val="37B400FE"/>
    <w:rsid w:val="37B843A9"/>
    <w:rsid w:val="37B8746B"/>
    <w:rsid w:val="37BC3243"/>
    <w:rsid w:val="37BD1815"/>
    <w:rsid w:val="37C01932"/>
    <w:rsid w:val="37C115AA"/>
    <w:rsid w:val="37C16B42"/>
    <w:rsid w:val="37C320DC"/>
    <w:rsid w:val="37C36D51"/>
    <w:rsid w:val="37C8350B"/>
    <w:rsid w:val="37CC2B79"/>
    <w:rsid w:val="37CD6CB7"/>
    <w:rsid w:val="37CE3A50"/>
    <w:rsid w:val="37D14BFD"/>
    <w:rsid w:val="37D35F02"/>
    <w:rsid w:val="37D82A31"/>
    <w:rsid w:val="37DA4A9C"/>
    <w:rsid w:val="37DE3DC2"/>
    <w:rsid w:val="37E308C4"/>
    <w:rsid w:val="37E60D50"/>
    <w:rsid w:val="37E90C90"/>
    <w:rsid w:val="37EB5FF2"/>
    <w:rsid w:val="37EB742B"/>
    <w:rsid w:val="37EC7BC2"/>
    <w:rsid w:val="37EE5D61"/>
    <w:rsid w:val="37F005DC"/>
    <w:rsid w:val="37F572AF"/>
    <w:rsid w:val="37F61259"/>
    <w:rsid w:val="37FB58DC"/>
    <w:rsid w:val="38013BBF"/>
    <w:rsid w:val="38036901"/>
    <w:rsid w:val="380A1927"/>
    <w:rsid w:val="380C0B82"/>
    <w:rsid w:val="380E7416"/>
    <w:rsid w:val="380F167A"/>
    <w:rsid w:val="38187166"/>
    <w:rsid w:val="382406D8"/>
    <w:rsid w:val="3829742D"/>
    <w:rsid w:val="382A3E17"/>
    <w:rsid w:val="382D01D1"/>
    <w:rsid w:val="38310F5D"/>
    <w:rsid w:val="38312CBC"/>
    <w:rsid w:val="38327869"/>
    <w:rsid w:val="38332E47"/>
    <w:rsid w:val="38334951"/>
    <w:rsid w:val="383E3667"/>
    <w:rsid w:val="38412C2A"/>
    <w:rsid w:val="38431D54"/>
    <w:rsid w:val="38441A7B"/>
    <w:rsid w:val="38462776"/>
    <w:rsid w:val="3847715E"/>
    <w:rsid w:val="384A0815"/>
    <w:rsid w:val="38603BAE"/>
    <w:rsid w:val="386353B3"/>
    <w:rsid w:val="38651C77"/>
    <w:rsid w:val="38694C1C"/>
    <w:rsid w:val="386A72A8"/>
    <w:rsid w:val="386C295E"/>
    <w:rsid w:val="386D74FE"/>
    <w:rsid w:val="387365BA"/>
    <w:rsid w:val="38770DE3"/>
    <w:rsid w:val="387B78E9"/>
    <w:rsid w:val="387E6133"/>
    <w:rsid w:val="387F5B41"/>
    <w:rsid w:val="388165F3"/>
    <w:rsid w:val="388329EB"/>
    <w:rsid w:val="389221CC"/>
    <w:rsid w:val="389270FD"/>
    <w:rsid w:val="389571C6"/>
    <w:rsid w:val="38983BB4"/>
    <w:rsid w:val="389C0418"/>
    <w:rsid w:val="389F32B7"/>
    <w:rsid w:val="38A03C03"/>
    <w:rsid w:val="38A05182"/>
    <w:rsid w:val="38A53EC6"/>
    <w:rsid w:val="38A70B95"/>
    <w:rsid w:val="38A9160E"/>
    <w:rsid w:val="38AB53E7"/>
    <w:rsid w:val="38AF60AE"/>
    <w:rsid w:val="38B14588"/>
    <w:rsid w:val="38B505D0"/>
    <w:rsid w:val="38B5677B"/>
    <w:rsid w:val="38BA3386"/>
    <w:rsid w:val="38BC22ED"/>
    <w:rsid w:val="38BE1AEF"/>
    <w:rsid w:val="38C00005"/>
    <w:rsid w:val="38C06F01"/>
    <w:rsid w:val="38C21FA5"/>
    <w:rsid w:val="38C344F2"/>
    <w:rsid w:val="38C37C2E"/>
    <w:rsid w:val="38C657A8"/>
    <w:rsid w:val="38C832D8"/>
    <w:rsid w:val="38CD3241"/>
    <w:rsid w:val="38CE5E39"/>
    <w:rsid w:val="38D20FB0"/>
    <w:rsid w:val="38D40BFF"/>
    <w:rsid w:val="38D6056B"/>
    <w:rsid w:val="38D673ED"/>
    <w:rsid w:val="38D74043"/>
    <w:rsid w:val="38DA0AD9"/>
    <w:rsid w:val="38DE1A7D"/>
    <w:rsid w:val="38EB70A1"/>
    <w:rsid w:val="38EE05A0"/>
    <w:rsid w:val="38EE0CB8"/>
    <w:rsid w:val="38EF173C"/>
    <w:rsid w:val="38EF7439"/>
    <w:rsid w:val="38F117B0"/>
    <w:rsid w:val="38FC1464"/>
    <w:rsid w:val="390B08ED"/>
    <w:rsid w:val="390F1C37"/>
    <w:rsid w:val="391730E4"/>
    <w:rsid w:val="391921FC"/>
    <w:rsid w:val="391B0DF5"/>
    <w:rsid w:val="391C34F7"/>
    <w:rsid w:val="39200C3E"/>
    <w:rsid w:val="39266D04"/>
    <w:rsid w:val="39282058"/>
    <w:rsid w:val="392F715C"/>
    <w:rsid w:val="39396A32"/>
    <w:rsid w:val="39513428"/>
    <w:rsid w:val="395332C3"/>
    <w:rsid w:val="39596A78"/>
    <w:rsid w:val="395B7523"/>
    <w:rsid w:val="395F6930"/>
    <w:rsid w:val="39636934"/>
    <w:rsid w:val="39677CC5"/>
    <w:rsid w:val="396B3311"/>
    <w:rsid w:val="3971471E"/>
    <w:rsid w:val="3974084A"/>
    <w:rsid w:val="3978225A"/>
    <w:rsid w:val="39820308"/>
    <w:rsid w:val="39843B40"/>
    <w:rsid w:val="39847ADD"/>
    <w:rsid w:val="398C22AF"/>
    <w:rsid w:val="398E5B7C"/>
    <w:rsid w:val="399321BB"/>
    <w:rsid w:val="399A60C2"/>
    <w:rsid w:val="399A69CF"/>
    <w:rsid w:val="39A26099"/>
    <w:rsid w:val="39A303F8"/>
    <w:rsid w:val="39AD1C5F"/>
    <w:rsid w:val="39AF5BE1"/>
    <w:rsid w:val="39B61621"/>
    <w:rsid w:val="39C33C44"/>
    <w:rsid w:val="39CC117E"/>
    <w:rsid w:val="39D25F6B"/>
    <w:rsid w:val="39D30EB6"/>
    <w:rsid w:val="39D60B3A"/>
    <w:rsid w:val="39DD5580"/>
    <w:rsid w:val="39E04CD0"/>
    <w:rsid w:val="39EE397C"/>
    <w:rsid w:val="39EE65A0"/>
    <w:rsid w:val="39F14040"/>
    <w:rsid w:val="39F15C59"/>
    <w:rsid w:val="39F278DA"/>
    <w:rsid w:val="39F735E5"/>
    <w:rsid w:val="39F84623"/>
    <w:rsid w:val="3A00554D"/>
    <w:rsid w:val="3A087D60"/>
    <w:rsid w:val="3A092F08"/>
    <w:rsid w:val="3A0C3EC9"/>
    <w:rsid w:val="3A110DF7"/>
    <w:rsid w:val="3A2227F6"/>
    <w:rsid w:val="3A2461BF"/>
    <w:rsid w:val="3A2726FF"/>
    <w:rsid w:val="3A273CD1"/>
    <w:rsid w:val="3A32226F"/>
    <w:rsid w:val="3A3246B4"/>
    <w:rsid w:val="3A3A3114"/>
    <w:rsid w:val="3A3D444D"/>
    <w:rsid w:val="3A3E0C1F"/>
    <w:rsid w:val="3A415AC5"/>
    <w:rsid w:val="3A42015B"/>
    <w:rsid w:val="3A420160"/>
    <w:rsid w:val="3A4225F5"/>
    <w:rsid w:val="3A485EB3"/>
    <w:rsid w:val="3A510FD9"/>
    <w:rsid w:val="3A54717D"/>
    <w:rsid w:val="3A5B625C"/>
    <w:rsid w:val="3A5E03DB"/>
    <w:rsid w:val="3A632E00"/>
    <w:rsid w:val="3A6658FF"/>
    <w:rsid w:val="3A697DFB"/>
    <w:rsid w:val="3A6F5546"/>
    <w:rsid w:val="3A73421A"/>
    <w:rsid w:val="3A7B08AE"/>
    <w:rsid w:val="3A7B2A9E"/>
    <w:rsid w:val="3A7B522B"/>
    <w:rsid w:val="3A7F3D4C"/>
    <w:rsid w:val="3A8062C0"/>
    <w:rsid w:val="3A81684A"/>
    <w:rsid w:val="3A837F11"/>
    <w:rsid w:val="3A86411F"/>
    <w:rsid w:val="3A8B2159"/>
    <w:rsid w:val="3A8B4A45"/>
    <w:rsid w:val="3A985CF0"/>
    <w:rsid w:val="3A9F0BFE"/>
    <w:rsid w:val="3AA440D2"/>
    <w:rsid w:val="3AA53727"/>
    <w:rsid w:val="3AAC5D3D"/>
    <w:rsid w:val="3AB1338A"/>
    <w:rsid w:val="3AB21ED9"/>
    <w:rsid w:val="3AB7013D"/>
    <w:rsid w:val="3AB92067"/>
    <w:rsid w:val="3ABA6721"/>
    <w:rsid w:val="3ABE5998"/>
    <w:rsid w:val="3AC72EC4"/>
    <w:rsid w:val="3AD60B35"/>
    <w:rsid w:val="3AE107AF"/>
    <w:rsid w:val="3AE81D4C"/>
    <w:rsid w:val="3AE83AB9"/>
    <w:rsid w:val="3AEB7F0E"/>
    <w:rsid w:val="3AF25E83"/>
    <w:rsid w:val="3B031AED"/>
    <w:rsid w:val="3B036ECB"/>
    <w:rsid w:val="3B0D2CEA"/>
    <w:rsid w:val="3B154BFD"/>
    <w:rsid w:val="3B186613"/>
    <w:rsid w:val="3B1C6157"/>
    <w:rsid w:val="3B2450D7"/>
    <w:rsid w:val="3B271747"/>
    <w:rsid w:val="3B2B484A"/>
    <w:rsid w:val="3B3279A3"/>
    <w:rsid w:val="3B371F22"/>
    <w:rsid w:val="3B37334F"/>
    <w:rsid w:val="3B397398"/>
    <w:rsid w:val="3B3C51A8"/>
    <w:rsid w:val="3B3E4512"/>
    <w:rsid w:val="3B420CCF"/>
    <w:rsid w:val="3B431EBD"/>
    <w:rsid w:val="3B435F78"/>
    <w:rsid w:val="3B44684B"/>
    <w:rsid w:val="3B48756F"/>
    <w:rsid w:val="3B4C2253"/>
    <w:rsid w:val="3B6D11C5"/>
    <w:rsid w:val="3B6D76D3"/>
    <w:rsid w:val="3B723811"/>
    <w:rsid w:val="3B7B069D"/>
    <w:rsid w:val="3B843871"/>
    <w:rsid w:val="3B864C71"/>
    <w:rsid w:val="3B865C9B"/>
    <w:rsid w:val="3B876344"/>
    <w:rsid w:val="3B9213F6"/>
    <w:rsid w:val="3B952D9D"/>
    <w:rsid w:val="3B962EFF"/>
    <w:rsid w:val="3B98494B"/>
    <w:rsid w:val="3B9A6149"/>
    <w:rsid w:val="3BA1273E"/>
    <w:rsid w:val="3BA334D8"/>
    <w:rsid w:val="3BA6341E"/>
    <w:rsid w:val="3BAC1FB4"/>
    <w:rsid w:val="3BAD290B"/>
    <w:rsid w:val="3BB74A15"/>
    <w:rsid w:val="3BBB6281"/>
    <w:rsid w:val="3BC136BC"/>
    <w:rsid w:val="3BC7036D"/>
    <w:rsid w:val="3BCB48A2"/>
    <w:rsid w:val="3BCC2B1C"/>
    <w:rsid w:val="3BCD38FA"/>
    <w:rsid w:val="3BCE4918"/>
    <w:rsid w:val="3BDE026B"/>
    <w:rsid w:val="3BDE3F26"/>
    <w:rsid w:val="3BE445F4"/>
    <w:rsid w:val="3BED2711"/>
    <w:rsid w:val="3BF36816"/>
    <w:rsid w:val="3C147AB1"/>
    <w:rsid w:val="3C181FA8"/>
    <w:rsid w:val="3C19246F"/>
    <w:rsid w:val="3C1D1520"/>
    <w:rsid w:val="3C1D2032"/>
    <w:rsid w:val="3C245795"/>
    <w:rsid w:val="3C30391F"/>
    <w:rsid w:val="3C324BAD"/>
    <w:rsid w:val="3C3458F9"/>
    <w:rsid w:val="3C364579"/>
    <w:rsid w:val="3C3647F8"/>
    <w:rsid w:val="3C373487"/>
    <w:rsid w:val="3C393D89"/>
    <w:rsid w:val="3C3F475C"/>
    <w:rsid w:val="3C427213"/>
    <w:rsid w:val="3C452C76"/>
    <w:rsid w:val="3C4C2940"/>
    <w:rsid w:val="3C4D39A5"/>
    <w:rsid w:val="3C4F6F4B"/>
    <w:rsid w:val="3C5D55C1"/>
    <w:rsid w:val="3C604587"/>
    <w:rsid w:val="3C69676A"/>
    <w:rsid w:val="3C6A592B"/>
    <w:rsid w:val="3C6D353E"/>
    <w:rsid w:val="3C7A7BA2"/>
    <w:rsid w:val="3C830482"/>
    <w:rsid w:val="3C841B9D"/>
    <w:rsid w:val="3C846248"/>
    <w:rsid w:val="3C887E9D"/>
    <w:rsid w:val="3C893749"/>
    <w:rsid w:val="3C8C2575"/>
    <w:rsid w:val="3C8F3AEB"/>
    <w:rsid w:val="3C971588"/>
    <w:rsid w:val="3C9F5BAA"/>
    <w:rsid w:val="3CA82734"/>
    <w:rsid w:val="3CAE4946"/>
    <w:rsid w:val="3CC36928"/>
    <w:rsid w:val="3CCC0ABE"/>
    <w:rsid w:val="3CCF4C04"/>
    <w:rsid w:val="3CDB255C"/>
    <w:rsid w:val="3CDC7A8B"/>
    <w:rsid w:val="3CE47AB2"/>
    <w:rsid w:val="3CE81DA2"/>
    <w:rsid w:val="3CE85BEE"/>
    <w:rsid w:val="3CE917DC"/>
    <w:rsid w:val="3CED38A5"/>
    <w:rsid w:val="3CFB2E12"/>
    <w:rsid w:val="3D020C2A"/>
    <w:rsid w:val="3D037658"/>
    <w:rsid w:val="3D0913E5"/>
    <w:rsid w:val="3D0F7036"/>
    <w:rsid w:val="3D142F21"/>
    <w:rsid w:val="3D206991"/>
    <w:rsid w:val="3D24772E"/>
    <w:rsid w:val="3D280630"/>
    <w:rsid w:val="3D2A5E70"/>
    <w:rsid w:val="3D2D164F"/>
    <w:rsid w:val="3D2E32B3"/>
    <w:rsid w:val="3D380B90"/>
    <w:rsid w:val="3D3E5B5A"/>
    <w:rsid w:val="3D431857"/>
    <w:rsid w:val="3D4747A0"/>
    <w:rsid w:val="3D4E6886"/>
    <w:rsid w:val="3D4E78C4"/>
    <w:rsid w:val="3D5B5DFF"/>
    <w:rsid w:val="3D5D0EF6"/>
    <w:rsid w:val="3D5E050C"/>
    <w:rsid w:val="3D613A30"/>
    <w:rsid w:val="3D6D55F2"/>
    <w:rsid w:val="3D876A27"/>
    <w:rsid w:val="3D8B4292"/>
    <w:rsid w:val="3D8E0349"/>
    <w:rsid w:val="3D8F1598"/>
    <w:rsid w:val="3D8F7C87"/>
    <w:rsid w:val="3D957363"/>
    <w:rsid w:val="3D991BDB"/>
    <w:rsid w:val="3D9A6A54"/>
    <w:rsid w:val="3DA7269A"/>
    <w:rsid w:val="3DBE09B2"/>
    <w:rsid w:val="3DBE1F87"/>
    <w:rsid w:val="3DC22B8D"/>
    <w:rsid w:val="3DC37988"/>
    <w:rsid w:val="3DC674CD"/>
    <w:rsid w:val="3DD1197C"/>
    <w:rsid w:val="3DD46C4F"/>
    <w:rsid w:val="3DD8683F"/>
    <w:rsid w:val="3DDB5C0E"/>
    <w:rsid w:val="3DE82F7C"/>
    <w:rsid w:val="3DEA3C8E"/>
    <w:rsid w:val="3DF06B5F"/>
    <w:rsid w:val="3DF13B52"/>
    <w:rsid w:val="3DF204B8"/>
    <w:rsid w:val="3DF53AF1"/>
    <w:rsid w:val="3DF7661E"/>
    <w:rsid w:val="3DFC7727"/>
    <w:rsid w:val="3E026E89"/>
    <w:rsid w:val="3E03304F"/>
    <w:rsid w:val="3E0C52E0"/>
    <w:rsid w:val="3E0F0D3B"/>
    <w:rsid w:val="3E125C9D"/>
    <w:rsid w:val="3E136E55"/>
    <w:rsid w:val="3E153537"/>
    <w:rsid w:val="3E15393D"/>
    <w:rsid w:val="3E16610E"/>
    <w:rsid w:val="3E1B4564"/>
    <w:rsid w:val="3E280875"/>
    <w:rsid w:val="3E285C74"/>
    <w:rsid w:val="3E327154"/>
    <w:rsid w:val="3E3858FE"/>
    <w:rsid w:val="3E390BA9"/>
    <w:rsid w:val="3E3C597D"/>
    <w:rsid w:val="3E3D7A03"/>
    <w:rsid w:val="3E447245"/>
    <w:rsid w:val="3E516C1F"/>
    <w:rsid w:val="3E597DBB"/>
    <w:rsid w:val="3E5D1EBD"/>
    <w:rsid w:val="3E5F65C7"/>
    <w:rsid w:val="3E6416D0"/>
    <w:rsid w:val="3E6462CC"/>
    <w:rsid w:val="3E6A7581"/>
    <w:rsid w:val="3E7438B0"/>
    <w:rsid w:val="3E77508A"/>
    <w:rsid w:val="3E7A795E"/>
    <w:rsid w:val="3E7C7547"/>
    <w:rsid w:val="3E7E5894"/>
    <w:rsid w:val="3E85248B"/>
    <w:rsid w:val="3E853068"/>
    <w:rsid w:val="3E890916"/>
    <w:rsid w:val="3E91601E"/>
    <w:rsid w:val="3E98697E"/>
    <w:rsid w:val="3EA55A9E"/>
    <w:rsid w:val="3EAB5432"/>
    <w:rsid w:val="3EAF0FF3"/>
    <w:rsid w:val="3EB226C5"/>
    <w:rsid w:val="3EB4553D"/>
    <w:rsid w:val="3EB84DAE"/>
    <w:rsid w:val="3EBB52AD"/>
    <w:rsid w:val="3EC7038E"/>
    <w:rsid w:val="3ECC0191"/>
    <w:rsid w:val="3ECF4BD4"/>
    <w:rsid w:val="3ED041C2"/>
    <w:rsid w:val="3ED14975"/>
    <w:rsid w:val="3ED90A2C"/>
    <w:rsid w:val="3EDE5100"/>
    <w:rsid w:val="3EE21A6D"/>
    <w:rsid w:val="3EE52053"/>
    <w:rsid w:val="3EE74F1F"/>
    <w:rsid w:val="3EEC3682"/>
    <w:rsid w:val="3F0443B6"/>
    <w:rsid w:val="3F0968A1"/>
    <w:rsid w:val="3F0C25B7"/>
    <w:rsid w:val="3F124664"/>
    <w:rsid w:val="3F127A26"/>
    <w:rsid w:val="3F1504CF"/>
    <w:rsid w:val="3F181F3C"/>
    <w:rsid w:val="3F1959AD"/>
    <w:rsid w:val="3F1A2E72"/>
    <w:rsid w:val="3F1C1793"/>
    <w:rsid w:val="3F1F643F"/>
    <w:rsid w:val="3F203F4D"/>
    <w:rsid w:val="3F2E5CF8"/>
    <w:rsid w:val="3F317AA8"/>
    <w:rsid w:val="3F321175"/>
    <w:rsid w:val="3F351A3E"/>
    <w:rsid w:val="3F453235"/>
    <w:rsid w:val="3F4F61B7"/>
    <w:rsid w:val="3F535755"/>
    <w:rsid w:val="3F59522D"/>
    <w:rsid w:val="3F5F0581"/>
    <w:rsid w:val="3F6E2225"/>
    <w:rsid w:val="3F6E36C1"/>
    <w:rsid w:val="3F736387"/>
    <w:rsid w:val="3F7832E6"/>
    <w:rsid w:val="3F7A6D02"/>
    <w:rsid w:val="3F7D39F3"/>
    <w:rsid w:val="3F7D72A6"/>
    <w:rsid w:val="3F7E557C"/>
    <w:rsid w:val="3F7F286C"/>
    <w:rsid w:val="3F813A6F"/>
    <w:rsid w:val="3F854A01"/>
    <w:rsid w:val="3FA07042"/>
    <w:rsid w:val="3FA176A5"/>
    <w:rsid w:val="3FA779C2"/>
    <w:rsid w:val="3FAA5D40"/>
    <w:rsid w:val="3FAB3482"/>
    <w:rsid w:val="3FB818F7"/>
    <w:rsid w:val="3FBB5533"/>
    <w:rsid w:val="3FBD49A7"/>
    <w:rsid w:val="3FBE4F29"/>
    <w:rsid w:val="3FC6116A"/>
    <w:rsid w:val="3FCC34E3"/>
    <w:rsid w:val="3FD123DB"/>
    <w:rsid w:val="3FE75E4A"/>
    <w:rsid w:val="3FF03A5E"/>
    <w:rsid w:val="3FFC276A"/>
    <w:rsid w:val="3FFD77AE"/>
    <w:rsid w:val="40010A54"/>
    <w:rsid w:val="4001386E"/>
    <w:rsid w:val="4006561B"/>
    <w:rsid w:val="40093359"/>
    <w:rsid w:val="40184F15"/>
    <w:rsid w:val="402406BD"/>
    <w:rsid w:val="40291EFF"/>
    <w:rsid w:val="402A798F"/>
    <w:rsid w:val="40305911"/>
    <w:rsid w:val="40323492"/>
    <w:rsid w:val="403560E6"/>
    <w:rsid w:val="4039585E"/>
    <w:rsid w:val="403C0FC7"/>
    <w:rsid w:val="403F1480"/>
    <w:rsid w:val="40412A66"/>
    <w:rsid w:val="40430920"/>
    <w:rsid w:val="404576E6"/>
    <w:rsid w:val="40476C23"/>
    <w:rsid w:val="40487D1A"/>
    <w:rsid w:val="40530CAE"/>
    <w:rsid w:val="405454D9"/>
    <w:rsid w:val="405719FF"/>
    <w:rsid w:val="405C4887"/>
    <w:rsid w:val="405F367A"/>
    <w:rsid w:val="4066261D"/>
    <w:rsid w:val="40671CE5"/>
    <w:rsid w:val="40684AB2"/>
    <w:rsid w:val="406962B6"/>
    <w:rsid w:val="406C715C"/>
    <w:rsid w:val="407148AF"/>
    <w:rsid w:val="40764A0E"/>
    <w:rsid w:val="407812BE"/>
    <w:rsid w:val="407E1F0C"/>
    <w:rsid w:val="408427F4"/>
    <w:rsid w:val="408B6101"/>
    <w:rsid w:val="408E72DC"/>
    <w:rsid w:val="40957F84"/>
    <w:rsid w:val="40A20AC7"/>
    <w:rsid w:val="40A27FFA"/>
    <w:rsid w:val="40AC512A"/>
    <w:rsid w:val="40B30CE0"/>
    <w:rsid w:val="40B52CEA"/>
    <w:rsid w:val="40B854F8"/>
    <w:rsid w:val="40BF4E64"/>
    <w:rsid w:val="40C561C2"/>
    <w:rsid w:val="40C77D8A"/>
    <w:rsid w:val="40CA7769"/>
    <w:rsid w:val="40CA7BFE"/>
    <w:rsid w:val="40D71DA2"/>
    <w:rsid w:val="40DA6808"/>
    <w:rsid w:val="40DC53E6"/>
    <w:rsid w:val="40E4013C"/>
    <w:rsid w:val="40E8346E"/>
    <w:rsid w:val="40F042D3"/>
    <w:rsid w:val="40F3740F"/>
    <w:rsid w:val="40FD351A"/>
    <w:rsid w:val="41003812"/>
    <w:rsid w:val="41031076"/>
    <w:rsid w:val="41097C06"/>
    <w:rsid w:val="410E545E"/>
    <w:rsid w:val="4111613E"/>
    <w:rsid w:val="411A6145"/>
    <w:rsid w:val="411B20DF"/>
    <w:rsid w:val="411F46AA"/>
    <w:rsid w:val="41233F3F"/>
    <w:rsid w:val="412978F1"/>
    <w:rsid w:val="412D3262"/>
    <w:rsid w:val="413210C1"/>
    <w:rsid w:val="41330AC0"/>
    <w:rsid w:val="41336828"/>
    <w:rsid w:val="41365369"/>
    <w:rsid w:val="4140604A"/>
    <w:rsid w:val="4143017F"/>
    <w:rsid w:val="414A4661"/>
    <w:rsid w:val="414F69AC"/>
    <w:rsid w:val="414F7977"/>
    <w:rsid w:val="415307EE"/>
    <w:rsid w:val="41547AB2"/>
    <w:rsid w:val="415527D2"/>
    <w:rsid w:val="415826C2"/>
    <w:rsid w:val="415E0221"/>
    <w:rsid w:val="41634231"/>
    <w:rsid w:val="41777D24"/>
    <w:rsid w:val="417A4B5C"/>
    <w:rsid w:val="417C681C"/>
    <w:rsid w:val="417D4FD6"/>
    <w:rsid w:val="41825C90"/>
    <w:rsid w:val="41843C66"/>
    <w:rsid w:val="41882FF5"/>
    <w:rsid w:val="418B7F25"/>
    <w:rsid w:val="418C5202"/>
    <w:rsid w:val="418F05D4"/>
    <w:rsid w:val="41980696"/>
    <w:rsid w:val="419C7ECA"/>
    <w:rsid w:val="419E10CB"/>
    <w:rsid w:val="41A346D6"/>
    <w:rsid w:val="41A91994"/>
    <w:rsid w:val="41A95A0C"/>
    <w:rsid w:val="41AC7F03"/>
    <w:rsid w:val="41BA5CF3"/>
    <w:rsid w:val="41C75E6F"/>
    <w:rsid w:val="41CD33E8"/>
    <w:rsid w:val="41D71405"/>
    <w:rsid w:val="41DC1C6C"/>
    <w:rsid w:val="41E8524E"/>
    <w:rsid w:val="41F14EA2"/>
    <w:rsid w:val="41F21376"/>
    <w:rsid w:val="41F57F60"/>
    <w:rsid w:val="41F95573"/>
    <w:rsid w:val="41FD0C7F"/>
    <w:rsid w:val="42054484"/>
    <w:rsid w:val="420734BB"/>
    <w:rsid w:val="421728B5"/>
    <w:rsid w:val="4218444F"/>
    <w:rsid w:val="42253753"/>
    <w:rsid w:val="422B5C7D"/>
    <w:rsid w:val="423659ED"/>
    <w:rsid w:val="42377EDC"/>
    <w:rsid w:val="42383DEA"/>
    <w:rsid w:val="42383FAC"/>
    <w:rsid w:val="423D46F7"/>
    <w:rsid w:val="423E00F9"/>
    <w:rsid w:val="42547E07"/>
    <w:rsid w:val="4257535A"/>
    <w:rsid w:val="425C5EED"/>
    <w:rsid w:val="425D1AEE"/>
    <w:rsid w:val="425D408A"/>
    <w:rsid w:val="426366A7"/>
    <w:rsid w:val="426C7149"/>
    <w:rsid w:val="426D18F0"/>
    <w:rsid w:val="426F6A8C"/>
    <w:rsid w:val="42717BE4"/>
    <w:rsid w:val="427379C2"/>
    <w:rsid w:val="4275494B"/>
    <w:rsid w:val="42796560"/>
    <w:rsid w:val="427B1D74"/>
    <w:rsid w:val="427D35F9"/>
    <w:rsid w:val="4287317E"/>
    <w:rsid w:val="428E496A"/>
    <w:rsid w:val="429A315A"/>
    <w:rsid w:val="429C1AA2"/>
    <w:rsid w:val="42A17163"/>
    <w:rsid w:val="42A2513F"/>
    <w:rsid w:val="42A40539"/>
    <w:rsid w:val="42AB261B"/>
    <w:rsid w:val="42AF7356"/>
    <w:rsid w:val="42B01437"/>
    <w:rsid w:val="42B05840"/>
    <w:rsid w:val="42B158FB"/>
    <w:rsid w:val="42B33064"/>
    <w:rsid w:val="42BF416F"/>
    <w:rsid w:val="42C94564"/>
    <w:rsid w:val="42CC1620"/>
    <w:rsid w:val="42D06BB2"/>
    <w:rsid w:val="42D25C65"/>
    <w:rsid w:val="42DF267A"/>
    <w:rsid w:val="42E61575"/>
    <w:rsid w:val="42E838B6"/>
    <w:rsid w:val="42EA7FAA"/>
    <w:rsid w:val="42F30532"/>
    <w:rsid w:val="42F307E6"/>
    <w:rsid w:val="42F97090"/>
    <w:rsid w:val="42FA337A"/>
    <w:rsid w:val="430329FE"/>
    <w:rsid w:val="43035BA3"/>
    <w:rsid w:val="430645D0"/>
    <w:rsid w:val="430A48DD"/>
    <w:rsid w:val="430B3347"/>
    <w:rsid w:val="43117D54"/>
    <w:rsid w:val="431716B9"/>
    <w:rsid w:val="4318506F"/>
    <w:rsid w:val="431C5673"/>
    <w:rsid w:val="43225613"/>
    <w:rsid w:val="43276D29"/>
    <w:rsid w:val="43292155"/>
    <w:rsid w:val="43310604"/>
    <w:rsid w:val="433B5520"/>
    <w:rsid w:val="433E0E42"/>
    <w:rsid w:val="433F3896"/>
    <w:rsid w:val="43412649"/>
    <w:rsid w:val="434470C0"/>
    <w:rsid w:val="43481EC8"/>
    <w:rsid w:val="434B6BBE"/>
    <w:rsid w:val="434D0C0F"/>
    <w:rsid w:val="434E6C48"/>
    <w:rsid w:val="435A5765"/>
    <w:rsid w:val="437016FA"/>
    <w:rsid w:val="437209E6"/>
    <w:rsid w:val="43753FE7"/>
    <w:rsid w:val="43756BC2"/>
    <w:rsid w:val="43771A83"/>
    <w:rsid w:val="437761EE"/>
    <w:rsid w:val="437A7528"/>
    <w:rsid w:val="437B4F1C"/>
    <w:rsid w:val="437C5FE1"/>
    <w:rsid w:val="437E67A7"/>
    <w:rsid w:val="438405FE"/>
    <w:rsid w:val="43854374"/>
    <w:rsid w:val="4389310A"/>
    <w:rsid w:val="438C1E02"/>
    <w:rsid w:val="438C3EC4"/>
    <w:rsid w:val="4394441D"/>
    <w:rsid w:val="43962FD9"/>
    <w:rsid w:val="439848A1"/>
    <w:rsid w:val="439B2520"/>
    <w:rsid w:val="439D2088"/>
    <w:rsid w:val="43A30DAE"/>
    <w:rsid w:val="43A5580B"/>
    <w:rsid w:val="43AE0673"/>
    <w:rsid w:val="43AF35D4"/>
    <w:rsid w:val="43B308CF"/>
    <w:rsid w:val="43B43BAC"/>
    <w:rsid w:val="43B63B2E"/>
    <w:rsid w:val="43BE5C63"/>
    <w:rsid w:val="43C05E0E"/>
    <w:rsid w:val="43C32F39"/>
    <w:rsid w:val="43C334CE"/>
    <w:rsid w:val="43C94B88"/>
    <w:rsid w:val="43CB5353"/>
    <w:rsid w:val="43D326B6"/>
    <w:rsid w:val="43D4756E"/>
    <w:rsid w:val="43D876E8"/>
    <w:rsid w:val="43E9524E"/>
    <w:rsid w:val="43EA5B79"/>
    <w:rsid w:val="43F3525D"/>
    <w:rsid w:val="43F96BD5"/>
    <w:rsid w:val="4401565D"/>
    <w:rsid w:val="44103433"/>
    <w:rsid w:val="44112F12"/>
    <w:rsid w:val="44141151"/>
    <w:rsid w:val="441A38A9"/>
    <w:rsid w:val="441D25EF"/>
    <w:rsid w:val="4420308C"/>
    <w:rsid w:val="442243B7"/>
    <w:rsid w:val="44291625"/>
    <w:rsid w:val="442F6916"/>
    <w:rsid w:val="44332C7D"/>
    <w:rsid w:val="44406369"/>
    <w:rsid w:val="44477CF1"/>
    <w:rsid w:val="444959AB"/>
    <w:rsid w:val="444A3D52"/>
    <w:rsid w:val="444C381B"/>
    <w:rsid w:val="444C6367"/>
    <w:rsid w:val="444D0A92"/>
    <w:rsid w:val="44500EBF"/>
    <w:rsid w:val="44535956"/>
    <w:rsid w:val="44562335"/>
    <w:rsid w:val="445F1DB8"/>
    <w:rsid w:val="447040C3"/>
    <w:rsid w:val="44773963"/>
    <w:rsid w:val="447C5473"/>
    <w:rsid w:val="447E7525"/>
    <w:rsid w:val="448E428A"/>
    <w:rsid w:val="448F0523"/>
    <w:rsid w:val="448F0A23"/>
    <w:rsid w:val="448F1FEB"/>
    <w:rsid w:val="44931B8B"/>
    <w:rsid w:val="44982849"/>
    <w:rsid w:val="44A3273E"/>
    <w:rsid w:val="44B41524"/>
    <w:rsid w:val="44B520D7"/>
    <w:rsid w:val="44B54B5F"/>
    <w:rsid w:val="44BC38F8"/>
    <w:rsid w:val="44CC5C39"/>
    <w:rsid w:val="44D833DE"/>
    <w:rsid w:val="44DC57E3"/>
    <w:rsid w:val="44DF1498"/>
    <w:rsid w:val="44E0291D"/>
    <w:rsid w:val="44ED4F84"/>
    <w:rsid w:val="44F0225F"/>
    <w:rsid w:val="450B59A8"/>
    <w:rsid w:val="45122583"/>
    <w:rsid w:val="45193561"/>
    <w:rsid w:val="451A12DE"/>
    <w:rsid w:val="451A5CDE"/>
    <w:rsid w:val="452656C6"/>
    <w:rsid w:val="45272950"/>
    <w:rsid w:val="452A090D"/>
    <w:rsid w:val="452C24F1"/>
    <w:rsid w:val="453D02D3"/>
    <w:rsid w:val="453E1F9A"/>
    <w:rsid w:val="454006A2"/>
    <w:rsid w:val="454541F2"/>
    <w:rsid w:val="454632D4"/>
    <w:rsid w:val="454B3FF6"/>
    <w:rsid w:val="454F5524"/>
    <w:rsid w:val="454F7F8B"/>
    <w:rsid w:val="455B72C0"/>
    <w:rsid w:val="455E5973"/>
    <w:rsid w:val="456448FE"/>
    <w:rsid w:val="45675870"/>
    <w:rsid w:val="456B7A5A"/>
    <w:rsid w:val="456D416C"/>
    <w:rsid w:val="45742AF0"/>
    <w:rsid w:val="45760CED"/>
    <w:rsid w:val="457C2368"/>
    <w:rsid w:val="457D0D84"/>
    <w:rsid w:val="457F4BF0"/>
    <w:rsid w:val="458862EF"/>
    <w:rsid w:val="4590429A"/>
    <w:rsid w:val="45966BA1"/>
    <w:rsid w:val="45A43C26"/>
    <w:rsid w:val="45A47CD5"/>
    <w:rsid w:val="45A56BBA"/>
    <w:rsid w:val="45B14821"/>
    <w:rsid w:val="45B33B6F"/>
    <w:rsid w:val="45BE4593"/>
    <w:rsid w:val="45BE752E"/>
    <w:rsid w:val="45C47A93"/>
    <w:rsid w:val="45C80374"/>
    <w:rsid w:val="45C85795"/>
    <w:rsid w:val="45C95536"/>
    <w:rsid w:val="45C95DD5"/>
    <w:rsid w:val="45CA0FAA"/>
    <w:rsid w:val="45D109A0"/>
    <w:rsid w:val="45D46FF1"/>
    <w:rsid w:val="45D935F0"/>
    <w:rsid w:val="45DA7DCA"/>
    <w:rsid w:val="45E0684A"/>
    <w:rsid w:val="45E7209F"/>
    <w:rsid w:val="45F06F73"/>
    <w:rsid w:val="45F61CDA"/>
    <w:rsid w:val="45F957EC"/>
    <w:rsid w:val="45FA14D2"/>
    <w:rsid w:val="460D74FE"/>
    <w:rsid w:val="460E49F3"/>
    <w:rsid w:val="460F4D7A"/>
    <w:rsid w:val="461039C3"/>
    <w:rsid w:val="46173CBE"/>
    <w:rsid w:val="4617609A"/>
    <w:rsid w:val="461F7F65"/>
    <w:rsid w:val="46206CDE"/>
    <w:rsid w:val="46255559"/>
    <w:rsid w:val="46262802"/>
    <w:rsid w:val="462C044C"/>
    <w:rsid w:val="46373727"/>
    <w:rsid w:val="463A7147"/>
    <w:rsid w:val="46473F53"/>
    <w:rsid w:val="464B1927"/>
    <w:rsid w:val="464C3D4D"/>
    <w:rsid w:val="465B5F2C"/>
    <w:rsid w:val="465E57B1"/>
    <w:rsid w:val="466B7564"/>
    <w:rsid w:val="466E2CFA"/>
    <w:rsid w:val="466E7CDC"/>
    <w:rsid w:val="4670288F"/>
    <w:rsid w:val="467335C9"/>
    <w:rsid w:val="46733831"/>
    <w:rsid w:val="467461DF"/>
    <w:rsid w:val="4676670E"/>
    <w:rsid w:val="467801B6"/>
    <w:rsid w:val="46782631"/>
    <w:rsid w:val="46793B05"/>
    <w:rsid w:val="46831ED7"/>
    <w:rsid w:val="46884233"/>
    <w:rsid w:val="469844A0"/>
    <w:rsid w:val="46AA40B2"/>
    <w:rsid w:val="46AB3C19"/>
    <w:rsid w:val="46AF3692"/>
    <w:rsid w:val="46B22A90"/>
    <w:rsid w:val="46B84AA6"/>
    <w:rsid w:val="46CA44D1"/>
    <w:rsid w:val="46CC62D3"/>
    <w:rsid w:val="46D31FCB"/>
    <w:rsid w:val="46D3362E"/>
    <w:rsid w:val="46D33A34"/>
    <w:rsid w:val="46D52DC6"/>
    <w:rsid w:val="46D87282"/>
    <w:rsid w:val="46DD649B"/>
    <w:rsid w:val="46E816C0"/>
    <w:rsid w:val="46EC3FF0"/>
    <w:rsid w:val="46F859EE"/>
    <w:rsid w:val="46FC1743"/>
    <w:rsid w:val="47084940"/>
    <w:rsid w:val="470D2BB6"/>
    <w:rsid w:val="470E5626"/>
    <w:rsid w:val="47113895"/>
    <w:rsid w:val="47130C4F"/>
    <w:rsid w:val="471367E3"/>
    <w:rsid w:val="471D1DF5"/>
    <w:rsid w:val="47210885"/>
    <w:rsid w:val="47216F07"/>
    <w:rsid w:val="47287B26"/>
    <w:rsid w:val="4733075E"/>
    <w:rsid w:val="47336C0D"/>
    <w:rsid w:val="47371213"/>
    <w:rsid w:val="47377CEE"/>
    <w:rsid w:val="47395D0D"/>
    <w:rsid w:val="473F6BEF"/>
    <w:rsid w:val="474E74B4"/>
    <w:rsid w:val="474F2FDE"/>
    <w:rsid w:val="47522B94"/>
    <w:rsid w:val="47532BCD"/>
    <w:rsid w:val="47551FC2"/>
    <w:rsid w:val="4759516F"/>
    <w:rsid w:val="475E1BFF"/>
    <w:rsid w:val="475E392E"/>
    <w:rsid w:val="47631C9F"/>
    <w:rsid w:val="47647A75"/>
    <w:rsid w:val="4765510B"/>
    <w:rsid w:val="47685334"/>
    <w:rsid w:val="47695FEB"/>
    <w:rsid w:val="47724B6F"/>
    <w:rsid w:val="477A62D1"/>
    <w:rsid w:val="477B1BAD"/>
    <w:rsid w:val="47891689"/>
    <w:rsid w:val="478D44C2"/>
    <w:rsid w:val="479057C3"/>
    <w:rsid w:val="47931686"/>
    <w:rsid w:val="479443F1"/>
    <w:rsid w:val="47AC7190"/>
    <w:rsid w:val="47AD08AB"/>
    <w:rsid w:val="47B03880"/>
    <w:rsid w:val="47B1697A"/>
    <w:rsid w:val="47B87F1C"/>
    <w:rsid w:val="47BD30D7"/>
    <w:rsid w:val="47C444A7"/>
    <w:rsid w:val="47CD4BA0"/>
    <w:rsid w:val="47D0079A"/>
    <w:rsid w:val="47D65A47"/>
    <w:rsid w:val="47E06F69"/>
    <w:rsid w:val="47E318B1"/>
    <w:rsid w:val="47E56F35"/>
    <w:rsid w:val="47E7180A"/>
    <w:rsid w:val="47E74555"/>
    <w:rsid w:val="47E90BAD"/>
    <w:rsid w:val="47E95D5B"/>
    <w:rsid w:val="47ED5839"/>
    <w:rsid w:val="47F06764"/>
    <w:rsid w:val="47F2580C"/>
    <w:rsid w:val="47F57606"/>
    <w:rsid w:val="4801198A"/>
    <w:rsid w:val="4805744E"/>
    <w:rsid w:val="480D5096"/>
    <w:rsid w:val="480F20D4"/>
    <w:rsid w:val="4811454C"/>
    <w:rsid w:val="481766D3"/>
    <w:rsid w:val="48264F7F"/>
    <w:rsid w:val="4829466A"/>
    <w:rsid w:val="482D1327"/>
    <w:rsid w:val="482D68AC"/>
    <w:rsid w:val="483545EA"/>
    <w:rsid w:val="484319D1"/>
    <w:rsid w:val="485131DC"/>
    <w:rsid w:val="485862C6"/>
    <w:rsid w:val="485A7769"/>
    <w:rsid w:val="485A7CDE"/>
    <w:rsid w:val="48600952"/>
    <w:rsid w:val="48707F23"/>
    <w:rsid w:val="48751167"/>
    <w:rsid w:val="488364A3"/>
    <w:rsid w:val="488937B4"/>
    <w:rsid w:val="488B695C"/>
    <w:rsid w:val="488F78F9"/>
    <w:rsid w:val="48921A1A"/>
    <w:rsid w:val="4893019F"/>
    <w:rsid w:val="4898453E"/>
    <w:rsid w:val="489C65B3"/>
    <w:rsid w:val="489E78ED"/>
    <w:rsid w:val="489F2EFE"/>
    <w:rsid w:val="48A654BA"/>
    <w:rsid w:val="48AD2D7E"/>
    <w:rsid w:val="48AE4203"/>
    <w:rsid w:val="48B615A9"/>
    <w:rsid w:val="48BB2200"/>
    <w:rsid w:val="48BD7C14"/>
    <w:rsid w:val="48C028BE"/>
    <w:rsid w:val="48C44C36"/>
    <w:rsid w:val="48C63399"/>
    <w:rsid w:val="48CE0242"/>
    <w:rsid w:val="48CE3EF9"/>
    <w:rsid w:val="48DA712A"/>
    <w:rsid w:val="48DD7674"/>
    <w:rsid w:val="48E11AF9"/>
    <w:rsid w:val="48E14CB9"/>
    <w:rsid w:val="48E40B5B"/>
    <w:rsid w:val="48E945AC"/>
    <w:rsid w:val="48EF215A"/>
    <w:rsid w:val="48F667A7"/>
    <w:rsid w:val="48FF06D4"/>
    <w:rsid w:val="49050741"/>
    <w:rsid w:val="49066235"/>
    <w:rsid w:val="49094392"/>
    <w:rsid w:val="490C2082"/>
    <w:rsid w:val="4911226E"/>
    <w:rsid w:val="491723D0"/>
    <w:rsid w:val="49191415"/>
    <w:rsid w:val="491B16A9"/>
    <w:rsid w:val="491C363F"/>
    <w:rsid w:val="4924432F"/>
    <w:rsid w:val="49247AD2"/>
    <w:rsid w:val="49267254"/>
    <w:rsid w:val="49310402"/>
    <w:rsid w:val="493178BD"/>
    <w:rsid w:val="49390494"/>
    <w:rsid w:val="493A78CF"/>
    <w:rsid w:val="493B03C0"/>
    <w:rsid w:val="494668D6"/>
    <w:rsid w:val="49484B4F"/>
    <w:rsid w:val="49511CD0"/>
    <w:rsid w:val="49545480"/>
    <w:rsid w:val="4955032A"/>
    <w:rsid w:val="49561D7B"/>
    <w:rsid w:val="495A5C0E"/>
    <w:rsid w:val="4968222A"/>
    <w:rsid w:val="49686896"/>
    <w:rsid w:val="4977679B"/>
    <w:rsid w:val="49795571"/>
    <w:rsid w:val="498262DA"/>
    <w:rsid w:val="49842E75"/>
    <w:rsid w:val="49886DC8"/>
    <w:rsid w:val="498F4180"/>
    <w:rsid w:val="499020D2"/>
    <w:rsid w:val="49911E15"/>
    <w:rsid w:val="499734D0"/>
    <w:rsid w:val="499A270B"/>
    <w:rsid w:val="49A03A49"/>
    <w:rsid w:val="49A07444"/>
    <w:rsid w:val="49A16205"/>
    <w:rsid w:val="49A24515"/>
    <w:rsid w:val="49A41E31"/>
    <w:rsid w:val="49A73042"/>
    <w:rsid w:val="49A93A01"/>
    <w:rsid w:val="49B20FF3"/>
    <w:rsid w:val="49B5060D"/>
    <w:rsid w:val="49B659DB"/>
    <w:rsid w:val="49B92621"/>
    <w:rsid w:val="49BB16B0"/>
    <w:rsid w:val="49C32B30"/>
    <w:rsid w:val="49C45880"/>
    <w:rsid w:val="49CC58B6"/>
    <w:rsid w:val="49E50CDD"/>
    <w:rsid w:val="49E67209"/>
    <w:rsid w:val="49EA2132"/>
    <w:rsid w:val="49FE5ADB"/>
    <w:rsid w:val="49FE5E32"/>
    <w:rsid w:val="4A016329"/>
    <w:rsid w:val="4A022422"/>
    <w:rsid w:val="4A093FA2"/>
    <w:rsid w:val="4A0A22D5"/>
    <w:rsid w:val="4A172226"/>
    <w:rsid w:val="4A197480"/>
    <w:rsid w:val="4A1E5C45"/>
    <w:rsid w:val="4A232960"/>
    <w:rsid w:val="4A285A3B"/>
    <w:rsid w:val="4A290FE9"/>
    <w:rsid w:val="4A2B7658"/>
    <w:rsid w:val="4A3007EF"/>
    <w:rsid w:val="4A304D42"/>
    <w:rsid w:val="4A340A87"/>
    <w:rsid w:val="4A340FB0"/>
    <w:rsid w:val="4A356617"/>
    <w:rsid w:val="4A376E49"/>
    <w:rsid w:val="4A4462F7"/>
    <w:rsid w:val="4A471CDE"/>
    <w:rsid w:val="4A482638"/>
    <w:rsid w:val="4A530479"/>
    <w:rsid w:val="4A54296F"/>
    <w:rsid w:val="4A5B1207"/>
    <w:rsid w:val="4A613E60"/>
    <w:rsid w:val="4A7336A4"/>
    <w:rsid w:val="4A762B47"/>
    <w:rsid w:val="4A7C2CC2"/>
    <w:rsid w:val="4A824D79"/>
    <w:rsid w:val="4A82672E"/>
    <w:rsid w:val="4A8616F3"/>
    <w:rsid w:val="4A864A70"/>
    <w:rsid w:val="4AA33D3B"/>
    <w:rsid w:val="4AA4180F"/>
    <w:rsid w:val="4AAB4920"/>
    <w:rsid w:val="4AAC2076"/>
    <w:rsid w:val="4AAD0ED6"/>
    <w:rsid w:val="4AAF7CB3"/>
    <w:rsid w:val="4AB129A9"/>
    <w:rsid w:val="4AC25AE5"/>
    <w:rsid w:val="4AC31F8D"/>
    <w:rsid w:val="4ACA33CA"/>
    <w:rsid w:val="4ACB25E4"/>
    <w:rsid w:val="4ACB4DA7"/>
    <w:rsid w:val="4AD76795"/>
    <w:rsid w:val="4AD84815"/>
    <w:rsid w:val="4AE06438"/>
    <w:rsid w:val="4AE30B45"/>
    <w:rsid w:val="4AED1991"/>
    <w:rsid w:val="4AF538DD"/>
    <w:rsid w:val="4AF55E5B"/>
    <w:rsid w:val="4AF91A34"/>
    <w:rsid w:val="4AF973E2"/>
    <w:rsid w:val="4AFA2F53"/>
    <w:rsid w:val="4B0453D9"/>
    <w:rsid w:val="4B055B12"/>
    <w:rsid w:val="4B0B2BAC"/>
    <w:rsid w:val="4B0D194D"/>
    <w:rsid w:val="4B1069D6"/>
    <w:rsid w:val="4B1B7C28"/>
    <w:rsid w:val="4B240A56"/>
    <w:rsid w:val="4B266A96"/>
    <w:rsid w:val="4B2C3A87"/>
    <w:rsid w:val="4B2E5F03"/>
    <w:rsid w:val="4B30148E"/>
    <w:rsid w:val="4B317681"/>
    <w:rsid w:val="4B382007"/>
    <w:rsid w:val="4B3A4402"/>
    <w:rsid w:val="4B3C6567"/>
    <w:rsid w:val="4B3D2362"/>
    <w:rsid w:val="4B413F5C"/>
    <w:rsid w:val="4B41695B"/>
    <w:rsid w:val="4B4D2610"/>
    <w:rsid w:val="4B504A47"/>
    <w:rsid w:val="4B5350F8"/>
    <w:rsid w:val="4B540DC8"/>
    <w:rsid w:val="4B621C20"/>
    <w:rsid w:val="4B634557"/>
    <w:rsid w:val="4B6653CC"/>
    <w:rsid w:val="4B686968"/>
    <w:rsid w:val="4B6D7855"/>
    <w:rsid w:val="4B6E48B9"/>
    <w:rsid w:val="4B702A55"/>
    <w:rsid w:val="4B742F72"/>
    <w:rsid w:val="4B750F6F"/>
    <w:rsid w:val="4B761291"/>
    <w:rsid w:val="4B766AAF"/>
    <w:rsid w:val="4B767200"/>
    <w:rsid w:val="4B7A5635"/>
    <w:rsid w:val="4B800FF2"/>
    <w:rsid w:val="4B833FE7"/>
    <w:rsid w:val="4B88433F"/>
    <w:rsid w:val="4B89734C"/>
    <w:rsid w:val="4B8F36B5"/>
    <w:rsid w:val="4B901780"/>
    <w:rsid w:val="4B926A92"/>
    <w:rsid w:val="4B964722"/>
    <w:rsid w:val="4B9A1C57"/>
    <w:rsid w:val="4B9A640F"/>
    <w:rsid w:val="4BA30A27"/>
    <w:rsid w:val="4BA71BEB"/>
    <w:rsid w:val="4BAC2861"/>
    <w:rsid w:val="4BB52BEF"/>
    <w:rsid w:val="4BBA55B2"/>
    <w:rsid w:val="4BC870BF"/>
    <w:rsid w:val="4BCE5946"/>
    <w:rsid w:val="4BD55575"/>
    <w:rsid w:val="4BD765E4"/>
    <w:rsid w:val="4BDA43E6"/>
    <w:rsid w:val="4BDF36EB"/>
    <w:rsid w:val="4BEF2F2B"/>
    <w:rsid w:val="4BF15911"/>
    <w:rsid w:val="4BF77507"/>
    <w:rsid w:val="4BFE311C"/>
    <w:rsid w:val="4C04463F"/>
    <w:rsid w:val="4C0B0E72"/>
    <w:rsid w:val="4C0C161A"/>
    <w:rsid w:val="4C131C46"/>
    <w:rsid w:val="4C1346F7"/>
    <w:rsid w:val="4C1464A7"/>
    <w:rsid w:val="4C1523B7"/>
    <w:rsid w:val="4C1C493F"/>
    <w:rsid w:val="4C215AB1"/>
    <w:rsid w:val="4C2310ED"/>
    <w:rsid w:val="4C2C5F13"/>
    <w:rsid w:val="4C2D7610"/>
    <w:rsid w:val="4C30787B"/>
    <w:rsid w:val="4C392BAE"/>
    <w:rsid w:val="4C3D402E"/>
    <w:rsid w:val="4C454F64"/>
    <w:rsid w:val="4C4704EF"/>
    <w:rsid w:val="4C4E3115"/>
    <w:rsid w:val="4C516EC0"/>
    <w:rsid w:val="4C554E1E"/>
    <w:rsid w:val="4C5576AA"/>
    <w:rsid w:val="4C5C11AC"/>
    <w:rsid w:val="4C626D81"/>
    <w:rsid w:val="4C6A1E90"/>
    <w:rsid w:val="4C70410B"/>
    <w:rsid w:val="4C7A75E7"/>
    <w:rsid w:val="4C7E200C"/>
    <w:rsid w:val="4C816D83"/>
    <w:rsid w:val="4C82459E"/>
    <w:rsid w:val="4C86081A"/>
    <w:rsid w:val="4C8C249F"/>
    <w:rsid w:val="4C8D561B"/>
    <w:rsid w:val="4C906F19"/>
    <w:rsid w:val="4C92075D"/>
    <w:rsid w:val="4C97304C"/>
    <w:rsid w:val="4C973203"/>
    <w:rsid w:val="4C9755F9"/>
    <w:rsid w:val="4C9B263B"/>
    <w:rsid w:val="4CA36716"/>
    <w:rsid w:val="4CA45D6F"/>
    <w:rsid w:val="4CA51C61"/>
    <w:rsid w:val="4CA55497"/>
    <w:rsid w:val="4CAD5D52"/>
    <w:rsid w:val="4CB36351"/>
    <w:rsid w:val="4CB3646D"/>
    <w:rsid w:val="4CB50C8D"/>
    <w:rsid w:val="4CBD6474"/>
    <w:rsid w:val="4CC62DAD"/>
    <w:rsid w:val="4CC86A0D"/>
    <w:rsid w:val="4CCD2CB5"/>
    <w:rsid w:val="4CDA140B"/>
    <w:rsid w:val="4CDF4DC3"/>
    <w:rsid w:val="4CE159B2"/>
    <w:rsid w:val="4CE23492"/>
    <w:rsid w:val="4CE3423D"/>
    <w:rsid w:val="4CEB372C"/>
    <w:rsid w:val="4CEF610A"/>
    <w:rsid w:val="4CF72149"/>
    <w:rsid w:val="4CF8741B"/>
    <w:rsid w:val="4CF978B4"/>
    <w:rsid w:val="4CFB71E8"/>
    <w:rsid w:val="4CFE05B0"/>
    <w:rsid w:val="4D0814AB"/>
    <w:rsid w:val="4D092C8A"/>
    <w:rsid w:val="4D0C096E"/>
    <w:rsid w:val="4D1109E1"/>
    <w:rsid w:val="4D2B00B8"/>
    <w:rsid w:val="4D324AA6"/>
    <w:rsid w:val="4D32739B"/>
    <w:rsid w:val="4D365074"/>
    <w:rsid w:val="4D383B47"/>
    <w:rsid w:val="4D3B1B4B"/>
    <w:rsid w:val="4D3B4EE2"/>
    <w:rsid w:val="4D423815"/>
    <w:rsid w:val="4D4316E3"/>
    <w:rsid w:val="4D50285B"/>
    <w:rsid w:val="4D516CC8"/>
    <w:rsid w:val="4D5A00F6"/>
    <w:rsid w:val="4D5A7218"/>
    <w:rsid w:val="4D5B39B8"/>
    <w:rsid w:val="4D5F44EB"/>
    <w:rsid w:val="4D6159FD"/>
    <w:rsid w:val="4D643B70"/>
    <w:rsid w:val="4D653E96"/>
    <w:rsid w:val="4D67034F"/>
    <w:rsid w:val="4D6A41A2"/>
    <w:rsid w:val="4D6E1B0E"/>
    <w:rsid w:val="4D6E7CC6"/>
    <w:rsid w:val="4D6F1291"/>
    <w:rsid w:val="4D782230"/>
    <w:rsid w:val="4D7A4813"/>
    <w:rsid w:val="4D7C1A63"/>
    <w:rsid w:val="4D7E177C"/>
    <w:rsid w:val="4D821EF7"/>
    <w:rsid w:val="4D845225"/>
    <w:rsid w:val="4D85312C"/>
    <w:rsid w:val="4D866503"/>
    <w:rsid w:val="4D8E2773"/>
    <w:rsid w:val="4D916167"/>
    <w:rsid w:val="4D920829"/>
    <w:rsid w:val="4D9253D1"/>
    <w:rsid w:val="4D945E8D"/>
    <w:rsid w:val="4D9507E9"/>
    <w:rsid w:val="4D9A050C"/>
    <w:rsid w:val="4D9C1041"/>
    <w:rsid w:val="4D9D492A"/>
    <w:rsid w:val="4DA3275F"/>
    <w:rsid w:val="4DA44E69"/>
    <w:rsid w:val="4DC33DC6"/>
    <w:rsid w:val="4DC70BDE"/>
    <w:rsid w:val="4DCF0B26"/>
    <w:rsid w:val="4DD4630E"/>
    <w:rsid w:val="4DD56A9F"/>
    <w:rsid w:val="4DD64147"/>
    <w:rsid w:val="4DDA364B"/>
    <w:rsid w:val="4DDC4386"/>
    <w:rsid w:val="4DEF136C"/>
    <w:rsid w:val="4DF32FD8"/>
    <w:rsid w:val="4DF36DDE"/>
    <w:rsid w:val="4DF57D3B"/>
    <w:rsid w:val="4DF60E48"/>
    <w:rsid w:val="4DF62E56"/>
    <w:rsid w:val="4DFD5041"/>
    <w:rsid w:val="4E037C5B"/>
    <w:rsid w:val="4E0D5909"/>
    <w:rsid w:val="4E0E03F1"/>
    <w:rsid w:val="4E19457D"/>
    <w:rsid w:val="4E1A255C"/>
    <w:rsid w:val="4E1B76F5"/>
    <w:rsid w:val="4E1C036A"/>
    <w:rsid w:val="4E1E5935"/>
    <w:rsid w:val="4E222554"/>
    <w:rsid w:val="4E2E1F87"/>
    <w:rsid w:val="4E2E3A79"/>
    <w:rsid w:val="4E312FF6"/>
    <w:rsid w:val="4E3E139D"/>
    <w:rsid w:val="4E417889"/>
    <w:rsid w:val="4E48152F"/>
    <w:rsid w:val="4E4E0BA8"/>
    <w:rsid w:val="4E511685"/>
    <w:rsid w:val="4E55103F"/>
    <w:rsid w:val="4E594598"/>
    <w:rsid w:val="4E5A229A"/>
    <w:rsid w:val="4E5B1B9A"/>
    <w:rsid w:val="4E5C2432"/>
    <w:rsid w:val="4E64695E"/>
    <w:rsid w:val="4E653141"/>
    <w:rsid w:val="4E6A1F78"/>
    <w:rsid w:val="4E796E09"/>
    <w:rsid w:val="4E7D615D"/>
    <w:rsid w:val="4E7E7563"/>
    <w:rsid w:val="4E804A37"/>
    <w:rsid w:val="4E80792F"/>
    <w:rsid w:val="4E831478"/>
    <w:rsid w:val="4E851AF2"/>
    <w:rsid w:val="4E904B5F"/>
    <w:rsid w:val="4E930CB2"/>
    <w:rsid w:val="4E985BC6"/>
    <w:rsid w:val="4EAE208A"/>
    <w:rsid w:val="4EAE559B"/>
    <w:rsid w:val="4EAE7BFD"/>
    <w:rsid w:val="4EB46E80"/>
    <w:rsid w:val="4EB869DC"/>
    <w:rsid w:val="4EBB270F"/>
    <w:rsid w:val="4EBE0EE8"/>
    <w:rsid w:val="4EBE2E05"/>
    <w:rsid w:val="4EC045A7"/>
    <w:rsid w:val="4EC24762"/>
    <w:rsid w:val="4EC624B4"/>
    <w:rsid w:val="4EC84567"/>
    <w:rsid w:val="4ECF79C6"/>
    <w:rsid w:val="4ED22BF8"/>
    <w:rsid w:val="4ED4435F"/>
    <w:rsid w:val="4EE030AC"/>
    <w:rsid w:val="4EE25D1E"/>
    <w:rsid w:val="4EE63B1B"/>
    <w:rsid w:val="4EEB1E2D"/>
    <w:rsid w:val="4EEC6D8A"/>
    <w:rsid w:val="4EFF165B"/>
    <w:rsid w:val="4F076E8A"/>
    <w:rsid w:val="4F0F4A87"/>
    <w:rsid w:val="4F117496"/>
    <w:rsid w:val="4F181B15"/>
    <w:rsid w:val="4F232C50"/>
    <w:rsid w:val="4F24347C"/>
    <w:rsid w:val="4F247D92"/>
    <w:rsid w:val="4F361D20"/>
    <w:rsid w:val="4F371F75"/>
    <w:rsid w:val="4F386796"/>
    <w:rsid w:val="4F3A5195"/>
    <w:rsid w:val="4F3E2D7E"/>
    <w:rsid w:val="4F3E6C74"/>
    <w:rsid w:val="4F3F7EF4"/>
    <w:rsid w:val="4F40192D"/>
    <w:rsid w:val="4F4405D9"/>
    <w:rsid w:val="4F484A8F"/>
    <w:rsid w:val="4F495A4B"/>
    <w:rsid w:val="4F4D04D0"/>
    <w:rsid w:val="4F506619"/>
    <w:rsid w:val="4F590C23"/>
    <w:rsid w:val="4F602AA8"/>
    <w:rsid w:val="4F6051E0"/>
    <w:rsid w:val="4F631062"/>
    <w:rsid w:val="4F6446FA"/>
    <w:rsid w:val="4F6A776F"/>
    <w:rsid w:val="4F76625C"/>
    <w:rsid w:val="4F780CA9"/>
    <w:rsid w:val="4F963136"/>
    <w:rsid w:val="4F9B1015"/>
    <w:rsid w:val="4F9E321E"/>
    <w:rsid w:val="4FA64848"/>
    <w:rsid w:val="4FAF0189"/>
    <w:rsid w:val="4FAF6CC9"/>
    <w:rsid w:val="4FB016DD"/>
    <w:rsid w:val="4FB41100"/>
    <w:rsid w:val="4FBC7D1B"/>
    <w:rsid w:val="4FBD3D5E"/>
    <w:rsid w:val="4FBD75FE"/>
    <w:rsid w:val="4FC05000"/>
    <w:rsid w:val="4FC522CC"/>
    <w:rsid w:val="4FCD1EBD"/>
    <w:rsid w:val="4FCE78C2"/>
    <w:rsid w:val="4FD32A1A"/>
    <w:rsid w:val="4FD37170"/>
    <w:rsid w:val="4FD615DD"/>
    <w:rsid w:val="4FD63EC9"/>
    <w:rsid w:val="4FD75D69"/>
    <w:rsid w:val="4FE449D4"/>
    <w:rsid w:val="4FEA097D"/>
    <w:rsid w:val="4FFF53E0"/>
    <w:rsid w:val="50000696"/>
    <w:rsid w:val="50005AE4"/>
    <w:rsid w:val="50014B4A"/>
    <w:rsid w:val="50084988"/>
    <w:rsid w:val="500929ED"/>
    <w:rsid w:val="500A16D4"/>
    <w:rsid w:val="500E0645"/>
    <w:rsid w:val="50137516"/>
    <w:rsid w:val="50184AD0"/>
    <w:rsid w:val="501D665C"/>
    <w:rsid w:val="50255D7A"/>
    <w:rsid w:val="502C275D"/>
    <w:rsid w:val="502D15E1"/>
    <w:rsid w:val="5032471E"/>
    <w:rsid w:val="50403794"/>
    <w:rsid w:val="50411950"/>
    <w:rsid w:val="50453CDA"/>
    <w:rsid w:val="50454DC4"/>
    <w:rsid w:val="50481C9D"/>
    <w:rsid w:val="50483726"/>
    <w:rsid w:val="50492593"/>
    <w:rsid w:val="504B2EFC"/>
    <w:rsid w:val="505A6CBA"/>
    <w:rsid w:val="50616D71"/>
    <w:rsid w:val="50621EDA"/>
    <w:rsid w:val="506D4AA8"/>
    <w:rsid w:val="50717651"/>
    <w:rsid w:val="507216D6"/>
    <w:rsid w:val="5073402E"/>
    <w:rsid w:val="50771833"/>
    <w:rsid w:val="50795A74"/>
    <w:rsid w:val="507D14F5"/>
    <w:rsid w:val="507D3683"/>
    <w:rsid w:val="507F78D2"/>
    <w:rsid w:val="50822FBB"/>
    <w:rsid w:val="508958F5"/>
    <w:rsid w:val="508D402B"/>
    <w:rsid w:val="50905D5D"/>
    <w:rsid w:val="509205FF"/>
    <w:rsid w:val="5092234E"/>
    <w:rsid w:val="50985813"/>
    <w:rsid w:val="509A69B7"/>
    <w:rsid w:val="509C205F"/>
    <w:rsid w:val="50A3184F"/>
    <w:rsid w:val="50A62895"/>
    <w:rsid w:val="50AB74F7"/>
    <w:rsid w:val="50B536EC"/>
    <w:rsid w:val="50BB3D6C"/>
    <w:rsid w:val="50BE6E07"/>
    <w:rsid w:val="50BF41E3"/>
    <w:rsid w:val="50C61D6A"/>
    <w:rsid w:val="50CB3F2E"/>
    <w:rsid w:val="50CC7A62"/>
    <w:rsid w:val="50D774FF"/>
    <w:rsid w:val="50DB1F4E"/>
    <w:rsid w:val="50DC00E6"/>
    <w:rsid w:val="50DC7171"/>
    <w:rsid w:val="50E107BF"/>
    <w:rsid w:val="50E54FBE"/>
    <w:rsid w:val="50E56C99"/>
    <w:rsid w:val="50F55F76"/>
    <w:rsid w:val="50FA082C"/>
    <w:rsid w:val="5101254C"/>
    <w:rsid w:val="510554CB"/>
    <w:rsid w:val="51071719"/>
    <w:rsid w:val="51084615"/>
    <w:rsid w:val="51093858"/>
    <w:rsid w:val="510A24CA"/>
    <w:rsid w:val="511002FB"/>
    <w:rsid w:val="511339D6"/>
    <w:rsid w:val="511821E3"/>
    <w:rsid w:val="511E10AA"/>
    <w:rsid w:val="512278A2"/>
    <w:rsid w:val="51230658"/>
    <w:rsid w:val="5123441C"/>
    <w:rsid w:val="51254835"/>
    <w:rsid w:val="512C49AC"/>
    <w:rsid w:val="513229A4"/>
    <w:rsid w:val="513D3555"/>
    <w:rsid w:val="513D3B91"/>
    <w:rsid w:val="51412253"/>
    <w:rsid w:val="514224BC"/>
    <w:rsid w:val="51466145"/>
    <w:rsid w:val="514732B4"/>
    <w:rsid w:val="514C7445"/>
    <w:rsid w:val="515819A3"/>
    <w:rsid w:val="515A0064"/>
    <w:rsid w:val="515B52C0"/>
    <w:rsid w:val="5164410B"/>
    <w:rsid w:val="516F6E5B"/>
    <w:rsid w:val="51754F0F"/>
    <w:rsid w:val="51763ED5"/>
    <w:rsid w:val="517A37D2"/>
    <w:rsid w:val="51801887"/>
    <w:rsid w:val="51886E4D"/>
    <w:rsid w:val="518C686D"/>
    <w:rsid w:val="51930DB5"/>
    <w:rsid w:val="51937597"/>
    <w:rsid w:val="519A2780"/>
    <w:rsid w:val="519D6F5E"/>
    <w:rsid w:val="51A263C5"/>
    <w:rsid w:val="51AD32C8"/>
    <w:rsid w:val="51AD32DA"/>
    <w:rsid w:val="51AD55CD"/>
    <w:rsid w:val="51B47821"/>
    <w:rsid w:val="51B507CB"/>
    <w:rsid w:val="51B96444"/>
    <w:rsid w:val="51BB51C5"/>
    <w:rsid w:val="51CD35C4"/>
    <w:rsid w:val="51D41ACB"/>
    <w:rsid w:val="51D6618A"/>
    <w:rsid w:val="51D867E2"/>
    <w:rsid w:val="51DA7C40"/>
    <w:rsid w:val="51DF6F23"/>
    <w:rsid w:val="51E969F6"/>
    <w:rsid w:val="51F05461"/>
    <w:rsid w:val="51F5105D"/>
    <w:rsid w:val="51F63764"/>
    <w:rsid w:val="51F64D2E"/>
    <w:rsid w:val="51FA74D0"/>
    <w:rsid w:val="51FE3063"/>
    <w:rsid w:val="51FF3C48"/>
    <w:rsid w:val="52003349"/>
    <w:rsid w:val="520206AB"/>
    <w:rsid w:val="520619D1"/>
    <w:rsid w:val="5208128E"/>
    <w:rsid w:val="520F1FB8"/>
    <w:rsid w:val="52104194"/>
    <w:rsid w:val="52132F0B"/>
    <w:rsid w:val="5218062F"/>
    <w:rsid w:val="521F2DEA"/>
    <w:rsid w:val="52210E54"/>
    <w:rsid w:val="5223534F"/>
    <w:rsid w:val="522472BB"/>
    <w:rsid w:val="522867CF"/>
    <w:rsid w:val="522C1084"/>
    <w:rsid w:val="522C1680"/>
    <w:rsid w:val="522E5208"/>
    <w:rsid w:val="522F1BB7"/>
    <w:rsid w:val="52301EBA"/>
    <w:rsid w:val="523146BC"/>
    <w:rsid w:val="523367B5"/>
    <w:rsid w:val="523A5AC0"/>
    <w:rsid w:val="523D52D0"/>
    <w:rsid w:val="524504AE"/>
    <w:rsid w:val="524D5764"/>
    <w:rsid w:val="525A7809"/>
    <w:rsid w:val="525D278E"/>
    <w:rsid w:val="525F0536"/>
    <w:rsid w:val="52604AED"/>
    <w:rsid w:val="52610D7D"/>
    <w:rsid w:val="52631CBE"/>
    <w:rsid w:val="52661D09"/>
    <w:rsid w:val="526C17FB"/>
    <w:rsid w:val="526C708F"/>
    <w:rsid w:val="526C720A"/>
    <w:rsid w:val="526E0E96"/>
    <w:rsid w:val="526E4F39"/>
    <w:rsid w:val="527434F3"/>
    <w:rsid w:val="52792E02"/>
    <w:rsid w:val="52796647"/>
    <w:rsid w:val="527C5B92"/>
    <w:rsid w:val="527E0889"/>
    <w:rsid w:val="527E4CD5"/>
    <w:rsid w:val="528028AB"/>
    <w:rsid w:val="52813A8D"/>
    <w:rsid w:val="528270BC"/>
    <w:rsid w:val="52837998"/>
    <w:rsid w:val="52847421"/>
    <w:rsid w:val="52887201"/>
    <w:rsid w:val="528874B2"/>
    <w:rsid w:val="528905FB"/>
    <w:rsid w:val="528A43EF"/>
    <w:rsid w:val="52950716"/>
    <w:rsid w:val="52980D10"/>
    <w:rsid w:val="529D3DE4"/>
    <w:rsid w:val="529E633E"/>
    <w:rsid w:val="52A40CC9"/>
    <w:rsid w:val="52A839E7"/>
    <w:rsid w:val="52AD6396"/>
    <w:rsid w:val="52B024D1"/>
    <w:rsid w:val="52B2136F"/>
    <w:rsid w:val="52B23907"/>
    <w:rsid w:val="52B86FF1"/>
    <w:rsid w:val="52B87E42"/>
    <w:rsid w:val="52B96A43"/>
    <w:rsid w:val="52BE1ED9"/>
    <w:rsid w:val="52CD342C"/>
    <w:rsid w:val="52D014E5"/>
    <w:rsid w:val="52D82278"/>
    <w:rsid w:val="52DB7BFC"/>
    <w:rsid w:val="52DF4572"/>
    <w:rsid w:val="52E13AFF"/>
    <w:rsid w:val="52E23D54"/>
    <w:rsid w:val="52E5724E"/>
    <w:rsid w:val="52E75269"/>
    <w:rsid w:val="52FF17BE"/>
    <w:rsid w:val="53025511"/>
    <w:rsid w:val="53026DA0"/>
    <w:rsid w:val="5303286B"/>
    <w:rsid w:val="530444F4"/>
    <w:rsid w:val="53060259"/>
    <w:rsid w:val="530B39DA"/>
    <w:rsid w:val="530E6355"/>
    <w:rsid w:val="5311615A"/>
    <w:rsid w:val="53151585"/>
    <w:rsid w:val="531910F6"/>
    <w:rsid w:val="53240179"/>
    <w:rsid w:val="53262E74"/>
    <w:rsid w:val="5326311A"/>
    <w:rsid w:val="532A324D"/>
    <w:rsid w:val="533F2B2F"/>
    <w:rsid w:val="533F7AC1"/>
    <w:rsid w:val="53415205"/>
    <w:rsid w:val="53470AA7"/>
    <w:rsid w:val="534E4E8A"/>
    <w:rsid w:val="5353365C"/>
    <w:rsid w:val="535933D1"/>
    <w:rsid w:val="535C4533"/>
    <w:rsid w:val="535E0FD2"/>
    <w:rsid w:val="535F1726"/>
    <w:rsid w:val="53605111"/>
    <w:rsid w:val="536136CB"/>
    <w:rsid w:val="5365006B"/>
    <w:rsid w:val="536C2724"/>
    <w:rsid w:val="536C7598"/>
    <w:rsid w:val="536C7C56"/>
    <w:rsid w:val="5372644A"/>
    <w:rsid w:val="5378112D"/>
    <w:rsid w:val="537F5E59"/>
    <w:rsid w:val="538470AD"/>
    <w:rsid w:val="538B775A"/>
    <w:rsid w:val="538D7F98"/>
    <w:rsid w:val="538F7F65"/>
    <w:rsid w:val="53911E5D"/>
    <w:rsid w:val="5395489A"/>
    <w:rsid w:val="5399779B"/>
    <w:rsid w:val="539B583F"/>
    <w:rsid w:val="53AA04DF"/>
    <w:rsid w:val="53B57C55"/>
    <w:rsid w:val="53B8154F"/>
    <w:rsid w:val="53B85522"/>
    <w:rsid w:val="53BA3C0E"/>
    <w:rsid w:val="53BB1A30"/>
    <w:rsid w:val="53C22292"/>
    <w:rsid w:val="53C43692"/>
    <w:rsid w:val="53C601B7"/>
    <w:rsid w:val="53CA5BD5"/>
    <w:rsid w:val="53DE4E09"/>
    <w:rsid w:val="53E26809"/>
    <w:rsid w:val="53E42F27"/>
    <w:rsid w:val="53F267A9"/>
    <w:rsid w:val="53F807AF"/>
    <w:rsid w:val="53FD6E04"/>
    <w:rsid w:val="54046920"/>
    <w:rsid w:val="54060B23"/>
    <w:rsid w:val="541016BA"/>
    <w:rsid w:val="54124C30"/>
    <w:rsid w:val="54155C74"/>
    <w:rsid w:val="54166088"/>
    <w:rsid w:val="541B5AFB"/>
    <w:rsid w:val="541C7581"/>
    <w:rsid w:val="541E049B"/>
    <w:rsid w:val="542505FF"/>
    <w:rsid w:val="54264000"/>
    <w:rsid w:val="54265EF9"/>
    <w:rsid w:val="542B3B88"/>
    <w:rsid w:val="542D051F"/>
    <w:rsid w:val="542F7A11"/>
    <w:rsid w:val="543612A3"/>
    <w:rsid w:val="545B09C0"/>
    <w:rsid w:val="545C025B"/>
    <w:rsid w:val="54652925"/>
    <w:rsid w:val="546901F1"/>
    <w:rsid w:val="546E3695"/>
    <w:rsid w:val="546E56A7"/>
    <w:rsid w:val="5474356A"/>
    <w:rsid w:val="547A79B3"/>
    <w:rsid w:val="547D4D4E"/>
    <w:rsid w:val="547E7ED1"/>
    <w:rsid w:val="548075C0"/>
    <w:rsid w:val="54821AD3"/>
    <w:rsid w:val="548B0EA1"/>
    <w:rsid w:val="548C61C4"/>
    <w:rsid w:val="54920750"/>
    <w:rsid w:val="549724F9"/>
    <w:rsid w:val="549B04AD"/>
    <w:rsid w:val="54A01735"/>
    <w:rsid w:val="54A565C1"/>
    <w:rsid w:val="54A61015"/>
    <w:rsid w:val="54A7527D"/>
    <w:rsid w:val="54B825D7"/>
    <w:rsid w:val="54BA6B97"/>
    <w:rsid w:val="54C406BA"/>
    <w:rsid w:val="54C7173E"/>
    <w:rsid w:val="54CA318A"/>
    <w:rsid w:val="54D24340"/>
    <w:rsid w:val="54D32D40"/>
    <w:rsid w:val="54D444CE"/>
    <w:rsid w:val="54DE57AF"/>
    <w:rsid w:val="54E274B2"/>
    <w:rsid w:val="54E4698D"/>
    <w:rsid w:val="54E65E6E"/>
    <w:rsid w:val="54ED6677"/>
    <w:rsid w:val="54EE1923"/>
    <w:rsid w:val="54EF2390"/>
    <w:rsid w:val="54F15FB6"/>
    <w:rsid w:val="54F700BB"/>
    <w:rsid w:val="54F842F6"/>
    <w:rsid w:val="54F90496"/>
    <w:rsid w:val="54FB7CF8"/>
    <w:rsid w:val="54FE1C4B"/>
    <w:rsid w:val="5502776B"/>
    <w:rsid w:val="55052414"/>
    <w:rsid w:val="55086B92"/>
    <w:rsid w:val="550B65EF"/>
    <w:rsid w:val="550D3679"/>
    <w:rsid w:val="550E2776"/>
    <w:rsid w:val="551428A9"/>
    <w:rsid w:val="551477C2"/>
    <w:rsid w:val="55181F64"/>
    <w:rsid w:val="5519617D"/>
    <w:rsid w:val="551E60F3"/>
    <w:rsid w:val="55202245"/>
    <w:rsid w:val="55203D4E"/>
    <w:rsid w:val="552111BA"/>
    <w:rsid w:val="5521467D"/>
    <w:rsid w:val="552659ED"/>
    <w:rsid w:val="55296A45"/>
    <w:rsid w:val="552A00CC"/>
    <w:rsid w:val="552D7532"/>
    <w:rsid w:val="552F4944"/>
    <w:rsid w:val="5535072C"/>
    <w:rsid w:val="553810BE"/>
    <w:rsid w:val="554A064C"/>
    <w:rsid w:val="554B2EEA"/>
    <w:rsid w:val="554B418B"/>
    <w:rsid w:val="554E63B8"/>
    <w:rsid w:val="5553178C"/>
    <w:rsid w:val="55550173"/>
    <w:rsid w:val="555B52B0"/>
    <w:rsid w:val="556115E4"/>
    <w:rsid w:val="556234A1"/>
    <w:rsid w:val="55633CB3"/>
    <w:rsid w:val="55685061"/>
    <w:rsid w:val="556D5C23"/>
    <w:rsid w:val="556F3CA3"/>
    <w:rsid w:val="557012CB"/>
    <w:rsid w:val="55742844"/>
    <w:rsid w:val="55775FDD"/>
    <w:rsid w:val="55780311"/>
    <w:rsid w:val="55787327"/>
    <w:rsid w:val="558A3F17"/>
    <w:rsid w:val="559351F5"/>
    <w:rsid w:val="55952979"/>
    <w:rsid w:val="55986DE4"/>
    <w:rsid w:val="55993078"/>
    <w:rsid w:val="559979B2"/>
    <w:rsid w:val="55A022ED"/>
    <w:rsid w:val="55A03E00"/>
    <w:rsid w:val="55A044A2"/>
    <w:rsid w:val="55A32EA0"/>
    <w:rsid w:val="55A94322"/>
    <w:rsid w:val="55A969A2"/>
    <w:rsid w:val="55AA4016"/>
    <w:rsid w:val="55AF06A2"/>
    <w:rsid w:val="55B70C25"/>
    <w:rsid w:val="55B87AE2"/>
    <w:rsid w:val="55BC46A0"/>
    <w:rsid w:val="55BE03F9"/>
    <w:rsid w:val="55C0315A"/>
    <w:rsid w:val="55C61414"/>
    <w:rsid w:val="55CB6C12"/>
    <w:rsid w:val="55CD6AEF"/>
    <w:rsid w:val="55D21EAA"/>
    <w:rsid w:val="55D519A3"/>
    <w:rsid w:val="55D836CD"/>
    <w:rsid w:val="55DC1A8F"/>
    <w:rsid w:val="55DD3C95"/>
    <w:rsid w:val="55DD6DE3"/>
    <w:rsid w:val="55E049F4"/>
    <w:rsid w:val="55E20731"/>
    <w:rsid w:val="55E24DAC"/>
    <w:rsid w:val="55E84117"/>
    <w:rsid w:val="55EA463A"/>
    <w:rsid w:val="55EF1A3A"/>
    <w:rsid w:val="55FA6B56"/>
    <w:rsid w:val="56006025"/>
    <w:rsid w:val="56021160"/>
    <w:rsid w:val="560236E4"/>
    <w:rsid w:val="56057B3F"/>
    <w:rsid w:val="5607655E"/>
    <w:rsid w:val="560B065E"/>
    <w:rsid w:val="560C3963"/>
    <w:rsid w:val="56112F8E"/>
    <w:rsid w:val="56115F53"/>
    <w:rsid w:val="56240824"/>
    <w:rsid w:val="56273900"/>
    <w:rsid w:val="562B5EAA"/>
    <w:rsid w:val="563719B6"/>
    <w:rsid w:val="563A789D"/>
    <w:rsid w:val="564A777F"/>
    <w:rsid w:val="565B730E"/>
    <w:rsid w:val="565C3F6F"/>
    <w:rsid w:val="56600D50"/>
    <w:rsid w:val="566651C1"/>
    <w:rsid w:val="566D5F16"/>
    <w:rsid w:val="56751621"/>
    <w:rsid w:val="568426A6"/>
    <w:rsid w:val="56842A05"/>
    <w:rsid w:val="56847646"/>
    <w:rsid w:val="569C2F2D"/>
    <w:rsid w:val="569D4A06"/>
    <w:rsid w:val="56A32606"/>
    <w:rsid w:val="56A461F6"/>
    <w:rsid w:val="56AE26CE"/>
    <w:rsid w:val="56AF09F4"/>
    <w:rsid w:val="56B10EDA"/>
    <w:rsid w:val="56B31795"/>
    <w:rsid w:val="56B364D5"/>
    <w:rsid w:val="56B63AD9"/>
    <w:rsid w:val="56B67CC2"/>
    <w:rsid w:val="56B83C61"/>
    <w:rsid w:val="56C61E81"/>
    <w:rsid w:val="56C66CDB"/>
    <w:rsid w:val="56C757EE"/>
    <w:rsid w:val="56C8294B"/>
    <w:rsid w:val="56C91A2B"/>
    <w:rsid w:val="56D00AC2"/>
    <w:rsid w:val="56DC35F0"/>
    <w:rsid w:val="56E0635B"/>
    <w:rsid w:val="56E24F2E"/>
    <w:rsid w:val="56E60B0B"/>
    <w:rsid w:val="56E72E91"/>
    <w:rsid w:val="56EA4F44"/>
    <w:rsid w:val="56EB43B2"/>
    <w:rsid w:val="56EC0549"/>
    <w:rsid w:val="56EE1D09"/>
    <w:rsid w:val="56F62D45"/>
    <w:rsid w:val="56FC4011"/>
    <w:rsid w:val="56FD007E"/>
    <w:rsid w:val="56FD144E"/>
    <w:rsid w:val="56FF1DD3"/>
    <w:rsid w:val="57081E0E"/>
    <w:rsid w:val="570B058A"/>
    <w:rsid w:val="570C5CDB"/>
    <w:rsid w:val="57183B24"/>
    <w:rsid w:val="571D5AB8"/>
    <w:rsid w:val="571E5444"/>
    <w:rsid w:val="5729231D"/>
    <w:rsid w:val="572B5244"/>
    <w:rsid w:val="574A4CE9"/>
    <w:rsid w:val="574E12D7"/>
    <w:rsid w:val="574F1C15"/>
    <w:rsid w:val="57520EFA"/>
    <w:rsid w:val="575277ED"/>
    <w:rsid w:val="575D10BE"/>
    <w:rsid w:val="57647531"/>
    <w:rsid w:val="576561B9"/>
    <w:rsid w:val="576C0881"/>
    <w:rsid w:val="5775197D"/>
    <w:rsid w:val="57765F32"/>
    <w:rsid w:val="577A61D4"/>
    <w:rsid w:val="577E746B"/>
    <w:rsid w:val="577F7F9E"/>
    <w:rsid w:val="57806C6D"/>
    <w:rsid w:val="578129D2"/>
    <w:rsid w:val="578179E0"/>
    <w:rsid w:val="578823EE"/>
    <w:rsid w:val="578B0952"/>
    <w:rsid w:val="578B689C"/>
    <w:rsid w:val="578D0CD2"/>
    <w:rsid w:val="57905702"/>
    <w:rsid w:val="57912449"/>
    <w:rsid w:val="57922B49"/>
    <w:rsid w:val="57932A7E"/>
    <w:rsid w:val="5798694B"/>
    <w:rsid w:val="579E30C4"/>
    <w:rsid w:val="57A305CE"/>
    <w:rsid w:val="57A32301"/>
    <w:rsid w:val="57A9177C"/>
    <w:rsid w:val="57AC5892"/>
    <w:rsid w:val="57BB61E5"/>
    <w:rsid w:val="57C0193F"/>
    <w:rsid w:val="57CC10EE"/>
    <w:rsid w:val="57CC4F2E"/>
    <w:rsid w:val="57CC7AEA"/>
    <w:rsid w:val="57CD0CA4"/>
    <w:rsid w:val="57D35774"/>
    <w:rsid w:val="57D36333"/>
    <w:rsid w:val="57D87037"/>
    <w:rsid w:val="57DB6421"/>
    <w:rsid w:val="57DE5AF6"/>
    <w:rsid w:val="57DF0F7A"/>
    <w:rsid w:val="57E606B3"/>
    <w:rsid w:val="57ED4574"/>
    <w:rsid w:val="57EF1159"/>
    <w:rsid w:val="57F801E2"/>
    <w:rsid w:val="57FE1FBC"/>
    <w:rsid w:val="58051F03"/>
    <w:rsid w:val="58063BB7"/>
    <w:rsid w:val="58067F42"/>
    <w:rsid w:val="580A48D8"/>
    <w:rsid w:val="58136BF6"/>
    <w:rsid w:val="58186F84"/>
    <w:rsid w:val="581C6A89"/>
    <w:rsid w:val="582B2255"/>
    <w:rsid w:val="582E57DE"/>
    <w:rsid w:val="582F41B8"/>
    <w:rsid w:val="58334F24"/>
    <w:rsid w:val="58346793"/>
    <w:rsid w:val="58352F85"/>
    <w:rsid w:val="58397211"/>
    <w:rsid w:val="583B09F2"/>
    <w:rsid w:val="5841540B"/>
    <w:rsid w:val="584C1C98"/>
    <w:rsid w:val="584E3448"/>
    <w:rsid w:val="58540B1A"/>
    <w:rsid w:val="585B1D74"/>
    <w:rsid w:val="585B50FA"/>
    <w:rsid w:val="585B610A"/>
    <w:rsid w:val="585E6C7A"/>
    <w:rsid w:val="586A449B"/>
    <w:rsid w:val="586E7A1B"/>
    <w:rsid w:val="58747499"/>
    <w:rsid w:val="588036E8"/>
    <w:rsid w:val="588228E9"/>
    <w:rsid w:val="588A0692"/>
    <w:rsid w:val="588F6662"/>
    <w:rsid w:val="58916021"/>
    <w:rsid w:val="58995DB1"/>
    <w:rsid w:val="589A4FF5"/>
    <w:rsid w:val="589C308F"/>
    <w:rsid w:val="589E502C"/>
    <w:rsid w:val="58A15816"/>
    <w:rsid w:val="58A24724"/>
    <w:rsid w:val="58A75718"/>
    <w:rsid w:val="58A822B7"/>
    <w:rsid w:val="58AB262F"/>
    <w:rsid w:val="58AD65D0"/>
    <w:rsid w:val="58AF1304"/>
    <w:rsid w:val="58B03481"/>
    <w:rsid w:val="58B12B9A"/>
    <w:rsid w:val="58B25E00"/>
    <w:rsid w:val="58B35A48"/>
    <w:rsid w:val="58B400C8"/>
    <w:rsid w:val="58B47BE1"/>
    <w:rsid w:val="58CA6DBA"/>
    <w:rsid w:val="58D2385D"/>
    <w:rsid w:val="58D23D9B"/>
    <w:rsid w:val="58D628F9"/>
    <w:rsid w:val="58D90AE2"/>
    <w:rsid w:val="58DE1E49"/>
    <w:rsid w:val="58E47914"/>
    <w:rsid w:val="58ED20DE"/>
    <w:rsid w:val="58F1562D"/>
    <w:rsid w:val="58FA0FC9"/>
    <w:rsid w:val="58FA3DDB"/>
    <w:rsid w:val="58FF201C"/>
    <w:rsid w:val="59036172"/>
    <w:rsid w:val="5904617E"/>
    <w:rsid w:val="59060525"/>
    <w:rsid w:val="590B490B"/>
    <w:rsid w:val="590D0B81"/>
    <w:rsid w:val="590D4350"/>
    <w:rsid w:val="59100649"/>
    <w:rsid w:val="59113888"/>
    <w:rsid w:val="591474EB"/>
    <w:rsid w:val="5915074C"/>
    <w:rsid w:val="591C167A"/>
    <w:rsid w:val="591F79BC"/>
    <w:rsid w:val="5921592A"/>
    <w:rsid w:val="59225D05"/>
    <w:rsid w:val="5925573A"/>
    <w:rsid w:val="592C197F"/>
    <w:rsid w:val="592F401D"/>
    <w:rsid w:val="593206C6"/>
    <w:rsid w:val="593A2DA2"/>
    <w:rsid w:val="593A35FF"/>
    <w:rsid w:val="594B4AD8"/>
    <w:rsid w:val="59507C08"/>
    <w:rsid w:val="59667092"/>
    <w:rsid w:val="596A522E"/>
    <w:rsid w:val="59785611"/>
    <w:rsid w:val="59796343"/>
    <w:rsid w:val="597C59A9"/>
    <w:rsid w:val="598331BB"/>
    <w:rsid w:val="59883FD0"/>
    <w:rsid w:val="5989186C"/>
    <w:rsid w:val="5992012C"/>
    <w:rsid w:val="599352E6"/>
    <w:rsid w:val="59943ADB"/>
    <w:rsid w:val="59950972"/>
    <w:rsid w:val="5998798D"/>
    <w:rsid w:val="599B452D"/>
    <w:rsid w:val="59A378F5"/>
    <w:rsid w:val="59A574B8"/>
    <w:rsid w:val="59A828A5"/>
    <w:rsid w:val="59A86A00"/>
    <w:rsid w:val="59AA01BC"/>
    <w:rsid w:val="59B0211E"/>
    <w:rsid w:val="59B979FE"/>
    <w:rsid w:val="59BA17D9"/>
    <w:rsid w:val="59BF56EA"/>
    <w:rsid w:val="59C16325"/>
    <w:rsid w:val="59C3785B"/>
    <w:rsid w:val="59C50CA6"/>
    <w:rsid w:val="59CC5E47"/>
    <w:rsid w:val="59CF5FA3"/>
    <w:rsid w:val="59D81EA5"/>
    <w:rsid w:val="59D943F3"/>
    <w:rsid w:val="59E269D6"/>
    <w:rsid w:val="59E66C1B"/>
    <w:rsid w:val="59EA1FC6"/>
    <w:rsid w:val="59F8430E"/>
    <w:rsid w:val="59FD5580"/>
    <w:rsid w:val="59FE00B0"/>
    <w:rsid w:val="5A05467D"/>
    <w:rsid w:val="5A066B14"/>
    <w:rsid w:val="5A072740"/>
    <w:rsid w:val="5A0F4BB5"/>
    <w:rsid w:val="5A0F7CC7"/>
    <w:rsid w:val="5A124315"/>
    <w:rsid w:val="5A13697D"/>
    <w:rsid w:val="5A185D9D"/>
    <w:rsid w:val="5A1870A4"/>
    <w:rsid w:val="5A1B4C82"/>
    <w:rsid w:val="5A1C13BB"/>
    <w:rsid w:val="5A1D523D"/>
    <w:rsid w:val="5A1D7CCA"/>
    <w:rsid w:val="5A2279D3"/>
    <w:rsid w:val="5A280468"/>
    <w:rsid w:val="5A286C1A"/>
    <w:rsid w:val="5A2E1F34"/>
    <w:rsid w:val="5A2E4637"/>
    <w:rsid w:val="5A366647"/>
    <w:rsid w:val="5A3666E9"/>
    <w:rsid w:val="5A377423"/>
    <w:rsid w:val="5A411C13"/>
    <w:rsid w:val="5A420F3C"/>
    <w:rsid w:val="5A432B4A"/>
    <w:rsid w:val="5A470D30"/>
    <w:rsid w:val="5A474C28"/>
    <w:rsid w:val="5A4B46DE"/>
    <w:rsid w:val="5A4B64C5"/>
    <w:rsid w:val="5A564124"/>
    <w:rsid w:val="5A5D7E78"/>
    <w:rsid w:val="5A5F25C6"/>
    <w:rsid w:val="5A61761E"/>
    <w:rsid w:val="5A776DC8"/>
    <w:rsid w:val="5A837FB2"/>
    <w:rsid w:val="5A885B7B"/>
    <w:rsid w:val="5A8A6213"/>
    <w:rsid w:val="5A9301A6"/>
    <w:rsid w:val="5A974212"/>
    <w:rsid w:val="5A9C045C"/>
    <w:rsid w:val="5A9E51D4"/>
    <w:rsid w:val="5AAA5102"/>
    <w:rsid w:val="5AB12AD9"/>
    <w:rsid w:val="5AB6351F"/>
    <w:rsid w:val="5ABB1A93"/>
    <w:rsid w:val="5AC32824"/>
    <w:rsid w:val="5AC32977"/>
    <w:rsid w:val="5AC41697"/>
    <w:rsid w:val="5AC4727B"/>
    <w:rsid w:val="5AC8558B"/>
    <w:rsid w:val="5ACA3F7E"/>
    <w:rsid w:val="5ACD7BEF"/>
    <w:rsid w:val="5ACE49FF"/>
    <w:rsid w:val="5ACE690F"/>
    <w:rsid w:val="5AD93EAB"/>
    <w:rsid w:val="5AD9567E"/>
    <w:rsid w:val="5ADB54A4"/>
    <w:rsid w:val="5AE0406E"/>
    <w:rsid w:val="5AE16D89"/>
    <w:rsid w:val="5AE3154A"/>
    <w:rsid w:val="5AE31EC4"/>
    <w:rsid w:val="5AE36800"/>
    <w:rsid w:val="5AE61032"/>
    <w:rsid w:val="5AEF2796"/>
    <w:rsid w:val="5AEF4B2C"/>
    <w:rsid w:val="5AF02F51"/>
    <w:rsid w:val="5AF04873"/>
    <w:rsid w:val="5AFD2795"/>
    <w:rsid w:val="5B030A08"/>
    <w:rsid w:val="5B035D7E"/>
    <w:rsid w:val="5B07622A"/>
    <w:rsid w:val="5B097EC2"/>
    <w:rsid w:val="5B0D25E7"/>
    <w:rsid w:val="5B156CDA"/>
    <w:rsid w:val="5B1A10FF"/>
    <w:rsid w:val="5B1C223D"/>
    <w:rsid w:val="5B1C4F6C"/>
    <w:rsid w:val="5B1E1E2C"/>
    <w:rsid w:val="5B2D3C55"/>
    <w:rsid w:val="5B364C61"/>
    <w:rsid w:val="5B371AB3"/>
    <w:rsid w:val="5B394A29"/>
    <w:rsid w:val="5B3D1954"/>
    <w:rsid w:val="5B40149A"/>
    <w:rsid w:val="5B47167D"/>
    <w:rsid w:val="5B4A194C"/>
    <w:rsid w:val="5B4D4B43"/>
    <w:rsid w:val="5B4F1464"/>
    <w:rsid w:val="5B550C14"/>
    <w:rsid w:val="5B630B18"/>
    <w:rsid w:val="5B6919DA"/>
    <w:rsid w:val="5B6C3555"/>
    <w:rsid w:val="5B722173"/>
    <w:rsid w:val="5B750C67"/>
    <w:rsid w:val="5B8243DE"/>
    <w:rsid w:val="5B843B7F"/>
    <w:rsid w:val="5B8754EB"/>
    <w:rsid w:val="5B891166"/>
    <w:rsid w:val="5B90055D"/>
    <w:rsid w:val="5B965C12"/>
    <w:rsid w:val="5B990EF2"/>
    <w:rsid w:val="5B9E010F"/>
    <w:rsid w:val="5B9E38AD"/>
    <w:rsid w:val="5B9E62F1"/>
    <w:rsid w:val="5BA55716"/>
    <w:rsid w:val="5BA67003"/>
    <w:rsid w:val="5BA67812"/>
    <w:rsid w:val="5BA77BE8"/>
    <w:rsid w:val="5BA80252"/>
    <w:rsid w:val="5BAB0F0A"/>
    <w:rsid w:val="5BAD454A"/>
    <w:rsid w:val="5BB0324A"/>
    <w:rsid w:val="5BBF2B97"/>
    <w:rsid w:val="5BC2217D"/>
    <w:rsid w:val="5BC3567D"/>
    <w:rsid w:val="5BC376FC"/>
    <w:rsid w:val="5BC449F3"/>
    <w:rsid w:val="5BCB1AF4"/>
    <w:rsid w:val="5BCD0369"/>
    <w:rsid w:val="5BCF2829"/>
    <w:rsid w:val="5BD33D3D"/>
    <w:rsid w:val="5BD733C4"/>
    <w:rsid w:val="5BD83070"/>
    <w:rsid w:val="5BDB770D"/>
    <w:rsid w:val="5BDE751B"/>
    <w:rsid w:val="5BDF0FEF"/>
    <w:rsid w:val="5BE01A79"/>
    <w:rsid w:val="5BEE248F"/>
    <w:rsid w:val="5BEF77D0"/>
    <w:rsid w:val="5BF02F04"/>
    <w:rsid w:val="5BF04F19"/>
    <w:rsid w:val="5BF105E2"/>
    <w:rsid w:val="5BF33A8A"/>
    <w:rsid w:val="5C083CFC"/>
    <w:rsid w:val="5C097773"/>
    <w:rsid w:val="5C0A0A0C"/>
    <w:rsid w:val="5C12206F"/>
    <w:rsid w:val="5C140E15"/>
    <w:rsid w:val="5C154959"/>
    <w:rsid w:val="5C187562"/>
    <w:rsid w:val="5C1E35C1"/>
    <w:rsid w:val="5C214440"/>
    <w:rsid w:val="5C2356E9"/>
    <w:rsid w:val="5C2813C5"/>
    <w:rsid w:val="5C29465E"/>
    <w:rsid w:val="5C327132"/>
    <w:rsid w:val="5C361DE7"/>
    <w:rsid w:val="5C38038E"/>
    <w:rsid w:val="5C383E3E"/>
    <w:rsid w:val="5C3A5235"/>
    <w:rsid w:val="5C3E6769"/>
    <w:rsid w:val="5C4804B6"/>
    <w:rsid w:val="5C5A7484"/>
    <w:rsid w:val="5C6B1BED"/>
    <w:rsid w:val="5C740EDD"/>
    <w:rsid w:val="5C8216F6"/>
    <w:rsid w:val="5C822F19"/>
    <w:rsid w:val="5C826A52"/>
    <w:rsid w:val="5C85768D"/>
    <w:rsid w:val="5C8832A2"/>
    <w:rsid w:val="5C8836FD"/>
    <w:rsid w:val="5C884F36"/>
    <w:rsid w:val="5C8A7183"/>
    <w:rsid w:val="5C97427A"/>
    <w:rsid w:val="5C976B4C"/>
    <w:rsid w:val="5CA257EB"/>
    <w:rsid w:val="5CA31588"/>
    <w:rsid w:val="5CA42E71"/>
    <w:rsid w:val="5CAA421F"/>
    <w:rsid w:val="5CAB77CD"/>
    <w:rsid w:val="5CAD2051"/>
    <w:rsid w:val="5CBA5385"/>
    <w:rsid w:val="5CBD67D5"/>
    <w:rsid w:val="5CC47F33"/>
    <w:rsid w:val="5CC50D72"/>
    <w:rsid w:val="5CC734B5"/>
    <w:rsid w:val="5CDC1F73"/>
    <w:rsid w:val="5CDE4348"/>
    <w:rsid w:val="5CEF3636"/>
    <w:rsid w:val="5CF37746"/>
    <w:rsid w:val="5CFF78F3"/>
    <w:rsid w:val="5D0013A9"/>
    <w:rsid w:val="5D121028"/>
    <w:rsid w:val="5D161E16"/>
    <w:rsid w:val="5D172C83"/>
    <w:rsid w:val="5D187915"/>
    <w:rsid w:val="5D1A4F84"/>
    <w:rsid w:val="5D1B284F"/>
    <w:rsid w:val="5D1F7DEB"/>
    <w:rsid w:val="5D2437A5"/>
    <w:rsid w:val="5D26561D"/>
    <w:rsid w:val="5D391B65"/>
    <w:rsid w:val="5D3B29E1"/>
    <w:rsid w:val="5D3F7D25"/>
    <w:rsid w:val="5D401E55"/>
    <w:rsid w:val="5D417DC3"/>
    <w:rsid w:val="5D4C7094"/>
    <w:rsid w:val="5D566341"/>
    <w:rsid w:val="5D570D22"/>
    <w:rsid w:val="5D6C29C5"/>
    <w:rsid w:val="5D7C476D"/>
    <w:rsid w:val="5D7F4197"/>
    <w:rsid w:val="5D824F30"/>
    <w:rsid w:val="5D8974F5"/>
    <w:rsid w:val="5D906B0A"/>
    <w:rsid w:val="5D9316A5"/>
    <w:rsid w:val="5D965CBD"/>
    <w:rsid w:val="5D9B4C54"/>
    <w:rsid w:val="5DA81ABC"/>
    <w:rsid w:val="5DAA6950"/>
    <w:rsid w:val="5DB145C3"/>
    <w:rsid w:val="5DB32FF8"/>
    <w:rsid w:val="5DB34FEA"/>
    <w:rsid w:val="5DB460C9"/>
    <w:rsid w:val="5DB748F9"/>
    <w:rsid w:val="5DBD28AB"/>
    <w:rsid w:val="5DC31E8C"/>
    <w:rsid w:val="5DC96B36"/>
    <w:rsid w:val="5DCA30CE"/>
    <w:rsid w:val="5DCB4F23"/>
    <w:rsid w:val="5DCC592E"/>
    <w:rsid w:val="5DCE1B60"/>
    <w:rsid w:val="5DCE6427"/>
    <w:rsid w:val="5DD04BD2"/>
    <w:rsid w:val="5DD42A5A"/>
    <w:rsid w:val="5DD97C1B"/>
    <w:rsid w:val="5DDA3AC2"/>
    <w:rsid w:val="5DE53216"/>
    <w:rsid w:val="5DE62EEC"/>
    <w:rsid w:val="5DE83C91"/>
    <w:rsid w:val="5DEA44D9"/>
    <w:rsid w:val="5DEE4519"/>
    <w:rsid w:val="5DF0070A"/>
    <w:rsid w:val="5DF927D9"/>
    <w:rsid w:val="5DFA3252"/>
    <w:rsid w:val="5DFE78E9"/>
    <w:rsid w:val="5E071A39"/>
    <w:rsid w:val="5E0E1F94"/>
    <w:rsid w:val="5E1E211B"/>
    <w:rsid w:val="5E2412F5"/>
    <w:rsid w:val="5E267281"/>
    <w:rsid w:val="5E2C7599"/>
    <w:rsid w:val="5E2E7607"/>
    <w:rsid w:val="5E331CD9"/>
    <w:rsid w:val="5E377B14"/>
    <w:rsid w:val="5E3A7F62"/>
    <w:rsid w:val="5E3D49AA"/>
    <w:rsid w:val="5E3F5807"/>
    <w:rsid w:val="5E416850"/>
    <w:rsid w:val="5E450D87"/>
    <w:rsid w:val="5E505A8B"/>
    <w:rsid w:val="5E540C98"/>
    <w:rsid w:val="5E5522A8"/>
    <w:rsid w:val="5E585600"/>
    <w:rsid w:val="5E5A4F22"/>
    <w:rsid w:val="5E5A6118"/>
    <w:rsid w:val="5E5C5A2D"/>
    <w:rsid w:val="5E5E4FE7"/>
    <w:rsid w:val="5E705308"/>
    <w:rsid w:val="5E79342D"/>
    <w:rsid w:val="5E7C066C"/>
    <w:rsid w:val="5E803B66"/>
    <w:rsid w:val="5E816060"/>
    <w:rsid w:val="5E8A315E"/>
    <w:rsid w:val="5E8C32F5"/>
    <w:rsid w:val="5E9178F3"/>
    <w:rsid w:val="5E982A38"/>
    <w:rsid w:val="5E9D3904"/>
    <w:rsid w:val="5E9E74C6"/>
    <w:rsid w:val="5EA053AF"/>
    <w:rsid w:val="5EAF155F"/>
    <w:rsid w:val="5EB01C9F"/>
    <w:rsid w:val="5EB3168F"/>
    <w:rsid w:val="5EB374DF"/>
    <w:rsid w:val="5EBB6DE7"/>
    <w:rsid w:val="5EC33A28"/>
    <w:rsid w:val="5EC74858"/>
    <w:rsid w:val="5EC81E83"/>
    <w:rsid w:val="5ECE246C"/>
    <w:rsid w:val="5ED06BFD"/>
    <w:rsid w:val="5ED25F4F"/>
    <w:rsid w:val="5ED37BCE"/>
    <w:rsid w:val="5ED71D90"/>
    <w:rsid w:val="5EDB2423"/>
    <w:rsid w:val="5EE42332"/>
    <w:rsid w:val="5EE9631D"/>
    <w:rsid w:val="5EED1A0B"/>
    <w:rsid w:val="5EEF4BD6"/>
    <w:rsid w:val="5EEF7ABE"/>
    <w:rsid w:val="5EF15EF7"/>
    <w:rsid w:val="5EF85732"/>
    <w:rsid w:val="5EF9175E"/>
    <w:rsid w:val="5EF97747"/>
    <w:rsid w:val="5EFC2BA4"/>
    <w:rsid w:val="5F013BAD"/>
    <w:rsid w:val="5F030349"/>
    <w:rsid w:val="5F071378"/>
    <w:rsid w:val="5F097DE0"/>
    <w:rsid w:val="5F0A197E"/>
    <w:rsid w:val="5F104003"/>
    <w:rsid w:val="5F15014D"/>
    <w:rsid w:val="5F195422"/>
    <w:rsid w:val="5F1962BB"/>
    <w:rsid w:val="5F254E25"/>
    <w:rsid w:val="5F26559F"/>
    <w:rsid w:val="5F3337AC"/>
    <w:rsid w:val="5F335C13"/>
    <w:rsid w:val="5F3D261A"/>
    <w:rsid w:val="5F443B1E"/>
    <w:rsid w:val="5F465B03"/>
    <w:rsid w:val="5F4A0FE3"/>
    <w:rsid w:val="5F4A2CE5"/>
    <w:rsid w:val="5F4D24FF"/>
    <w:rsid w:val="5F566DB6"/>
    <w:rsid w:val="5F571524"/>
    <w:rsid w:val="5F58236B"/>
    <w:rsid w:val="5F5864E4"/>
    <w:rsid w:val="5F5C26B0"/>
    <w:rsid w:val="5F60637A"/>
    <w:rsid w:val="5F61327C"/>
    <w:rsid w:val="5F6168A1"/>
    <w:rsid w:val="5F755A1C"/>
    <w:rsid w:val="5F86349F"/>
    <w:rsid w:val="5F9629FA"/>
    <w:rsid w:val="5F9D0D70"/>
    <w:rsid w:val="5F9E33E9"/>
    <w:rsid w:val="5F9F73DE"/>
    <w:rsid w:val="5FA53174"/>
    <w:rsid w:val="5FAB3E56"/>
    <w:rsid w:val="5FAB639E"/>
    <w:rsid w:val="5FB05148"/>
    <w:rsid w:val="5FBF5590"/>
    <w:rsid w:val="5FCF2575"/>
    <w:rsid w:val="5FD05D3D"/>
    <w:rsid w:val="5FD32534"/>
    <w:rsid w:val="5FDB4404"/>
    <w:rsid w:val="5FDC2CAF"/>
    <w:rsid w:val="5FE047AB"/>
    <w:rsid w:val="5FE14166"/>
    <w:rsid w:val="5FE144AD"/>
    <w:rsid w:val="5FE518A9"/>
    <w:rsid w:val="5FE63E28"/>
    <w:rsid w:val="5FE93B84"/>
    <w:rsid w:val="5FEE5357"/>
    <w:rsid w:val="5FEF4BF7"/>
    <w:rsid w:val="5FFF6B77"/>
    <w:rsid w:val="60036FCA"/>
    <w:rsid w:val="60085DF8"/>
    <w:rsid w:val="600C43C7"/>
    <w:rsid w:val="600E141F"/>
    <w:rsid w:val="601371F1"/>
    <w:rsid w:val="60151A71"/>
    <w:rsid w:val="601E0A0F"/>
    <w:rsid w:val="6022034A"/>
    <w:rsid w:val="60251244"/>
    <w:rsid w:val="602A7591"/>
    <w:rsid w:val="603234A0"/>
    <w:rsid w:val="604242CF"/>
    <w:rsid w:val="604A3E0F"/>
    <w:rsid w:val="604E1676"/>
    <w:rsid w:val="60541984"/>
    <w:rsid w:val="605672D9"/>
    <w:rsid w:val="60695182"/>
    <w:rsid w:val="606F17E2"/>
    <w:rsid w:val="606F544D"/>
    <w:rsid w:val="60735883"/>
    <w:rsid w:val="60746734"/>
    <w:rsid w:val="60802386"/>
    <w:rsid w:val="608472C7"/>
    <w:rsid w:val="608B5A6C"/>
    <w:rsid w:val="608F41B1"/>
    <w:rsid w:val="6090374C"/>
    <w:rsid w:val="609076C6"/>
    <w:rsid w:val="60915E51"/>
    <w:rsid w:val="609748D8"/>
    <w:rsid w:val="609D1A0E"/>
    <w:rsid w:val="609D5D70"/>
    <w:rsid w:val="60A25FBA"/>
    <w:rsid w:val="60A73B16"/>
    <w:rsid w:val="60AF592A"/>
    <w:rsid w:val="60B17420"/>
    <w:rsid w:val="60B54462"/>
    <w:rsid w:val="60B84561"/>
    <w:rsid w:val="60B974BE"/>
    <w:rsid w:val="60BF0FC4"/>
    <w:rsid w:val="60C1174B"/>
    <w:rsid w:val="60D9522E"/>
    <w:rsid w:val="60E33518"/>
    <w:rsid w:val="60E45C8A"/>
    <w:rsid w:val="60E96604"/>
    <w:rsid w:val="60EC5600"/>
    <w:rsid w:val="60F5575C"/>
    <w:rsid w:val="60F621A1"/>
    <w:rsid w:val="60F8107F"/>
    <w:rsid w:val="60F929CC"/>
    <w:rsid w:val="60F933D7"/>
    <w:rsid w:val="60FA6A72"/>
    <w:rsid w:val="61035351"/>
    <w:rsid w:val="61070458"/>
    <w:rsid w:val="610A6305"/>
    <w:rsid w:val="610D0207"/>
    <w:rsid w:val="611D4CBD"/>
    <w:rsid w:val="6124144C"/>
    <w:rsid w:val="61256A84"/>
    <w:rsid w:val="613944CD"/>
    <w:rsid w:val="613A20E5"/>
    <w:rsid w:val="613C18FA"/>
    <w:rsid w:val="613D44FB"/>
    <w:rsid w:val="61486F9E"/>
    <w:rsid w:val="614A4C48"/>
    <w:rsid w:val="614D2A57"/>
    <w:rsid w:val="614E13D4"/>
    <w:rsid w:val="61507522"/>
    <w:rsid w:val="6153115C"/>
    <w:rsid w:val="61594EB7"/>
    <w:rsid w:val="616619E8"/>
    <w:rsid w:val="61745BE3"/>
    <w:rsid w:val="61754721"/>
    <w:rsid w:val="61773749"/>
    <w:rsid w:val="61786C37"/>
    <w:rsid w:val="617E5AE8"/>
    <w:rsid w:val="61800133"/>
    <w:rsid w:val="61814E61"/>
    <w:rsid w:val="61886F21"/>
    <w:rsid w:val="618A546F"/>
    <w:rsid w:val="618F4681"/>
    <w:rsid w:val="618F6B53"/>
    <w:rsid w:val="619166F7"/>
    <w:rsid w:val="61A44F32"/>
    <w:rsid w:val="61AC2BBB"/>
    <w:rsid w:val="61AC6B5E"/>
    <w:rsid w:val="61B20792"/>
    <w:rsid w:val="61B255A6"/>
    <w:rsid w:val="61BD3487"/>
    <w:rsid w:val="61C15A57"/>
    <w:rsid w:val="61C41E2F"/>
    <w:rsid w:val="61C76912"/>
    <w:rsid w:val="61CA54C0"/>
    <w:rsid w:val="61CC36F6"/>
    <w:rsid w:val="61D90EB0"/>
    <w:rsid w:val="61E46809"/>
    <w:rsid w:val="61E5195A"/>
    <w:rsid w:val="61ED62A3"/>
    <w:rsid w:val="61EF0058"/>
    <w:rsid w:val="61EF30FF"/>
    <w:rsid w:val="61F016B8"/>
    <w:rsid w:val="61F01D9B"/>
    <w:rsid w:val="61F26867"/>
    <w:rsid w:val="61F77AD2"/>
    <w:rsid w:val="61FD766E"/>
    <w:rsid w:val="61FF4FEB"/>
    <w:rsid w:val="62007F31"/>
    <w:rsid w:val="62052569"/>
    <w:rsid w:val="62090416"/>
    <w:rsid w:val="620A797D"/>
    <w:rsid w:val="62112493"/>
    <w:rsid w:val="6213448D"/>
    <w:rsid w:val="621515FD"/>
    <w:rsid w:val="6216453E"/>
    <w:rsid w:val="62183D01"/>
    <w:rsid w:val="62191ECC"/>
    <w:rsid w:val="621B1D07"/>
    <w:rsid w:val="621D3657"/>
    <w:rsid w:val="622E68F2"/>
    <w:rsid w:val="62307632"/>
    <w:rsid w:val="623D6ADF"/>
    <w:rsid w:val="6240795D"/>
    <w:rsid w:val="62453A76"/>
    <w:rsid w:val="6247331C"/>
    <w:rsid w:val="624744C2"/>
    <w:rsid w:val="62475C67"/>
    <w:rsid w:val="62502E41"/>
    <w:rsid w:val="62582253"/>
    <w:rsid w:val="625D59FE"/>
    <w:rsid w:val="6262667E"/>
    <w:rsid w:val="62751B10"/>
    <w:rsid w:val="627B5736"/>
    <w:rsid w:val="627C5C13"/>
    <w:rsid w:val="628C1490"/>
    <w:rsid w:val="629437BC"/>
    <w:rsid w:val="629944D8"/>
    <w:rsid w:val="629A1BE4"/>
    <w:rsid w:val="629A7464"/>
    <w:rsid w:val="629B3293"/>
    <w:rsid w:val="629D226F"/>
    <w:rsid w:val="62A26B27"/>
    <w:rsid w:val="62A74C8D"/>
    <w:rsid w:val="62AB5778"/>
    <w:rsid w:val="62AC6AD2"/>
    <w:rsid w:val="62AF51A0"/>
    <w:rsid w:val="62B0331A"/>
    <w:rsid w:val="62B7105E"/>
    <w:rsid w:val="62BE3A3E"/>
    <w:rsid w:val="62C0078B"/>
    <w:rsid w:val="62CB7EB9"/>
    <w:rsid w:val="62CC78F7"/>
    <w:rsid w:val="62D16D3E"/>
    <w:rsid w:val="62D3072C"/>
    <w:rsid w:val="62D52460"/>
    <w:rsid w:val="62D66D6D"/>
    <w:rsid w:val="62D92D7E"/>
    <w:rsid w:val="62DA6B97"/>
    <w:rsid w:val="62E25A94"/>
    <w:rsid w:val="62E440AF"/>
    <w:rsid w:val="62E91DF4"/>
    <w:rsid w:val="62EE2739"/>
    <w:rsid w:val="62EF335A"/>
    <w:rsid w:val="62F035FF"/>
    <w:rsid w:val="62F1174B"/>
    <w:rsid w:val="62F16856"/>
    <w:rsid w:val="62F9016D"/>
    <w:rsid w:val="62FA444E"/>
    <w:rsid w:val="62FD5169"/>
    <w:rsid w:val="63041639"/>
    <w:rsid w:val="63055609"/>
    <w:rsid w:val="630A0E71"/>
    <w:rsid w:val="630E39C4"/>
    <w:rsid w:val="630E5E36"/>
    <w:rsid w:val="63197605"/>
    <w:rsid w:val="631A6E13"/>
    <w:rsid w:val="631F0450"/>
    <w:rsid w:val="63235FC9"/>
    <w:rsid w:val="63286A56"/>
    <w:rsid w:val="633057BF"/>
    <w:rsid w:val="63323A52"/>
    <w:rsid w:val="63391C4F"/>
    <w:rsid w:val="633C2F73"/>
    <w:rsid w:val="63471601"/>
    <w:rsid w:val="63483418"/>
    <w:rsid w:val="635B61A6"/>
    <w:rsid w:val="635F1309"/>
    <w:rsid w:val="63643EFE"/>
    <w:rsid w:val="636D0AE4"/>
    <w:rsid w:val="636D7E63"/>
    <w:rsid w:val="6370167C"/>
    <w:rsid w:val="6377598C"/>
    <w:rsid w:val="637C64F9"/>
    <w:rsid w:val="637D6B6B"/>
    <w:rsid w:val="6380001A"/>
    <w:rsid w:val="63820815"/>
    <w:rsid w:val="63834207"/>
    <w:rsid w:val="63845499"/>
    <w:rsid w:val="63870E76"/>
    <w:rsid w:val="638B79FD"/>
    <w:rsid w:val="63916EB6"/>
    <w:rsid w:val="63920F0F"/>
    <w:rsid w:val="639918E4"/>
    <w:rsid w:val="63994571"/>
    <w:rsid w:val="6399492A"/>
    <w:rsid w:val="639B2285"/>
    <w:rsid w:val="63A139F2"/>
    <w:rsid w:val="63AD713D"/>
    <w:rsid w:val="63AF0496"/>
    <w:rsid w:val="63B1204C"/>
    <w:rsid w:val="63B67356"/>
    <w:rsid w:val="63B91AA1"/>
    <w:rsid w:val="63BD56EF"/>
    <w:rsid w:val="63C237E9"/>
    <w:rsid w:val="63CD0AF5"/>
    <w:rsid w:val="63CF5589"/>
    <w:rsid w:val="63D04A89"/>
    <w:rsid w:val="63D2024B"/>
    <w:rsid w:val="63D73FFC"/>
    <w:rsid w:val="63D928A5"/>
    <w:rsid w:val="63D96965"/>
    <w:rsid w:val="63DC5DE1"/>
    <w:rsid w:val="63DD15BD"/>
    <w:rsid w:val="63E01B25"/>
    <w:rsid w:val="63E03195"/>
    <w:rsid w:val="63E15753"/>
    <w:rsid w:val="63ED2FB3"/>
    <w:rsid w:val="63ED7845"/>
    <w:rsid w:val="63EE2139"/>
    <w:rsid w:val="63F51832"/>
    <w:rsid w:val="64037136"/>
    <w:rsid w:val="6409031B"/>
    <w:rsid w:val="640941C6"/>
    <w:rsid w:val="640A456C"/>
    <w:rsid w:val="64133D9B"/>
    <w:rsid w:val="64196FF9"/>
    <w:rsid w:val="641D64BA"/>
    <w:rsid w:val="641E2F52"/>
    <w:rsid w:val="641F5D8D"/>
    <w:rsid w:val="64202DC6"/>
    <w:rsid w:val="642273E7"/>
    <w:rsid w:val="642C7F4C"/>
    <w:rsid w:val="6431520C"/>
    <w:rsid w:val="64324577"/>
    <w:rsid w:val="6437261A"/>
    <w:rsid w:val="64381E3B"/>
    <w:rsid w:val="643A59A3"/>
    <w:rsid w:val="643D1BC4"/>
    <w:rsid w:val="64497309"/>
    <w:rsid w:val="644B6595"/>
    <w:rsid w:val="644D56B5"/>
    <w:rsid w:val="64507B0A"/>
    <w:rsid w:val="6457130F"/>
    <w:rsid w:val="645B67A2"/>
    <w:rsid w:val="64647775"/>
    <w:rsid w:val="646A7367"/>
    <w:rsid w:val="646E0E4C"/>
    <w:rsid w:val="647100B3"/>
    <w:rsid w:val="64710B05"/>
    <w:rsid w:val="647B0B55"/>
    <w:rsid w:val="647C5974"/>
    <w:rsid w:val="64816AED"/>
    <w:rsid w:val="64895853"/>
    <w:rsid w:val="648B1487"/>
    <w:rsid w:val="648D30F2"/>
    <w:rsid w:val="648D4BF5"/>
    <w:rsid w:val="648E6281"/>
    <w:rsid w:val="648F6870"/>
    <w:rsid w:val="64911918"/>
    <w:rsid w:val="64950273"/>
    <w:rsid w:val="64972FB7"/>
    <w:rsid w:val="64990771"/>
    <w:rsid w:val="649F7AB2"/>
    <w:rsid w:val="64A66858"/>
    <w:rsid w:val="64A77044"/>
    <w:rsid w:val="64A90D96"/>
    <w:rsid w:val="64AA1021"/>
    <w:rsid w:val="64B41760"/>
    <w:rsid w:val="64B925D1"/>
    <w:rsid w:val="64C3151E"/>
    <w:rsid w:val="64C5524E"/>
    <w:rsid w:val="64C953BF"/>
    <w:rsid w:val="64CB0726"/>
    <w:rsid w:val="64CC20B0"/>
    <w:rsid w:val="64CF6833"/>
    <w:rsid w:val="64D04933"/>
    <w:rsid w:val="64E0779F"/>
    <w:rsid w:val="64E90D5F"/>
    <w:rsid w:val="64EB21EF"/>
    <w:rsid w:val="64F34F09"/>
    <w:rsid w:val="64F4459D"/>
    <w:rsid w:val="6501136F"/>
    <w:rsid w:val="65017D31"/>
    <w:rsid w:val="650519F2"/>
    <w:rsid w:val="65055B18"/>
    <w:rsid w:val="65057D6A"/>
    <w:rsid w:val="65065DFF"/>
    <w:rsid w:val="65077F34"/>
    <w:rsid w:val="650E1079"/>
    <w:rsid w:val="65186D8F"/>
    <w:rsid w:val="651C5D91"/>
    <w:rsid w:val="652571C6"/>
    <w:rsid w:val="65284E0A"/>
    <w:rsid w:val="65367AAC"/>
    <w:rsid w:val="653B3618"/>
    <w:rsid w:val="653B51E8"/>
    <w:rsid w:val="653C50F1"/>
    <w:rsid w:val="653D5B56"/>
    <w:rsid w:val="6547519F"/>
    <w:rsid w:val="654E1C6C"/>
    <w:rsid w:val="65513595"/>
    <w:rsid w:val="65515201"/>
    <w:rsid w:val="65526DD6"/>
    <w:rsid w:val="65585465"/>
    <w:rsid w:val="655D1296"/>
    <w:rsid w:val="65666EB6"/>
    <w:rsid w:val="65671E91"/>
    <w:rsid w:val="65677A24"/>
    <w:rsid w:val="65723276"/>
    <w:rsid w:val="6574273D"/>
    <w:rsid w:val="657E4638"/>
    <w:rsid w:val="6580351A"/>
    <w:rsid w:val="65817B0F"/>
    <w:rsid w:val="65852885"/>
    <w:rsid w:val="65864400"/>
    <w:rsid w:val="658B41CD"/>
    <w:rsid w:val="658B7E40"/>
    <w:rsid w:val="658C43FB"/>
    <w:rsid w:val="659045F7"/>
    <w:rsid w:val="65910FE8"/>
    <w:rsid w:val="65925042"/>
    <w:rsid w:val="65A52262"/>
    <w:rsid w:val="65AB2DAA"/>
    <w:rsid w:val="65BA4E4B"/>
    <w:rsid w:val="65BB65F0"/>
    <w:rsid w:val="65BD2897"/>
    <w:rsid w:val="65BF19E6"/>
    <w:rsid w:val="65C17A40"/>
    <w:rsid w:val="65C47FB2"/>
    <w:rsid w:val="65C75BB3"/>
    <w:rsid w:val="65CA52F7"/>
    <w:rsid w:val="65CB0A07"/>
    <w:rsid w:val="65CE2E90"/>
    <w:rsid w:val="65D03DC4"/>
    <w:rsid w:val="65D16B7E"/>
    <w:rsid w:val="65D36E87"/>
    <w:rsid w:val="65D8658C"/>
    <w:rsid w:val="65DD0762"/>
    <w:rsid w:val="65DE223C"/>
    <w:rsid w:val="65DF02E2"/>
    <w:rsid w:val="65E872B2"/>
    <w:rsid w:val="65EE091C"/>
    <w:rsid w:val="65EF5EC6"/>
    <w:rsid w:val="65F406D1"/>
    <w:rsid w:val="65F47D47"/>
    <w:rsid w:val="65F9422A"/>
    <w:rsid w:val="65FB2A52"/>
    <w:rsid w:val="660117E9"/>
    <w:rsid w:val="660723F7"/>
    <w:rsid w:val="66085FF7"/>
    <w:rsid w:val="660C05B1"/>
    <w:rsid w:val="660D0491"/>
    <w:rsid w:val="660E4CBF"/>
    <w:rsid w:val="66110CEA"/>
    <w:rsid w:val="66142B16"/>
    <w:rsid w:val="66171A29"/>
    <w:rsid w:val="661B4FAE"/>
    <w:rsid w:val="661E2735"/>
    <w:rsid w:val="662D501D"/>
    <w:rsid w:val="66355F28"/>
    <w:rsid w:val="663731E3"/>
    <w:rsid w:val="663A5D50"/>
    <w:rsid w:val="66404E92"/>
    <w:rsid w:val="664763C3"/>
    <w:rsid w:val="6648288F"/>
    <w:rsid w:val="665127E1"/>
    <w:rsid w:val="66571B8C"/>
    <w:rsid w:val="66596FD4"/>
    <w:rsid w:val="665B7A96"/>
    <w:rsid w:val="665E5FB1"/>
    <w:rsid w:val="665F1034"/>
    <w:rsid w:val="666163E4"/>
    <w:rsid w:val="666176C6"/>
    <w:rsid w:val="66624A92"/>
    <w:rsid w:val="66670695"/>
    <w:rsid w:val="666834CA"/>
    <w:rsid w:val="666A0D05"/>
    <w:rsid w:val="666E6367"/>
    <w:rsid w:val="667E74E6"/>
    <w:rsid w:val="66821100"/>
    <w:rsid w:val="668215FC"/>
    <w:rsid w:val="6688794E"/>
    <w:rsid w:val="668E0B7D"/>
    <w:rsid w:val="668E6663"/>
    <w:rsid w:val="669276F4"/>
    <w:rsid w:val="66967379"/>
    <w:rsid w:val="66990E0E"/>
    <w:rsid w:val="669C54C5"/>
    <w:rsid w:val="66A25B83"/>
    <w:rsid w:val="66A66096"/>
    <w:rsid w:val="66AE0023"/>
    <w:rsid w:val="66AF4566"/>
    <w:rsid w:val="66AF7CCF"/>
    <w:rsid w:val="66B03DA6"/>
    <w:rsid w:val="66B16C07"/>
    <w:rsid w:val="66B5644C"/>
    <w:rsid w:val="66B710B9"/>
    <w:rsid w:val="66B81952"/>
    <w:rsid w:val="66BD0153"/>
    <w:rsid w:val="66C415CD"/>
    <w:rsid w:val="66C6321A"/>
    <w:rsid w:val="66CE53E0"/>
    <w:rsid w:val="66D5396C"/>
    <w:rsid w:val="66D8502D"/>
    <w:rsid w:val="66E142AB"/>
    <w:rsid w:val="66E16A85"/>
    <w:rsid w:val="66E34B09"/>
    <w:rsid w:val="66E5631A"/>
    <w:rsid w:val="66EC4FCB"/>
    <w:rsid w:val="66ED0856"/>
    <w:rsid w:val="66EE57B6"/>
    <w:rsid w:val="66F66611"/>
    <w:rsid w:val="67000D87"/>
    <w:rsid w:val="67015BCE"/>
    <w:rsid w:val="67045FB3"/>
    <w:rsid w:val="67083846"/>
    <w:rsid w:val="670866EE"/>
    <w:rsid w:val="67087AE9"/>
    <w:rsid w:val="670E06BC"/>
    <w:rsid w:val="67157C52"/>
    <w:rsid w:val="6717410B"/>
    <w:rsid w:val="671C3506"/>
    <w:rsid w:val="671F33AB"/>
    <w:rsid w:val="67216083"/>
    <w:rsid w:val="672335D8"/>
    <w:rsid w:val="67245AF2"/>
    <w:rsid w:val="672611E6"/>
    <w:rsid w:val="67273195"/>
    <w:rsid w:val="6729287B"/>
    <w:rsid w:val="672B4E5F"/>
    <w:rsid w:val="672D18E2"/>
    <w:rsid w:val="673627D9"/>
    <w:rsid w:val="67384C5F"/>
    <w:rsid w:val="67395D75"/>
    <w:rsid w:val="673C7FF6"/>
    <w:rsid w:val="673E0C20"/>
    <w:rsid w:val="674446A7"/>
    <w:rsid w:val="674A1FA5"/>
    <w:rsid w:val="674B37C8"/>
    <w:rsid w:val="674C6C00"/>
    <w:rsid w:val="6753358F"/>
    <w:rsid w:val="67587EFB"/>
    <w:rsid w:val="675A15AA"/>
    <w:rsid w:val="67611911"/>
    <w:rsid w:val="6761466C"/>
    <w:rsid w:val="6762655E"/>
    <w:rsid w:val="67644877"/>
    <w:rsid w:val="67672132"/>
    <w:rsid w:val="67676576"/>
    <w:rsid w:val="676A7FCA"/>
    <w:rsid w:val="6770036A"/>
    <w:rsid w:val="677165C4"/>
    <w:rsid w:val="67756D9B"/>
    <w:rsid w:val="67780BA2"/>
    <w:rsid w:val="678132C0"/>
    <w:rsid w:val="678928AF"/>
    <w:rsid w:val="678B2163"/>
    <w:rsid w:val="678E431A"/>
    <w:rsid w:val="678F771F"/>
    <w:rsid w:val="67923B4E"/>
    <w:rsid w:val="679B1A34"/>
    <w:rsid w:val="679C3CF2"/>
    <w:rsid w:val="679C51AD"/>
    <w:rsid w:val="679E3DBB"/>
    <w:rsid w:val="67A02C08"/>
    <w:rsid w:val="67A22953"/>
    <w:rsid w:val="67A342C1"/>
    <w:rsid w:val="67AB38D9"/>
    <w:rsid w:val="67B5027A"/>
    <w:rsid w:val="67CA69B5"/>
    <w:rsid w:val="67CB6BDE"/>
    <w:rsid w:val="67CC1FA1"/>
    <w:rsid w:val="67D062CF"/>
    <w:rsid w:val="67D43D66"/>
    <w:rsid w:val="67E04322"/>
    <w:rsid w:val="67E21BF3"/>
    <w:rsid w:val="67E46D5A"/>
    <w:rsid w:val="67E607D1"/>
    <w:rsid w:val="67EA0B78"/>
    <w:rsid w:val="67EB2993"/>
    <w:rsid w:val="67ED7D4B"/>
    <w:rsid w:val="67EF6B96"/>
    <w:rsid w:val="67F12D23"/>
    <w:rsid w:val="67FB1C61"/>
    <w:rsid w:val="67FC27AE"/>
    <w:rsid w:val="67FD341E"/>
    <w:rsid w:val="68050B3A"/>
    <w:rsid w:val="68081FCD"/>
    <w:rsid w:val="681C3E7A"/>
    <w:rsid w:val="68295A3B"/>
    <w:rsid w:val="682B1C97"/>
    <w:rsid w:val="682E27AC"/>
    <w:rsid w:val="68347FA3"/>
    <w:rsid w:val="68367119"/>
    <w:rsid w:val="683A05CF"/>
    <w:rsid w:val="683E075E"/>
    <w:rsid w:val="683E1B8B"/>
    <w:rsid w:val="684654C8"/>
    <w:rsid w:val="68472042"/>
    <w:rsid w:val="684C22E7"/>
    <w:rsid w:val="68554FEB"/>
    <w:rsid w:val="68570A2C"/>
    <w:rsid w:val="68572EAB"/>
    <w:rsid w:val="685D1C0D"/>
    <w:rsid w:val="686554ED"/>
    <w:rsid w:val="686C5B25"/>
    <w:rsid w:val="68735867"/>
    <w:rsid w:val="68743B0A"/>
    <w:rsid w:val="68755F8C"/>
    <w:rsid w:val="68783B67"/>
    <w:rsid w:val="687A1D55"/>
    <w:rsid w:val="688403BB"/>
    <w:rsid w:val="688466B9"/>
    <w:rsid w:val="68857AA5"/>
    <w:rsid w:val="688977F4"/>
    <w:rsid w:val="688E7A03"/>
    <w:rsid w:val="68942B92"/>
    <w:rsid w:val="68945368"/>
    <w:rsid w:val="68963F87"/>
    <w:rsid w:val="68991930"/>
    <w:rsid w:val="68A34993"/>
    <w:rsid w:val="68A577A8"/>
    <w:rsid w:val="68A66F6D"/>
    <w:rsid w:val="68A75AAD"/>
    <w:rsid w:val="68AF232C"/>
    <w:rsid w:val="68C72D3E"/>
    <w:rsid w:val="68CA369A"/>
    <w:rsid w:val="68D122E1"/>
    <w:rsid w:val="68DF6A8B"/>
    <w:rsid w:val="68E14F84"/>
    <w:rsid w:val="68E25D19"/>
    <w:rsid w:val="68E735B6"/>
    <w:rsid w:val="68E93A2B"/>
    <w:rsid w:val="68EA33E1"/>
    <w:rsid w:val="68EB4FE0"/>
    <w:rsid w:val="68ED25CF"/>
    <w:rsid w:val="68ED32DD"/>
    <w:rsid w:val="68F56CAB"/>
    <w:rsid w:val="690158DC"/>
    <w:rsid w:val="691E3E3C"/>
    <w:rsid w:val="692B6ABE"/>
    <w:rsid w:val="693B0CED"/>
    <w:rsid w:val="694237DF"/>
    <w:rsid w:val="69453FF6"/>
    <w:rsid w:val="694B2B30"/>
    <w:rsid w:val="694D1EA7"/>
    <w:rsid w:val="69506994"/>
    <w:rsid w:val="6951480B"/>
    <w:rsid w:val="69527E86"/>
    <w:rsid w:val="6953644D"/>
    <w:rsid w:val="69537CEE"/>
    <w:rsid w:val="69555A92"/>
    <w:rsid w:val="69585FBA"/>
    <w:rsid w:val="695A3B9B"/>
    <w:rsid w:val="695E0332"/>
    <w:rsid w:val="695E69CE"/>
    <w:rsid w:val="695F6876"/>
    <w:rsid w:val="69635ABA"/>
    <w:rsid w:val="696812FE"/>
    <w:rsid w:val="69682636"/>
    <w:rsid w:val="696C25AB"/>
    <w:rsid w:val="696D4C27"/>
    <w:rsid w:val="69765236"/>
    <w:rsid w:val="69786327"/>
    <w:rsid w:val="6980097A"/>
    <w:rsid w:val="698340B1"/>
    <w:rsid w:val="69892536"/>
    <w:rsid w:val="699C41A0"/>
    <w:rsid w:val="699D099B"/>
    <w:rsid w:val="699D589A"/>
    <w:rsid w:val="69A06BE6"/>
    <w:rsid w:val="69A358F9"/>
    <w:rsid w:val="69A45220"/>
    <w:rsid w:val="69A71E3D"/>
    <w:rsid w:val="69AA0C54"/>
    <w:rsid w:val="69AF15A4"/>
    <w:rsid w:val="69B3188B"/>
    <w:rsid w:val="69B66819"/>
    <w:rsid w:val="69BC57E6"/>
    <w:rsid w:val="69BE6540"/>
    <w:rsid w:val="69C102D8"/>
    <w:rsid w:val="69C6092F"/>
    <w:rsid w:val="69C735B1"/>
    <w:rsid w:val="69D85645"/>
    <w:rsid w:val="69D9177D"/>
    <w:rsid w:val="69E11A2B"/>
    <w:rsid w:val="69E647CF"/>
    <w:rsid w:val="69E92602"/>
    <w:rsid w:val="69E94079"/>
    <w:rsid w:val="69F319B3"/>
    <w:rsid w:val="69F834A2"/>
    <w:rsid w:val="69F86D31"/>
    <w:rsid w:val="6A0051E4"/>
    <w:rsid w:val="6A036D3E"/>
    <w:rsid w:val="6A0734D2"/>
    <w:rsid w:val="6A075D53"/>
    <w:rsid w:val="6A097280"/>
    <w:rsid w:val="6A1173EE"/>
    <w:rsid w:val="6A1277AC"/>
    <w:rsid w:val="6A13508E"/>
    <w:rsid w:val="6A163AAA"/>
    <w:rsid w:val="6A221197"/>
    <w:rsid w:val="6A295D18"/>
    <w:rsid w:val="6A296AA8"/>
    <w:rsid w:val="6A2B5F1B"/>
    <w:rsid w:val="6A2F0A31"/>
    <w:rsid w:val="6A2F0D0E"/>
    <w:rsid w:val="6A2F19B0"/>
    <w:rsid w:val="6A365536"/>
    <w:rsid w:val="6A387E58"/>
    <w:rsid w:val="6A3A28DE"/>
    <w:rsid w:val="6A3C3E09"/>
    <w:rsid w:val="6A3E614B"/>
    <w:rsid w:val="6A446BED"/>
    <w:rsid w:val="6A49121E"/>
    <w:rsid w:val="6A4C3BBB"/>
    <w:rsid w:val="6A5D4719"/>
    <w:rsid w:val="6A603922"/>
    <w:rsid w:val="6A647D41"/>
    <w:rsid w:val="6A690AB1"/>
    <w:rsid w:val="6A693D0A"/>
    <w:rsid w:val="6A9A7A8E"/>
    <w:rsid w:val="6A9E6EA1"/>
    <w:rsid w:val="6AA02A57"/>
    <w:rsid w:val="6AA37E34"/>
    <w:rsid w:val="6AAA7C4F"/>
    <w:rsid w:val="6AAE2E71"/>
    <w:rsid w:val="6AB235F4"/>
    <w:rsid w:val="6ABC1CF7"/>
    <w:rsid w:val="6ABE3B27"/>
    <w:rsid w:val="6AC13F36"/>
    <w:rsid w:val="6AC623D5"/>
    <w:rsid w:val="6AC63CD3"/>
    <w:rsid w:val="6AC92989"/>
    <w:rsid w:val="6ACB60E3"/>
    <w:rsid w:val="6AD40936"/>
    <w:rsid w:val="6ADD0CB0"/>
    <w:rsid w:val="6ADD6F6E"/>
    <w:rsid w:val="6ADE67BE"/>
    <w:rsid w:val="6ADF22CB"/>
    <w:rsid w:val="6AE15EE6"/>
    <w:rsid w:val="6AE504AC"/>
    <w:rsid w:val="6AE5115E"/>
    <w:rsid w:val="6AE54E11"/>
    <w:rsid w:val="6AE65864"/>
    <w:rsid w:val="6AE86339"/>
    <w:rsid w:val="6AE87C67"/>
    <w:rsid w:val="6AEC5598"/>
    <w:rsid w:val="6AEF072D"/>
    <w:rsid w:val="6AF70DC8"/>
    <w:rsid w:val="6AFA2101"/>
    <w:rsid w:val="6AFD34F6"/>
    <w:rsid w:val="6B004308"/>
    <w:rsid w:val="6B006C22"/>
    <w:rsid w:val="6B027C81"/>
    <w:rsid w:val="6B034113"/>
    <w:rsid w:val="6B054046"/>
    <w:rsid w:val="6B0A4B50"/>
    <w:rsid w:val="6B0B516F"/>
    <w:rsid w:val="6B0B7C00"/>
    <w:rsid w:val="6B0C7734"/>
    <w:rsid w:val="6B0D0E6F"/>
    <w:rsid w:val="6B1413E3"/>
    <w:rsid w:val="6B1B3087"/>
    <w:rsid w:val="6B2305DB"/>
    <w:rsid w:val="6B232056"/>
    <w:rsid w:val="6B2501D0"/>
    <w:rsid w:val="6B280684"/>
    <w:rsid w:val="6B2D014E"/>
    <w:rsid w:val="6B2D5D31"/>
    <w:rsid w:val="6B337CA2"/>
    <w:rsid w:val="6B351ACA"/>
    <w:rsid w:val="6B3A4C5D"/>
    <w:rsid w:val="6B3B252C"/>
    <w:rsid w:val="6B412591"/>
    <w:rsid w:val="6B4132D9"/>
    <w:rsid w:val="6B42150F"/>
    <w:rsid w:val="6B4231A2"/>
    <w:rsid w:val="6B492AD7"/>
    <w:rsid w:val="6B4C36AF"/>
    <w:rsid w:val="6B4D019A"/>
    <w:rsid w:val="6B4D6C23"/>
    <w:rsid w:val="6B4E5A6D"/>
    <w:rsid w:val="6B60278D"/>
    <w:rsid w:val="6B6C6083"/>
    <w:rsid w:val="6B6E0AB7"/>
    <w:rsid w:val="6B6E4D2F"/>
    <w:rsid w:val="6B70505A"/>
    <w:rsid w:val="6B717D27"/>
    <w:rsid w:val="6B755AF7"/>
    <w:rsid w:val="6B75628B"/>
    <w:rsid w:val="6B7952FD"/>
    <w:rsid w:val="6B7A45E9"/>
    <w:rsid w:val="6B7A78E5"/>
    <w:rsid w:val="6B7C7C72"/>
    <w:rsid w:val="6B854564"/>
    <w:rsid w:val="6B8A6FA1"/>
    <w:rsid w:val="6B8F1659"/>
    <w:rsid w:val="6B90044E"/>
    <w:rsid w:val="6B945E48"/>
    <w:rsid w:val="6B9C0277"/>
    <w:rsid w:val="6BA57DFF"/>
    <w:rsid w:val="6BA61633"/>
    <w:rsid w:val="6BA754A1"/>
    <w:rsid w:val="6BB74FE9"/>
    <w:rsid w:val="6BB76154"/>
    <w:rsid w:val="6BC02145"/>
    <w:rsid w:val="6BC157B7"/>
    <w:rsid w:val="6BCE02E5"/>
    <w:rsid w:val="6BD03C04"/>
    <w:rsid w:val="6BD32066"/>
    <w:rsid w:val="6BD41124"/>
    <w:rsid w:val="6BE23D3A"/>
    <w:rsid w:val="6BE54A02"/>
    <w:rsid w:val="6BEE3274"/>
    <w:rsid w:val="6BF06510"/>
    <w:rsid w:val="6BF32826"/>
    <w:rsid w:val="6BF534F4"/>
    <w:rsid w:val="6BF719BC"/>
    <w:rsid w:val="6BF82B74"/>
    <w:rsid w:val="6C05449F"/>
    <w:rsid w:val="6C08078A"/>
    <w:rsid w:val="6C08471E"/>
    <w:rsid w:val="6C093E32"/>
    <w:rsid w:val="6C0C72F7"/>
    <w:rsid w:val="6C0D40D6"/>
    <w:rsid w:val="6C11704F"/>
    <w:rsid w:val="6C1A42F4"/>
    <w:rsid w:val="6C1C6B25"/>
    <w:rsid w:val="6C211AC7"/>
    <w:rsid w:val="6C222978"/>
    <w:rsid w:val="6C232A2E"/>
    <w:rsid w:val="6C241147"/>
    <w:rsid w:val="6C2415AD"/>
    <w:rsid w:val="6C273FBE"/>
    <w:rsid w:val="6C2A481C"/>
    <w:rsid w:val="6C2E0848"/>
    <w:rsid w:val="6C360641"/>
    <w:rsid w:val="6C36511B"/>
    <w:rsid w:val="6C3B4510"/>
    <w:rsid w:val="6C446B30"/>
    <w:rsid w:val="6C46173B"/>
    <w:rsid w:val="6C4D0062"/>
    <w:rsid w:val="6C5651F3"/>
    <w:rsid w:val="6C595FB6"/>
    <w:rsid w:val="6C5A61E9"/>
    <w:rsid w:val="6C5C39DE"/>
    <w:rsid w:val="6C5E6D5C"/>
    <w:rsid w:val="6C65210D"/>
    <w:rsid w:val="6C6C0AF1"/>
    <w:rsid w:val="6C6E3B45"/>
    <w:rsid w:val="6C703E6E"/>
    <w:rsid w:val="6C755C79"/>
    <w:rsid w:val="6C7979DF"/>
    <w:rsid w:val="6C7A5098"/>
    <w:rsid w:val="6C804114"/>
    <w:rsid w:val="6C863964"/>
    <w:rsid w:val="6C8C44B0"/>
    <w:rsid w:val="6C8F1404"/>
    <w:rsid w:val="6C9003BD"/>
    <w:rsid w:val="6C932A2B"/>
    <w:rsid w:val="6C983716"/>
    <w:rsid w:val="6C994C66"/>
    <w:rsid w:val="6CA0496A"/>
    <w:rsid w:val="6CA12A5B"/>
    <w:rsid w:val="6CA1317A"/>
    <w:rsid w:val="6CAC7925"/>
    <w:rsid w:val="6CAD276B"/>
    <w:rsid w:val="6CAD6EA9"/>
    <w:rsid w:val="6CB4219C"/>
    <w:rsid w:val="6CBC41C4"/>
    <w:rsid w:val="6CC6488D"/>
    <w:rsid w:val="6CCC5AC3"/>
    <w:rsid w:val="6CCE09E4"/>
    <w:rsid w:val="6CCE671F"/>
    <w:rsid w:val="6CD6429D"/>
    <w:rsid w:val="6CD85E71"/>
    <w:rsid w:val="6CD87883"/>
    <w:rsid w:val="6CDA5E9C"/>
    <w:rsid w:val="6CDB06FE"/>
    <w:rsid w:val="6CDC595E"/>
    <w:rsid w:val="6CDD1DF9"/>
    <w:rsid w:val="6CE07DA0"/>
    <w:rsid w:val="6CE370C6"/>
    <w:rsid w:val="6CE5376B"/>
    <w:rsid w:val="6CE605D0"/>
    <w:rsid w:val="6CF16F6F"/>
    <w:rsid w:val="6CF21E9B"/>
    <w:rsid w:val="6CFD1C28"/>
    <w:rsid w:val="6D0162E5"/>
    <w:rsid w:val="6D0C5F3E"/>
    <w:rsid w:val="6D0E59E4"/>
    <w:rsid w:val="6D110C81"/>
    <w:rsid w:val="6D142B03"/>
    <w:rsid w:val="6D1643AF"/>
    <w:rsid w:val="6D194857"/>
    <w:rsid w:val="6D1C2139"/>
    <w:rsid w:val="6D25144D"/>
    <w:rsid w:val="6D28608F"/>
    <w:rsid w:val="6D2F5BBC"/>
    <w:rsid w:val="6D312C90"/>
    <w:rsid w:val="6D333782"/>
    <w:rsid w:val="6D390604"/>
    <w:rsid w:val="6D3C2289"/>
    <w:rsid w:val="6D442C05"/>
    <w:rsid w:val="6D481865"/>
    <w:rsid w:val="6D4B04F2"/>
    <w:rsid w:val="6D5E2EF5"/>
    <w:rsid w:val="6D5E5467"/>
    <w:rsid w:val="6D6742EF"/>
    <w:rsid w:val="6D676CF8"/>
    <w:rsid w:val="6D740DE9"/>
    <w:rsid w:val="6D781C1A"/>
    <w:rsid w:val="6D792F7E"/>
    <w:rsid w:val="6D7A66AE"/>
    <w:rsid w:val="6D8272DD"/>
    <w:rsid w:val="6D836174"/>
    <w:rsid w:val="6D836257"/>
    <w:rsid w:val="6D857E33"/>
    <w:rsid w:val="6D8B3ACA"/>
    <w:rsid w:val="6D960C4F"/>
    <w:rsid w:val="6D9849CC"/>
    <w:rsid w:val="6D9C64A6"/>
    <w:rsid w:val="6DA0336B"/>
    <w:rsid w:val="6DA84177"/>
    <w:rsid w:val="6DAD1C9C"/>
    <w:rsid w:val="6DB23BB4"/>
    <w:rsid w:val="6DB37E27"/>
    <w:rsid w:val="6DBC5FC0"/>
    <w:rsid w:val="6DBD5244"/>
    <w:rsid w:val="6DBF6927"/>
    <w:rsid w:val="6DC000E9"/>
    <w:rsid w:val="6DC04567"/>
    <w:rsid w:val="6DC4488C"/>
    <w:rsid w:val="6DC55B69"/>
    <w:rsid w:val="6DC57C65"/>
    <w:rsid w:val="6DC7083B"/>
    <w:rsid w:val="6DC75C60"/>
    <w:rsid w:val="6DCB5E3A"/>
    <w:rsid w:val="6DCD2259"/>
    <w:rsid w:val="6DD338EE"/>
    <w:rsid w:val="6DD448B5"/>
    <w:rsid w:val="6DD729E3"/>
    <w:rsid w:val="6DD72C4D"/>
    <w:rsid w:val="6DDB06AB"/>
    <w:rsid w:val="6DDB06C9"/>
    <w:rsid w:val="6DE03320"/>
    <w:rsid w:val="6DE23D39"/>
    <w:rsid w:val="6DE95997"/>
    <w:rsid w:val="6DE96714"/>
    <w:rsid w:val="6DEE240A"/>
    <w:rsid w:val="6DEE307C"/>
    <w:rsid w:val="6DF66B9E"/>
    <w:rsid w:val="6DFC1F25"/>
    <w:rsid w:val="6E0504EB"/>
    <w:rsid w:val="6E051BFE"/>
    <w:rsid w:val="6E0524FB"/>
    <w:rsid w:val="6E070F0D"/>
    <w:rsid w:val="6E071339"/>
    <w:rsid w:val="6E10217B"/>
    <w:rsid w:val="6E11612F"/>
    <w:rsid w:val="6E1D6030"/>
    <w:rsid w:val="6E1F7CA4"/>
    <w:rsid w:val="6E290AC9"/>
    <w:rsid w:val="6E2E7F0E"/>
    <w:rsid w:val="6E2F0DAE"/>
    <w:rsid w:val="6E2F202D"/>
    <w:rsid w:val="6E314B6F"/>
    <w:rsid w:val="6E321B28"/>
    <w:rsid w:val="6E340BE4"/>
    <w:rsid w:val="6E342B18"/>
    <w:rsid w:val="6E3470E1"/>
    <w:rsid w:val="6E3619DE"/>
    <w:rsid w:val="6E3622EA"/>
    <w:rsid w:val="6E370C0D"/>
    <w:rsid w:val="6E3F0F57"/>
    <w:rsid w:val="6E447DAB"/>
    <w:rsid w:val="6E542006"/>
    <w:rsid w:val="6E5872FF"/>
    <w:rsid w:val="6E5A32CF"/>
    <w:rsid w:val="6E606951"/>
    <w:rsid w:val="6E6A13B2"/>
    <w:rsid w:val="6E6E6566"/>
    <w:rsid w:val="6E7323A4"/>
    <w:rsid w:val="6E75205C"/>
    <w:rsid w:val="6E7C32EF"/>
    <w:rsid w:val="6E7E15C6"/>
    <w:rsid w:val="6E7F33D2"/>
    <w:rsid w:val="6E8172FC"/>
    <w:rsid w:val="6E920DE8"/>
    <w:rsid w:val="6E921AC5"/>
    <w:rsid w:val="6E92734A"/>
    <w:rsid w:val="6E9306E5"/>
    <w:rsid w:val="6E9C1999"/>
    <w:rsid w:val="6EA06BB9"/>
    <w:rsid w:val="6EA84DAB"/>
    <w:rsid w:val="6EA917C3"/>
    <w:rsid w:val="6EAF2045"/>
    <w:rsid w:val="6EB140E6"/>
    <w:rsid w:val="6EB60C95"/>
    <w:rsid w:val="6EBA00F9"/>
    <w:rsid w:val="6EBF7D0E"/>
    <w:rsid w:val="6EC67FF2"/>
    <w:rsid w:val="6ED147AF"/>
    <w:rsid w:val="6ED30798"/>
    <w:rsid w:val="6EE25C96"/>
    <w:rsid w:val="6EE5292A"/>
    <w:rsid w:val="6EE92D02"/>
    <w:rsid w:val="6EF02FCD"/>
    <w:rsid w:val="6EF300B7"/>
    <w:rsid w:val="6EFD2153"/>
    <w:rsid w:val="6F0124BC"/>
    <w:rsid w:val="6F0435C7"/>
    <w:rsid w:val="6F067C45"/>
    <w:rsid w:val="6F067F3A"/>
    <w:rsid w:val="6F082FB1"/>
    <w:rsid w:val="6F0F43D6"/>
    <w:rsid w:val="6F113D7C"/>
    <w:rsid w:val="6F15798C"/>
    <w:rsid w:val="6F181A2E"/>
    <w:rsid w:val="6F1B4E32"/>
    <w:rsid w:val="6F1E4618"/>
    <w:rsid w:val="6F254ECF"/>
    <w:rsid w:val="6F3121B6"/>
    <w:rsid w:val="6F342805"/>
    <w:rsid w:val="6F376571"/>
    <w:rsid w:val="6F377EDD"/>
    <w:rsid w:val="6F3F1D89"/>
    <w:rsid w:val="6F460F5B"/>
    <w:rsid w:val="6F4F4560"/>
    <w:rsid w:val="6F50013D"/>
    <w:rsid w:val="6F5326DC"/>
    <w:rsid w:val="6F544B79"/>
    <w:rsid w:val="6F5931CB"/>
    <w:rsid w:val="6F600547"/>
    <w:rsid w:val="6F615550"/>
    <w:rsid w:val="6F63686F"/>
    <w:rsid w:val="6F6778DC"/>
    <w:rsid w:val="6F6E16A3"/>
    <w:rsid w:val="6F6E6113"/>
    <w:rsid w:val="6F706686"/>
    <w:rsid w:val="6F724DDC"/>
    <w:rsid w:val="6F8819BE"/>
    <w:rsid w:val="6F9126FD"/>
    <w:rsid w:val="6F9F0A51"/>
    <w:rsid w:val="6FA16C8D"/>
    <w:rsid w:val="6FA6797B"/>
    <w:rsid w:val="6FA73653"/>
    <w:rsid w:val="6FB34363"/>
    <w:rsid w:val="6FB376A6"/>
    <w:rsid w:val="6FB427E3"/>
    <w:rsid w:val="6FB46008"/>
    <w:rsid w:val="6FB93C13"/>
    <w:rsid w:val="6FBA7E19"/>
    <w:rsid w:val="6FBF4850"/>
    <w:rsid w:val="6FBF714E"/>
    <w:rsid w:val="6FC43A95"/>
    <w:rsid w:val="6FC60547"/>
    <w:rsid w:val="6FC80919"/>
    <w:rsid w:val="6FD0023E"/>
    <w:rsid w:val="6FD53BA6"/>
    <w:rsid w:val="6FD86FE3"/>
    <w:rsid w:val="6FDC7BB1"/>
    <w:rsid w:val="6FDF3309"/>
    <w:rsid w:val="6FE1295F"/>
    <w:rsid w:val="6FE1670E"/>
    <w:rsid w:val="6FE54EC4"/>
    <w:rsid w:val="6FEC0E71"/>
    <w:rsid w:val="6FEC1837"/>
    <w:rsid w:val="6FED3635"/>
    <w:rsid w:val="6FED738C"/>
    <w:rsid w:val="6FF2201E"/>
    <w:rsid w:val="6FF4775D"/>
    <w:rsid w:val="6FF715B9"/>
    <w:rsid w:val="700812F5"/>
    <w:rsid w:val="701160F2"/>
    <w:rsid w:val="70207CAA"/>
    <w:rsid w:val="70250565"/>
    <w:rsid w:val="70252872"/>
    <w:rsid w:val="702C4F05"/>
    <w:rsid w:val="702F40C9"/>
    <w:rsid w:val="70336971"/>
    <w:rsid w:val="7039496E"/>
    <w:rsid w:val="703C7E7D"/>
    <w:rsid w:val="704416F9"/>
    <w:rsid w:val="70475114"/>
    <w:rsid w:val="70476384"/>
    <w:rsid w:val="705079C2"/>
    <w:rsid w:val="70607EB4"/>
    <w:rsid w:val="706C2AF1"/>
    <w:rsid w:val="70744910"/>
    <w:rsid w:val="70845F27"/>
    <w:rsid w:val="7089049C"/>
    <w:rsid w:val="708B30CE"/>
    <w:rsid w:val="709552CD"/>
    <w:rsid w:val="70A307F8"/>
    <w:rsid w:val="70A94143"/>
    <w:rsid w:val="70AA0A8D"/>
    <w:rsid w:val="70AF01EE"/>
    <w:rsid w:val="70B0785B"/>
    <w:rsid w:val="70B305D1"/>
    <w:rsid w:val="70B47710"/>
    <w:rsid w:val="70B60FC6"/>
    <w:rsid w:val="70BB7D59"/>
    <w:rsid w:val="70C6111A"/>
    <w:rsid w:val="70CD0283"/>
    <w:rsid w:val="70CE19F0"/>
    <w:rsid w:val="70D3219F"/>
    <w:rsid w:val="70D57080"/>
    <w:rsid w:val="70D67590"/>
    <w:rsid w:val="70DA1D5D"/>
    <w:rsid w:val="70DE5BD1"/>
    <w:rsid w:val="70E82206"/>
    <w:rsid w:val="70E93F83"/>
    <w:rsid w:val="70E96C89"/>
    <w:rsid w:val="70EB4475"/>
    <w:rsid w:val="70F057BD"/>
    <w:rsid w:val="70F05CEF"/>
    <w:rsid w:val="70F10E07"/>
    <w:rsid w:val="70F16E4A"/>
    <w:rsid w:val="70F30932"/>
    <w:rsid w:val="70FE11E3"/>
    <w:rsid w:val="710654F3"/>
    <w:rsid w:val="71086D4F"/>
    <w:rsid w:val="710E1167"/>
    <w:rsid w:val="7110515E"/>
    <w:rsid w:val="711B64EF"/>
    <w:rsid w:val="711C4A75"/>
    <w:rsid w:val="711D6939"/>
    <w:rsid w:val="711D75A5"/>
    <w:rsid w:val="71215D81"/>
    <w:rsid w:val="71222131"/>
    <w:rsid w:val="712666CA"/>
    <w:rsid w:val="712E0FB4"/>
    <w:rsid w:val="71321246"/>
    <w:rsid w:val="713F6E9C"/>
    <w:rsid w:val="71490AA2"/>
    <w:rsid w:val="715B7483"/>
    <w:rsid w:val="715C492A"/>
    <w:rsid w:val="71621D2A"/>
    <w:rsid w:val="7165487A"/>
    <w:rsid w:val="716F3F10"/>
    <w:rsid w:val="71771C1A"/>
    <w:rsid w:val="717C0901"/>
    <w:rsid w:val="717E25F4"/>
    <w:rsid w:val="717E42ED"/>
    <w:rsid w:val="71901638"/>
    <w:rsid w:val="71923954"/>
    <w:rsid w:val="71B3297D"/>
    <w:rsid w:val="71B52DAF"/>
    <w:rsid w:val="71B547DC"/>
    <w:rsid w:val="71B70265"/>
    <w:rsid w:val="71B7672E"/>
    <w:rsid w:val="71B978CA"/>
    <w:rsid w:val="71BA618E"/>
    <w:rsid w:val="71BB0543"/>
    <w:rsid w:val="71C04B8B"/>
    <w:rsid w:val="71C35DBE"/>
    <w:rsid w:val="71C5214F"/>
    <w:rsid w:val="71C627E7"/>
    <w:rsid w:val="71C662D8"/>
    <w:rsid w:val="71C824C4"/>
    <w:rsid w:val="71CD21CD"/>
    <w:rsid w:val="71CD3D8B"/>
    <w:rsid w:val="71D42582"/>
    <w:rsid w:val="71E84685"/>
    <w:rsid w:val="71ED1CE1"/>
    <w:rsid w:val="71EF0668"/>
    <w:rsid w:val="71EF3D31"/>
    <w:rsid w:val="71F20EB5"/>
    <w:rsid w:val="71F27D13"/>
    <w:rsid w:val="71F343DD"/>
    <w:rsid w:val="71F34765"/>
    <w:rsid w:val="71F441EC"/>
    <w:rsid w:val="71F52A5A"/>
    <w:rsid w:val="71F73789"/>
    <w:rsid w:val="71FB24FA"/>
    <w:rsid w:val="72031FF2"/>
    <w:rsid w:val="72043127"/>
    <w:rsid w:val="72091B8E"/>
    <w:rsid w:val="720E4BD2"/>
    <w:rsid w:val="72142B3F"/>
    <w:rsid w:val="72146834"/>
    <w:rsid w:val="721D6CD9"/>
    <w:rsid w:val="72313142"/>
    <w:rsid w:val="72323A33"/>
    <w:rsid w:val="723405B5"/>
    <w:rsid w:val="723F71E9"/>
    <w:rsid w:val="724056DC"/>
    <w:rsid w:val="72461E00"/>
    <w:rsid w:val="72466412"/>
    <w:rsid w:val="724F2AD6"/>
    <w:rsid w:val="72552E88"/>
    <w:rsid w:val="72592E21"/>
    <w:rsid w:val="725F6A14"/>
    <w:rsid w:val="72617A61"/>
    <w:rsid w:val="72633995"/>
    <w:rsid w:val="726443E0"/>
    <w:rsid w:val="726647DC"/>
    <w:rsid w:val="72683FA7"/>
    <w:rsid w:val="726E2B62"/>
    <w:rsid w:val="72736F08"/>
    <w:rsid w:val="72796AF1"/>
    <w:rsid w:val="727D10CB"/>
    <w:rsid w:val="727E1BEE"/>
    <w:rsid w:val="727F547D"/>
    <w:rsid w:val="7280100D"/>
    <w:rsid w:val="72815A63"/>
    <w:rsid w:val="72884856"/>
    <w:rsid w:val="728A4ABF"/>
    <w:rsid w:val="728B41CD"/>
    <w:rsid w:val="728F1A5A"/>
    <w:rsid w:val="729131E3"/>
    <w:rsid w:val="729374FE"/>
    <w:rsid w:val="729529E9"/>
    <w:rsid w:val="729706DF"/>
    <w:rsid w:val="729F2953"/>
    <w:rsid w:val="72A21B2F"/>
    <w:rsid w:val="72A42CD6"/>
    <w:rsid w:val="72A455B6"/>
    <w:rsid w:val="72A501CC"/>
    <w:rsid w:val="72A61001"/>
    <w:rsid w:val="72B03B7E"/>
    <w:rsid w:val="72B35BAD"/>
    <w:rsid w:val="72C505A5"/>
    <w:rsid w:val="72C86B5F"/>
    <w:rsid w:val="72CA1E27"/>
    <w:rsid w:val="72CC1ABA"/>
    <w:rsid w:val="72CE13E3"/>
    <w:rsid w:val="72D52EC5"/>
    <w:rsid w:val="72E05225"/>
    <w:rsid w:val="72E32983"/>
    <w:rsid w:val="72E932DB"/>
    <w:rsid w:val="72EA30DE"/>
    <w:rsid w:val="72EC1B6E"/>
    <w:rsid w:val="72EC7B6D"/>
    <w:rsid w:val="72EE0533"/>
    <w:rsid w:val="72F468C7"/>
    <w:rsid w:val="72FC3673"/>
    <w:rsid w:val="72FF1A7E"/>
    <w:rsid w:val="73006B77"/>
    <w:rsid w:val="730675FF"/>
    <w:rsid w:val="73076254"/>
    <w:rsid w:val="730F5D4D"/>
    <w:rsid w:val="73105152"/>
    <w:rsid w:val="731A189A"/>
    <w:rsid w:val="731E4EA3"/>
    <w:rsid w:val="7321222E"/>
    <w:rsid w:val="7329331A"/>
    <w:rsid w:val="732E2494"/>
    <w:rsid w:val="73333B6E"/>
    <w:rsid w:val="73347586"/>
    <w:rsid w:val="73383777"/>
    <w:rsid w:val="733A1C77"/>
    <w:rsid w:val="733C6E2F"/>
    <w:rsid w:val="7341395E"/>
    <w:rsid w:val="7348104D"/>
    <w:rsid w:val="734968D7"/>
    <w:rsid w:val="734E429E"/>
    <w:rsid w:val="735061A1"/>
    <w:rsid w:val="73552B2C"/>
    <w:rsid w:val="7365365B"/>
    <w:rsid w:val="736551F0"/>
    <w:rsid w:val="73662EA5"/>
    <w:rsid w:val="736852BB"/>
    <w:rsid w:val="736C4524"/>
    <w:rsid w:val="73741FA5"/>
    <w:rsid w:val="738B601E"/>
    <w:rsid w:val="739A0528"/>
    <w:rsid w:val="739B583B"/>
    <w:rsid w:val="739C0DFC"/>
    <w:rsid w:val="739C446B"/>
    <w:rsid w:val="739E4D92"/>
    <w:rsid w:val="73A3169B"/>
    <w:rsid w:val="73A44F2A"/>
    <w:rsid w:val="73A764B6"/>
    <w:rsid w:val="73AD07C7"/>
    <w:rsid w:val="73C4653C"/>
    <w:rsid w:val="73CD4F30"/>
    <w:rsid w:val="73D12310"/>
    <w:rsid w:val="73D30483"/>
    <w:rsid w:val="73D332E7"/>
    <w:rsid w:val="73D45BEA"/>
    <w:rsid w:val="73D731DE"/>
    <w:rsid w:val="73D93125"/>
    <w:rsid w:val="73DA4437"/>
    <w:rsid w:val="73EA6106"/>
    <w:rsid w:val="73F34AF7"/>
    <w:rsid w:val="74005C5F"/>
    <w:rsid w:val="74021616"/>
    <w:rsid w:val="742A3701"/>
    <w:rsid w:val="742D78D4"/>
    <w:rsid w:val="74316C50"/>
    <w:rsid w:val="74333AFF"/>
    <w:rsid w:val="74410DBD"/>
    <w:rsid w:val="74432E27"/>
    <w:rsid w:val="744564AC"/>
    <w:rsid w:val="744B6837"/>
    <w:rsid w:val="744C04D9"/>
    <w:rsid w:val="744D617E"/>
    <w:rsid w:val="745571F1"/>
    <w:rsid w:val="745A2A83"/>
    <w:rsid w:val="745A75B8"/>
    <w:rsid w:val="745B0872"/>
    <w:rsid w:val="745B311F"/>
    <w:rsid w:val="745B6857"/>
    <w:rsid w:val="745F1F5B"/>
    <w:rsid w:val="746C2331"/>
    <w:rsid w:val="74705627"/>
    <w:rsid w:val="74725402"/>
    <w:rsid w:val="74752049"/>
    <w:rsid w:val="747662EF"/>
    <w:rsid w:val="747B7ED6"/>
    <w:rsid w:val="747C12C7"/>
    <w:rsid w:val="747D15E3"/>
    <w:rsid w:val="74856DDB"/>
    <w:rsid w:val="748E54F0"/>
    <w:rsid w:val="74982B0C"/>
    <w:rsid w:val="749B37CB"/>
    <w:rsid w:val="749C34CE"/>
    <w:rsid w:val="74AA30AE"/>
    <w:rsid w:val="74B25F54"/>
    <w:rsid w:val="74B51802"/>
    <w:rsid w:val="74B853EC"/>
    <w:rsid w:val="74BE008A"/>
    <w:rsid w:val="74C36FFA"/>
    <w:rsid w:val="74CD7C58"/>
    <w:rsid w:val="74CF7903"/>
    <w:rsid w:val="74D104E7"/>
    <w:rsid w:val="74D55507"/>
    <w:rsid w:val="74D63354"/>
    <w:rsid w:val="74DC7A5C"/>
    <w:rsid w:val="74DD0DBE"/>
    <w:rsid w:val="74DE7480"/>
    <w:rsid w:val="74E56574"/>
    <w:rsid w:val="74E87F2A"/>
    <w:rsid w:val="74E93E22"/>
    <w:rsid w:val="74EA03FF"/>
    <w:rsid w:val="74F35A1B"/>
    <w:rsid w:val="74F67ACF"/>
    <w:rsid w:val="74F82355"/>
    <w:rsid w:val="74FC6ED8"/>
    <w:rsid w:val="75012CA5"/>
    <w:rsid w:val="75074C16"/>
    <w:rsid w:val="750E1A63"/>
    <w:rsid w:val="750E2DBB"/>
    <w:rsid w:val="75105D0F"/>
    <w:rsid w:val="75154FFF"/>
    <w:rsid w:val="75162696"/>
    <w:rsid w:val="75191D4D"/>
    <w:rsid w:val="751B4C4F"/>
    <w:rsid w:val="75251BD1"/>
    <w:rsid w:val="75383ABE"/>
    <w:rsid w:val="75441753"/>
    <w:rsid w:val="75487EAB"/>
    <w:rsid w:val="754A7CE1"/>
    <w:rsid w:val="754B0957"/>
    <w:rsid w:val="755E501D"/>
    <w:rsid w:val="755E67E7"/>
    <w:rsid w:val="755F654D"/>
    <w:rsid w:val="75603878"/>
    <w:rsid w:val="7569201C"/>
    <w:rsid w:val="75695C4F"/>
    <w:rsid w:val="75705113"/>
    <w:rsid w:val="757216D1"/>
    <w:rsid w:val="757561D4"/>
    <w:rsid w:val="7576208F"/>
    <w:rsid w:val="75781999"/>
    <w:rsid w:val="757A20EC"/>
    <w:rsid w:val="757A6AC2"/>
    <w:rsid w:val="757D1CD7"/>
    <w:rsid w:val="758022B2"/>
    <w:rsid w:val="758152DD"/>
    <w:rsid w:val="75871358"/>
    <w:rsid w:val="75876FF0"/>
    <w:rsid w:val="75886EDC"/>
    <w:rsid w:val="758E6836"/>
    <w:rsid w:val="75911438"/>
    <w:rsid w:val="75950A37"/>
    <w:rsid w:val="75992A43"/>
    <w:rsid w:val="759D4EF5"/>
    <w:rsid w:val="75A23C96"/>
    <w:rsid w:val="75A73E59"/>
    <w:rsid w:val="75B100B6"/>
    <w:rsid w:val="75B65EF1"/>
    <w:rsid w:val="75B8621A"/>
    <w:rsid w:val="75BA55C4"/>
    <w:rsid w:val="75D65EF3"/>
    <w:rsid w:val="75DA5AE5"/>
    <w:rsid w:val="75E048F7"/>
    <w:rsid w:val="75E327E8"/>
    <w:rsid w:val="75E42269"/>
    <w:rsid w:val="75E817F9"/>
    <w:rsid w:val="76015DCC"/>
    <w:rsid w:val="7605124E"/>
    <w:rsid w:val="76051A77"/>
    <w:rsid w:val="7608419C"/>
    <w:rsid w:val="760A5049"/>
    <w:rsid w:val="7619314A"/>
    <w:rsid w:val="761C4D5F"/>
    <w:rsid w:val="761F572B"/>
    <w:rsid w:val="76201FA8"/>
    <w:rsid w:val="762116A3"/>
    <w:rsid w:val="76247F50"/>
    <w:rsid w:val="76257D6B"/>
    <w:rsid w:val="762D3D6E"/>
    <w:rsid w:val="762F0259"/>
    <w:rsid w:val="76314646"/>
    <w:rsid w:val="76350A3A"/>
    <w:rsid w:val="763567A4"/>
    <w:rsid w:val="76392BAA"/>
    <w:rsid w:val="763B5A82"/>
    <w:rsid w:val="763E017D"/>
    <w:rsid w:val="763F3BBB"/>
    <w:rsid w:val="764041AC"/>
    <w:rsid w:val="76452FA6"/>
    <w:rsid w:val="76460E96"/>
    <w:rsid w:val="764A529C"/>
    <w:rsid w:val="76594997"/>
    <w:rsid w:val="765C6903"/>
    <w:rsid w:val="7662155B"/>
    <w:rsid w:val="76622CB6"/>
    <w:rsid w:val="766317DE"/>
    <w:rsid w:val="76676E5D"/>
    <w:rsid w:val="766C5406"/>
    <w:rsid w:val="767012F9"/>
    <w:rsid w:val="76725DFB"/>
    <w:rsid w:val="767C17DF"/>
    <w:rsid w:val="767E73BF"/>
    <w:rsid w:val="768471B3"/>
    <w:rsid w:val="768B06F6"/>
    <w:rsid w:val="768C4BE9"/>
    <w:rsid w:val="768E2B60"/>
    <w:rsid w:val="768F1D8E"/>
    <w:rsid w:val="76940FDF"/>
    <w:rsid w:val="769415C6"/>
    <w:rsid w:val="76961411"/>
    <w:rsid w:val="76994253"/>
    <w:rsid w:val="769C03E1"/>
    <w:rsid w:val="769C10AC"/>
    <w:rsid w:val="76A236E5"/>
    <w:rsid w:val="76B079E6"/>
    <w:rsid w:val="76BC329A"/>
    <w:rsid w:val="76BD0F46"/>
    <w:rsid w:val="76BF34B1"/>
    <w:rsid w:val="76BF472C"/>
    <w:rsid w:val="76C96467"/>
    <w:rsid w:val="76CB22BC"/>
    <w:rsid w:val="76CC4DE2"/>
    <w:rsid w:val="76CD0F41"/>
    <w:rsid w:val="76CD2F4F"/>
    <w:rsid w:val="76CF3B00"/>
    <w:rsid w:val="76CF71BE"/>
    <w:rsid w:val="76D36F11"/>
    <w:rsid w:val="76D77692"/>
    <w:rsid w:val="76D82936"/>
    <w:rsid w:val="76D84633"/>
    <w:rsid w:val="76E24CF4"/>
    <w:rsid w:val="76E54E1F"/>
    <w:rsid w:val="76E9442A"/>
    <w:rsid w:val="76E96490"/>
    <w:rsid w:val="76EA6C2A"/>
    <w:rsid w:val="76FC1EE3"/>
    <w:rsid w:val="76FC539B"/>
    <w:rsid w:val="76FF1C40"/>
    <w:rsid w:val="77067697"/>
    <w:rsid w:val="77076E51"/>
    <w:rsid w:val="770A25A9"/>
    <w:rsid w:val="770B4B0F"/>
    <w:rsid w:val="770E0832"/>
    <w:rsid w:val="77194977"/>
    <w:rsid w:val="771A5556"/>
    <w:rsid w:val="771C7362"/>
    <w:rsid w:val="77253772"/>
    <w:rsid w:val="77304C79"/>
    <w:rsid w:val="773B6C44"/>
    <w:rsid w:val="773D0DF1"/>
    <w:rsid w:val="774258E5"/>
    <w:rsid w:val="77437AEB"/>
    <w:rsid w:val="77467618"/>
    <w:rsid w:val="774A4422"/>
    <w:rsid w:val="77510DFA"/>
    <w:rsid w:val="7751767D"/>
    <w:rsid w:val="77520337"/>
    <w:rsid w:val="775E678E"/>
    <w:rsid w:val="77623469"/>
    <w:rsid w:val="77697319"/>
    <w:rsid w:val="776A0D90"/>
    <w:rsid w:val="776B1EB1"/>
    <w:rsid w:val="776E547F"/>
    <w:rsid w:val="7775198E"/>
    <w:rsid w:val="7779749E"/>
    <w:rsid w:val="7785711E"/>
    <w:rsid w:val="778F639A"/>
    <w:rsid w:val="779155FF"/>
    <w:rsid w:val="77955FCE"/>
    <w:rsid w:val="77A43BE8"/>
    <w:rsid w:val="77A934DD"/>
    <w:rsid w:val="77A9674C"/>
    <w:rsid w:val="77B1630A"/>
    <w:rsid w:val="77B90323"/>
    <w:rsid w:val="77BB6335"/>
    <w:rsid w:val="77C7063E"/>
    <w:rsid w:val="77CD61E9"/>
    <w:rsid w:val="77D32B30"/>
    <w:rsid w:val="77D45F4A"/>
    <w:rsid w:val="77D6300F"/>
    <w:rsid w:val="77D63674"/>
    <w:rsid w:val="77E2325F"/>
    <w:rsid w:val="77E863CD"/>
    <w:rsid w:val="77E938C4"/>
    <w:rsid w:val="77EF5573"/>
    <w:rsid w:val="77F06161"/>
    <w:rsid w:val="77FA1F65"/>
    <w:rsid w:val="77FB0A2C"/>
    <w:rsid w:val="780035E3"/>
    <w:rsid w:val="78003D06"/>
    <w:rsid w:val="78065C0D"/>
    <w:rsid w:val="780A60F0"/>
    <w:rsid w:val="780C655C"/>
    <w:rsid w:val="780E646B"/>
    <w:rsid w:val="78100266"/>
    <w:rsid w:val="78153D91"/>
    <w:rsid w:val="7817034B"/>
    <w:rsid w:val="7828044A"/>
    <w:rsid w:val="7830149C"/>
    <w:rsid w:val="783768C0"/>
    <w:rsid w:val="783B1CC4"/>
    <w:rsid w:val="783C250C"/>
    <w:rsid w:val="78402520"/>
    <w:rsid w:val="78461B90"/>
    <w:rsid w:val="784F662D"/>
    <w:rsid w:val="785215E0"/>
    <w:rsid w:val="78540E39"/>
    <w:rsid w:val="78606D2C"/>
    <w:rsid w:val="78643FE2"/>
    <w:rsid w:val="786665B4"/>
    <w:rsid w:val="78696BFD"/>
    <w:rsid w:val="786D0187"/>
    <w:rsid w:val="78707E38"/>
    <w:rsid w:val="787317E9"/>
    <w:rsid w:val="787654DA"/>
    <w:rsid w:val="78774294"/>
    <w:rsid w:val="7882445D"/>
    <w:rsid w:val="78871BC5"/>
    <w:rsid w:val="78881CD1"/>
    <w:rsid w:val="78881EA0"/>
    <w:rsid w:val="788D5554"/>
    <w:rsid w:val="788E34A5"/>
    <w:rsid w:val="78961391"/>
    <w:rsid w:val="789C4986"/>
    <w:rsid w:val="78B33DB1"/>
    <w:rsid w:val="78B541FC"/>
    <w:rsid w:val="78B60F9B"/>
    <w:rsid w:val="78BB1635"/>
    <w:rsid w:val="78BC0793"/>
    <w:rsid w:val="78BE6238"/>
    <w:rsid w:val="78BF4605"/>
    <w:rsid w:val="78C675B5"/>
    <w:rsid w:val="78C94175"/>
    <w:rsid w:val="78CE3AF5"/>
    <w:rsid w:val="78D17402"/>
    <w:rsid w:val="78D30DE3"/>
    <w:rsid w:val="78D47F57"/>
    <w:rsid w:val="78D73DB8"/>
    <w:rsid w:val="78E26D93"/>
    <w:rsid w:val="78E41231"/>
    <w:rsid w:val="78E44B15"/>
    <w:rsid w:val="78EB636F"/>
    <w:rsid w:val="78F0406C"/>
    <w:rsid w:val="78F50C83"/>
    <w:rsid w:val="78FE2375"/>
    <w:rsid w:val="79031C70"/>
    <w:rsid w:val="7903615A"/>
    <w:rsid w:val="79040B66"/>
    <w:rsid w:val="790A3320"/>
    <w:rsid w:val="790F549C"/>
    <w:rsid w:val="7917077E"/>
    <w:rsid w:val="79173A20"/>
    <w:rsid w:val="79303D69"/>
    <w:rsid w:val="7933484B"/>
    <w:rsid w:val="79403D00"/>
    <w:rsid w:val="794134C0"/>
    <w:rsid w:val="79426755"/>
    <w:rsid w:val="79432FEB"/>
    <w:rsid w:val="79494B6D"/>
    <w:rsid w:val="794B37B1"/>
    <w:rsid w:val="79502704"/>
    <w:rsid w:val="7950396D"/>
    <w:rsid w:val="79512CD9"/>
    <w:rsid w:val="795834CC"/>
    <w:rsid w:val="79586467"/>
    <w:rsid w:val="795E516A"/>
    <w:rsid w:val="79623092"/>
    <w:rsid w:val="796233C8"/>
    <w:rsid w:val="79625FF2"/>
    <w:rsid w:val="796351E9"/>
    <w:rsid w:val="79667C7E"/>
    <w:rsid w:val="79697DAA"/>
    <w:rsid w:val="796C769E"/>
    <w:rsid w:val="79744A46"/>
    <w:rsid w:val="797D28F6"/>
    <w:rsid w:val="797D649A"/>
    <w:rsid w:val="79866873"/>
    <w:rsid w:val="798863E1"/>
    <w:rsid w:val="798951AC"/>
    <w:rsid w:val="798E2882"/>
    <w:rsid w:val="798F4C12"/>
    <w:rsid w:val="79905832"/>
    <w:rsid w:val="79940B96"/>
    <w:rsid w:val="799C6A97"/>
    <w:rsid w:val="79A33E26"/>
    <w:rsid w:val="79AA195F"/>
    <w:rsid w:val="79AC58C2"/>
    <w:rsid w:val="79B37306"/>
    <w:rsid w:val="79B84450"/>
    <w:rsid w:val="79BC4EAD"/>
    <w:rsid w:val="79BE5662"/>
    <w:rsid w:val="79C06E26"/>
    <w:rsid w:val="79C2459C"/>
    <w:rsid w:val="79C32478"/>
    <w:rsid w:val="79C56BD0"/>
    <w:rsid w:val="79C70B90"/>
    <w:rsid w:val="79C9744D"/>
    <w:rsid w:val="79CA033D"/>
    <w:rsid w:val="79D440AC"/>
    <w:rsid w:val="79D83B6A"/>
    <w:rsid w:val="79DF6060"/>
    <w:rsid w:val="79E02434"/>
    <w:rsid w:val="79E1574D"/>
    <w:rsid w:val="79E16780"/>
    <w:rsid w:val="79E56C91"/>
    <w:rsid w:val="79E57545"/>
    <w:rsid w:val="79E77B8E"/>
    <w:rsid w:val="79E90BC0"/>
    <w:rsid w:val="79E95698"/>
    <w:rsid w:val="79EB2A86"/>
    <w:rsid w:val="79EF52C8"/>
    <w:rsid w:val="79F277EF"/>
    <w:rsid w:val="79F30EFE"/>
    <w:rsid w:val="79F41536"/>
    <w:rsid w:val="79F56414"/>
    <w:rsid w:val="79F813FA"/>
    <w:rsid w:val="7A0260BC"/>
    <w:rsid w:val="7A03175E"/>
    <w:rsid w:val="7A0411B8"/>
    <w:rsid w:val="7A041B2A"/>
    <w:rsid w:val="7A061765"/>
    <w:rsid w:val="7A097EC7"/>
    <w:rsid w:val="7A1019BE"/>
    <w:rsid w:val="7A1B02C3"/>
    <w:rsid w:val="7A1D3086"/>
    <w:rsid w:val="7A275545"/>
    <w:rsid w:val="7A291D39"/>
    <w:rsid w:val="7A2C6212"/>
    <w:rsid w:val="7A2F3960"/>
    <w:rsid w:val="7A357B07"/>
    <w:rsid w:val="7A393D65"/>
    <w:rsid w:val="7A3A70CE"/>
    <w:rsid w:val="7A402877"/>
    <w:rsid w:val="7A403CFB"/>
    <w:rsid w:val="7A4419A3"/>
    <w:rsid w:val="7A4F5241"/>
    <w:rsid w:val="7A531608"/>
    <w:rsid w:val="7A543398"/>
    <w:rsid w:val="7A5F7341"/>
    <w:rsid w:val="7A6178FE"/>
    <w:rsid w:val="7A6D440E"/>
    <w:rsid w:val="7A6E1711"/>
    <w:rsid w:val="7A7B17B1"/>
    <w:rsid w:val="7A7C2B2E"/>
    <w:rsid w:val="7A823A8D"/>
    <w:rsid w:val="7A863687"/>
    <w:rsid w:val="7A875D89"/>
    <w:rsid w:val="7A884465"/>
    <w:rsid w:val="7A887E78"/>
    <w:rsid w:val="7A8F5C10"/>
    <w:rsid w:val="7A9B2E23"/>
    <w:rsid w:val="7AA36FCC"/>
    <w:rsid w:val="7AA723B4"/>
    <w:rsid w:val="7AA805BA"/>
    <w:rsid w:val="7AAC4B25"/>
    <w:rsid w:val="7AB113AA"/>
    <w:rsid w:val="7AB46521"/>
    <w:rsid w:val="7AB8023A"/>
    <w:rsid w:val="7AB87A6A"/>
    <w:rsid w:val="7ACA5C82"/>
    <w:rsid w:val="7AD33EE6"/>
    <w:rsid w:val="7ADA3252"/>
    <w:rsid w:val="7ADB063C"/>
    <w:rsid w:val="7ADD2E88"/>
    <w:rsid w:val="7AE178FD"/>
    <w:rsid w:val="7AE26655"/>
    <w:rsid w:val="7AE26745"/>
    <w:rsid w:val="7AE27BAA"/>
    <w:rsid w:val="7AE8247C"/>
    <w:rsid w:val="7AED06D6"/>
    <w:rsid w:val="7AF055DF"/>
    <w:rsid w:val="7B112F8D"/>
    <w:rsid w:val="7B181C66"/>
    <w:rsid w:val="7B1A4C04"/>
    <w:rsid w:val="7B1D19B6"/>
    <w:rsid w:val="7B232B3C"/>
    <w:rsid w:val="7B2A5E81"/>
    <w:rsid w:val="7B2E4F28"/>
    <w:rsid w:val="7B30535E"/>
    <w:rsid w:val="7B332367"/>
    <w:rsid w:val="7B351924"/>
    <w:rsid w:val="7B374211"/>
    <w:rsid w:val="7B4942A2"/>
    <w:rsid w:val="7B494559"/>
    <w:rsid w:val="7B523F68"/>
    <w:rsid w:val="7B5613D1"/>
    <w:rsid w:val="7B565DFB"/>
    <w:rsid w:val="7B585A92"/>
    <w:rsid w:val="7B5911D5"/>
    <w:rsid w:val="7B5D16AD"/>
    <w:rsid w:val="7B5F70C4"/>
    <w:rsid w:val="7B604E76"/>
    <w:rsid w:val="7B7034A4"/>
    <w:rsid w:val="7B710D87"/>
    <w:rsid w:val="7B741C47"/>
    <w:rsid w:val="7B7A1A9C"/>
    <w:rsid w:val="7B7A1E6B"/>
    <w:rsid w:val="7B842634"/>
    <w:rsid w:val="7B8A4DFB"/>
    <w:rsid w:val="7B8B475E"/>
    <w:rsid w:val="7B8B7CCE"/>
    <w:rsid w:val="7B9C0261"/>
    <w:rsid w:val="7BA83F37"/>
    <w:rsid w:val="7BAA7FB8"/>
    <w:rsid w:val="7BAE766A"/>
    <w:rsid w:val="7BB0488A"/>
    <w:rsid w:val="7BB44E04"/>
    <w:rsid w:val="7BB75825"/>
    <w:rsid w:val="7BB81035"/>
    <w:rsid w:val="7BBA637A"/>
    <w:rsid w:val="7BBA7A66"/>
    <w:rsid w:val="7BBB32F5"/>
    <w:rsid w:val="7BBC7CA6"/>
    <w:rsid w:val="7BC66E65"/>
    <w:rsid w:val="7BC935D8"/>
    <w:rsid w:val="7BD366CD"/>
    <w:rsid w:val="7BD51607"/>
    <w:rsid w:val="7BD7716C"/>
    <w:rsid w:val="7BDC0586"/>
    <w:rsid w:val="7BDD623A"/>
    <w:rsid w:val="7BDF10C8"/>
    <w:rsid w:val="7BE073D8"/>
    <w:rsid w:val="7BE338D2"/>
    <w:rsid w:val="7BE55921"/>
    <w:rsid w:val="7BE71D8B"/>
    <w:rsid w:val="7BE736CF"/>
    <w:rsid w:val="7BE76ACD"/>
    <w:rsid w:val="7BE956F4"/>
    <w:rsid w:val="7BF04BC3"/>
    <w:rsid w:val="7BF1257A"/>
    <w:rsid w:val="7BF277A2"/>
    <w:rsid w:val="7BF62989"/>
    <w:rsid w:val="7BFB6970"/>
    <w:rsid w:val="7C000A70"/>
    <w:rsid w:val="7C053935"/>
    <w:rsid w:val="7C0B3F04"/>
    <w:rsid w:val="7C0C4427"/>
    <w:rsid w:val="7C0C68C8"/>
    <w:rsid w:val="7C113F95"/>
    <w:rsid w:val="7C131D36"/>
    <w:rsid w:val="7C1A0F8A"/>
    <w:rsid w:val="7C1A3DD7"/>
    <w:rsid w:val="7C205A86"/>
    <w:rsid w:val="7C251216"/>
    <w:rsid w:val="7C2658B5"/>
    <w:rsid w:val="7C2D0527"/>
    <w:rsid w:val="7C3B57A0"/>
    <w:rsid w:val="7C3C3CB7"/>
    <w:rsid w:val="7C3E777A"/>
    <w:rsid w:val="7C3F0422"/>
    <w:rsid w:val="7C4F521C"/>
    <w:rsid w:val="7C5152AF"/>
    <w:rsid w:val="7C531FCC"/>
    <w:rsid w:val="7C547104"/>
    <w:rsid w:val="7C5A2FB4"/>
    <w:rsid w:val="7C5D274A"/>
    <w:rsid w:val="7C5D480E"/>
    <w:rsid w:val="7C613736"/>
    <w:rsid w:val="7C627C19"/>
    <w:rsid w:val="7C712F8D"/>
    <w:rsid w:val="7C77728D"/>
    <w:rsid w:val="7C7C4CF3"/>
    <w:rsid w:val="7C807E36"/>
    <w:rsid w:val="7C832144"/>
    <w:rsid w:val="7C90386A"/>
    <w:rsid w:val="7C987109"/>
    <w:rsid w:val="7C9D7052"/>
    <w:rsid w:val="7CA801E1"/>
    <w:rsid w:val="7CAC456F"/>
    <w:rsid w:val="7CAC504D"/>
    <w:rsid w:val="7CC16020"/>
    <w:rsid w:val="7CC37BA7"/>
    <w:rsid w:val="7CC37D48"/>
    <w:rsid w:val="7CCC20DA"/>
    <w:rsid w:val="7CD24248"/>
    <w:rsid w:val="7CD52685"/>
    <w:rsid w:val="7CD57105"/>
    <w:rsid w:val="7CD7024B"/>
    <w:rsid w:val="7CE138E8"/>
    <w:rsid w:val="7CE21471"/>
    <w:rsid w:val="7CEC2C56"/>
    <w:rsid w:val="7CEE2FC8"/>
    <w:rsid w:val="7CF60E0C"/>
    <w:rsid w:val="7CF806B4"/>
    <w:rsid w:val="7CFB2B3A"/>
    <w:rsid w:val="7D004A30"/>
    <w:rsid w:val="7D0E2C9F"/>
    <w:rsid w:val="7D102840"/>
    <w:rsid w:val="7D105310"/>
    <w:rsid w:val="7D1231BD"/>
    <w:rsid w:val="7D1C6BFD"/>
    <w:rsid w:val="7D2153F7"/>
    <w:rsid w:val="7D262870"/>
    <w:rsid w:val="7D291ECE"/>
    <w:rsid w:val="7D2A1397"/>
    <w:rsid w:val="7D2C61FF"/>
    <w:rsid w:val="7D2E1C6A"/>
    <w:rsid w:val="7D3E09E7"/>
    <w:rsid w:val="7D47697B"/>
    <w:rsid w:val="7D4C2BAE"/>
    <w:rsid w:val="7D50017F"/>
    <w:rsid w:val="7D533656"/>
    <w:rsid w:val="7D574F7C"/>
    <w:rsid w:val="7D5F1C8E"/>
    <w:rsid w:val="7D6540EF"/>
    <w:rsid w:val="7D6A2181"/>
    <w:rsid w:val="7D717D16"/>
    <w:rsid w:val="7D7279A5"/>
    <w:rsid w:val="7D727BA2"/>
    <w:rsid w:val="7D745093"/>
    <w:rsid w:val="7D7A0B72"/>
    <w:rsid w:val="7D8937F0"/>
    <w:rsid w:val="7D94140B"/>
    <w:rsid w:val="7D94488C"/>
    <w:rsid w:val="7D9525AE"/>
    <w:rsid w:val="7D9663E9"/>
    <w:rsid w:val="7D9735D7"/>
    <w:rsid w:val="7D9A5DA1"/>
    <w:rsid w:val="7D9C12F7"/>
    <w:rsid w:val="7D9D5779"/>
    <w:rsid w:val="7DA14F39"/>
    <w:rsid w:val="7DA15629"/>
    <w:rsid w:val="7DA63BAB"/>
    <w:rsid w:val="7DA65EEF"/>
    <w:rsid w:val="7DA7196E"/>
    <w:rsid w:val="7DB078FD"/>
    <w:rsid w:val="7DB50CCA"/>
    <w:rsid w:val="7DC14EB6"/>
    <w:rsid w:val="7DC248BE"/>
    <w:rsid w:val="7DC31626"/>
    <w:rsid w:val="7DC32CDB"/>
    <w:rsid w:val="7DC37A21"/>
    <w:rsid w:val="7DC54A93"/>
    <w:rsid w:val="7DC73552"/>
    <w:rsid w:val="7DC75482"/>
    <w:rsid w:val="7DCA17EF"/>
    <w:rsid w:val="7DCB1609"/>
    <w:rsid w:val="7DCB68FE"/>
    <w:rsid w:val="7DCF6653"/>
    <w:rsid w:val="7DD046D8"/>
    <w:rsid w:val="7DD32B20"/>
    <w:rsid w:val="7DE02B54"/>
    <w:rsid w:val="7DE10F65"/>
    <w:rsid w:val="7DEB0C3F"/>
    <w:rsid w:val="7DEB1BA4"/>
    <w:rsid w:val="7DEE7891"/>
    <w:rsid w:val="7DEF117A"/>
    <w:rsid w:val="7DF62F60"/>
    <w:rsid w:val="7DFC3816"/>
    <w:rsid w:val="7E0D5D12"/>
    <w:rsid w:val="7E0E7B72"/>
    <w:rsid w:val="7E0F4554"/>
    <w:rsid w:val="7E13660B"/>
    <w:rsid w:val="7E14351F"/>
    <w:rsid w:val="7E1536A4"/>
    <w:rsid w:val="7E17096F"/>
    <w:rsid w:val="7E181F73"/>
    <w:rsid w:val="7E1E5D7C"/>
    <w:rsid w:val="7E274642"/>
    <w:rsid w:val="7E2821CA"/>
    <w:rsid w:val="7E337008"/>
    <w:rsid w:val="7E3D19A3"/>
    <w:rsid w:val="7E3E2004"/>
    <w:rsid w:val="7E46638C"/>
    <w:rsid w:val="7E565FB5"/>
    <w:rsid w:val="7E570E57"/>
    <w:rsid w:val="7E5F5DEE"/>
    <w:rsid w:val="7E630119"/>
    <w:rsid w:val="7E7F6838"/>
    <w:rsid w:val="7E857035"/>
    <w:rsid w:val="7E954F1F"/>
    <w:rsid w:val="7E974F0D"/>
    <w:rsid w:val="7EA1684F"/>
    <w:rsid w:val="7EA243F7"/>
    <w:rsid w:val="7EA35489"/>
    <w:rsid w:val="7EA661AE"/>
    <w:rsid w:val="7EA9089E"/>
    <w:rsid w:val="7EAA6A1E"/>
    <w:rsid w:val="7EB3382D"/>
    <w:rsid w:val="7EB66971"/>
    <w:rsid w:val="7EB93518"/>
    <w:rsid w:val="7EC81A70"/>
    <w:rsid w:val="7EC96296"/>
    <w:rsid w:val="7ECB0082"/>
    <w:rsid w:val="7ED16458"/>
    <w:rsid w:val="7ED57A64"/>
    <w:rsid w:val="7EDB2F95"/>
    <w:rsid w:val="7EDD66E5"/>
    <w:rsid w:val="7EDE03FC"/>
    <w:rsid w:val="7EDF0814"/>
    <w:rsid w:val="7EE12F1D"/>
    <w:rsid w:val="7EEB38ED"/>
    <w:rsid w:val="7EEE06AF"/>
    <w:rsid w:val="7EEE1552"/>
    <w:rsid w:val="7EF14C08"/>
    <w:rsid w:val="7EF47BB0"/>
    <w:rsid w:val="7EF520AA"/>
    <w:rsid w:val="7EFE0E77"/>
    <w:rsid w:val="7F01604F"/>
    <w:rsid w:val="7F0300C3"/>
    <w:rsid w:val="7F062C94"/>
    <w:rsid w:val="7F066A42"/>
    <w:rsid w:val="7F0971C1"/>
    <w:rsid w:val="7F1C2108"/>
    <w:rsid w:val="7F1F0F19"/>
    <w:rsid w:val="7F202D13"/>
    <w:rsid w:val="7F246728"/>
    <w:rsid w:val="7F267573"/>
    <w:rsid w:val="7F2A73BF"/>
    <w:rsid w:val="7F2C3A7B"/>
    <w:rsid w:val="7F2D629F"/>
    <w:rsid w:val="7F331A30"/>
    <w:rsid w:val="7F37429B"/>
    <w:rsid w:val="7F451813"/>
    <w:rsid w:val="7F474A0F"/>
    <w:rsid w:val="7F4C1FBF"/>
    <w:rsid w:val="7F4E06E1"/>
    <w:rsid w:val="7F500394"/>
    <w:rsid w:val="7F58111A"/>
    <w:rsid w:val="7F5D4686"/>
    <w:rsid w:val="7F644F53"/>
    <w:rsid w:val="7F664E74"/>
    <w:rsid w:val="7F6C775E"/>
    <w:rsid w:val="7F763098"/>
    <w:rsid w:val="7F783500"/>
    <w:rsid w:val="7F7973D7"/>
    <w:rsid w:val="7F7D0F08"/>
    <w:rsid w:val="7F7D5466"/>
    <w:rsid w:val="7F83503D"/>
    <w:rsid w:val="7F8A5D59"/>
    <w:rsid w:val="7F8C4F55"/>
    <w:rsid w:val="7F91649B"/>
    <w:rsid w:val="7F96094A"/>
    <w:rsid w:val="7F973DA8"/>
    <w:rsid w:val="7F984E93"/>
    <w:rsid w:val="7FA0464F"/>
    <w:rsid w:val="7FA16851"/>
    <w:rsid w:val="7FAD5967"/>
    <w:rsid w:val="7FB31A79"/>
    <w:rsid w:val="7FB32B09"/>
    <w:rsid w:val="7FB47476"/>
    <w:rsid w:val="7FB769D7"/>
    <w:rsid w:val="7FC039A7"/>
    <w:rsid w:val="7FC601DE"/>
    <w:rsid w:val="7FCD0635"/>
    <w:rsid w:val="7FD249BC"/>
    <w:rsid w:val="7FD25409"/>
    <w:rsid w:val="7FD35A90"/>
    <w:rsid w:val="7FDA02F1"/>
    <w:rsid w:val="7FDD4D7E"/>
    <w:rsid w:val="7FDF1DCE"/>
    <w:rsid w:val="7FE00070"/>
    <w:rsid w:val="7FE46030"/>
    <w:rsid w:val="7FED3B3B"/>
    <w:rsid w:val="7FF44CF7"/>
    <w:rsid w:val="7FF8479F"/>
    <w:rsid w:val="7FFE6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qFormat="1" w:unhideWhenUsed="0" w:uiPriority="0" w:semiHidden="0"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qFormat="1" w:unhideWhenUsed="0" w:uiPriority="0" w:semiHidden="0"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wordWrap/>
      <w:spacing w:line="360" w:lineRule="auto"/>
      <w:ind w:firstLine="883" w:firstLineChars="200"/>
      <w:jc w:val="both"/>
    </w:pPr>
    <w:rPr>
      <w:rFonts w:ascii="Times New Roman" w:hAnsi="Times New Roman" w:eastAsia="宋体" w:cs="Times New Roman"/>
      <w:color w:val="000000" w:themeColor="text1"/>
      <w:sz w:val="24"/>
      <w:lang w:val="en-US" w:eastAsia="zh-CN" w:bidi="ar-SA"/>
      <w14:textFill>
        <w14:solidFill>
          <w14:schemeClr w14:val="tx1"/>
        </w14:solidFill>
      </w14:textFill>
    </w:rPr>
  </w:style>
  <w:style w:type="paragraph" w:styleId="2">
    <w:name w:val="heading 1"/>
    <w:basedOn w:val="1"/>
    <w:next w:val="1"/>
    <w:link w:val="77"/>
    <w:autoRedefine/>
    <w:qFormat/>
    <w:uiPriority w:val="0"/>
    <w:pPr>
      <w:keepNext w:val="0"/>
      <w:keepLines w:val="0"/>
      <w:adjustRightInd w:val="0"/>
      <w:spacing w:before="100" w:after="100" w:line="240" w:lineRule="auto"/>
      <w:ind w:firstLine="0" w:firstLineChars="0"/>
      <w:jc w:val="center"/>
      <w:textAlignment w:val="baseline"/>
      <w:outlineLvl w:val="0"/>
    </w:pPr>
    <w:rPr>
      <w:rFonts w:eastAsia="黑体"/>
      <w:b/>
      <w:kern w:val="44"/>
      <w:sz w:val="36"/>
      <w:lang w:val="zh-CN"/>
    </w:rPr>
  </w:style>
  <w:style w:type="paragraph" w:styleId="3">
    <w:name w:val="heading 2"/>
    <w:basedOn w:val="1"/>
    <w:next w:val="4"/>
    <w:link w:val="84"/>
    <w:autoRedefine/>
    <w:qFormat/>
    <w:uiPriority w:val="0"/>
    <w:pPr>
      <w:keepNext w:val="0"/>
      <w:keepLines w:val="0"/>
      <w:snapToGrid w:val="0"/>
      <w:spacing w:before="60" w:after="60" w:line="360" w:lineRule="auto"/>
      <w:ind w:firstLine="0" w:firstLineChars="0"/>
      <w:outlineLvl w:val="1"/>
    </w:pPr>
    <w:rPr>
      <w:rFonts w:ascii="Times New Roman" w:hAnsi="Times New Roman" w:eastAsia="宋体"/>
      <w:b/>
      <w:bCs/>
      <w:sz w:val="28"/>
      <w:szCs w:val="32"/>
      <w:lang w:val="zh-CN"/>
    </w:rPr>
  </w:style>
  <w:style w:type="paragraph" w:styleId="5">
    <w:name w:val="heading 3"/>
    <w:basedOn w:val="1"/>
    <w:next w:val="1"/>
    <w:link w:val="85"/>
    <w:autoRedefine/>
    <w:qFormat/>
    <w:uiPriority w:val="0"/>
    <w:pPr>
      <w:keepNext w:val="0"/>
      <w:keepLines w:val="0"/>
      <w:spacing w:before="60" w:line="360" w:lineRule="auto"/>
      <w:ind w:left="240" w:leftChars="100" w:firstLine="0" w:firstLineChars="0"/>
      <w:outlineLvl w:val="2"/>
    </w:pPr>
    <w:rPr>
      <w:rFonts w:ascii="Times New Roman" w:hAnsi="Times New Roman" w:eastAsia="宋体"/>
      <w:b/>
      <w:bCs/>
      <w:szCs w:val="32"/>
      <w:lang w:val="zh-CN"/>
    </w:rPr>
  </w:style>
  <w:style w:type="paragraph" w:styleId="6">
    <w:name w:val="heading 4"/>
    <w:basedOn w:val="1"/>
    <w:next w:val="1"/>
    <w:link w:val="86"/>
    <w:autoRedefine/>
    <w:qFormat/>
    <w:uiPriority w:val="0"/>
    <w:pPr>
      <w:keepNext/>
      <w:keepLines/>
      <w:spacing w:before="280" w:after="290" w:line="376" w:lineRule="auto"/>
      <w:outlineLvl w:val="3"/>
    </w:pPr>
    <w:rPr>
      <w:rFonts w:ascii="Arial" w:hAnsi="Arial" w:eastAsia="黑体"/>
      <w:b/>
      <w:bCs/>
      <w:kern w:val="2"/>
      <w:sz w:val="28"/>
      <w:szCs w:val="28"/>
      <w:lang w:val="zh-CN"/>
    </w:rPr>
  </w:style>
  <w:style w:type="paragraph" w:styleId="7">
    <w:name w:val="heading 5"/>
    <w:basedOn w:val="1"/>
    <w:next w:val="1"/>
    <w:link w:val="88"/>
    <w:autoRedefine/>
    <w:qFormat/>
    <w:uiPriority w:val="0"/>
    <w:pPr>
      <w:keepNext/>
      <w:keepLines/>
      <w:tabs>
        <w:tab w:val="left" w:pos="1800"/>
      </w:tabs>
      <w:spacing w:before="280" w:after="290" w:line="376" w:lineRule="auto"/>
      <w:outlineLvl w:val="4"/>
    </w:pPr>
    <w:rPr>
      <w:rFonts w:ascii="Times New Roman"/>
      <w:b/>
      <w:kern w:val="2"/>
      <w:sz w:val="28"/>
      <w:lang w:val="zh-CN"/>
    </w:rPr>
  </w:style>
  <w:style w:type="paragraph" w:styleId="8">
    <w:name w:val="heading 6"/>
    <w:basedOn w:val="1"/>
    <w:next w:val="4"/>
    <w:link w:val="89"/>
    <w:autoRedefine/>
    <w:qFormat/>
    <w:uiPriority w:val="0"/>
    <w:pPr>
      <w:keepNext/>
      <w:keepLines/>
      <w:tabs>
        <w:tab w:val="left" w:pos="0"/>
      </w:tabs>
      <w:spacing w:before="240" w:after="64" w:line="320" w:lineRule="auto"/>
      <w:outlineLvl w:val="5"/>
    </w:pPr>
    <w:rPr>
      <w:rFonts w:ascii="Arial" w:hAnsi="Arial" w:eastAsia="黑体"/>
      <w:b/>
      <w:kern w:val="2"/>
      <w:lang w:val="zh-CN"/>
    </w:rPr>
  </w:style>
  <w:style w:type="paragraph" w:styleId="9">
    <w:name w:val="heading 7"/>
    <w:basedOn w:val="1"/>
    <w:next w:val="4"/>
    <w:link w:val="90"/>
    <w:autoRedefine/>
    <w:qFormat/>
    <w:uiPriority w:val="0"/>
    <w:pPr>
      <w:keepNext/>
      <w:keepLines/>
      <w:tabs>
        <w:tab w:val="left" w:pos="0"/>
      </w:tabs>
      <w:spacing w:before="240" w:after="64" w:line="320" w:lineRule="auto"/>
      <w:outlineLvl w:val="6"/>
    </w:pPr>
    <w:rPr>
      <w:rFonts w:ascii="Times New Roman"/>
      <w:b/>
      <w:kern w:val="2"/>
      <w:lang w:val="zh-CN"/>
    </w:rPr>
  </w:style>
  <w:style w:type="paragraph" w:styleId="10">
    <w:name w:val="heading 8"/>
    <w:basedOn w:val="1"/>
    <w:next w:val="4"/>
    <w:link w:val="91"/>
    <w:autoRedefine/>
    <w:qFormat/>
    <w:uiPriority w:val="0"/>
    <w:pPr>
      <w:keepNext/>
      <w:keepLines/>
      <w:tabs>
        <w:tab w:val="left" w:pos="0"/>
      </w:tabs>
      <w:spacing w:before="240" w:after="64" w:line="320" w:lineRule="auto"/>
      <w:outlineLvl w:val="7"/>
    </w:pPr>
    <w:rPr>
      <w:rFonts w:ascii="Arial" w:hAnsi="Arial" w:eastAsia="黑体"/>
      <w:kern w:val="2"/>
      <w:lang w:val="zh-CN"/>
    </w:rPr>
  </w:style>
  <w:style w:type="paragraph" w:styleId="11">
    <w:name w:val="heading 9"/>
    <w:basedOn w:val="1"/>
    <w:next w:val="4"/>
    <w:link w:val="92"/>
    <w:autoRedefine/>
    <w:qFormat/>
    <w:uiPriority w:val="0"/>
    <w:pPr>
      <w:keepNext/>
      <w:keepLines/>
      <w:tabs>
        <w:tab w:val="left" w:pos="0"/>
      </w:tabs>
      <w:spacing w:before="240" w:after="64" w:line="320" w:lineRule="auto"/>
      <w:outlineLvl w:val="8"/>
    </w:pPr>
    <w:rPr>
      <w:rFonts w:ascii="Arial" w:hAnsi="Arial" w:eastAsia="黑体"/>
      <w:kern w:val="2"/>
      <w:sz w:val="21"/>
      <w:lang w:val="zh-CN"/>
    </w:rPr>
  </w:style>
  <w:style w:type="character" w:default="1" w:styleId="60">
    <w:name w:val="Default Paragraph Font"/>
    <w:autoRedefine/>
    <w:semiHidden/>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next w:val="1"/>
    <w:link w:val="87"/>
    <w:autoRedefine/>
    <w:qFormat/>
    <w:uiPriority w:val="0"/>
    <w:pPr>
      <w:ind w:firstLine="420" w:firstLineChars="200"/>
    </w:pPr>
    <w:rPr>
      <w:rFonts w:ascii="Times New Roman"/>
      <w:kern w:val="2"/>
      <w:sz w:val="21"/>
      <w:lang w:val="zh-CN"/>
    </w:rPr>
  </w:style>
  <w:style w:type="paragraph" w:styleId="12">
    <w:name w:val="List 3"/>
    <w:basedOn w:val="1"/>
    <w:autoRedefine/>
    <w:qFormat/>
    <w:uiPriority w:val="0"/>
    <w:pPr>
      <w:ind w:left="100" w:leftChars="400" w:hanging="200" w:hangingChars="200"/>
    </w:pPr>
  </w:style>
  <w:style w:type="paragraph" w:styleId="13">
    <w:name w:val="toc 7"/>
    <w:basedOn w:val="1"/>
    <w:next w:val="1"/>
    <w:autoRedefine/>
    <w:qFormat/>
    <w:uiPriority w:val="39"/>
    <w:pPr>
      <w:ind w:left="1260"/>
      <w:jc w:val="left"/>
    </w:pPr>
    <w:rPr>
      <w:sz w:val="18"/>
      <w:szCs w:val="18"/>
    </w:rPr>
  </w:style>
  <w:style w:type="paragraph" w:styleId="14">
    <w:name w:val="table of authorities"/>
    <w:basedOn w:val="1"/>
    <w:next w:val="1"/>
    <w:autoRedefine/>
    <w:qFormat/>
    <w:uiPriority w:val="0"/>
    <w:pPr>
      <w:spacing w:line="529" w:lineRule="exact"/>
      <w:ind w:left="420" w:leftChars="200"/>
    </w:pPr>
    <w:rPr>
      <w:rFonts w:ascii="Times New Roman" w:hAnsi="Times New Roman" w:eastAsia="宋体" w:cs="Times New Roman"/>
      <w:sz w:val="24"/>
    </w:rPr>
  </w:style>
  <w:style w:type="paragraph" w:styleId="15">
    <w:name w:val="Note Heading"/>
    <w:basedOn w:val="1"/>
    <w:next w:val="1"/>
    <w:link w:val="163"/>
    <w:autoRedefine/>
    <w:qFormat/>
    <w:uiPriority w:val="0"/>
    <w:pPr>
      <w:jc w:val="center"/>
    </w:pPr>
    <w:rPr>
      <w:rFonts w:ascii="Times New Roman"/>
      <w:kern w:val="2"/>
      <w:sz w:val="21"/>
      <w:szCs w:val="24"/>
      <w:lang w:val="zh-CN"/>
    </w:rPr>
  </w:style>
  <w:style w:type="paragraph" w:styleId="16">
    <w:name w:val="caption"/>
    <w:basedOn w:val="1"/>
    <w:next w:val="1"/>
    <w:link w:val="444"/>
    <w:autoRedefine/>
    <w:qFormat/>
    <w:uiPriority w:val="0"/>
    <w:rPr>
      <w:rFonts w:ascii="Arial" w:hAnsi="Arial" w:eastAsia="黑体" w:cs="Arial"/>
      <w:sz w:val="20"/>
    </w:rPr>
  </w:style>
  <w:style w:type="paragraph" w:styleId="17">
    <w:name w:val="List Bullet"/>
    <w:basedOn w:val="1"/>
    <w:autoRedefine/>
    <w:qFormat/>
    <w:uiPriority w:val="0"/>
    <w:pPr>
      <w:tabs>
        <w:tab w:val="left" w:pos="360"/>
      </w:tabs>
      <w:ind w:left="360" w:hanging="360"/>
    </w:pPr>
  </w:style>
  <w:style w:type="paragraph" w:styleId="18">
    <w:name w:val="Document Map"/>
    <w:basedOn w:val="1"/>
    <w:link w:val="206"/>
    <w:autoRedefine/>
    <w:qFormat/>
    <w:uiPriority w:val="0"/>
    <w:rPr>
      <w:sz w:val="18"/>
      <w:szCs w:val="18"/>
      <w:lang w:val="zh-CN"/>
    </w:rPr>
  </w:style>
  <w:style w:type="paragraph" w:styleId="19">
    <w:name w:val="toa heading"/>
    <w:basedOn w:val="1"/>
    <w:next w:val="1"/>
    <w:autoRedefine/>
    <w:qFormat/>
    <w:uiPriority w:val="0"/>
    <w:pPr>
      <w:autoSpaceDE w:val="0"/>
      <w:autoSpaceDN w:val="0"/>
      <w:adjustRightInd w:val="0"/>
      <w:spacing w:before="120"/>
    </w:pPr>
    <w:rPr>
      <w:rFonts w:ascii="Arial" w:hAnsi="Arial" w:eastAsia="宋体" w:cs="Arial"/>
      <w:kern w:val="0"/>
      <w:szCs w:val="24"/>
    </w:rPr>
  </w:style>
  <w:style w:type="paragraph" w:styleId="20">
    <w:name w:val="annotation text"/>
    <w:basedOn w:val="1"/>
    <w:link w:val="162"/>
    <w:autoRedefine/>
    <w:qFormat/>
    <w:uiPriority w:val="0"/>
    <w:pPr>
      <w:jc w:val="left"/>
    </w:pPr>
    <w:rPr>
      <w:rFonts w:ascii="Times New Roman"/>
      <w:kern w:val="2"/>
      <w:sz w:val="21"/>
      <w:szCs w:val="24"/>
      <w:lang w:val="zh-CN"/>
    </w:rPr>
  </w:style>
  <w:style w:type="paragraph" w:styleId="21">
    <w:name w:val="Salutation"/>
    <w:basedOn w:val="1"/>
    <w:next w:val="1"/>
    <w:autoRedefine/>
    <w:qFormat/>
    <w:uiPriority w:val="0"/>
  </w:style>
  <w:style w:type="paragraph" w:styleId="22">
    <w:name w:val="Body Text 3"/>
    <w:basedOn w:val="1"/>
    <w:link w:val="126"/>
    <w:autoRedefine/>
    <w:qFormat/>
    <w:uiPriority w:val="0"/>
    <w:pPr>
      <w:spacing w:line="360" w:lineRule="auto"/>
      <w:ind w:firstLine="200" w:firstLineChars="200"/>
      <w:jc w:val="center"/>
    </w:pPr>
    <w:rPr>
      <w:rFonts w:ascii="Times New Roman" w:eastAsia="黑体"/>
      <w:kern w:val="2"/>
      <w:lang w:val="zh-CN"/>
    </w:rPr>
  </w:style>
  <w:style w:type="paragraph" w:styleId="23">
    <w:name w:val="List Bullet 3"/>
    <w:basedOn w:val="1"/>
    <w:autoRedefine/>
    <w:qFormat/>
    <w:uiPriority w:val="0"/>
    <w:pPr>
      <w:tabs>
        <w:tab w:val="left" w:pos="1200"/>
      </w:tabs>
      <w:ind w:left="1200" w:hanging="360"/>
    </w:pPr>
  </w:style>
  <w:style w:type="paragraph" w:styleId="24">
    <w:name w:val="Body Text"/>
    <w:basedOn w:val="1"/>
    <w:next w:val="1"/>
    <w:link w:val="121"/>
    <w:autoRedefine/>
    <w:qFormat/>
    <w:uiPriority w:val="0"/>
    <w:pPr>
      <w:spacing w:after="120"/>
    </w:pPr>
    <w:rPr>
      <w:rFonts w:ascii="Times New Roman"/>
      <w:kern w:val="2"/>
      <w:sz w:val="21"/>
      <w:szCs w:val="24"/>
      <w:lang w:val="zh-CN"/>
    </w:rPr>
  </w:style>
  <w:style w:type="paragraph" w:styleId="25">
    <w:name w:val="Body Text Indent"/>
    <w:basedOn w:val="1"/>
    <w:link w:val="144"/>
    <w:autoRedefine/>
    <w:qFormat/>
    <w:uiPriority w:val="0"/>
    <w:pPr>
      <w:autoSpaceDE w:val="0"/>
      <w:autoSpaceDN w:val="0"/>
      <w:adjustRightInd w:val="0"/>
      <w:spacing w:before="62" w:after="62" w:line="360" w:lineRule="auto"/>
      <w:ind w:firstLine="495"/>
    </w:pPr>
    <w:rPr>
      <w:color w:val="000000"/>
      <w:kern w:val="2"/>
      <w:szCs w:val="24"/>
      <w:lang w:val="zh-CN"/>
    </w:rPr>
  </w:style>
  <w:style w:type="paragraph" w:styleId="26">
    <w:name w:val="List 2"/>
    <w:basedOn w:val="1"/>
    <w:autoRedefine/>
    <w:qFormat/>
    <w:uiPriority w:val="0"/>
    <w:pPr>
      <w:ind w:left="100" w:leftChars="200" w:hanging="200" w:hangingChars="200"/>
    </w:pPr>
  </w:style>
  <w:style w:type="paragraph" w:styleId="27">
    <w:name w:val="List Continue"/>
    <w:basedOn w:val="1"/>
    <w:autoRedefine/>
    <w:qFormat/>
    <w:uiPriority w:val="0"/>
    <w:pPr>
      <w:adjustRightInd w:val="0"/>
      <w:spacing w:after="120" w:line="360" w:lineRule="atLeast"/>
      <w:ind w:left="420"/>
      <w:jc w:val="left"/>
      <w:textAlignment w:val="baseline"/>
    </w:pPr>
  </w:style>
  <w:style w:type="paragraph" w:styleId="28">
    <w:name w:val="Block Text"/>
    <w:basedOn w:val="1"/>
    <w:autoRedefine/>
    <w:qFormat/>
    <w:uiPriority w:val="0"/>
    <w:pPr>
      <w:adjustRightInd w:val="0"/>
      <w:spacing w:before="120" w:line="440" w:lineRule="exact"/>
      <w:ind w:left="284" w:right="284" w:firstLine="567"/>
      <w:textAlignment w:val="baseline"/>
    </w:pPr>
    <w:rPr>
      <w:rFonts w:ascii="楷体_GB2312" w:eastAsia="楷体_GB2312"/>
      <w:spacing w:val="-2"/>
      <w:sz w:val="28"/>
    </w:rPr>
  </w:style>
  <w:style w:type="paragraph" w:styleId="29">
    <w:name w:val="List Bullet 2"/>
    <w:basedOn w:val="1"/>
    <w:autoRedefine/>
    <w:qFormat/>
    <w:uiPriority w:val="0"/>
    <w:pPr>
      <w:tabs>
        <w:tab w:val="left" w:pos="780"/>
      </w:tabs>
      <w:ind w:left="780" w:hanging="360"/>
    </w:pPr>
  </w:style>
  <w:style w:type="paragraph" w:styleId="30">
    <w:name w:val="toc 5"/>
    <w:basedOn w:val="1"/>
    <w:next w:val="1"/>
    <w:autoRedefine/>
    <w:qFormat/>
    <w:uiPriority w:val="39"/>
    <w:pPr>
      <w:ind w:left="840"/>
      <w:jc w:val="left"/>
    </w:pPr>
    <w:rPr>
      <w:sz w:val="18"/>
      <w:szCs w:val="18"/>
    </w:rPr>
  </w:style>
  <w:style w:type="paragraph" w:styleId="31">
    <w:name w:val="toc 3"/>
    <w:basedOn w:val="1"/>
    <w:next w:val="1"/>
    <w:autoRedefine/>
    <w:qFormat/>
    <w:uiPriority w:val="39"/>
    <w:pPr>
      <w:ind w:left="420"/>
      <w:jc w:val="left"/>
    </w:pPr>
    <w:rPr>
      <w:i/>
      <w:iCs/>
      <w:sz w:val="20"/>
    </w:rPr>
  </w:style>
  <w:style w:type="paragraph" w:styleId="32">
    <w:name w:val="Plain Text"/>
    <w:basedOn w:val="1"/>
    <w:next w:val="1"/>
    <w:link w:val="120"/>
    <w:autoRedefine/>
    <w:qFormat/>
    <w:uiPriority w:val="0"/>
    <w:rPr>
      <w:rFonts w:hAnsi="Courier New"/>
      <w:sz w:val="20"/>
      <w:lang w:val="zh-CN"/>
    </w:rPr>
  </w:style>
  <w:style w:type="paragraph" w:styleId="33">
    <w:name w:val="toc 8"/>
    <w:basedOn w:val="1"/>
    <w:next w:val="1"/>
    <w:autoRedefine/>
    <w:qFormat/>
    <w:uiPriority w:val="39"/>
    <w:pPr>
      <w:ind w:left="1470"/>
      <w:jc w:val="left"/>
    </w:pPr>
    <w:rPr>
      <w:sz w:val="18"/>
      <w:szCs w:val="18"/>
    </w:rPr>
  </w:style>
  <w:style w:type="paragraph" w:styleId="34">
    <w:name w:val="Date"/>
    <w:basedOn w:val="1"/>
    <w:next w:val="1"/>
    <w:link w:val="128"/>
    <w:autoRedefine/>
    <w:qFormat/>
    <w:uiPriority w:val="0"/>
    <w:pPr>
      <w:ind w:left="100" w:leftChars="2500"/>
    </w:pPr>
    <w:rPr>
      <w:rFonts w:ascii="Times New Roman"/>
      <w:sz w:val="20"/>
      <w:szCs w:val="24"/>
      <w:lang w:val="zh-CN"/>
    </w:rPr>
  </w:style>
  <w:style w:type="paragraph" w:styleId="35">
    <w:name w:val="Body Text Indent 2"/>
    <w:basedOn w:val="1"/>
    <w:link w:val="212"/>
    <w:autoRedefine/>
    <w:qFormat/>
    <w:uiPriority w:val="0"/>
    <w:pPr>
      <w:autoSpaceDE w:val="0"/>
      <w:autoSpaceDN w:val="0"/>
      <w:adjustRightInd w:val="0"/>
      <w:spacing w:before="62" w:after="62" w:line="360" w:lineRule="auto"/>
      <w:ind w:firstLine="480"/>
    </w:pPr>
    <w:rPr>
      <w:color w:val="000000"/>
      <w:kern w:val="2"/>
      <w:szCs w:val="24"/>
      <w:lang w:val="zh-CN"/>
    </w:rPr>
  </w:style>
  <w:style w:type="paragraph" w:styleId="36">
    <w:name w:val="Balloon Text"/>
    <w:basedOn w:val="1"/>
    <w:link w:val="203"/>
    <w:autoRedefine/>
    <w:qFormat/>
    <w:uiPriority w:val="99"/>
    <w:rPr>
      <w:rFonts w:ascii="Times New Roman"/>
      <w:sz w:val="18"/>
      <w:szCs w:val="18"/>
      <w:lang w:val="zh-CN"/>
    </w:rPr>
  </w:style>
  <w:style w:type="paragraph" w:styleId="37">
    <w:name w:val="footer"/>
    <w:basedOn w:val="1"/>
    <w:link w:val="469"/>
    <w:autoRedefine/>
    <w:qFormat/>
    <w:uiPriority w:val="99"/>
    <w:pPr>
      <w:tabs>
        <w:tab w:val="center" w:pos="4153"/>
        <w:tab w:val="right" w:pos="8306"/>
      </w:tabs>
      <w:snapToGrid w:val="0"/>
      <w:jc w:val="left"/>
    </w:pPr>
    <w:rPr>
      <w:rFonts w:ascii="Times New Roman"/>
      <w:sz w:val="18"/>
      <w:szCs w:val="18"/>
      <w:lang w:val="zh-CN"/>
    </w:rPr>
  </w:style>
  <w:style w:type="paragraph" w:styleId="38">
    <w:name w:val="header"/>
    <w:basedOn w:val="1"/>
    <w:next w:val="39"/>
    <w:link w:val="468"/>
    <w:autoRedefine/>
    <w:qFormat/>
    <w:uiPriority w:val="99"/>
    <w:pPr>
      <w:pBdr>
        <w:bottom w:val="single" w:color="auto" w:sz="6" w:space="1"/>
      </w:pBdr>
      <w:tabs>
        <w:tab w:val="center" w:pos="4153"/>
        <w:tab w:val="right" w:pos="8306"/>
      </w:tabs>
      <w:snapToGrid w:val="0"/>
      <w:jc w:val="center"/>
    </w:pPr>
    <w:rPr>
      <w:rFonts w:ascii="Times New Roman"/>
      <w:sz w:val="18"/>
      <w:szCs w:val="18"/>
      <w:lang w:val="zh-CN"/>
    </w:rPr>
  </w:style>
  <w:style w:type="paragraph" w:styleId="39">
    <w:name w:val="index heading"/>
    <w:basedOn w:val="1"/>
    <w:next w:val="40"/>
    <w:autoRedefine/>
    <w:qFormat/>
    <w:uiPriority w:val="0"/>
  </w:style>
  <w:style w:type="paragraph" w:styleId="40">
    <w:name w:val="index 1"/>
    <w:basedOn w:val="1"/>
    <w:next w:val="1"/>
    <w:autoRedefine/>
    <w:qFormat/>
    <w:uiPriority w:val="0"/>
    <w:pPr>
      <w:spacing w:line="400" w:lineRule="exact"/>
      <w:jc w:val="center"/>
    </w:pPr>
    <w:rPr>
      <w:color w:val="000000"/>
    </w:rPr>
  </w:style>
  <w:style w:type="paragraph" w:styleId="41">
    <w:name w:val="toc 1"/>
    <w:basedOn w:val="1"/>
    <w:next w:val="1"/>
    <w:autoRedefine/>
    <w:qFormat/>
    <w:uiPriority w:val="39"/>
    <w:pPr>
      <w:spacing w:before="120" w:after="120"/>
      <w:jc w:val="left"/>
    </w:pPr>
    <w:rPr>
      <w:b/>
      <w:bCs/>
      <w:caps/>
      <w:sz w:val="20"/>
    </w:rPr>
  </w:style>
  <w:style w:type="paragraph" w:styleId="42">
    <w:name w:val="toc 4"/>
    <w:basedOn w:val="1"/>
    <w:next w:val="1"/>
    <w:autoRedefine/>
    <w:qFormat/>
    <w:uiPriority w:val="39"/>
    <w:pPr>
      <w:ind w:left="630"/>
      <w:jc w:val="left"/>
    </w:pPr>
    <w:rPr>
      <w:sz w:val="18"/>
      <w:szCs w:val="18"/>
    </w:rPr>
  </w:style>
  <w:style w:type="paragraph" w:styleId="43">
    <w:name w:val="Subtitle"/>
    <w:basedOn w:val="1"/>
    <w:link w:val="242"/>
    <w:autoRedefine/>
    <w:qFormat/>
    <w:uiPriority w:val="0"/>
    <w:pPr>
      <w:autoSpaceDE w:val="0"/>
      <w:autoSpaceDN w:val="0"/>
      <w:adjustRightInd w:val="0"/>
      <w:spacing w:line="240" w:lineRule="atLeast"/>
      <w:ind w:firstLine="12"/>
      <w:jc w:val="center"/>
    </w:pPr>
    <w:rPr>
      <w:rFonts w:ascii="长城楷体" w:eastAsia="长城楷体"/>
      <w:color w:val="0000FF"/>
      <w:spacing w:val="20"/>
      <w:sz w:val="44"/>
      <w:lang w:val="zh-CN"/>
    </w:rPr>
  </w:style>
  <w:style w:type="paragraph" w:styleId="44">
    <w:name w:val="List"/>
    <w:basedOn w:val="1"/>
    <w:next w:val="1"/>
    <w:autoRedefine/>
    <w:qFormat/>
    <w:uiPriority w:val="0"/>
    <w:pPr>
      <w:spacing w:before="20" w:after="20"/>
      <w:jc w:val="center"/>
      <w:textAlignment w:val="baseline"/>
    </w:pPr>
  </w:style>
  <w:style w:type="paragraph" w:styleId="45">
    <w:name w:val="toc 6"/>
    <w:basedOn w:val="1"/>
    <w:next w:val="1"/>
    <w:autoRedefine/>
    <w:qFormat/>
    <w:uiPriority w:val="39"/>
    <w:pPr>
      <w:ind w:left="1050"/>
      <w:jc w:val="left"/>
    </w:pPr>
    <w:rPr>
      <w:sz w:val="18"/>
      <w:szCs w:val="18"/>
    </w:rPr>
  </w:style>
  <w:style w:type="paragraph" w:styleId="46">
    <w:name w:val="Body Text Indent 3"/>
    <w:basedOn w:val="1"/>
    <w:link w:val="210"/>
    <w:autoRedefine/>
    <w:qFormat/>
    <w:uiPriority w:val="0"/>
    <w:pPr>
      <w:spacing w:after="120"/>
      <w:ind w:left="420" w:leftChars="200"/>
    </w:pPr>
    <w:rPr>
      <w:rFonts w:ascii="Times New Roman"/>
      <w:sz w:val="16"/>
      <w:lang w:val="zh-CN"/>
    </w:rPr>
  </w:style>
  <w:style w:type="paragraph" w:styleId="47">
    <w:name w:val="table of figures"/>
    <w:basedOn w:val="1"/>
    <w:next w:val="1"/>
    <w:autoRedefine/>
    <w:qFormat/>
    <w:uiPriority w:val="0"/>
    <w:pPr>
      <w:spacing w:line="360" w:lineRule="auto"/>
    </w:pPr>
    <w:rPr>
      <w:sz w:val="24"/>
    </w:rPr>
  </w:style>
  <w:style w:type="paragraph" w:styleId="48">
    <w:name w:val="toc 2"/>
    <w:basedOn w:val="1"/>
    <w:next w:val="1"/>
    <w:autoRedefine/>
    <w:qFormat/>
    <w:uiPriority w:val="39"/>
    <w:pPr>
      <w:ind w:left="210"/>
      <w:jc w:val="left"/>
    </w:pPr>
    <w:rPr>
      <w:smallCaps/>
      <w:sz w:val="20"/>
    </w:rPr>
  </w:style>
  <w:style w:type="paragraph" w:styleId="49">
    <w:name w:val="toc 9"/>
    <w:basedOn w:val="1"/>
    <w:next w:val="1"/>
    <w:autoRedefine/>
    <w:qFormat/>
    <w:uiPriority w:val="39"/>
    <w:pPr>
      <w:ind w:left="1680"/>
      <w:jc w:val="left"/>
    </w:pPr>
    <w:rPr>
      <w:sz w:val="18"/>
      <w:szCs w:val="18"/>
    </w:rPr>
  </w:style>
  <w:style w:type="paragraph" w:styleId="50">
    <w:name w:val="Body Text 2"/>
    <w:basedOn w:val="1"/>
    <w:link w:val="193"/>
    <w:autoRedefine/>
    <w:qFormat/>
    <w:uiPriority w:val="0"/>
    <w:pPr>
      <w:spacing w:line="380" w:lineRule="exact"/>
      <w:jc w:val="center"/>
    </w:pPr>
    <w:rPr>
      <w:rFonts w:ascii="Times New Roman"/>
      <w:kern w:val="2"/>
      <w:sz w:val="21"/>
      <w:szCs w:val="24"/>
      <w:lang w:val="zh-CN"/>
    </w:rPr>
  </w:style>
  <w:style w:type="paragraph" w:styleId="51">
    <w:name w:val="List 4"/>
    <w:basedOn w:val="1"/>
    <w:autoRedefine/>
    <w:qFormat/>
    <w:uiPriority w:val="0"/>
    <w:pPr>
      <w:ind w:left="100" w:leftChars="600" w:hanging="200" w:hangingChars="200"/>
    </w:pPr>
  </w:style>
  <w:style w:type="paragraph" w:styleId="52">
    <w:name w:val="HTML Preformatted"/>
    <w:basedOn w:val="1"/>
    <w:link w:val="238"/>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sz w:val="20"/>
      <w:lang w:val="zh-CN"/>
    </w:rPr>
  </w:style>
  <w:style w:type="paragraph" w:styleId="53">
    <w:name w:val="Normal (Web)"/>
    <w:basedOn w:val="1"/>
    <w:autoRedefine/>
    <w:qFormat/>
    <w:uiPriority w:val="99"/>
    <w:pPr>
      <w:widowControl/>
      <w:spacing w:before="100" w:beforeAutospacing="1" w:after="100" w:afterAutospacing="1"/>
      <w:jc w:val="left"/>
    </w:pPr>
    <w:rPr>
      <w:rFonts w:hAnsi="宋体" w:cs="宋体"/>
    </w:rPr>
  </w:style>
  <w:style w:type="paragraph" w:styleId="54">
    <w:name w:val="Title"/>
    <w:basedOn w:val="1"/>
    <w:link w:val="189"/>
    <w:autoRedefine/>
    <w:qFormat/>
    <w:uiPriority w:val="0"/>
    <w:pPr>
      <w:adjustRightInd w:val="0"/>
      <w:spacing w:line="360" w:lineRule="auto"/>
      <w:jc w:val="left"/>
      <w:textAlignment w:val="baseline"/>
      <w:outlineLvl w:val="0"/>
    </w:pPr>
    <w:rPr>
      <w:rFonts w:ascii="Arial" w:hAnsi="Arial"/>
      <w:b/>
      <w:sz w:val="32"/>
      <w:lang w:val="zh-CN"/>
    </w:rPr>
  </w:style>
  <w:style w:type="paragraph" w:styleId="55">
    <w:name w:val="annotation subject"/>
    <w:basedOn w:val="20"/>
    <w:next w:val="20"/>
    <w:link w:val="241"/>
    <w:autoRedefine/>
    <w:qFormat/>
    <w:uiPriority w:val="0"/>
    <w:rPr>
      <w:b/>
      <w:bCs/>
    </w:rPr>
  </w:style>
  <w:style w:type="paragraph" w:styleId="56">
    <w:name w:val="Body Text First Indent"/>
    <w:basedOn w:val="24"/>
    <w:next w:val="1"/>
    <w:link w:val="231"/>
    <w:autoRedefine/>
    <w:qFormat/>
    <w:uiPriority w:val="0"/>
    <w:pPr>
      <w:ind w:firstLine="420" w:firstLineChars="100"/>
    </w:pPr>
  </w:style>
  <w:style w:type="paragraph" w:styleId="57">
    <w:name w:val="Body Text First Indent 2"/>
    <w:basedOn w:val="25"/>
    <w:link w:val="244"/>
    <w:autoRedefine/>
    <w:qFormat/>
    <w:uiPriority w:val="0"/>
    <w:pPr>
      <w:autoSpaceDE/>
      <w:autoSpaceDN/>
      <w:adjustRightInd/>
      <w:spacing w:before="0" w:after="120" w:line="240" w:lineRule="auto"/>
      <w:ind w:left="420" w:leftChars="200" w:firstLine="420" w:firstLineChars="200"/>
    </w:pPr>
  </w:style>
  <w:style w:type="table" w:styleId="59">
    <w:name w:val="Table Grid"/>
    <w:basedOn w:val="5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basedOn w:val="60"/>
    <w:autoRedefine/>
    <w:qFormat/>
    <w:uiPriority w:val="22"/>
    <w:rPr>
      <w:b/>
      <w:bCs/>
    </w:rPr>
  </w:style>
  <w:style w:type="character" w:styleId="62">
    <w:name w:val="page number"/>
    <w:basedOn w:val="60"/>
    <w:autoRedefine/>
    <w:qFormat/>
    <w:uiPriority w:val="0"/>
  </w:style>
  <w:style w:type="character" w:styleId="63">
    <w:name w:val="FollowedHyperlink"/>
    <w:autoRedefine/>
    <w:qFormat/>
    <w:uiPriority w:val="0"/>
    <w:rPr>
      <w:color w:val="0569CB"/>
      <w:u w:val="none"/>
    </w:rPr>
  </w:style>
  <w:style w:type="character" w:styleId="64">
    <w:name w:val="Emphasis"/>
    <w:autoRedefine/>
    <w:qFormat/>
    <w:uiPriority w:val="0"/>
    <w:rPr>
      <w:color w:val="CC0033"/>
    </w:rPr>
  </w:style>
  <w:style w:type="character" w:styleId="65">
    <w:name w:val="HTML Typewriter"/>
    <w:autoRedefine/>
    <w:qFormat/>
    <w:uiPriority w:val="0"/>
    <w:rPr>
      <w:rFonts w:ascii="宋体" w:hAnsi="宋体" w:eastAsia="宋体" w:cs="宋体"/>
      <w:sz w:val="24"/>
      <w:szCs w:val="24"/>
    </w:rPr>
  </w:style>
  <w:style w:type="character" w:styleId="66">
    <w:name w:val="Hyperlink"/>
    <w:basedOn w:val="60"/>
    <w:autoRedefine/>
    <w:qFormat/>
    <w:uiPriority w:val="0"/>
    <w:rPr>
      <w:color w:val="0569CB"/>
      <w:u w:val="none"/>
    </w:rPr>
  </w:style>
  <w:style w:type="character" w:styleId="67">
    <w:name w:val="annotation reference"/>
    <w:autoRedefine/>
    <w:qFormat/>
    <w:uiPriority w:val="0"/>
    <w:rPr>
      <w:sz w:val="21"/>
      <w:szCs w:val="21"/>
    </w:rPr>
  </w:style>
  <w:style w:type="character" w:styleId="68">
    <w:name w:val="HTML Cite"/>
    <w:autoRedefine/>
    <w:qFormat/>
    <w:uiPriority w:val="0"/>
    <w:rPr>
      <w:i/>
      <w:iCs/>
    </w:rPr>
  </w:style>
  <w:style w:type="paragraph" w:customStyle="1" w:styleId="69">
    <w:name w:val="表格文字"/>
    <w:basedOn w:val="70"/>
    <w:link w:val="140"/>
    <w:autoRedefine/>
    <w:qFormat/>
    <w:uiPriority w:val="0"/>
    <w:pPr>
      <w:adjustRightInd w:val="0"/>
      <w:snapToGrid w:val="0"/>
      <w:spacing w:line="360" w:lineRule="atLeast"/>
      <w:jc w:val="center"/>
    </w:pPr>
    <w:rPr>
      <w:rFonts w:hAnsi="宋体"/>
      <w:position w:val="-28"/>
      <w:sz w:val="22"/>
      <w:szCs w:val="22"/>
      <w:lang w:val="zh-CN"/>
    </w:rPr>
  </w:style>
  <w:style w:type="paragraph" w:customStyle="1" w:styleId="70">
    <w:name w:val="样式1"/>
    <w:basedOn w:val="14"/>
    <w:link w:val="137"/>
    <w:autoRedefine/>
    <w:qFormat/>
    <w:uiPriority w:val="0"/>
    <w:pPr>
      <w:keepNext/>
      <w:keepLines/>
      <w:autoSpaceDE w:val="0"/>
      <w:autoSpaceDN w:val="0"/>
      <w:adjustRightInd w:val="0"/>
      <w:spacing w:before="62" w:after="62" w:line="360" w:lineRule="auto"/>
    </w:pPr>
    <w:rPr>
      <w:rFonts w:ascii="Times New Roman"/>
      <w:b/>
      <w:bCs/>
      <w:kern w:val="44"/>
      <w:sz w:val="44"/>
      <w:szCs w:val="44"/>
      <w:lang w:val="zh-CN"/>
    </w:rPr>
  </w:style>
  <w:style w:type="paragraph" w:customStyle="1" w:styleId="71">
    <w:name w:val="样式 标题 1 + 四号 段前: 0 磅 段后: 0 磅 行距: 1.5 倍行距"/>
    <w:basedOn w:val="72"/>
    <w:next w:val="73"/>
    <w:autoRedefine/>
    <w:qFormat/>
    <w:uiPriority w:val="0"/>
    <w:pPr>
      <w:spacing w:line="360" w:lineRule="auto"/>
      <w:jc w:val="center"/>
    </w:pPr>
    <w:rPr>
      <w:sz w:val="28"/>
    </w:rPr>
  </w:style>
  <w:style w:type="paragraph" w:customStyle="1" w:styleId="72">
    <w:name w:val="报告表正文"/>
    <w:basedOn w:val="1"/>
    <w:autoRedefine/>
    <w:qFormat/>
    <w:uiPriority w:val="0"/>
    <w:pPr>
      <w:wordWrap w:val="0"/>
      <w:topLinePunct/>
      <w:adjustRightInd w:val="0"/>
      <w:spacing w:line="360" w:lineRule="auto"/>
      <w:ind w:left="0" w:right="0" w:firstLine="488"/>
      <w:jc w:val="left"/>
      <w:textAlignment w:val="baseline"/>
    </w:pPr>
    <w:rPr>
      <w:rFonts w:eastAsia="Times New Roman"/>
      <w:kern w:val="0"/>
      <w:sz w:val="20"/>
      <w:szCs w:val="20"/>
    </w:rPr>
  </w:style>
  <w:style w:type="paragraph" w:customStyle="1" w:styleId="73">
    <w:name w:val="文本正文"/>
    <w:basedOn w:val="1"/>
    <w:link w:val="112"/>
    <w:autoRedefine/>
    <w:qFormat/>
    <w:uiPriority w:val="0"/>
    <w:pPr>
      <w:snapToGrid w:val="0"/>
      <w:spacing w:line="360" w:lineRule="auto"/>
      <w:ind w:firstLine="510"/>
      <w:jc w:val="left"/>
    </w:pPr>
    <w:rPr>
      <w:spacing w:val="4"/>
      <w:kern w:val="24"/>
      <w:szCs w:val="24"/>
      <w:lang w:val="zh-CN"/>
    </w:rPr>
  </w:style>
  <w:style w:type="paragraph" w:customStyle="1" w:styleId="74">
    <w:name w:val="Default"/>
    <w:basedOn w:val="75"/>
    <w:next w:val="12"/>
    <w:autoRedefine/>
    <w:qFormat/>
    <w:uiPriority w:val="0"/>
    <w:pPr>
      <w:widowControl w:val="0"/>
      <w:autoSpaceDE w:val="0"/>
      <w:autoSpaceDN w:val="0"/>
      <w:adjustRightInd w:val="0"/>
    </w:pPr>
    <w:rPr>
      <w:rFonts w:ascii="黑体" w:hAnsi="Times New Roman" w:eastAsia="黑体" w:cs="黑体"/>
      <w:color w:val="000000"/>
      <w:kern w:val="2"/>
      <w:sz w:val="24"/>
      <w:szCs w:val="24"/>
      <w:lang w:val="en-US" w:eastAsia="zh-CN" w:bidi="ar-SA"/>
    </w:rPr>
  </w:style>
  <w:style w:type="paragraph" w:customStyle="1" w:styleId="75">
    <w:name w:val="纯文本1"/>
    <w:basedOn w:val="1"/>
    <w:autoRedefine/>
    <w:qFormat/>
    <w:uiPriority w:val="0"/>
    <w:pPr>
      <w:adjustRightInd w:val="0"/>
      <w:textAlignment w:val="baseline"/>
    </w:pPr>
    <w:rPr>
      <w:rFonts w:hAnsi="Courier New"/>
      <w:sz w:val="28"/>
    </w:rPr>
  </w:style>
  <w:style w:type="paragraph" w:customStyle="1" w:styleId="76">
    <w:name w:val="明显引用1"/>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character" w:customStyle="1" w:styleId="77">
    <w:name w:val="标题 1 Char"/>
    <w:link w:val="2"/>
    <w:autoRedefine/>
    <w:qFormat/>
    <w:uiPriority w:val="0"/>
    <w:rPr>
      <w:rFonts w:ascii="Times New Roman" w:hAnsi="Times New Roman" w:eastAsia="黑体"/>
      <w:b/>
      <w:color w:val="000000" w:themeColor="text1"/>
      <w:kern w:val="44"/>
      <w:sz w:val="36"/>
      <w14:textFill>
        <w14:solidFill>
          <w14:schemeClr w14:val="tx1"/>
        </w14:solidFill>
      </w14:textFill>
    </w:rPr>
  </w:style>
  <w:style w:type="character" w:customStyle="1" w:styleId="78">
    <w:name w:val="标题 3 Char1"/>
    <w:autoRedefine/>
    <w:qFormat/>
    <w:uiPriority w:val="0"/>
    <w:rPr>
      <w:rFonts w:eastAsia="宋体"/>
      <w:b/>
      <w:bCs/>
      <w:kern w:val="2"/>
      <w:sz w:val="32"/>
      <w:szCs w:val="32"/>
      <w:lang w:val="en-US" w:eastAsia="zh-CN" w:bidi="ar-SA"/>
    </w:rPr>
  </w:style>
  <w:style w:type="paragraph" w:customStyle="1" w:styleId="79">
    <w:name w:val="1正文"/>
    <w:basedOn w:val="1"/>
    <w:autoRedefine/>
    <w:qFormat/>
    <w:uiPriority w:val="0"/>
    <w:pPr>
      <w:spacing w:line="500" w:lineRule="exact"/>
      <w:ind w:firstLine="588" w:firstLineChars="196"/>
    </w:pPr>
    <w:rPr>
      <w:rFonts w:eastAsia="楷体_GB2312"/>
      <w:sz w:val="30"/>
      <w:szCs w:val="30"/>
    </w:rPr>
  </w:style>
  <w:style w:type="paragraph" w:customStyle="1" w:styleId="80">
    <w:name w:val="Normal Indent1"/>
    <w:basedOn w:val="1"/>
    <w:autoRedefine/>
    <w:qFormat/>
    <w:uiPriority w:val="0"/>
    <w:pPr>
      <w:ind w:firstLine="420" w:firstLineChars="200"/>
    </w:pPr>
  </w:style>
  <w:style w:type="paragraph" w:customStyle="1" w:styleId="81">
    <w:name w:val="正文 首行缩进:  2 字符"/>
    <w:basedOn w:val="1"/>
    <w:autoRedefine/>
    <w:qFormat/>
    <w:uiPriority w:val="99"/>
    <w:pPr>
      <w:ind w:firstLine="579" w:firstLineChars="200"/>
    </w:pPr>
    <w:rPr>
      <w:rFonts w:ascii="Times New Roman" w:hAnsi="Times New Roman" w:cs="宋体"/>
      <w:szCs w:val="20"/>
    </w:rPr>
  </w:style>
  <w:style w:type="paragraph" w:customStyle="1" w:styleId="82">
    <w:name w:val="_Style 114"/>
    <w:basedOn w:val="1"/>
    <w:autoRedefine/>
    <w:qFormat/>
    <w:uiPriority w:val="0"/>
    <w:rPr>
      <w:rFonts w:hAnsi="宋体" w:cs="宋体"/>
      <w:szCs w:val="28"/>
    </w:rPr>
  </w:style>
  <w:style w:type="paragraph" w:customStyle="1" w:styleId="83">
    <w:name w:val="列出段落1"/>
    <w:basedOn w:val="1"/>
    <w:autoRedefine/>
    <w:qFormat/>
    <w:uiPriority w:val="34"/>
    <w:pPr>
      <w:spacing w:line="360" w:lineRule="auto"/>
      <w:ind w:firstLine="420" w:firstLineChars="200"/>
    </w:pPr>
    <w:rPr>
      <w:szCs w:val="22"/>
    </w:rPr>
  </w:style>
  <w:style w:type="character" w:customStyle="1" w:styleId="84">
    <w:name w:val="标题 2 Char"/>
    <w:link w:val="3"/>
    <w:autoRedefine/>
    <w:qFormat/>
    <w:uiPriority w:val="0"/>
    <w:rPr>
      <w:rFonts w:ascii="Times New Roman" w:hAnsi="Times New Roman" w:eastAsia="宋体" w:cs="Times New Roman"/>
      <w:b/>
      <w:bCs/>
      <w:color w:val="000000" w:themeColor="text1"/>
      <w:sz w:val="28"/>
      <w:szCs w:val="32"/>
      <w14:textFill>
        <w14:solidFill>
          <w14:schemeClr w14:val="tx1"/>
        </w14:solidFill>
      </w14:textFill>
    </w:rPr>
  </w:style>
  <w:style w:type="character" w:customStyle="1" w:styleId="85">
    <w:name w:val="标题 3 Char"/>
    <w:link w:val="5"/>
    <w:autoRedefine/>
    <w:qFormat/>
    <w:uiPriority w:val="0"/>
    <w:rPr>
      <w:rFonts w:ascii="Times New Roman" w:hAnsi="Times New Roman" w:eastAsia="宋体" w:cs="Times New Roman"/>
      <w:b/>
      <w:bCs/>
      <w:color w:val="000000" w:themeColor="text1"/>
      <w:sz w:val="24"/>
      <w:szCs w:val="32"/>
      <w14:textFill>
        <w14:solidFill>
          <w14:schemeClr w14:val="tx1"/>
        </w14:solidFill>
      </w14:textFill>
    </w:rPr>
  </w:style>
  <w:style w:type="character" w:customStyle="1" w:styleId="86">
    <w:name w:val="标题 4 Char"/>
    <w:link w:val="6"/>
    <w:autoRedefine/>
    <w:qFormat/>
    <w:uiPriority w:val="0"/>
    <w:rPr>
      <w:rFonts w:ascii="Arial" w:hAnsi="Arial" w:eastAsia="黑体"/>
      <w:b/>
      <w:bCs/>
      <w:kern w:val="2"/>
      <w:sz w:val="28"/>
      <w:szCs w:val="28"/>
    </w:rPr>
  </w:style>
  <w:style w:type="character" w:customStyle="1" w:styleId="87">
    <w:name w:val="正文缩进 Char"/>
    <w:link w:val="4"/>
    <w:autoRedefine/>
    <w:qFormat/>
    <w:uiPriority w:val="0"/>
    <w:rPr>
      <w:rFonts w:ascii="Times New Roman" w:hAnsi="Times New Roman"/>
      <w:kern w:val="2"/>
      <w:sz w:val="21"/>
    </w:rPr>
  </w:style>
  <w:style w:type="character" w:customStyle="1" w:styleId="88">
    <w:name w:val="标题 5 Char"/>
    <w:link w:val="7"/>
    <w:autoRedefine/>
    <w:qFormat/>
    <w:uiPriority w:val="0"/>
    <w:rPr>
      <w:b/>
      <w:kern w:val="2"/>
      <w:sz w:val="28"/>
      <w:lang w:val="zh-CN" w:eastAsia="zh-CN"/>
    </w:rPr>
  </w:style>
  <w:style w:type="character" w:customStyle="1" w:styleId="89">
    <w:name w:val="标题 6 Char"/>
    <w:link w:val="8"/>
    <w:autoRedefine/>
    <w:qFormat/>
    <w:uiPriority w:val="0"/>
    <w:rPr>
      <w:rFonts w:ascii="Arial" w:hAnsi="Arial" w:eastAsia="黑体"/>
      <w:b/>
      <w:kern w:val="2"/>
      <w:sz w:val="24"/>
      <w:lang w:val="zh-CN" w:eastAsia="zh-CN"/>
    </w:rPr>
  </w:style>
  <w:style w:type="character" w:customStyle="1" w:styleId="90">
    <w:name w:val="标题 7 Char"/>
    <w:link w:val="9"/>
    <w:autoRedefine/>
    <w:qFormat/>
    <w:uiPriority w:val="0"/>
    <w:rPr>
      <w:b/>
      <w:kern w:val="2"/>
      <w:sz w:val="24"/>
      <w:lang w:val="zh-CN" w:eastAsia="zh-CN"/>
    </w:rPr>
  </w:style>
  <w:style w:type="character" w:customStyle="1" w:styleId="91">
    <w:name w:val="标题 8 Char"/>
    <w:link w:val="10"/>
    <w:autoRedefine/>
    <w:qFormat/>
    <w:uiPriority w:val="0"/>
    <w:rPr>
      <w:rFonts w:ascii="Arial" w:hAnsi="Arial" w:eastAsia="黑体"/>
      <w:kern w:val="2"/>
      <w:sz w:val="24"/>
      <w:lang w:val="zh-CN" w:eastAsia="zh-CN"/>
    </w:rPr>
  </w:style>
  <w:style w:type="character" w:customStyle="1" w:styleId="92">
    <w:name w:val="标题 9 Char"/>
    <w:link w:val="11"/>
    <w:autoRedefine/>
    <w:qFormat/>
    <w:uiPriority w:val="0"/>
    <w:rPr>
      <w:rFonts w:ascii="Arial" w:hAnsi="Arial" w:eastAsia="黑体"/>
      <w:kern w:val="2"/>
      <w:sz w:val="21"/>
      <w:lang w:val="zh-CN" w:eastAsia="zh-CN"/>
    </w:rPr>
  </w:style>
  <w:style w:type="character" w:customStyle="1" w:styleId="93">
    <w:name w:val="普 Char"/>
    <w:autoRedefine/>
    <w:qFormat/>
    <w:uiPriority w:val="0"/>
    <w:rPr>
      <w:rFonts w:ascii="宋体" w:hAnsi="Courier New" w:eastAsia="宋体" w:cs="Courier New"/>
      <w:kern w:val="2"/>
      <w:sz w:val="21"/>
      <w:szCs w:val="21"/>
      <w:lang w:val="en-US" w:eastAsia="zh-CN" w:bidi="ar-SA"/>
    </w:rPr>
  </w:style>
  <w:style w:type="character" w:customStyle="1" w:styleId="94">
    <w:name w:val="a1"/>
    <w:autoRedefine/>
    <w:qFormat/>
    <w:uiPriority w:val="0"/>
    <w:rPr>
      <w:color w:val="000000"/>
      <w:spacing w:val="270"/>
      <w:sz w:val="21"/>
      <w:szCs w:val="21"/>
    </w:rPr>
  </w:style>
  <w:style w:type="character" w:customStyle="1" w:styleId="95">
    <w:name w:val="正文(首行缩进) Char Char"/>
    <w:link w:val="96"/>
    <w:autoRedefine/>
    <w:qFormat/>
    <w:uiPriority w:val="0"/>
    <w:rPr>
      <w:snapToGrid w:val="0"/>
      <w:sz w:val="24"/>
      <w:szCs w:val="24"/>
    </w:rPr>
  </w:style>
  <w:style w:type="paragraph" w:customStyle="1" w:styleId="96">
    <w:name w:val="正文(首行缩进)"/>
    <w:basedOn w:val="1"/>
    <w:link w:val="95"/>
    <w:autoRedefine/>
    <w:qFormat/>
    <w:uiPriority w:val="0"/>
    <w:pPr>
      <w:adjustRightInd w:val="0"/>
      <w:snapToGrid w:val="0"/>
      <w:spacing w:line="360" w:lineRule="auto"/>
      <w:ind w:firstLine="200" w:firstLineChars="200"/>
    </w:pPr>
    <w:rPr>
      <w:rFonts w:ascii="Times New Roman"/>
      <w:snapToGrid w:val="0"/>
      <w:szCs w:val="24"/>
      <w:lang w:val="zh-CN"/>
    </w:rPr>
  </w:style>
  <w:style w:type="character" w:customStyle="1" w:styleId="97">
    <w:name w:val="正文文本 Char2"/>
    <w:autoRedefine/>
    <w:qFormat/>
    <w:uiPriority w:val="0"/>
    <w:rPr>
      <w:rFonts w:ascii="Times New Roman" w:hAnsi="Times New Roman"/>
      <w:kern w:val="2"/>
      <w:sz w:val="21"/>
      <w:szCs w:val="24"/>
    </w:rPr>
  </w:style>
  <w:style w:type="character" w:customStyle="1" w:styleId="98">
    <w:name w:val="样式1 Char2"/>
    <w:autoRedefine/>
    <w:qFormat/>
    <w:uiPriority w:val="0"/>
    <w:rPr>
      <w:rFonts w:eastAsia="宋体"/>
      <w:color w:val="000000"/>
      <w:spacing w:val="20"/>
      <w:sz w:val="24"/>
      <w:szCs w:val="24"/>
      <w:lang w:val="en-US" w:eastAsia="zh-CN" w:bidi="ar-SA"/>
    </w:rPr>
  </w:style>
  <w:style w:type="character" w:customStyle="1" w:styleId="99">
    <w:name w:val="zw1"/>
    <w:autoRedefine/>
    <w:qFormat/>
    <w:uiPriority w:val="0"/>
    <w:rPr>
      <w:color w:val="302F37"/>
      <w:sz w:val="21"/>
      <w:szCs w:val="21"/>
    </w:rPr>
  </w:style>
  <w:style w:type="character" w:customStyle="1" w:styleId="100">
    <w:name w:val="Char Char3"/>
    <w:autoRedefine/>
    <w:qFormat/>
    <w:uiPriority w:val="0"/>
    <w:rPr>
      <w:rFonts w:ascii="宋体" w:hAnsi="Courier New" w:eastAsia="宋体" w:cs="Courier New"/>
      <w:kern w:val="2"/>
      <w:sz w:val="21"/>
      <w:szCs w:val="21"/>
      <w:lang w:val="en-US" w:eastAsia="zh-CN" w:bidi="ar-SA"/>
    </w:rPr>
  </w:style>
  <w:style w:type="character" w:customStyle="1" w:styleId="101">
    <w:name w:val="正文首行缩进 Char1"/>
    <w:basedOn w:val="97"/>
    <w:autoRedefine/>
    <w:qFormat/>
    <w:uiPriority w:val="0"/>
    <w:rPr>
      <w:rFonts w:ascii="Times New Roman" w:hAnsi="Times New Roman"/>
      <w:kern w:val="2"/>
      <w:sz w:val="21"/>
      <w:szCs w:val="24"/>
    </w:rPr>
  </w:style>
  <w:style w:type="character" w:customStyle="1" w:styleId="102">
    <w:name w:val="正文首行缩进 2 Char1"/>
    <w:basedOn w:val="103"/>
    <w:autoRedefine/>
    <w:qFormat/>
    <w:uiPriority w:val="0"/>
    <w:rPr>
      <w:rFonts w:ascii="Times New Roman" w:hAnsi="Times New Roman"/>
      <w:kern w:val="2"/>
      <w:sz w:val="21"/>
      <w:szCs w:val="24"/>
    </w:rPr>
  </w:style>
  <w:style w:type="character" w:customStyle="1" w:styleId="103">
    <w:name w:val="正文文本缩进 Char1"/>
    <w:autoRedefine/>
    <w:qFormat/>
    <w:uiPriority w:val="0"/>
    <w:rPr>
      <w:rFonts w:ascii="Times New Roman" w:hAnsi="Times New Roman"/>
      <w:kern w:val="2"/>
      <w:sz w:val="21"/>
      <w:szCs w:val="24"/>
    </w:rPr>
  </w:style>
  <w:style w:type="character" w:customStyle="1" w:styleId="104">
    <w:name w:val="theinfocontent1"/>
    <w:autoRedefine/>
    <w:qFormat/>
    <w:uiPriority w:val="0"/>
    <w:rPr>
      <w:rFonts w:hint="default"/>
      <w:sz w:val="24"/>
      <w:szCs w:val="24"/>
    </w:rPr>
  </w:style>
  <w:style w:type="character" w:customStyle="1" w:styleId="105">
    <w:name w:val="fs"/>
    <w:basedOn w:val="60"/>
    <w:autoRedefine/>
    <w:qFormat/>
    <w:uiPriority w:val="0"/>
  </w:style>
  <w:style w:type="character" w:customStyle="1" w:styleId="106">
    <w:name w:val="f14b1"/>
    <w:autoRedefine/>
    <w:qFormat/>
    <w:uiPriority w:val="0"/>
    <w:rPr>
      <w:b/>
      <w:bCs/>
      <w:sz w:val="21"/>
      <w:szCs w:val="21"/>
    </w:rPr>
  </w:style>
  <w:style w:type="character" w:customStyle="1" w:styleId="107">
    <w:name w:val="正文文本 Char1"/>
    <w:autoRedefine/>
    <w:qFormat/>
    <w:uiPriority w:val="0"/>
    <w:rPr>
      <w:kern w:val="2"/>
      <w:sz w:val="21"/>
      <w:szCs w:val="24"/>
    </w:rPr>
  </w:style>
  <w:style w:type="character" w:customStyle="1" w:styleId="108">
    <w:name w:val="样式1 Char Char"/>
    <w:autoRedefine/>
    <w:qFormat/>
    <w:uiPriority w:val="0"/>
    <w:rPr>
      <w:rFonts w:eastAsia="宋体"/>
      <w:spacing w:val="20"/>
      <w:kern w:val="2"/>
      <w:sz w:val="24"/>
      <w:szCs w:val="24"/>
      <w:lang w:val="en-US" w:eastAsia="zh-CN" w:bidi="ar-SA"/>
    </w:rPr>
  </w:style>
  <w:style w:type="character" w:customStyle="1" w:styleId="109">
    <w:name w:val="key1"/>
    <w:autoRedefine/>
    <w:qFormat/>
    <w:uiPriority w:val="0"/>
    <w:rPr>
      <w:color w:val="CC3300"/>
    </w:rPr>
  </w:style>
  <w:style w:type="character" w:customStyle="1" w:styleId="110">
    <w:name w:val="样式 标题 3  Times New Roman Char Char"/>
    <w:link w:val="111"/>
    <w:autoRedefine/>
    <w:qFormat/>
    <w:uiPriority w:val="0"/>
    <w:rPr>
      <w:rFonts w:eastAsia="黑体" w:cs="宋体"/>
      <w:b/>
      <w:bCs/>
      <w:kern w:val="2"/>
      <w:sz w:val="24"/>
    </w:rPr>
  </w:style>
  <w:style w:type="paragraph" w:customStyle="1" w:styleId="111">
    <w:name w:val="样式 标题 3  Times New Roman"/>
    <w:basedOn w:val="1"/>
    <w:link w:val="110"/>
    <w:autoRedefine/>
    <w:qFormat/>
    <w:uiPriority w:val="0"/>
    <w:pPr>
      <w:keepNext/>
      <w:keepLines/>
      <w:spacing w:before="120" w:after="120" w:line="360" w:lineRule="auto"/>
      <w:outlineLvl w:val="2"/>
    </w:pPr>
    <w:rPr>
      <w:rFonts w:ascii="Times New Roman" w:eastAsia="黑体"/>
      <w:b/>
      <w:bCs/>
      <w:kern w:val="2"/>
      <w:lang w:val="zh-CN"/>
    </w:rPr>
  </w:style>
  <w:style w:type="character" w:customStyle="1" w:styleId="112">
    <w:name w:val="文本正文 Char Char"/>
    <w:link w:val="73"/>
    <w:autoRedefine/>
    <w:qFormat/>
    <w:uiPriority w:val="0"/>
    <w:rPr>
      <w:rFonts w:ascii="宋体" w:eastAsia="宋体"/>
      <w:spacing w:val="4"/>
      <w:kern w:val="24"/>
      <w:sz w:val="24"/>
      <w:szCs w:val="24"/>
      <w:lang w:val="zh-CN"/>
    </w:rPr>
  </w:style>
  <w:style w:type="character" w:customStyle="1" w:styleId="113">
    <w:name w:val="text1"/>
    <w:autoRedefine/>
    <w:qFormat/>
    <w:uiPriority w:val="0"/>
    <w:rPr>
      <w:rFonts w:hint="default"/>
      <w:color w:val="000000"/>
      <w:sz w:val="24"/>
      <w:szCs w:val="24"/>
    </w:rPr>
  </w:style>
  <w:style w:type="character" w:customStyle="1" w:styleId="114">
    <w:name w:val="表中值 Char Char"/>
    <w:link w:val="115"/>
    <w:autoRedefine/>
    <w:qFormat/>
    <w:uiPriority w:val="0"/>
    <w:rPr>
      <w:spacing w:val="4"/>
      <w:kern w:val="2"/>
      <w:sz w:val="21"/>
    </w:rPr>
  </w:style>
  <w:style w:type="paragraph" w:customStyle="1" w:styleId="115">
    <w:name w:val="表中值"/>
    <w:basedOn w:val="1"/>
    <w:link w:val="114"/>
    <w:autoRedefine/>
    <w:qFormat/>
    <w:uiPriority w:val="0"/>
    <w:pPr>
      <w:keepLines/>
      <w:widowControl/>
      <w:spacing w:line="360" w:lineRule="exact"/>
      <w:jc w:val="center"/>
    </w:pPr>
    <w:rPr>
      <w:rFonts w:ascii="Times New Roman"/>
      <w:spacing w:val="4"/>
      <w:kern w:val="2"/>
      <w:sz w:val="21"/>
      <w:lang w:val="zh-CN"/>
    </w:rPr>
  </w:style>
  <w:style w:type="character" w:customStyle="1" w:styleId="116">
    <w:name w:val="style701"/>
    <w:autoRedefine/>
    <w:qFormat/>
    <w:uiPriority w:val="0"/>
    <w:rPr>
      <w:sz w:val="21"/>
      <w:szCs w:val="21"/>
    </w:rPr>
  </w:style>
  <w:style w:type="character" w:customStyle="1" w:styleId="117">
    <w:name w:val="表头1 Char Char"/>
    <w:link w:val="118"/>
    <w:autoRedefine/>
    <w:qFormat/>
    <w:uiPriority w:val="0"/>
    <w:rPr>
      <w:rFonts w:eastAsia="黑体"/>
      <w:kern w:val="2"/>
      <w:sz w:val="21"/>
      <w:szCs w:val="28"/>
      <w:lang w:val="en-US" w:eastAsia="zh-CN"/>
    </w:rPr>
  </w:style>
  <w:style w:type="paragraph" w:customStyle="1" w:styleId="118">
    <w:name w:val="表头1"/>
    <w:basedOn w:val="1"/>
    <w:next w:val="1"/>
    <w:link w:val="117"/>
    <w:autoRedefine/>
    <w:qFormat/>
    <w:uiPriority w:val="0"/>
    <w:pPr>
      <w:tabs>
        <w:tab w:val="left" w:pos="605"/>
      </w:tabs>
      <w:adjustRightInd w:val="0"/>
      <w:snapToGrid w:val="0"/>
      <w:jc w:val="center"/>
    </w:pPr>
    <w:rPr>
      <w:rFonts w:ascii="Times New Roman" w:eastAsia="黑体"/>
      <w:kern w:val="2"/>
      <w:sz w:val="21"/>
      <w:szCs w:val="28"/>
    </w:rPr>
  </w:style>
  <w:style w:type="character" w:customStyle="1" w:styleId="119">
    <w:name w:val="公文正文"/>
    <w:autoRedefine/>
    <w:qFormat/>
    <w:uiPriority w:val="0"/>
    <w:rPr>
      <w:rFonts w:eastAsia="仿宋_GB2312"/>
      <w:sz w:val="32"/>
    </w:rPr>
  </w:style>
  <w:style w:type="character" w:customStyle="1" w:styleId="120">
    <w:name w:val="纯文本 Char"/>
    <w:link w:val="32"/>
    <w:autoRedefine/>
    <w:qFormat/>
    <w:uiPriority w:val="0"/>
    <w:rPr>
      <w:rFonts w:ascii="宋体" w:hAnsi="Courier New" w:eastAsia="宋体"/>
    </w:rPr>
  </w:style>
  <w:style w:type="character" w:customStyle="1" w:styleId="121">
    <w:name w:val="正文文本 Char"/>
    <w:link w:val="24"/>
    <w:autoRedefine/>
    <w:qFormat/>
    <w:uiPriority w:val="0"/>
    <w:rPr>
      <w:kern w:val="2"/>
      <w:sz w:val="21"/>
      <w:szCs w:val="24"/>
    </w:rPr>
  </w:style>
  <w:style w:type="character" w:customStyle="1" w:styleId="122">
    <w:name w:val="orange1"/>
    <w:autoRedefine/>
    <w:qFormat/>
    <w:uiPriority w:val="0"/>
    <w:rPr>
      <w:b/>
      <w:bCs/>
      <w:color w:val="FF3300"/>
      <w:sz w:val="21"/>
      <w:szCs w:val="21"/>
      <w:u w:val="none"/>
    </w:rPr>
  </w:style>
  <w:style w:type="character" w:customStyle="1" w:styleId="123">
    <w:name w:val="Char Char Char Char Char"/>
    <w:autoRedefine/>
    <w:qFormat/>
    <w:uiPriority w:val="0"/>
    <w:rPr>
      <w:rFonts w:ascii="宋体" w:hAnsi="Courier New" w:eastAsia="宋体" w:cs="Courier New"/>
      <w:kern w:val="2"/>
      <w:sz w:val="21"/>
      <w:szCs w:val="21"/>
      <w:lang w:val="en-US" w:eastAsia="zh-CN" w:bidi="ar-SA"/>
    </w:rPr>
  </w:style>
  <w:style w:type="character" w:customStyle="1" w:styleId="124">
    <w:name w:val="引用 Char"/>
    <w:link w:val="125"/>
    <w:autoRedefine/>
    <w:qFormat/>
    <w:uiPriority w:val="0"/>
    <w:rPr>
      <w:rFonts w:ascii="黑体" w:hAnsi="宋体"/>
      <w:kern w:val="2"/>
      <w:sz w:val="21"/>
    </w:rPr>
  </w:style>
  <w:style w:type="paragraph" w:customStyle="1" w:styleId="125">
    <w:name w:val="表文"/>
    <w:basedOn w:val="22"/>
    <w:link w:val="124"/>
    <w:autoRedefine/>
    <w:qFormat/>
    <w:uiPriority w:val="0"/>
    <w:pPr>
      <w:spacing w:beforeLines="20" w:afterLines="20" w:line="280" w:lineRule="exact"/>
      <w:ind w:firstLine="0" w:firstLineChars="0"/>
    </w:pPr>
    <w:rPr>
      <w:rFonts w:ascii="黑体" w:hAnsi="宋体" w:eastAsia="宋体"/>
      <w:sz w:val="21"/>
    </w:rPr>
  </w:style>
  <w:style w:type="character" w:customStyle="1" w:styleId="126">
    <w:name w:val="正文文本 3 Char"/>
    <w:link w:val="22"/>
    <w:autoRedefine/>
    <w:qFormat/>
    <w:uiPriority w:val="0"/>
    <w:rPr>
      <w:rFonts w:eastAsia="黑体"/>
      <w:kern w:val="2"/>
      <w:sz w:val="24"/>
    </w:rPr>
  </w:style>
  <w:style w:type="character" w:customStyle="1" w:styleId="127">
    <w:name w:val="p141"/>
    <w:autoRedefine/>
    <w:qFormat/>
    <w:uiPriority w:val="0"/>
    <w:rPr>
      <w:color w:val="333333"/>
      <w:sz w:val="21"/>
      <w:szCs w:val="21"/>
    </w:rPr>
  </w:style>
  <w:style w:type="character" w:customStyle="1" w:styleId="128">
    <w:name w:val="日期 Char"/>
    <w:link w:val="34"/>
    <w:autoRedefine/>
    <w:qFormat/>
    <w:uiPriority w:val="0"/>
    <w:rPr>
      <w:rFonts w:ascii="Times New Roman" w:hAnsi="Times New Roman" w:eastAsia="宋体" w:cs="Times New Roman"/>
      <w:szCs w:val="24"/>
    </w:rPr>
  </w:style>
  <w:style w:type="character" w:customStyle="1" w:styleId="129">
    <w:name w:val="正文文本 3 Char1"/>
    <w:autoRedefine/>
    <w:qFormat/>
    <w:uiPriority w:val="0"/>
    <w:rPr>
      <w:rFonts w:ascii="Times New Roman" w:hAnsi="Times New Roman"/>
      <w:kern w:val="2"/>
      <w:sz w:val="16"/>
      <w:szCs w:val="16"/>
    </w:rPr>
  </w:style>
  <w:style w:type="character" w:customStyle="1" w:styleId="130">
    <w:name w:val="样式10 Char Char"/>
    <w:autoRedefine/>
    <w:qFormat/>
    <w:uiPriority w:val="0"/>
    <w:rPr>
      <w:rFonts w:eastAsia="宋体"/>
      <w:spacing w:val="20"/>
      <w:kern w:val="2"/>
      <w:sz w:val="24"/>
      <w:szCs w:val="24"/>
      <w:lang w:val="en-US" w:eastAsia="zh-CN"/>
    </w:rPr>
  </w:style>
  <w:style w:type="character" w:customStyle="1" w:styleId="131">
    <w:name w:val="newscontent"/>
    <w:basedOn w:val="60"/>
    <w:autoRedefine/>
    <w:qFormat/>
    <w:uiPriority w:val="0"/>
  </w:style>
  <w:style w:type="character" w:customStyle="1" w:styleId="132">
    <w:name w:val="正文（首行缩进两字） Char"/>
    <w:autoRedefine/>
    <w:qFormat/>
    <w:uiPriority w:val="0"/>
    <w:rPr>
      <w:rFonts w:eastAsia="宋体"/>
      <w:kern w:val="2"/>
      <w:sz w:val="24"/>
      <w:lang w:val="en-US" w:eastAsia="zh-CN"/>
    </w:rPr>
  </w:style>
  <w:style w:type="character" w:customStyle="1" w:styleId="133">
    <w:name w:val="正文文本缩进 2 Char1"/>
    <w:autoRedefine/>
    <w:qFormat/>
    <w:uiPriority w:val="0"/>
    <w:rPr>
      <w:rFonts w:ascii="Times New Roman" w:hAnsi="Times New Roman"/>
      <w:kern w:val="2"/>
      <w:sz w:val="21"/>
      <w:szCs w:val="24"/>
    </w:rPr>
  </w:style>
  <w:style w:type="character" w:customStyle="1" w:styleId="134">
    <w:name w:val="表格表号 Cha"/>
    <w:autoRedefine/>
    <w:qFormat/>
    <w:uiPriority w:val="0"/>
    <w:rPr>
      <w:rFonts w:eastAsia="宋体"/>
      <w:kern w:val="2"/>
      <w:sz w:val="21"/>
      <w:szCs w:val="24"/>
      <w:lang w:val="en-US" w:eastAsia="zh-CN" w:bidi="ar-SA"/>
    </w:rPr>
  </w:style>
  <w:style w:type="character" w:customStyle="1" w:styleId="135">
    <w:name w:val="样式9 Char Char"/>
    <w:link w:val="136"/>
    <w:autoRedefine/>
    <w:qFormat/>
    <w:uiPriority w:val="0"/>
    <w:rPr>
      <w:b/>
      <w:bCs/>
      <w:color w:val="000000"/>
      <w:spacing w:val="20"/>
      <w:kern w:val="2"/>
      <w:sz w:val="21"/>
      <w:szCs w:val="21"/>
    </w:rPr>
  </w:style>
  <w:style w:type="paragraph" w:customStyle="1" w:styleId="136">
    <w:name w:val="样式9"/>
    <w:basedOn w:val="70"/>
    <w:link w:val="135"/>
    <w:autoRedefine/>
    <w:qFormat/>
    <w:uiPriority w:val="0"/>
    <w:pPr>
      <w:keepNext w:val="0"/>
      <w:keepLines w:val="0"/>
      <w:autoSpaceDE/>
      <w:autoSpaceDN/>
      <w:adjustRightInd/>
      <w:spacing w:before="0" w:after="0" w:line="400" w:lineRule="exact"/>
    </w:pPr>
    <w:rPr>
      <w:color w:val="000000"/>
      <w:spacing w:val="20"/>
      <w:kern w:val="2"/>
      <w:sz w:val="21"/>
      <w:szCs w:val="21"/>
    </w:rPr>
  </w:style>
  <w:style w:type="character" w:customStyle="1" w:styleId="137">
    <w:name w:val="样式1 Char1"/>
    <w:link w:val="70"/>
    <w:autoRedefine/>
    <w:qFormat/>
    <w:uiPriority w:val="0"/>
    <w:rPr>
      <w:b/>
      <w:bCs/>
      <w:kern w:val="44"/>
      <w:sz w:val="44"/>
      <w:szCs w:val="44"/>
    </w:rPr>
  </w:style>
  <w:style w:type="character" w:customStyle="1" w:styleId="138">
    <w:name w:val="样式3 Char Char"/>
    <w:link w:val="139"/>
    <w:autoRedefine/>
    <w:qFormat/>
    <w:uiPriority w:val="0"/>
    <w:rPr>
      <w:rFonts w:ascii="宋体" w:hAnsi="宋体"/>
      <w:b/>
      <w:bCs/>
      <w:sz w:val="24"/>
      <w:szCs w:val="24"/>
      <w:lang w:val="zh-CN"/>
    </w:rPr>
  </w:style>
  <w:style w:type="paragraph" w:customStyle="1" w:styleId="139">
    <w:name w:val="样式3"/>
    <w:basedOn w:val="1"/>
    <w:link w:val="138"/>
    <w:autoRedefine/>
    <w:qFormat/>
    <w:uiPriority w:val="0"/>
    <w:pPr>
      <w:spacing w:line="360" w:lineRule="auto"/>
      <w:ind w:left="454"/>
      <w:jc w:val="center"/>
    </w:pPr>
    <w:rPr>
      <w:rFonts w:hAnsi="宋体"/>
      <w:b/>
      <w:bCs/>
      <w:szCs w:val="24"/>
      <w:lang w:val="zh-CN"/>
    </w:rPr>
  </w:style>
  <w:style w:type="character" w:customStyle="1" w:styleId="140">
    <w:name w:val="表格文字 Char"/>
    <w:link w:val="69"/>
    <w:autoRedefine/>
    <w:qFormat/>
    <w:uiPriority w:val="0"/>
    <w:rPr>
      <w:rFonts w:ascii="宋体" w:hAnsi="宋体"/>
      <w:position w:val="-28"/>
      <w:sz w:val="22"/>
      <w:szCs w:val="22"/>
    </w:rPr>
  </w:style>
  <w:style w:type="character" w:customStyle="1" w:styleId="141">
    <w:name w:val="style291"/>
    <w:autoRedefine/>
    <w:qFormat/>
    <w:uiPriority w:val="0"/>
    <w:rPr>
      <w:color w:val="0000CC"/>
      <w:sz w:val="24"/>
      <w:szCs w:val="24"/>
    </w:rPr>
  </w:style>
  <w:style w:type="character" w:customStyle="1" w:styleId="142">
    <w:name w:val="普 Char Char"/>
    <w:autoRedefine/>
    <w:qFormat/>
    <w:uiPriority w:val="0"/>
    <w:rPr>
      <w:rFonts w:ascii="宋体" w:hAnsi="Courier New" w:eastAsia="宋体"/>
      <w:spacing w:val="20"/>
      <w:kern w:val="2"/>
      <w:sz w:val="28"/>
      <w:lang w:val="en-US" w:eastAsia="zh-CN" w:bidi="ar-SA"/>
    </w:rPr>
  </w:style>
  <w:style w:type="character" w:customStyle="1" w:styleId="143">
    <w:name w:val="lh15 c"/>
    <w:basedOn w:val="60"/>
    <w:autoRedefine/>
    <w:qFormat/>
    <w:uiPriority w:val="0"/>
  </w:style>
  <w:style w:type="character" w:customStyle="1" w:styleId="144">
    <w:name w:val="正文文本缩进 Char"/>
    <w:link w:val="25"/>
    <w:autoRedefine/>
    <w:qFormat/>
    <w:uiPriority w:val="0"/>
    <w:rPr>
      <w:rFonts w:ascii="宋体"/>
      <w:color w:val="000000"/>
      <w:kern w:val="2"/>
      <w:sz w:val="24"/>
      <w:szCs w:val="24"/>
      <w:lang w:val="zh-CN"/>
    </w:rPr>
  </w:style>
  <w:style w:type="character" w:customStyle="1" w:styleId="145">
    <w:name w:val="正常段落 Char Char"/>
    <w:basedOn w:val="146"/>
    <w:link w:val="147"/>
    <w:autoRedefine/>
    <w:qFormat/>
    <w:uiPriority w:val="0"/>
    <w:rPr>
      <w:rFonts w:ascii="宋体" w:eastAsia="宋体"/>
      <w:kern w:val="2"/>
      <w:sz w:val="24"/>
      <w:lang w:val="en-US" w:eastAsia="zh-CN" w:bidi="ar-SA"/>
    </w:rPr>
  </w:style>
  <w:style w:type="character" w:customStyle="1" w:styleId="146">
    <w:name w:val="正文缩进 Char1"/>
    <w:autoRedefine/>
    <w:qFormat/>
    <w:uiPriority w:val="0"/>
    <w:rPr>
      <w:rFonts w:ascii="宋体" w:eastAsia="宋体"/>
      <w:kern w:val="2"/>
      <w:sz w:val="24"/>
      <w:lang w:val="en-US" w:eastAsia="zh-CN" w:bidi="ar-SA"/>
    </w:rPr>
  </w:style>
  <w:style w:type="paragraph" w:customStyle="1" w:styleId="147">
    <w:name w:val="正常段落"/>
    <w:basedOn w:val="4"/>
    <w:link w:val="145"/>
    <w:autoRedefine/>
    <w:qFormat/>
    <w:uiPriority w:val="0"/>
    <w:pPr>
      <w:spacing w:line="440" w:lineRule="exact"/>
      <w:ind w:firstLine="0" w:firstLineChars="0"/>
    </w:pPr>
  </w:style>
  <w:style w:type="character" w:customStyle="1" w:styleId="148">
    <w:name w:val="HTML 预设格式 Char1"/>
    <w:autoRedefine/>
    <w:qFormat/>
    <w:uiPriority w:val="0"/>
    <w:rPr>
      <w:rFonts w:ascii="Courier New" w:hAnsi="Courier New" w:cs="Courier New"/>
      <w:kern w:val="2"/>
    </w:rPr>
  </w:style>
  <w:style w:type="character" w:customStyle="1" w:styleId="149">
    <w:name w:val="样式5 Char Char"/>
    <w:autoRedefine/>
    <w:qFormat/>
    <w:uiPriority w:val="0"/>
    <w:rPr>
      <w:rFonts w:eastAsia="宋体"/>
      <w:spacing w:val="20"/>
      <w:kern w:val="2"/>
      <w:sz w:val="24"/>
      <w:szCs w:val="24"/>
      <w:lang w:val="en-US" w:eastAsia="zh-CN" w:bidi="ar-SA"/>
    </w:rPr>
  </w:style>
  <w:style w:type="character" w:customStyle="1" w:styleId="150">
    <w:name w:val="纯文本 Char1"/>
    <w:autoRedefine/>
    <w:qFormat/>
    <w:uiPriority w:val="0"/>
    <w:rPr>
      <w:rFonts w:ascii="宋体" w:hAnsi="Courier New" w:eastAsia="宋体" w:cs="Courier New"/>
      <w:szCs w:val="21"/>
    </w:rPr>
  </w:style>
  <w:style w:type="character" w:customStyle="1" w:styleId="151">
    <w:name w:val="标题1 Char Char"/>
    <w:autoRedefine/>
    <w:qFormat/>
    <w:uiPriority w:val="0"/>
    <w:rPr>
      <w:rFonts w:eastAsia="黑体"/>
      <w:b/>
      <w:bCs/>
      <w:color w:val="FF0000"/>
      <w:kern w:val="44"/>
      <w:sz w:val="32"/>
      <w:szCs w:val="44"/>
      <w:lang w:val="en-US" w:eastAsia="zh-CN" w:bidi="ar-SA"/>
    </w:rPr>
  </w:style>
  <w:style w:type="character" w:customStyle="1" w:styleId="152">
    <w:name w:val="注释标题 Char1"/>
    <w:autoRedefine/>
    <w:qFormat/>
    <w:uiPriority w:val="0"/>
    <w:rPr>
      <w:rFonts w:ascii="Times New Roman" w:hAnsi="Times New Roman"/>
      <w:kern w:val="2"/>
      <w:sz w:val="21"/>
      <w:szCs w:val="24"/>
    </w:rPr>
  </w:style>
  <w:style w:type="character" w:customStyle="1" w:styleId="153">
    <w:name w:val="Char Char18"/>
    <w:autoRedefine/>
    <w:qFormat/>
    <w:uiPriority w:val="0"/>
    <w:rPr>
      <w:rFonts w:ascii="Times New Roman" w:hAnsi="Times New Roman"/>
      <w:b/>
      <w:bCs/>
      <w:kern w:val="44"/>
      <w:sz w:val="44"/>
      <w:szCs w:val="44"/>
    </w:rPr>
  </w:style>
  <w:style w:type="character" w:customStyle="1" w:styleId="154">
    <w:name w:val="样式12 Char Char"/>
    <w:link w:val="155"/>
    <w:autoRedefine/>
    <w:qFormat/>
    <w:uiPriority w:val="0"/>
    <w:rPr>
      <w:spacing w:val="20"/>
      <w:kern w:val="2"/>
      <w:sz w:val="24"/>
      <w:szCs w:val="24"/>
      <w:lang w:val="en-US" w:eastAsia="zh-CN"/>
    </w:rPr>
  </w:style>
  <w:style w:type="paragraph" w:customStyle="1" w:styleId="155">
    <w:name w:val="样式12"/>
    <w:basedOn w:val="156"/>
    <w:link w:val="154"/>
    <w:autoRedefine/>
    <w:qFormat/>
    <w:uiPriority w:val="0"/>
    <w:pPr>
      <w:topLinePunct/>
      <w:spacing w:beforeLines="0" w:afterLines="0" w:line="420" w:lineRule="exact"/>
      <w:ind w:firstLine="200" w:firstLineChars="200"/>
    </w:pPr>
    <w:rPr>
      <w:rFonts w:eastAsia="宋体"/>
      <w:b w:val="0"/>
      <w:spacing w:val="20"/>
      <w:sz w:val="24"/>
      <w:szCs w:val="24"/>
    </w:rPr>
  </w:style>
  <w:style w:type="paragraph" w:customStyle="1" w:styleId="156">
    <w:name w:val="样式6"/>
    <w:basedOn w:val="157"/>
    <w:autoRedefine/>
    <w:qFormat/>
    <w:uiPriority w:val="0"/>
    <w:pPr>
      <w:keepNext w:val="0"/>
      <w:keepLines w:val="0"/>
      <w:autoSpaceDE/>
      <w:autoSpaceDN/>
      <w:adjustRightInd/>
      <w:spacing w:beforeLines="50" w:afterLines="50" w:line="240" w:lineRule="auto"/>
    </w:pPr>
    <w:rPr>
      <w:rFonts w:ascii="Times New Roman" w:eastAsia="黑体" w:cs="Times New Roman"/>
      <w:bCs w:val="0"/>
      <w:kern w:val="2"/>
      <w:sz w:val="28"/>
      <w:szCs w:val="28"/>
      <w:lang w:val="en-US"/>
    </w:rPr>
  </w:style>
  <w:style w:type="paragraph" w:customStyle="1" w:styleId="157">
    <w:name w:val="样式2"/>
    <w:basedOn w:val="1"/>
    <w:next w:val="2"/>
    <w:autoRedefine/>
    <w:qFormat/>
    <w:uiPriority w:val="0"/>
    <w:pPr>
      <w:keepNext/>
      <w:keepLines/>
      <w:autoSpaceDE w:val="0"/>
      <w:autoSpaceDN w:val="0"/>
      <w:adjustRightInd w:val="0"/>
      <w:spacing w:before="62" w:after="62" w:line="360" w:lineRule="auto"/>
    </w:pPr>
    <w:rPr>
      <w:rFonts w:cs="宋体"/>
      <w:b/>
      <w:bCs/>
      <w:kern w:val="44"/>
      <w:sz w:val="44"/>
      <w:szCs w:val="44"/>
      <w:lang w:val="zh-CN"/>
    </w:rPr>
  </w:style>
  <w:style w:type="character" w:customStyle="1" w:styleId="158">
    <w:name w:val="13b1"/>
    <w:autoRedefine/>
    <w:qFormat/>
    <w:uiPriority w:val="0"/>
    <w:rPr>
      <w:color w:val="000000"/>
      <w:sz w:val="20"/>
      <w:szCs w:val="20"/>
    </w:rPr>
  </w:style>
  <w:style w:type="character" w:customStyle="1" w:styleId="159">
    <w:name w:val="表格 Char Char"/>
    <w:autoRedefine/>
    <w:qFormat/>
    <w:uiPriority w:val="0"/>
    <w:rPr>
      <w:rFonts w:eastAsia="宋体"/>
      <w:kern w:val="2"/>
      <w:sz w:val="21"/>
      <w:szCs w:val="21"/>
      <w:lang w:val="en-US" w:eastAsia="zh-CN" w:bidi="ar-SA"/>
    </w:rPr>
  </w:style>
  <w:style w:type="character" w:customStyle="1" w:styleId="160">
    <w:name w:val="批注主题 Char1"/>
    <w:autoRedefine/>
    <w:qFormat/>
    <w:uiPriority w:val="0"/>
    <w:rPr>
      <w:rFonts w:ascii="Times New Roman" w:hAnsi="Times New Roman"/>
      <w:b/>
      <w:bCs/>
      <w:kern w:val="2"/>
      <w:sz w:val="21"/>
      <w:szCs w:val="24"/>
    </w:rPr>
  </w:style>
  <w:style w:type="character" w:customStyle="1" w:styleId="161">
    <w:name w:val="keywordslink1"/>
    <w:autoRedefine/>
    <w:qFormat/>
    <w:uiPriority w:val="0"/>
    <w:rPr>
      <w:color w:val="333333"/>
    </w:rPr>
  </w:style>
  <w:style w:type="character" w:customStyle="1" w:styleId="162">
    <w:name w:val="批注文字 Char"/>
    <w:link w:val="20"/>
    <w:autoRedefine/>
    <w:qFormat/>
    <w:uiPriority w:val="0"/>
    <w:rPr>
      <w:kern w:val="2"/>
      <w:sz w:val="21"/>
      <w:szCs w:val="24"/>
    </w:rPr>
  </w:style>
  <w:style w:type="character" w:customStyle="1" w:styleId="163">
    <w:name w:val="注释标题 Char"/>
    <w:link w:val="15"/>
    <w:autoRedefine/>
    <w:qFormat/>
    <w:uiPriority w:val="0"/>
    <w:rPr>
      <w:kern w:val="2"/>
      <w:sz w:val="21"/>
      <w:szCs w:val="24"/>
    </w:rPr>
  </w:style>
  <w:style w:type="character" w:customStyle="1" w:styleId="164">
    <w:name w:val="标题 Char1"/>
    <w:autoRedefine/>
    <w:qFormat/>
    <w:uiPriority w:val="0"/>
    <w:rPr>
      <w:rFonts w:ascii="Cambria" w:hAnsi="Cambria" w:cs="Times New Roman"/>
      <w:b/>
      <w:bCs/>
      <w:kern w:val="2"/>
      <w:sz w:val="32"/>
      <w:szCs w:val="32"/>
    </w:rPr>
  </w:style>
  <w:style w:type="character" w:customStyle="1" w:styleId="165">
    <w:name w:val="正文（首行缩进两字）m Char Char Char"/>
    <w:autoRedefine/>
    <w:qFormat/>
    <w:uiPriority w:val="0"/>
    <w:rPr>
      <w:rFonts w:ascii="宋体" w:hAnsi="宋体"/>
      <w:kern w:val="2"/>
      <w:sz w:val="24"/>
    </w:rPr>
  </w:style>
  <w:style w:type="character" w:customStyle="1" w:styleId="166">
    <w:name w:val="样式 标题 1 + 四号 自动设置 Char"/>
    <w:autoRedefine/>
    <w:qFormat/>
    <w:uiPriority w:val="0"/>
    <w:rPr>
      <w:rFonts w:eastAsia="宋体"/>
      <w:b/>
      <w:bCs/>
      <w:vanish/>
      <w:color w:val="FFFFFF"/>
      <w:kern w:val="44"/>
      <w:sz w:val="28"/>
      <w:lang w:val="en-US" w:eastAsia="zh-CN" w:bidi="ar-SA"/>
    </w:rPr>
  </w:style>
  <w:style w:type="character" w:customStyle="1" w:styleId="167">
    <w:name w:val="副标题 Char1"/>
    <w:autoRedefine/>
    <w:qFormat/>
    <w:uiPriority w:val="0"/>
    <w:rPr>
      <w:rFonts w:ascii="Cambria" w:hAnsi="Cambria" w:cs="Times New Roman"/>
      <w:b/>
      <w:bCs/>
      <w:kern w:val="28"/>
      <w:sz w:val="32"/>
      <w:szCs w:val="32"/>
    </w:rPr>
  </w:style>
  <w:style w:type="character" w:customStyle="1" w:styleId="168">
    <w:name w:val="正文样式 Char Char"/>
    <w:link w:val="169"/>
    <w:autoRedefine/>
    <w:qFormat/>
    <w:uiPriority w:val="0"/>
    <w:rPr>
      <w:rFonts w:cs="宋体"/>
      <w:kern w:val="2"/>
      <w:sz w:val="28"/>
    </w:rPr>
  </w:style>
  <w:style w:type="paragraph" w:customStyle="1" w:styleId="169">
    <w:name w:val="正文样式"/>
    <w:basedOn w:val="1"/>
    <w:link w:val="168"/>
    <w:autoRedefine/>
    <w:qFormat/>
    <w:uiPriority w:val="0"/>
    <w:pPr>
      <w:spacing w:line="500" w:lineRule="exact"/>
      <w:ind w:firstLine="560" w:firstLineChars="200"/>
    </w:pPr>
    <w:rPr>
      <w:rFonts w:ascii="Times New Roman"/>
      <w:kern w:val="2"/>
      <w:sz w:val="28"/>
      <w:lang w:val="zh-CN"/>
    </w:rPr>
  </w:style>
  <w:style w:type="character" w:customStyle="1" w:styleId="170">
    <w:name w:val="标题2 Char Char"/>
    <w:autoRedefine/>
    <w:qFormat/>
    <w:uiPriority w:val="0"/>
    <w:rPr>
      <w:rFonts w:ascii="Arial" w:hAnsi="Arial" w:eastAsia="黑体"/>
      <w:bCs/>
      <w:color w:val="auto"/>
      <w:kern w:val="2"/>
      <w:sz w:val="30"/>
      <w:szCs w:val="32"/>
      <w:lang w:val="en-US" w:eastAsia="zh-CN" w:bidi="ar-SA"/>
    </w:rPr>
  </w:style>
  <w:style w:type="character" w:customStyle="1" w:styleId="171">
    <w:name w:val="Char Char11"/>
    <w:autoRedefine/>
    <w:qFormat/>
    <w:uiPriority w:val="0"/>
    <w:rPr>
      <w:rFonts w:ascii="Times New Roman" w:hAnsi="Times New Roman"/>
      <w:kern w:val="2"/>
      <w:sz w:val="21"/>
      <w:szCs w:val="24"/>
    </w:rPr>
  </w:style>
  <w:style w:type="character" w:customStyle="1" w:styleId="172">
    <w:name w:val="无悬挂正文5号 Char Char"/>
    <w:autoRedefine/>
    <w:qFormat/>
    <w:uiPriority w:val="0"/>
    <w:rPr>
      <w:rFonts w:eastAsia="宋体"/>
      <w:kern w:val="2"/>
      <w:sz w:val="21"/>
      <w:szCs w:val="24"/>
      <w:lang w:val="en-US" w:eastAsia="zh-CN" w:bidi="ar-SA"/>
    </w:rPr>
  </w:style>
  <w:style w:type="character" w:customStyle="1" w:styleId="173">
    <w:name w:val="z1"/>
    <w:autoRedefine/>
    <w:qFormat/>
    <w:uiPriority w:val="0"/>
    <w:rPr>
      <w:b/>
      <w:bCs/>
      <w:color w:val="003300"/>
      <w:sz w:val="28"/>
      <w:szCs w:val="28"/>
    </w:rPr>
  </w:style>
  <w:style w:type="character" w:customStyle="1" w:styleId="174">
    <w:name w:val="标题 1 Char Char Char Char Char Char"/>
    <w:autoRedefine/>
    <w:qFormat/>
    <w:uiPriority w:val="0"/>
    <w:rPr>
      <w:rFonts w:eastAsia="宋体"/>
      <w:b/>
      <w:kern w:val="44"/>
      <w:sz w:val="44"/>
      <w:lang w:val="en-US" w:eastAsia="zh-CN" w:bidi="ar-SA"/>
    </w:rPr>
  </w:style>
  <w:style w:type="character" w:customStyle="1" w:styleId="175">
    <w:name w:val="赵 Char Char"/>
    <w:link w:val="176"/>
    <w:autoRedefine/>
    <w:qFormat/>
    <w:uiPriority w:val="0"/>
    <w:rPr>
      <w:color w:val="000000"/>
      <w:sz w:val="24"/>
      <w:szCs w:val="24"/>
    </w:rPr>
  </w:style>
  <w:style w:type="paragraph" w:customStyle="1" w:styleId="176">
    <w:name w:val="赵"/>
    <w:basedOn w:val="1"/>
    <w:link w:val="175"/>
    <w:autoRedefine/>
    <w:qFormat/>
    <w:uiPriority w:val="0"/>
    <w:pPr>
      <w:spacing w:line="360" w:lineRule="auto"/>
      <w:ind w:firstLine="200" w:firstLineChars="200"/>
    </w:pPr>
    <w:rPr>
      <w:rFonts w:ascii="Times New Roman"/>
      <w:color w:val="000000"/>
      <w:szCs w:val="24"/>
      <w:lang w:val="zh-CN"/>
    </w:rPr>
  </w:style>
  <w:style w:type="character" w:customStyle="1" w:styleId="177">
    <w:name w:val="缩进正文 Char Char"/>
    <w:link w:val="178"/>
    <w:autoRedefine/>
    <w:qFormat/>
    <w:uiPriority w:val="0"/>
    <w:rPr>
      <w:kern w:val="2"/>
      <w:sz w:val="28"/>
    </w:rPr>
  </w:style>
  <w:style w:type="paragraph" w:customStyle="1" w:styleId="178">
    <w:name w:val="缩进正文"/>
    <w:basedOn w:val="1"/>
    <w:link w:val="177"/>
    <w:autoRedefine/>
    <w:qFormat/>
    <w:uiPriority w:val="0"/>
    <w:pPr>
      <w:snapToGrid w:val="0"/>
      <w:spacing w:line="480" w:lineRule="atLeast"/>
      <w:ind w:firstLine="567"/>
    </w:pPr>
    <w:rPr>
      <w:rFonts w:ascii="Times New Roman"/>
      <w:kern w:val="2"/>
      <w:sz w:val="28"/>
      <w:lang w:val="zh-CN"/>
    </w:rPr>
  </w:style>
  <w:style w:type="character" w:customStyle="1" w:styleId="179">
    <w:name w:val="明显强调1"/>
    <w:autoRedefine/>
    <w:qFormat/>
    <w:uiPriority w:val="0"/>
    <w:rPr>
      <w:b/>
      <w:bCs/>
      <w:i/>
      <w:iCs/>
      <w:color w:val="4F81BD"/>
    </w:rPr>
  </w:style>
  <w:style w:type="character" w:customStyle="1" w:styleId="180">
    <w:name w:val="批注文字 Char1"/>
    <w:autoRedefine/>
    <w:qFormat/>
    <w:uiPriority w:val="0"/>
    <w:rPr>
      <w:rFonts w:ascii="Times New Roman" w:hAnsi="Times New Roman"/>
      <w:kern w:val="2"/>
      <w:sz w:val="21"/>
      <w:szCs w:val="24"/>
    </w:rPr>
  </w:style>
  <w:style w:type="character" w:customStyle="1" w:styleId="181">
    <w:name w:val="普通文字 Char Char"/>
    <w:autoRedefine/>
    <w:qFormat/>
    <w:uiPriority w:val="0"/>
    <w:rPr>
      <w:rFonts w:ascii="Courier New" w:hAnsi="Courier New"/>
      <w:kern w:val="2"/>
      <w:sz w:val="28"/>
    </w:rPr>
  </w:style>
  <w:style w:type="character" w:customStyle="1" w:styleId="182">
    <w:name w:val="dz1"/>
    <w:autoRedefine/>
    <w:qFormat/>
    <w:uiPriority w:val="0"/>
    <w:rPr>
      <w:rFonts w:hint="default" w:ascii="Geneva" w:hAnsi="Geneva"/>
      <w:sz w:val="20"/>
      <w:szCs w:val="20"/>
    </w:rPr>
  </w:style>
  <w:style w:type="character" w:customStyle="1" w:styleId="183">
    <w:name w:val="页眉 Char"/>
    <w:link w:val="38"/>
    <w:autoRedefine/>
    <w:qFormat/>
    <w:uiPriority w:val="99"/>
    <w:rPr>
      <w:sz w:val="18"/>
      <w:szCs w:val="18"/>
    </w:rPr>
  </w:style>
  <w:style w:type="character" w:customStyle="1" w:styleId="184">
    <w:name w:val="Char Char41"/>
    <w:autoRedefine/>
    <w:qFormat/>
    <w:uiPriority w:val="0"/>
    <w:rPr>
      <w:rFonts w:hint="eastAsia" w:ascii="宋体" w:hAnsi="Courier New" w:eastAsia="宋体" w:cs="Courier New"/>
      <w:kern w:val="2"/>
      <w:sz w:val="21"/>
      <w:szCs w:val="21"/>
      <w:lang w:val="en-US" w:eastAsia="zh-CN" w:bidi="ar-SA"/>
    </w:rPr>
  </w:style>
  <w:style w:type="character" w:customStyle="1" w:styleId="185">
    <w:name w:val="1正文段落 Char Char"/>
    <w:link w:val="186"/>
    <w:autoRedefine/>
    <w:qFormat/>
    <w:uiPriority w:val="0"/>
    <w:rPr>
      <w:snapToGrid w:val="0"/>
      <w:sz w:val="24"/>
      <w:szCs w:val="24"/>
    </w:rPr>
  </w:style>
  <w:style w:type="paragraph" w:customStyle="1" w:styleId="186">
    <w:name w:val="1正文段落"/>
    <w:basedOn w:val="1"/>
    <w:link w:val="185"/>
    <w:autoRedefine/>
    <w:qFormat/>
    <w:uiPriority w:val="0"/>
    <w:pPr>
      <w:spacing w:line="360" w:lineRule="auto"/>
      <w:ind w:firstLine="480" w:firstLineChars="200"/>
    </w:pPr>
    <w:rPr>
      <w:rFonts w:ascii="Times New Roman"/>
      <w:snapToGrid w:val="0"/>
      <w:szCs w:val="24"/>
      <w:lang w:val="zh-CN"/>
    </w:rPr>
  </w:style>
  <w:style w:type="character" w:customStyle="1" w:styleId="187">
    <w:name w:val="content1"/>
    <w:autoRedefine/>
    <w:qFormat/>
    <w:uiPriority w:val="0"/>
    <w:rPr>
      <w:sz w:val="21"/>
      <w:szCs w:val="21"/>
    </w:rPr>
  </w:style>
  <w:style w:type="character" w:customStyle="1" w:styleId="188">
    <w:name w:val="页脚 Char"/>
    <w:link w:val="37"/>
    <w:autoRedefine/>
    <w:qFormat/>
    <w:uiPriority w:val="99"/>
    <w:rPr>
      <w:sz w:val="18"/>
      <w:szCs w:val="18"/>
    </w:rPr>
  </w:style>
  <w:style w:type="character" w:customStyle="1" w:styleId="189">
    <w:name w:val="标题 Char"/>
    <w:link w:val="54"/>
    <w:autoRedefine/>
    <w:qFormat/>
    <w:uiPriority w:val="0"/>
    <w:rPr>
      <w:rFonts w:ascii="Arial" w:hAnsi="Arial"/>
      <w:b/>
      <w:sz w:val="32"/>
    </w:rPr>
  </w:style>
  <w:style w:type="character" w:customStyle="1" w:styleId="190">
    <w:name w:val="表内容 Char Char"/>
    <w:link w:val="191"/>
    <w:autoRedefine/>
    <w:qFormat/>
    <w:uiPriority w:val="0"/>
    <w:rPr>
      <w:kern w:val="2"/>
      <w:sz w:val="24"/>
    </w:rPr>
  </w:style>
  <w:style w:type="paragraph" w:customStyle="1" w:styleId="191">
    <w:name w:val="表内容"/>
    <w:basedOn w:val="1"/>
    <w:link w:val="190"/>
    <w:autoRedefine/>
    <w:qFormat/>
    <w:uiPriority w:val="0"/>
    <w:pPr>
      <w:adjustRightInd w:val="0"/>
      <w:snapToGrid w:val="0"/>
      <w:spacing w:line="300" w:lineRule="auto"/>
      <w:jc w:val="center"/>
      <w:textAlignment w:val="center"/>
    </w:pPr>
    <w:rPr>
      <w:rFonts w:ascii="Times New Roman"/>
      <w:kern w:val="2"/>
      <w:lang w:val="zh-CN"/>
    </w:rPr>
  </w:style>
  <w:style w:type="character" w:customStyle="1" w:styleId="192">
    <w:name w:val="font-l20px1"/>
    <w:autoRedefine/>
    <w:qFormat/>
    <w:uiPriority w:val="0"/>
    <w:rPr>
      <w:sz w:val="18"/>
      <w:szCs w:val="18"/>
    </w:rPr>
  </w:style>
  <w:style w:type="character" w:customStyle="1" w:styleId="193">
    <w:name w:val="正文文本 2 Char"/>
    <w:link w:val="50"/>
    <w:autoRedefine/>
    <w:qFormat/>
    <w:uiPriority w:val="0"/>
    <w:rPr>
      <w:kern w:val="2"/>
      <w:sz w:val="21"/>
      <w:szCs w:val="24"/>
    </w:rPr>
  </w:style>
  <w:style w:type="character" w:customStyle="1" w:styleId="194">
    <w:name w:val="标题 31 Char"/>
    <w:autoRedefine/>
    <w:qFormat/>
    <w:uiPriority w:val="0"/>
    <w:rPr>
      <w:rFonts w:eastAsia="宋体"/>
      <w:b/>
      <w:bCs/>
      <w:kern w:val="2"/>
      <w:sz w:val="32"/>
      <w:szCs w:val="32"/>
      <w:lang w:val="en-US" w:eastAsia="zh-CN" w:bidi="ar-SA"/>
    </w:rPr>
  </w:style>
  <w:style w:type="character" w:customStyle="1" w:styleId="195">
    <w:name w:val="Char Char1"/>
    <w:autoRedefine/>
    <w:qFormat/>
    <w:uiPriority w:val="0"/>
    <w:rPr>
      <w:rFonts w:eastAsia="宋体"/>
      <w:b/>
      <w:bCs/>
      <w:kern w:val="2"/>
      <w:sz w:val="32"/>
      <w:szCs w:val="32"/>
      <w:lang w:val="en-US" w:eastAsia="zh-CN" w:bidi="ar-SA"/>
    </w:rPr>
  </w:style>
  <w:style w:type="character" w:customStyle="1" w:styleId="196">
    <w:name w:val="普通文字 Char Char Char Char Char Char Char Char Char Char Char Char"/>
    <w:autoRedefine/>
    <w:qFormat/>
    <w:uiPriority w:val="0"/>
    <w:rPr>
      <w:rFonts w:ascii="宋体" w:hAnsi="Courier New" w:eastAsia="宋体"/>
      <w:kern w:val="2"/>
      <w:sz w:val="28"/>
      <w:szCs w:val="21"/>
      <w:lang w:val="en-US" w:eastAsia="zh-CN" w:bidi="ar-SA"/>
    </w:rPr>
  </w:style>
  <w:style w:type="character" w:customStyle="1" w:styleId="197">
    <w:name w:val="正文（首行缩进两字）m Char Char"/>
    <w:link w:val="198"/>
    <w:autoRedefine/>
    <w:qFormat/>
    <w:uiPriority w:val="0"/>
    <w:rPr>
      <w:rFonts w:ascii="Calibri" w:hAnsi="Calibri"/>
      <w:color w:val="339966"/>
      <w:sz w:val="24"/>
    </w:rPr>
  </w:style>
  <w:style w:type="paragraph" w:customStyle="1" w:styleId="198">
    <w:name w:val="正文（首行缩进两字）m"/>
    <w:basedOn w:val="4"/>
    <w:link w:val="197"/>
    <w:autoRedefine/>
    <w:qFormat/>
    <w:uiPriority w:val="0"/>
    <w:pPr>
      <w:tabs>
        <w:tab w:val="left" w:pos="1848"/>
        <w:tab w:val="left" w:pos="6061"/>
        <w:tab w:val="left" w:pos="8665"/>
      </w:tabs>
      <w:adjustRightInd w:val="0"/>
      <w:snapToGrid w:val="0"/>
      <w:spacing w:beforeLines="50" w:line="460" w:lineRule="exact"/>
      <w:ind w:firstLine="480" w:firstLineChars="0"/>
    </w:pPr>
    <w:rPr>
      <w:rFonts w:ascii="Calibri" w:hAnsi="Calibri"/>
      <w:color w:val="339966"/>
      <w:kern w:val="0"/>
      <w:sz w:val="24"/>
    </w:rPr>
  </w:style>
  <w:style w:type="character" w:customStyle="1" w:styleId="199">
    <w:name w:val="wj样式 Char Char"/>
    <w:link w:val="200"/>
    <w:autoRedefine/>
    <w:qFormat/>
    <w:uiPriority w:val="0"/>
    <w:rPr>
      <w:spacing w:val="14"/>
      <w:kern w:val="2"/>
      <w:sz w:val="24"/>
      <w:szCs w:val="24"/>
    </w:rPr>
  </w:style>
  <w:style w:type="paragraph" w:customStyle="1" w:styleId="200">
    <w:name w:val="wj样式"/>
    <w:basedOn w:val="1"/>
    <w:next w:val="1"/>
    <w:link w:val="199"/>
    <w:autoRedefine/>
    <w:qFormat/>
    <w:uiPriority w:val="0"/>
    <w:pPr>
      <w:spacing w:line="360" w:lineRule="auto"/>
      <w:ind w:firstLine="200" w:firstLineChars="200"/>
    </w:pPr>
    <w:rPr>
      <w:rFonts w:ascii="Times New Roman"/>
      <w:spacing w:val="14"/>
      <w:kern w:val="2"/>
      <w:szCs w:val="24"/>
      <w:lang w:val="zh-CN"/>
    </w:rPr>
  </w:style>
  <w:style w:type="character" w:customStyle="1" w:styleId="201">
    <w:name w:val="样式4 Char Char"/>
    <w:link w:val="202"/>
    <w:autoRedefine/>
    <w:qFormat/>
    <w:uiPriority w:val="0"/>
    <w:rPr>
      <w:rFonts w:ascii="宋体" w:hAnsi="宋体"/>
      <w:snapToGrid w:val="0"/>
      <w:color w:val="000000"/>
      <w:kern w:val="2"/>
      <w:sz w:val="28"/>
      <w:szCs w:val="24"/>
    </w:rPr>
  </w:style>
  <w:style w:type="paragraph" w:customStyle="1" w:styleId="202">
    <w:name w:val="样式4"/>
    <w:basedOn w:val="24"/>
    <w:link w:val="201"/>
    <w:autoRedefine/>
    <w:qFormat/>
    <w:uiPriority w:val="0"/>
    <w:pPr>
      <w:spacing w:after="0"/>
      <w:ind w:right="-105" w:rightChars="-50" w:firstLine="608" w:firstLineChars="217"/>
    </w:pPr>
    <w:rPr>
      <w:rFonts w:ascii="宋体" w:hAnsi="宋体"/>
      <w:snapToGrid w:val="0"/>
      <w:color w:val="000000"/>
      <w:sz w:val="28"/>
    </w:rPr>
  </w:style>
  <w:style w:type="character" w:customStyle="1" w:styleId="203">
    <w:name w:val="批注框文本 Char"/>
    <w:link w:val="36"/>
    <w:autoRedefine/>
    <w:qFormat/>
    <w:uiPriority w:val="99"/>
    <w:rPr>
      <w:rFonts w:ascii="Times New Roman" w:hAnsi="Times New Roman" w:eastAsia="宋体" w:cs="Times New Roman"/>
      <w:sz w:val="18"/>
      <w:szCs w:val="18"/>
    </w:rPr>
  </w:style>
  <w:style w:type="character" w:customStyle="1" w:styleId="204">
    <w:name w:val="样式7 Char Char"/>
    <w:link w:val="205"/>
    <w:autoRedefine/>
    <w:qFormat/>
    <w:uiPriority w:val="0"/>
    <w:rPr>
      <w:kern w:val="2"/>
      <w:sz w:val="24"/>
      <w:szCs w:val="24"/>
    </w:rPr>
  </w:style>
  <w:style w:type="paragraph" w:customStyle="1" w:styleId="205">
    <w:name w:val="样式7"/>
    <w:basedOn w:val="156"/>
    <w:link w:val="204"/>
    <w:autoRedefine/>
    <w:qFormat/>
    <w:uiPriority w:val="0"/>
    <w:rPr>
      <w:rFonts w:eastAsia="宋体"/>
      <w:b w:val="0"/>
      <w:sz w:val="24"/>
      <w:szCs w:val="24"/>
      <w:lang w:val="zh-CN"/>
    </w:rPr>
  </w:style>
  <w:style w:type="character" w:customStyle="1" w:styleId="206">
    <w:name w:val="文档结构图 Char"/>
    <w:link w:val="18"/>
    <w:autoRedefine/>
    <w:qFormat/>
    <w:uiPriority w:val="0"/>
    <w:rPr>
      <w:rFonts w:ascii="宋体" w:hAnsi="Times New Roman" w:eastAsia="宋体" w:cs="Times New Roman"/>
      <w:sz w:val="18"/>
      <w:szCs w:val="18"/>
    </w:rPr>
  </w:style>
  <w:style w:type="character" w:customStyle="1" w:styleId="207">
    <w:name w:val="t_tag"/>
    <w:basedOn w:val="60"/>
    <w:autoRedefine/>
    <w:qFormat/>
    <w:uiPriority w:val="0"/>
  </w:style>
  <w:style w:type="character" w:customStyle="1" w:styleId="208">
    <w:name w:val="标题1"/>
    <w:basedOn w:val="60"/>
    <w:autoRedefine/>
    <w:qFormat/>
    <w:uiPriority w:val="0"/>
  </w:style>
  <w:style w:type="character" w:customStyle="1" w:styleId="209">
    <w:name w:val="网格型11 Char Char"/>
    <w:autoRedefine/>
    <w:qFormat/>
    <w:uiPriority w:val="0"/>
    <w:rPr>
      <w:rFonts w:eastAsia="宋体"/>
      <w:kern w:val="2"/>
      <w:sz w:val="21"/>
      <w:szCs w:val="21"/>
      <w:lang w:val="en-US" w:eastAsia="zh-CN" w:bidi="ar-SA"/>
    </w:rPr>
  </w:style>
  <w:style w:type="character" w:customStyle="1" w:styleId="210">
    <w:name w:val="正文文本缩进 3 Char"/>
    <w:link w:val="46"/>
    <w:autoRedefine/>
    <w:qFormat/>
    <w:uiPriority w:val="0"/>
    <w:rPr>
      <w:rFonts w:ascii="Times New Roman" w:hAnsi="Times New Roman" w:eastAsia="宋体" w:cs="Times New Roman"/>
      <w:sz w:val="16"/>
      <w:szCs w:val="20"/>
    </w:rPr>
  </w:style>
  <w:style w:type="character" w:customStyle="1" w:styleId="211">
    <w:name w:val="Char Char2"/>
    <w:autoRedefine/>
    <w:qFormat/>
    <w:uiPriority w:val="0"/>
    <w:rPr>
      <w:rFonts w:ascii="宋体" w:hAnsi="Courier New" w:eastAsia="宋体" w:cs="Courier New"/>
      <w:kern w:val="2"/>
      <w:sz w:val="21"/>
      <w:szCs w:val="21"/>
      <w:lang w:val="en-US" w:eastAsia="zh-CN" w:bidi="ar-SA"/>
    </w:rPr>
  </w:style>
  <w:style w:type="character" w:customStyle="1" w:styleId="212">
    <w:name w:val="正文文本缩进 2 Char"/>
    <w:link w:val="35"/>
    <w:autoRedefine/>
    <w:qFormat/>
    <w:uiPriority w:val="0"/>
    <w:rPr>
      <w:rFonts w:ascii="宋体"/>
      <w:color w:val="000000"/>
      <w:kern w:val="2"/>
      <w:sz w:val="24"/>
      <w:szCs w:val="24"/>
      <w:lang w:val="zh-CN"/>
    </w:rPr>
  </w:style>
  <w:style w:type="character" w:customStyle="1" w:styleId="213">
    <w:name w:val="正文（首行缩进两字）1 Char"/>
    <w:autoRedefine/>
    <w:qFormat/>
    <w:uiPriority w:val="0"/>
    <w:rPr>
      <w:rFonts w:eastAsia="宋体"/>
      <w:kern w:val="2"/>
      <w:sz w:val="24"/>
      <w:lang w:val="en-US" w:eastAsia="zh-CN" w:bidi="ar-SA"/>
    </w:rPr>
  </w:style>
  <w:style w:type="character" w:customStyle="1" w:styleId="214">
    <w:name w:val="表格标题 Char"/>
    <w:link w:val="215"/>
    <w:autoRedefine/>
    <w:qFormat/>
    <w:uiPriority w:val="0"/>
    <w:rPr>
      <w:b/>
      <w:kern w:val="2"/>
      <w:sz w:val="21"/>
      <w:szCs w:val="21"/>
    </w:rPr>
  </w:style>
  <w:style w:type="paragraph" w:customStyle="1" w:styleId="215">
    <w:name w:val="表格标题"/>
    <w:basedOn w:val="1"/>
    <w:next w:val="1"/>
    <w:link w:val="214"/>
    <w:autoRedefine/>
    <w:qFormat/>
    <w:uiPriority w:val="0"/>
    <w:pPr>
      <w:adjustRightInd w:val="0"/>
      <w:snapToGrid w:val="0"/>
      <w:ind w:firstLine="360"/>
      <w:jc w:val="center"/>
    </w:pPr>
    <w:rPr>
      <w:rFonts w:ascii="Times New Roman"/>
      <w:b/>
      <w:kern w:val="2"/>
      <w:sz w:val="21"/>
      <w:szCs w:val="21"/>
      <w:lang w:val="zh-CN"/>
    </w:rPr>
  </w:style>
  <w:style w:type="character" w:customStyle="1" w:styleId="216">
    <w:name w:val="Char Char4"/>
    <w:autoRedefine/>
    <w:qFormat/>
    <w:uiPriority w:val="0"/>
    <w:rPr>
      <w:rFonts w:hint="eastAsia" w:ascii="宋体" w:hAnsi="Courier New" w:eastAsia="宋体" w:cs="Courier New"/>
      <w:kern w:val="2"/>
      <w:sz w:val="21"/>
      <w:szCs w:val="21"/>
      <w:lang w:val="en-US" w:eastAsia="zh-CN" w:bidi="ar-SA"/>
    </w:rPr>
  </w:style>
  <w:style w:type="character" w:customStyle="1" w:styleId="217">
    <w:name w:val="Heading 2 Hidden Char1"/>
    <w:autoRedefine/>
    <w:qFormat/>
    <w:uiPriority w:val="0"/>
    <w:rPr>
      <w:rFonts w:ascii="宋体" w:hAnsi="宋体" w:eastAsia="黑体"/>
      <w:b/>
      <w:bCs/>
      <w:kern w:val="2"/>
      <w:sz w:val="28"/>
      <w:szCs w:val="32"/>
      <w:lang w:val="en-US" w:eastAsia="zh-CN" w:bidi="ar-SA"/>
    </w:rPr>
  </w:style>
  <w:style w:type="character" w:customStyle="1" w:styleId="218">
    <w:name w:val="标题 2 Char1"/>
    <w:autoRedefine/>
    <w:qFormat/>
    <w:uiPriority w:val="0"/>
    <w:rPr>
      <w:rFonts w:ascii="Arial" w:hAnsi="Arial" w:eastAsia="黑体"/>
      <w:b/>
      <w:bCs/>
      <w:kern w:val="2"/>
      <w:sz w:val="32"/>
      <w:szCs w:val="32"/>
    </w:rPr>
  </w:style>
  <w:style w:type="character" w:customStyle="1" w:styleId="219">
    <w:name w:val="Char Char42"/>
    <w:autoRedefine/>
    <w:qFormat/>
    <w:uiPriority w:val="0"/>
    <w:rPr>
      <w:rFonts w:ascii="宋体" w:hAnsi="Courier New" w:eastAsia="宋体" w:cs="Courier New"/>
      <w:kern w:val="2"/>
      <w:sz w:val="21"/>
      <w:szCs w:val="21"/>
      <w:lang w:val="en-US" w:eastAsia="zh-CN" w:bidi="ar-SA"/>
    </w:rPr>
  </w:style>
  <w:style w:type="character" w:customStyle="1" w:styleId="220">
    <w:name w:val="标题 3 Char2"/>
    <w:autoRedefine/>
    <w:qFormat/>
    <w:uiPriority w:val="0"/>
    <w:rPr>
      <w:b/>
      <w:bCs/>
      <w:kern w:val="2"/>
      <w:sz w:val="32"/>
      <w:szCs w:val="32"/>
    </w:rPr>
  </w:style>
  <w:style w:type="character" w:customStyle="1" w:styleId="221">
    <w:name w:val="manage_name"/>
    <w:basedOn w:val="60"/>
    <w:autoRedefine/>
    <w:qFormat/>
    <w:uiPriority w:val="0"/>
  </w:style>
  <w:style w:type="character" w:customStyle="1" w:styleId="222">
    <w:name w:val="Char Char181"/>
    <w:autoRedefine/>
    <w:qFormat/>
    <w:uiPriority w:val="0"/>
    <w:rPr>
      <w:rFonts w:ascii="Times New Roman" w:hAnsi="Times New Roman"/>
      <w:b/>
      <w:bCs/>
      <w:kern w:val="44"/>
      <w:sz w:val="44"/>
      <w:szCs w:val="44"/>
    </w:rPr>
  </w:style>
  <w:style w:type="character" w:customStyle="1" w:styleId="223">
    <w:name w:val="3zw1"/>
    <w:autoRedefine/>
    <w:qFormat/>
    <w:uiPriority w:val="0"/>
    <w:rPr>
      <w:color w:val="000000"/>
      <w:sz w:val="21"/>
      <w:szCs w:val="21"/>
    </w:rPr>
  </w:style>
  <w:style w:type="character" w:customStyle="1" w:styleId="224">
    <w:name w:val="Char Char111"/>
    <w:autoRedefine/>
    <w:qFormat/>
    <w:uiPriority w:val="0"/>
    <w:rPr>
      <w:rFonts w:ascii="Times New Roman" w:hAnsi="Times New Roman"/>
      <w:kern w:val="2"/>
      <w:sz w:val="21"/>
      <w:szCs w:val="24"/>
    </w:rPr>
  </w:style>
  <w:style w:type="character" w:customStyle="1" w:styleId="225">
    <w:name w:val="样式1 Char Char Char Char Char Char"/>
    <w:link w:val="226"/>
    <w:autoRedefine/>
    <w:qFormat/>
    <w:uiPriority w:val="0"/>
    <w:rPr>
      <w:rFonts w:ascii="宋体" w:hAnsi="宋体"/>
      <w:color w:val="000000"/>
      <w:kern w:val="44"/>
      <w:sz w:val="24"/>
      <w:szCs w:val="24"/>
    </w:rPr>
  </w:style>
  <w:style w:type="paragraph" w:customStyle="1" w:styleId="226">
    <w:name w:val="样式1 Char Char Char Char"/>
    <w:basedOn w:val="1"/>
    <w:link w:val="225"/>
    <w:autoRedefine/>
    <w:qFormat/>
    <w:uiPriority w:val="0"/>
    <w:pPr>
      <w:spacing w:before="50" w:after="50" w:line="360" w:lineRule="auto"/>
      <w:ind w:firstLine="548" w:firstLineChars="200"/>
    </w:pPr>
    <w:rPr>
      <w:rFonts w:hAnsi="宋体"/>
      <w:color w:val="000000"/>
      <w:kern w:val="44"/>
      <w:szCs w:val="24"/>
      <w:lang w:val="zh-CN"/>
    </w:rPr>
  </w:style>
  <w:style w:type="character" w:customStyle="1" w:styleId="227">
    <w:name w:val="样式 样式 标题 1 + 段前: 1 行 段后: 1 行 + 段前: 0.5 行 段后: 0.5 行 Char Char"/>
    <w:link w:val="228"/>
    <w:autoRedefine/>
    <w:qFormat/>
    <w:uiPriority w:val="0"/>
    <w:rPr>
      <w:rFonts w:ascii="宋体"/>
      <w:b/>
      <w:bCs/>
      <w:kern w:val="44"/>
      <w:sz w:val="36"/>
      <w:szCs w:val="36"/>
    </w:rPr>
  </w:style>
  <w:style w:type="paragraph" w:customStyle="1" w:styleId="228">
    <w:name w:val="样式 样式 标题 1 + 段前: 1 行 段后: 1 行 + 段前: 0.5 行 段后: 0.5 行"/>
    <w:basedOn w:val="1"/>
    <w:link w:val="227"/>
    <w:autoRedefine/>
    <w:qFormat/>
    <w:uiPriority w:val="0"/>
    <w:pPr>
      <w:keepNext/>
      <w:keepLines/>
      <w:spacing w:beforeLines="50" w:afterLines="50" w:line="360" w:lineRule="auto"/>
      <w:jc w:val="center"/>
      <w:outlineLvl w:val="0"/>
    </w:pPr>
    <w:rPr>
      <w:b/>
      <w:bCs/>
      <w:kern w:val="44"/>
      <w:sz w:val="36"/>
      <w:szCs w:val="36"/>
      <w:lang w:val="zh-CN"/>
    </w:rPr>
  </w:style>
  <w:style w:type="character" w:customStyle="1" w:styleId="229">
    <w:name w:val="dh1 Char Char"/>
    <w:link w:val="230"/>
    <w:autoRedefine/>
    <w:qFormat/>
    <w:uiPriority w:val="0"/>
    <w:rPr>
      <w:rFonts w:ascii="黑体" w:eastAsia="黑体"/>
      <w:b/>
      <w:kern w:val="44"/>
      <w:sz w:val="32"/>
    </w:rPr>
  </w:style>
  <w:style w:type="paragraph" w:customStyle="1" w:styleId="230">
    <w:name w:val="dh1"/>
    <w:basedOn w:val="2"/>
    <w:link w:val="229"/>
    <w:autoRedefine/>
    <w:qFormat/>
    <w:uiPriority w:val="0"/>
    <w:pPr>
      <w:keepNext w:val="0"/>
      <w:keepLines w:val="0"/>
      <w:spacing w:after="120" w:line="360" w:lineRule="auto"/>
      <w:jc w:val="left"/>
    </w:pPr>
    <w:rPr>
      <w:sz w:val="32"/>
    </w:rPr>
  </w:style>
  <w:style w:type="character" w:customStyle="1" w:styleId="231">
    <w:name w:val="正文首行缩进 Char"/>
    <w:basedOn w:val="121"/>
    <w:link w:val="56"/>
    <w:autoRedefine/>
    <w:qFormat/>
    <w:uiPriority w:val="0"/>
    <w:rPr>
      <w:kern w:val="2"/>
      <w:sz w:val="21"/>
      <w:szCs w:val="24"/>
    </w:rPr>
  </w:style>
  <w:style w:type="character" w:customStyle="1" w:styleId="232">
    <w:name w:val="正文（首行缩进两字） Char Char Char"/>
    <w:autoRedefine/>
    <w:qFormat/>
    <w:uiPriority w:val="0"/>
    <w:rPr>
      <w:rFonts w:eastAsia="宋体"/>
      <w:kern w:val="2"/>
      <w:sz w:val="21"/>
      <w:lang w:val="en-US" w:eastAsia="zh-CN" w:bidi="ar-SA"/>
    </w:rPr>
  </w:style>
  <w:style w:type="character" w:customStyle="1" w:styleId="233">
    <w:name w:val="正文文本 2 Char1"/>
    <w:autoRedefine/>
    <w:qFormat/>
    <w:uiPriority w:val="0"/>
    <w:rPr>
      <w:rFonts w:ascii="Times New Roman" w:hAnsi="Times New Roman"/>
      <w:kern w:val="2"/>
      <w:sz w:val="21"/>
      <w:szCs w:val="24"/>
    </w:rPr>
  </w:style>
  <w:style w:type="character" w:customStyle="1" w:styleId="234">
    <w:name w:val="样式 标题3 + 自动设置1 Char Char"/>
    <w:link w:val="235"/>
    <w:autoRedefine/>
    <w:qFormat/>
    <w:uiPriority w:val="0"/>
    <w:rPr>
      <w:b/>
      <w:bCs/>
      <w:kern w:val="2"/>
      <w:sz w:val="24"/>
      <w:szCs w:val="24"/>
    </w:rPr>
  </w:style>
  <w:style w:type="paragraph" w:customStyle="1" w:styleId="235">
    <w:name w:val="样式 标题3 + 自动设置1"/>
    <w:basedOn w:val="1"/>
    <w:link w:val="234"/>
    <w:autoRedefine/>
    <w:qFormat/>
    <w:uiPriority w:val="0"/>
    <w:pPr>
      <w:keepNext/>
      <w:keepLines/>
      <w:tabs>
        <w:tab w:val="left" w:pos="2340"/>
      </w:tabs>
      <w:adjustRightInd w:val="0"/>
      <w:snapToGrid w:val="0"/>
      <w:spacing w:line="360" w:lineRule="auto"/>
      <w:outlineLvl w:val="0"/>
    </w:pPr>
    <w:rPr>
      <w:rFonts w:ascii="Times New Roman"/>
      <w:b/>
      <w:bCs/>
      <w:kern w:val="2"/>
      <w:szCs w:val="24"/>
      <w:lang w:val="zh-CN"/>
    </w:rPr>
  </w:style>
  <w:style w:type="character" w:customStyle="1" w:styleId="236">
    <w:name w:val="Char Char Char Char Char1"/>
    <w:autoRedefine/>
    <w:qFormat/>
    <w:uiPriority w:val="0"/>
    <w:rPr>
      <w:rFonts w:ascii="宋体" w:hAnsi="Courier New" w:eastAsia="宋体" w:cs="Courier New"/>
      <w:kern w:val="2"/>
      <w:sz w:val="21"/>
      <w:szCs w:val="21"/>
      <w:lang w:val="en-US" w:eastAsia="zh-CN" w:bidi="ar-SA"/>
    </w:rPr>
  </w:style>
  <w:style w:type="character" w:customStyle="1" w:styleId="237">
    <w:name w:val="样式 正文（首行缩进两字） + 小四 Char Char"/>
    <w:autoRedefine/>
    <w:qFormat/>
    <w:uiPriority w:val="0"/>
    <w:rPr>
      <w:rFonts w:eastAsia="宋体"/>
      <w:spacing w:val="20"/>
      <w:kern w:val="2"/>
      <w:sz w:val="24"/>
      <w:szCs w:val="24"/>
      <w:lang w:val="en-US" w:eastAsia="zh-CN" w:bidi="ar-SA"/>
    </w:rPr>
  </w:style>
  <w:style w:type="character" w:customStyle="1" w:styleId="238">
    <w:name w:val="HTML 预设格式 Char"/>
    <w:link w:val="52"/>
    <w:autoRedefine/>
    <w:qFormat/>
    <w:uiPriority w:val="99"/>
    <w:rPr>
      <w:rFonts w:ascii="Arial Unicode MS" w:hAnsi="Arial Unicode MS" w:eastAsia="Arial Unicode MS" w:cs="Arial Unicode MS"/>
      <w:color w:val="000000"/>
    </w:rPr>
  </w:style>
  <w:style w:type="character" w:customStyle="1" w:styleId="239">
    <w:name w:val="表头 Char Char"/>
    <w:autoRedefine/>
    <w:qFormat/>
    <w:uiPriority w:val="0"/>
    <w:rPr>
      <w:b/>
      <w:kern w:val="2"/>
      <w:sz w:val="24"/>
    </w:rPr>
  </w:style>
  <w:style w:type="paragraph" w:customStyle="1" w:styleId="240">
    <w:name w:val="表头"/>
    <w:basedOn w:val="69"/>
    <w:next w:val="1"/>
    <w:link w:val="504"/>
    <w:autoRedefine/>
    <w:qFormat/>
    <w:uiPriority w:val="0"/>
    <w:pPr>
      <w:spacing w:line="360" w:lineRule="auto"/>
      <w:jc w:val="center"/>
    </w:pPr>
    <w:rPr>
      <w:rFonts w:ascii="Times New Roman"/>
      <w:kern w:val="2"/>
      <w:lang w:val="zh-CN"/>
    </w:rPr>
  </w:style>
  <w:style w:type="character" w:customStyle="1" w:styleId="241">
    <w:name w:val="批注主题 Char"/>
    <w:link w:val="55"/>
    <w:autoRedefine/>
    <w:qFormat/>
    <w:uiPriority w:val="0"/>
    <w:rPr>
      <w:b/>
      <w:bCs/>
      <w:kern w:val="2"/>
      <w:sz w:val="21"/>
      <w:szCs w:val="24"/>
    </w:rPr>
  </w:style>
  <w:style w:type="character" w:customStyle="1" w:styleId="242">
    <w:name w:val="副标题 Char"/>
    <w:link w:val="43"/>
    <w:autoRedefine/>
    <w:qFormat/>
    <w:uiPriority w:val="0"/>
    <w:rPr>
      <w:rFonts w:ascii="长城楷体" w:eastAsia="长城楷体"/>
      <w:color w:val="0000FF"/>
      <w:spacing w:val="20"/>
      <w:sz w:val="44"/>
    </w:rPr>
  </w:style>
  <w:style w:type="character" w:customStyle="1" w:styleId="243">
    <w:name w:val="gl"/>
    <w:basedOn w:val="60"/>
    <w:autoRedefine/>
    <w:qFormat/>
    <w:uiPriority w:val="0"/>
  </w:style>
  <w:style w:type="character" w:customStyle="1" w:styleId="244">
    <w:name w:val="正文首行缩进 2 Char"/>
    <w:basedOn w:val="144"/>
    <w:link w:val="57"/>
    <w:autoRedefine/>
    <w:qFormat/>
    <w:uiPriority w:val="0"/>
    <w:rPr>
      <w:rFonts w:ascii="宋体"/>
      <w:color w:val="000000"/>
      <w:kern w:val="2"/>
      <w:sz w:val="24"/>
      <w:szCs w:val="24"/>
      <w:lang w:val="zh-CN"/>
    </w:rPr>
  </w:style>
  <w:style w:type="paragraph" w:customStyle="1" w:styleId="245">
    <w:name w:val="样式14"/>
    <w:basedOn w:val="1"/>
    <w:autoRedefine/>
    <w:qFormat/>
    <w:uiPriority w:val="0"/>
    <w:pPr>
      <w:spacing w:line="420" w:lineRule="exact"/>
      <w:ind w:firstLine="573"/>
    </w:pPr>
    <w:rPr>
      <w:spacing w:val="20"/>
    </w:rPr>
  </w:style>
  <w:style w:type="paragraph" w:customStyle="1" w:styleId="246">
    <w:name w:val="标题五"/>
    <w:basedOn w:val="1"/>
    <w:autoRedefine/>
    <w:qFormat/>
    <w:uiPriority w:val="0"/>
    <w:pPr>
      <w:snapToGrid w:val="0"/>
      <w:spacing w:line="280" w:lineRule="atLeast"/>
    </w:pPr>
  </w:style>
  <w:style w:type="paragraph" w:customStyle="1" w:styleId="247">
    <w:name w:val="封面标准号1"/>
    <w:basedOn w:val="74"/>
    <w:next w:val="74"/>
    <w:autoRedefine/>
    <w:qFormat/>
    <w:uiPriority w:val="0"/>
    <w:pPr>
      <w:spacing w:before="308"/>
    </w:pPr>
    <w:rPr>
      <w:rFonts w:ascii="宋体" w:eastAsia="宋体" w:cs="Times New Roman"/>
      <w:color w:val="auto"/>
    </w:rPr>
  </w:style>
  <w:style w:type="paragraph" w:customStyle="1" w:styleId="248">
    <w:name w:val="a3"/>
    <w:basedOn w:val="1"/>
    <w:autoRedefine/>
    <w:qFormat/>
    <w:uiPriority w:val="0"/>
    <w:pPr>
      <w:widowControl/>
      <w:spacing w:before="100" w:beforeAutospacing="1" w:after="100" w:afterAutospacing="1"/>
      <w:jc w:val="left"/>
    </w:pPr>
    <w:rPr>
      <w:rFonts w:hAnsi="宋体"/>
      <w:color w:val="000000"/>
    </w:rPr>
  </w:style>
  <w:style w:type="paragraph" w:customStyle="1" w:styleId="249">
    <w:name w:val="样式1."/>
    <w:basedOn w:val="1"/>
    <w:autoRedefine/>
    <w:qFormat/>
    <w:uiPriority w:val="0"/>
    <w:pPr>
      <w:adjustRightInd w:val="0"/>
      <w:snapToGrid w:val="0"/>
      <w:spacing w:line="460" w:lineRule="exact"/>
    </w:pPr>
    <w:rPr>
      <w:rFonts w:ascii="黑体" w:eastAsia="黑体"/>
      <w:b/>
      <w:sz w:val="30"/>
    </w:rPr>
  </w:style>
  <w:style w:type="paragraph" w:customStyle="1" w:styleId="250">
    <w:name w:val="Char Char2 Char Char Char Char"/>
    <w:basedOn w:val="1"/>
    <w:autoRedefine/>
    <w:qFormat/>
    <w:uiPriority w:val="0"/>
  </w:style>
  <w:style w:type="paragraph" w:customStyle="1" w:styleId="251">
    <w:name w:val="表题"/>
    <w:basedOn w:val="1"/>
    <w:next w:val="252"/>
    <w:autoRedefine/>
    <w:qFormat/>
    <w:uiPriority w:val="0"/>
    <w:pPr>
      <w:adjustRightInd w:val="0"/>
      <w:snapToGrid w:val="0"/>
      <w:spacing w:line="360" w:lineRule="auto"/>
      <w:ind w:firstLine="482"/>
      <w:jc w:val="center"/>
    </w:pPr>
    <w:rPr>
      <w:rFonts w:ascii="Times New Roman"/>
      <w:b/>
      <w:bCs/>
      <w:kern w:val="2"/>
    </w:rPr>
  </w:style>
  <w:style w:type="paragraph" w:customStyle="1" w:styleId="252">
    <w:name w:val="表格"/>
    <w:basedOn w:val="215"/>
    <w:link w:val="445"/>
    <w:autoRedefine/>
    <w:qFormat/>
    <w:uiPriority w:val="0"/>
    <w:pPr>
      <w:spacing w:line="360" w:lineRule="exact"/>
      <w:jc w:val="center"/>
    </w:pPr>
  </w:style>
  <w:style w:type="paragraph" w:customStyle="1" w:styleId="253">
    <w:name w:val="标题小四"/>
    <w:basedOn w:val="1"/>
    <w:autoRedefine/>
    <w:qFormat/>
    <w:uiPriority w:val="0"/>
    <w:pPr>
      <w:snapToGrid w:val="0"/>
      <w:spacing w:line="440" w:lineRule="atLeast"/>
      <w:jc w:val="center"/>
    </w:pPr>
  </w:style>
  <w:style w:type="paragraph" w:customStyle="1" w:styleId="254">
    <w:name w:val="Char2"/>
    <w:basedOn w:val="1"/>
    <w:autoRedefine/>
    <w:qFormat/>
    <w:uiPriority w:val="0"/>
  </w:style>
  <w:style w:type="paragraph" w:customStyle="1" w:styleId="255">
    <w:name w:val="Char Char3 Char Char Char Char Char Char1 Char Char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256">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257">
    <w:name w:val="样式15"/>
    <w:basedOn w:val="202"/>
    <w:autoRedefine/>
    <w:qFormat/>
    <w:uiPriority w:val="0"/>
    <w:pPr>
      <w:spacing w:line="400" w:lineRule="exact"/>
      <w:ind w:right="0" w:rightChars="0" w:firstLine="200" w:firstLineChars="200"/>
    </w:pPr>
    <w:rPr>
      <w:rFonts w:ascii="Times New Roman" w:hAnsi="Times New Roman"/>
      <w:snapToGrid/>
      <w:color w:val="auto"/>
      <w:spacing w:val="20"/>
      <w:sz w:val="24"/>
    </w:rPr>
  </w:style>
  <w:style w:type="paragraph" w:customStyle="1" w:styleId="258">
    <w:name w:val="英文"/>
    <w:basedOn w:val="3"/>
    <w:autoRedefine/>
    <w:qFormat/>
    <w:uiPriority w:val="0"/>
    <w:pPr>
      <w:keepNext w:val="0"/>
      <w:keepLines w:val="0"/>
      <w:tabs>
        <w:tab w:val="left" w:pos="1571"/>
      </w:tabs>
      <w:adjustRightInd w:val="0"/>
      <w:spacing w:beforeLines="50" w:afterLines="50" w:line="240" w:lineRule="atLeast"/>
      <w:ind w:left="567" w:hanging="567" w:firstLineChars="200"/>
      <w:outlineLvl w:val="9"/>
    </w:pPr>
    <w:rPr>
      <w:rFonts w:ascii="Times New Roman" w:hAnsi="Times New Roman"/>
      <w:bCs w:val="0"/>
      <w:snapToGrid w:val="0"/>
      <w:spacing w:val="20"/>
      <w:sz w:val="24"/>
      <w:szCs w:val="20"/>
    </w:rPr>
  </w:style>
  <w:style w:type="paragraph" w:customStyle="1" w:styleId="259">
    <w:name w:val="样式 首行缩进:  2 字符"/>
    <w:basedOn w:val="1"/>
    <w:autoRedefine/>
    <w:qFormat/>
    <w:uiPriority w:val="0"/>
    <w:pPr>
      <w:spacing w:line="360" w:lineRule="auto"/>
      <w:ind w:firstLine="200"/>
    </w:pPr>
  </w:style>
  <w:style w:type="paragraph" w:customStyle="1" w:styleId="260">
    <w:name w:val="xl39"/>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rPr>
  </w:style>
  <w:style w:type="paragraph" w:customStyle="1" w:styleId="261">
    <w:name w:val="样式 正文缩进正文（首行缩进两字） + 左侧:  2 字符"/>
    <w:basedOn w:val="4"/>
    <w:autoRedefine/>
    <w:qFormat/>
    <w:uiPriority w:val="0"/>
    <w:pPr>
      <w:widowControl/>
      <w:spacing w:line="420" w:lineRule="exact"/>
      <w:ind w:firstLine="200"/>
    </w:pPr>
    <w:rPr>
      <w:spacing w:val="20"/>
      <w:kern w:val="0"/>
      <w:sz w:val="24"/>
      <w:szCs w:val="24"/>
    </w:rPr>
  </w:style>
  <w:style w:type="paragraph" w:customStyle="1" w:styleId="262">
    <w:name w:val="Char Char3 Char Char"/>
    <w:basedOn w:val="1"/>
    <w:autoRedefine/>
    <w:qFormat/>
    <w:uiPriority w:val="0"/>
  </w:style>
  <w:style w:type="paragraph" w:customStyle="1" w:styleId="263">
    <w:name w:val="正文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64">
    <w:name w:val="样式 样式 标题 3 + 段后: 7.8 磅 + 段前: 1 行"/>
    <w:basedOn w:val="265"/>
    <w:autoRedefine/>
    <w:qFormat/>
    <w:uiPriority w:val="0"/>
    <w:pPr>
      <w:spacing w:before="312" w:afterLines="50"/>
    </w:pPr>
  </w:style>
  <w:style w:type="paragraph" w:customStyle="1" w:styleId="265">
    <w:name w:val="样式 标题 3 + 段后: 7.8 磅"/>
    <w:basedOn w:val="5"/>
    <w:autoRedefine/>
    <w:qFormat/>
    <w:uiPriority w:val="0"/>
    <w:pPr>
      <w:spacing w:before="0" w:after="0" w:line="520" w:lineRule="exact"/>
    </w:pPr>
    <w:rPr>
      <w:rFonts w:ascii="黑体" w:hAnsi="宋体" w:eastAsia="黑体"/>
      <w:b w:val="0"/>
      <w:sz w:val="24"/>
      <w:szCs w:val="20"/>
    </w:rPr>
  </w:style>
  <w:style w:type="paragraph" w:customStyle="1" w:styleId="266">
    <w:name w:val="內文表格樣式1"/>
    <w:basedOn w:val="1"/>
    <w:autoRedefine/>
    <w:qFormat/>
    <w:uiPriority w:val="0"/>
    <w:pPr>
      <w:autoSpaceDE w:val="0"/>
      <w:autoSpaceDN w:val="0"/>
      <w:adjustRightInd w:val="0"/>
      <w:spacing w:after="120" w:line="360" w:lineRule="atLeast"/>
    </w:pPr>
    <w:rPr>
      <w:rFonts w:ascii="PMingLiU" w:eastAsia="DFKai-SB"/>
      <w:lang w:eastAsia="zh-TW"/>
    </w:rPr>
  </w:style>
  <w:style w:type="paragraph" w:customStyle="1" w:styleId="267">
    <w:name w:val="样式10"/>
    <w:basedOn w:val="139"/>
    <w:autoRedefine/>
    <w:qFormat/>
    <w:uiPriority w:val="0"/>
    <w:pPr>
      <w:spacing w:line="400" w:lineRule="exact"/>
      <w:ind w:left="479" w:leftChars="228" w:firstLine="200" w:firstLineChars="21"/>
    </w:pPr>
    <w:rPr>
      <w:color w:val="FF0000"/>
      <w:kern w:val="2"/>
      <w:szCs w:val="20"/>
    </w:rPr>
  </w:style>
  <w:style w:type="paragraph" w:customStyle="1" w:styleId="268">
    <w:name w:val="textfont"/>
    <w:basedOn w:val="1"/>
    <w:autoRedefine/>
    <w:qFormat/>
    <w:uiPriority w:val="0"/>
    <w:pPr>
      <w:widowControl/>
      <w:spacing w:before="100" w:beforeAutospacing="1" w:after="100" w:afterAutospacing="1"/>
      <w:jc w:val="left"/>
    </w:pPr>
    <w:rPr>
      <w:rFonts w:hAnsi="宋体"/>
    </w:rPr>
  </w:style>
  <w:style w:type="paragraph" w:customStyle="1" w:styleId="269">
    <w:name w:val="Char Char3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270">
    <w:name w:val="表格文字1"/>
    <w:basedOn w:val="1"/>
    <w:autoRedefine/>
    <w:qFormat/>
    <w:uiPriority w:val="0"/>
    <w:pPr>
      <w:snapToGrid w:val="0"/>
      <w:spacing w:line="360" w:lineRule="atLeast"/>
      <w:jc w:val="center"/>
    </w:pPr>
  </w:style>
  <w:style w:type="paragraph" w:customStyle="1" w:styleId="271">
    <w:name w:val="Char1 Char Char Char"/>
    <w:basedOn w:val="1"/>
    <w:autoRedefine/>
    <w:qFormat/>
    <w:uiPriority w:val="0"/>
    <w:pPr>
      <w:widowControl/>
      <w:spacing w:after="160" w:line="240" w:lineRule="exact"/>
      <w:jc w:val="left"/>
    </w:pPr>
    <w:rPr>
      <w:rFonts w:ascii="Arial" w:hAnsi="Arial" w:eastAsia="Times New Roman" w:cs="Verdana"/>
      <w:b/>
      <w:lang w:eastAsia="en-US"/>
    </w:rPr>
  </w:style>
  <w:style w:type="paragraph" w:customStyle="1" w:styleId="272">
    <w:name w:val="标题4"/>
    <w:basedOn w:val="6"/>
    <w:next w:val="6"/>
    <w:autoRedefine/>
    <w:qFormat/>
    <w:uiPriority w:val="0"/>
    <w:pPr>
      <w:spacing w:before="0" w:after="0" w:line="360" w:lineRule="auto"/>
    </w:pPr>
    <w:rPr>
      <w:rFonts w:ascii="Times New Roman" w:hAnsi="Times New Roman" w:eastAsia="宋体"/>
      <w:kern w:val="0"/>
    </w:rPr>
  </w:style>
  <w:style w:type="paragraph" w:customStyle="1" w:styleId="273">
    <w:name w:val="文章正文"/>
    <w:basedOn w:val="1"/>
    <w:autoRedefine/>
    <w:qFormat/>
    <w:uiPriority w:val="0"/>
    <w:pPr>
      <w:spacing w:line="360" w:lineRule="auto"/>
      <w:ind w:firstLine="482" w:firstLineChars="200"/>
      <w:jc w:val="center"/>
    </w:pPr>
    <w:rPr>
      <w:rFonts w:hAnsi="宋体"/>
      <w:b/>
    </w:rPr>
  </w:style>
  <w:style w:type="paragraph" w:customStyle="1" w:styleId="274">
    <w:name w:val="样式 样式1 + 首行缩进:  0.04 厘米"/>
    <w:basedOn w:val="70"/>
    <w:autoRedefine/>
    <w:qFormat/>
    <w:uiPriority w:val="0"/>
    <w:pPr>
      <w:keepNext w:val="0"/>
      <w:keepLines w:val="0"/>
      <w:autoSpaceDE/>
      <w:autoSpaceDN/>
      <w:adjustRightInd/>
      <w:spacing w:before="60" w:after="60" w:line="280" w:lineRule="exact"/>
      <w:ind w:firstLine="20"/>
      <w:jc w:val="center"/>
    </w:pPr>
    <w:rPr>
      <w:rFonts w:eastAsia="仿宋"/>
      <w:bCs w:val="0"/>
      <w:spacing w:val="20"/>
      <w:kern w:val="2"/>
      <w:sz w:val="24"/>
      <w:szCs w:val="24"/>
    </w:rPr>
  </w:style>
  <w:style w:type="paragraph" w:customStyle="1" w:styleId="275">
    <w:name w:val="标题3 Char Char Char Char"/>
    <w:basedOn w:val="1"/>
    <w:autoRedefine/>
    <w:qFormat/>
    <w:uiPriority w:val="0"/>
    <w:pPr>
      <w:spacing w:afterLines="50" w:line="560" w:lineRule="exact"/>
    </w:pPr>
    <w:rPr>
      <w:rFonts w:eastAsia="黑体"/>
      <w:sz w:val="30"/>
      <w:szCs w:val="30"/>
    </w:rPr>
  </w:style>
  <w:style w:type="paragraph" w:customStyle="1" w:styleId="276">
    <w:name w:val="标题3"/>
    <w:basedOn w:val="1"/>
    <w:autoRedefine/>
    <w:qFormat/>
    <w:uiPriority w:val="0"/>
    <w:pPr>
      <w:snapToGrid w:val="0"/>
      <w:spacing w:line="480" w:lineRule="atLeast"/>
      <w:jc w:val="center"/>
    </w:pPr>
    <w:rPr>
      <w:rFonts w:eastAsia="黑体"/>
      <w:spacing w:val="10"/>
      <w:sz w:val="28"/>
    </w:rPr>
  </w:style>
  <w:style w:type="paragraph" w:customStyle="1" w:styleId="277">
    <w:name w:val="纯文本11"/>
    <w:basedOn w:val="1"/>
    <w:autoRedefine/>
    <w:qFormat/>
    <w:uiPriority w:val="0"/>
    <w:pPr>
      <w:adjustRightInd w:val="0"/>
      <w:textAlignment w:val="baseline"/>
    </w:pPr>
    <w:rPr>
      <w:rFonts w:hAnsi="Courier New"/>
      <w:sz w:val="28"/>
    </w:rPr>
  </w:style>
  <w:style w:type="paragraph" w:customStyle="1" w:styleId="278">
    <w:name w:val="简单回函地址"/>
    <w:basedOn w:val="1"/>
    <w:autoRedefine/>
    <w:qFormat/>
    <w:uiPriority w:val="0"/>
  </w:style>
  <w:style w:type="paragraph" w:customStyle="1" w:styleId="279">
    <w:name w:val="正文加粗"/>
    <w:basedOn w:val="1"/>
    <w:next w:val="1"/>
    <w:autoRedefine/>
    <w:qFormat/>
    <w:uiPriority w:val="0"/>
    <w:pPr>
      <w:spacing w:line="360" w:lineRule="auto"/>
      <w:ind w:firstLine="200" w:firstLineChars="200"/>
    </w:pPr>
    <w:rPr>
      <w:rFonts w:ascii="Times New Roman"/>
      <w:b/>
      <w:kern w:val="2"/>
      <w:szCs w:val="22"/>
    </w:rPr>
  </w:style>
  <w:style w:type="paragraph" w:customStyle="1" w:styleId="280">
    <w:name w:val="默认"/>
    <w:autoRedefine/>
    <w:qFormat/>
    <w:uiPriority w:val="0"/>
    <w:pPr>
      <w:tabs>
        <w:tab w:val="left" w:pos="709"/>
      </w:tabs>
      <w:suppressAutoHyphens/>
      <w:jc w:val="both"/>
    </w:pPr>
    <w:rPr>
      <w:rFonts w:ascii="Times New Roman" w:hAnsi="Times New Roman" w:eastAsia="宋体" w:cs="Times New Roman"/>
      <w:color w:val="00000A"/>
      <w:kern w:val="2"/>
      <w:sz w:val="21"/>
      <w:szCs w:val="21"/>
      <w:lang w:val="en-US" w:eastAsia="zh-CN" w:bidi="ar-SA"/>
    </w:rPr>
  </w:style>
  <w:style w:type="paragraph" w:customStyle="1" w:styleId="281">
    <w:name w:val="表中文字1"/>
    <w:autoRedefine/>
    <w:qFormat/>
    <w:uiPriority w:val="0"/>
    <w:pPr>
      <w:widowControl w:val="0"/>
      <w:autoSpaceDE w:val="0"/>
      <w:autoSpaceDN w:val="0"/>
      <w:adjustRightInd w:val="0"/>
      <w:jc w:val="center"/>
    </w:pPr>
    <w:rPr>
      <w:rFonts w:ascii="宋体" w:hAnsi="宋体" w:eastAsia="宋体" w:cs="Times New Roman"/>
      <w:kern w:val="2"/>
      <w:sz w:val="24"/>
      <w:szCs w:val="18"/>
      <w:lang w:val="en-US" w:eastAsia="zh-CN" w:bidi="ar-SA"/>
    </w:rPr>
  </w:style>
  <w:style w:type="paragraph" w:customStyle="1" w:styleId="282">
    <w:name w:val="xl35"/>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283">
    <w:name w:val="dh2"/>
    <w:basedOn w:val="3"/>
    <w:autoRedefine/>
    <w:qFormat/>
    <w:uiPriority w:val="0"/>
    <w:pPr>
      <w:keepLines w:val="0"/>
      <w:autoSpaceDE w:val="0"/>
      <w:autoSpaceDN w:val="0"/>
      <w:spacing w:before="0" w:after="0" w:line="360" w:lineRule="auto"/>
      <w:ind w:right="1"/>
      <w:jc w:val="left"/>
    </w:pPr>
    <w:rPr>
      <w:rFonts w:ascii="宋体" w:hAnsi="宋体"/>
      <w:bCs w:val="0"/>
      <w:sz w:val="28"/>
      <w:szCs w:val="28"/>
    </w:rPr>
  </w:style>
  <w:style w:type="paragraph" w:customStyle="1" w:styleId="284">
    <w:name w:val="样式11"/>
    <w:basedOn w:val="1"/>
    <w:autoRedefine/>
    <w:qFormat/>
    <w:uiPriority w:val="0"/>
    <w:pPr>
      <w:widowControl/>
      <w:spacing w:line="400" w:lineRule="exact"/>
      <w:ind w:firstLine="560" w:firstLineChars="200"/>
      <w:jc w:val="left"/>
    </w:pPr>
    <w:rPr>
      <w:spacing w:val="20"/>
    </w:rPr>
  </w:style>
  <w:style w:type="paragraph" w:customStyle="1" w:styleId="285">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rPr>
  </w:style>
  <w:style w:type="paragraph" w:customStyle="1" w:styleId="286">
    <w:name w:val="样式 正文（首行缩进两字） + 宋体"/>
    <w:basedOn w:val="4"/>
    <w:autoRedefine/>
    <w:qFormat/>
    <w:uiPriority w:val="0"/>
    <w:pPr>
      <w:adjustRightInd w:val="0"/>
      <w:spacing w:line="440" w:lineRule="exact"/>
      <w:ind w:firstLine="560"/>
      <w:jc w:val="left"/>
    </w:pPr>
    <w:rPr>
      <w:spacing w:val="20"/>
      <w:sz w:val="24"/>
      <w:szCs w:val="24"/>
    </w:rPr>
  </w:style>
  <w:style w:type="paragraph" w:customStyle="1" w:styleId="287">
    <w:name w:val="Char Char Char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288">
    <w:name w:val="标准"/>
    <w:basedOn w:val="1"/>
    <w:autoRedefine/>
    <w:qFormat/>
    <w:uiPriority w:val="0"/>
    <w:pPr>
      <w:tabs>
        <w:tab w:val="left" w:pos="720"/>
      </w:tabs>
      <w:adjustRightInd w:val="0"/>
      <w:spacing w:line="312" w:lineRule="atLeast"/>
      <w:textAlignment w:val="baseline"/>
    </w:pPr>
  </w:style>
  <w:style w:type="paragraph" w:customStyle="1" w:styleId="289">
    <w:name w:val="样式13"/>
    <w:basedOn w:val="1"/>
    <w:autoRedefine/>
    <w:qFormat/>
    <w:uiPriority w:val="0"/>
    <w:pPr>
      <w:spacing w:line="400" w:lineRule="exact"/>
      <w:ind w:firstLine="200" w:firstLineChars="200"/>
      <w:jc w:val="left"/>
    </w:pPr>
    <w:rPr>
      <w:bCs/>
      <w:color w:val="000000"/>
      <w:spacing w:val="20"/>
    </w:rPr>
  </w:style>
  <w:style w:type="paragraph" w:customStyle="1" w:styleId="290">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291">
    <w:name w:val="表格 23"/>
    <w:basedOn w:val="1"/>
    <w:autoRedefine/>
    <w:qFormat/>
    <w:uiPriority w:val="0"/>
    <w:pPr>
      <w:spacing w:beforeLines="50" w:line="300" w:lineRule="auto"/>
      <w:jc w:val="center"/>
    </w:pPr>
    <w:rPr>
      <w:szCs w:val="21"/>
    </w:rPr>
  </w:style>
  <w:style w:type="paragraph" w:customStyle="1" w:styleId="292">
    <w:name w:val="Char Char Char Char Char Char Char Char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293">
    <w:name w:val="引言"/>
    <w:basedOn w:val="1"/>
    <w:next w:val="1"/>
    <w:autoRedefine/>
    <w:qFormat/>
    <w:uiPriority w:val="0"/>
    <w:pPr>
      <w:spacing w:line="320" w:lineRule="exact"/>
      <w:jc w:val="center"/>
    </w:pPr>
    <w:rPr>
      <w:color w:val="000000"/>
    </w:rPr>
  </w:style>
  <w:style w:type="paragraph" w:customStyle="1" w:styleId="294">
    <w:name w:val="TOC 标题1"/>
    <w:basedOn w:val="2"/>
    <w:next w:val="1"/>
    <w:autoRedefine/>
    <w:qFormat/>
    <w:uiPriority w:val="0"/>
    <w:pPr>
      <w:widowControl/>
      <w:adjustRightInd/>
      <w:spacing w:before="480" w:line="276" w:lineRule="auto"/>
      <w:jc w:val="left"/>
      <w:textAlignment w:val="auto"/>
      <w:outlineLvl w:val="9"/>
    </w:pPr>
    <w:rPr>
      <w:rFonts w:ascii="Cambria" w:hAnsi="Cambria" w:eastAsia="宋体"/>
      <w:bCs/>
      <w:color w:val="365F91"/>
      <w:kern w:val="0"/>
      <w:sz w:val="28"/>
      <w:szCs w:val="28"/>
    </w:rPr>
  </w:style>
  <w:style w:type="paragraph" w:customStyle="1" w:styleId="295">
    <w:name w:val="流程图"/>
    <w:basedOn w:val="1"/>
    <w:autoRedefine/>
    <w:qFormat/>
    <w:uiPriority w:val="0"/>
    <w:pPr>
      <w:tabs>
        <w:tab w:val="left" w:pos="0"/>
      </w:tabs>
      <w:autoSpaceDE w:val="0"/>
      <w:autoSpaceDN w:val="0"/>
      <w:adjustRightInd w:val="0"/>
      <w:spacing w:line="240" w:lineRule="atLeast"/>
      <w:jc w:val="center"/>
      <w:textAlignment w:val="bottom"/>
    </w:pPr>
  </w:style>
  <w:style w:type="paragraph" w:customStyle="1" w:styleId="296">
    <w:name w:val="列出段落11"/>
    <w:basedOn w:val="1"/>
    <w:autoRedefine/>
    <w:qFormat/>
    <w:uiPriority w:val="34"/>
    <w:pPr>
      <w:ind w:firstLine="420" w:firstLineChars="200"/>
    </w:pPr>
  </w:style>
  <w:style w:type="paragraph" w:customStyle="1" w:styleId="29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rPr>
  </w:style>
  <w:style w:type="paragraph" w:customStyle="1" w:styleId="298">
    <w:name w:val="ÑùÊ½1"/>
    <w:basedOn w:val="1"/>
    <w:autoRedefine/>
    <w:qFormat/>
    <w:uiPriority w:val="0"/>
    <w:pPr>
      <w:overflowPunct w:val="0"/>
      <w:autoSpaceDE w:val="0"/>
      <w:autoSpaceDN w:val="0"/>
      <w:adjustRightInd w:val="0"/>
      <w:textAlignment w:val="baseline"/>
    </w:pPr>
  </w:style>
  <w:style w:type="paragraph" w:customStyle="1" w:styleId="299">
    <w:name w:val="wj-正文"/>
    <w:basedOn w:val="1"/>
    <w:autoRedefine/>
    <w:qFormat/>
    <w:uiPriority w:val="0"/>
    <w:pPr>
      <w:spacing w:line="360" w:lineRule="auto"/>
      <w:ind w:firstLine="480" w:firstLineChars="200"/>
    </w:pPr>
    <w:rPr>
      <w:rFonts w:cs="宋体"/>
      <w:bCs/>
      <w:lang w:bidi="en-US"/>
    </w:rPr>
  </w:style>
  <w:style w:type="paragraph" w:customStyle="1" w:styleId="300">
    <w:name w:val="环评正文"/>
    <w:basedOn w:val="1"/>
    <w:autoRedefine/>
    <w:qFormat/>
    <w:uiPriority w:val="0"/>
    <w:pPr>
      <w:spacing w:before="60" w:after="60" w:line="400" w:lineRule="exact"/>
      <w:ind w:firstLine="480" w:firstLineChars="200"/>
    </w:pPr>
    <w:rPr>
      <w:rFonts w:eastAsia="仿宋_GB2312"/>
    </w:rPr>
  </w:style>
  <w:style w:type="paragraph" w:customStyle="1" w:styleId="301">
    <w:name w:val="样式1.1.1"/>
    <w:basedOn w:val="1"/>
    <w:autoRedefine/>
    <w:qFormat/>
    <w:uiPriority w:val="0"/>
    <w:pPr>
      <w:spacing w:line="460" w:lineRule="exact"/>
    </w:pPr>
    <w:rPr>
      <w:b/>
      <w:sz w:val="28"/>
    </w:rPr>
  </w:style>
  <w:style w:type="paragraph" w:customStyle="1" w:styleId="3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rPr>
  </w:style>
  <w:style w:type="paragraph" w:customStyle="1" w:styleId="303">
    <w:name w:val="Char Char Char Char Char Char Char Char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304">
    <w:name w:val="1jw正文"/>
    <w:autoRedefine/>
    <w:qFormat/>
    <w:uiPriority w:val="0"/>
    <w:pPr>
      <w:spacing w:beforeLines="50" w:afterLines="50" w:line="360" w:lineRule="auto"/>
      <w:ind w:firstLine="200" w:firstLineChars="200"/>
    </w:pPr>
    <w:rPr>
      <w:rFonts w:ascii="Times New Roman" w:hAnsi="Times New Roman" w:eastAsia="宋体" w:cs="宋体"/>
      <w:sz w:val="24"/>
      <w:szCs w:val="24"/>
      <w:lang w:val="en-US" w:eastAsia="zh-CN" w:bidi="ar-SA"/>
    </w:rPr>
  </w:style>
  <w:style w:type="paragraph" w:customStyle="1" w:styleId="305">
    <w:name w:val="font7"/>
    <w:basedOn w:val="1"/>
    <w:autoRedefine/>
    <w:qFormat/>
    <w:uiPriority w:val="0"/>
    <w:pPr>
      <w:widowControl/>
      <w:spacing w:before="100" w:beforeAutospacing="1" w:after="100" w:afterAutospacing="1"/>
      <w:jc w:val="left"/>
    </w:pPr>
    <w:rPr>
      <w:rFonts w:hint="eastAsia" w:hAnsi="宋体" w:cs="Arial Unicode MS"/>
    </w:rPr>
  </w:style>
  <w:style w:type="paragraph" w:customStyle="1" w:styleId="306">
    <w:name w:val="标题三"/>
    <w:basedOn w:val="5"/>
    <w:autoRedefine/>
    <w:qFormat/>
    <w:uiPriority w:val="0"/>
    <w:pPr>
      <w:spacing w:beforeLines="50" w:afterLines="50" w:line="440" w:lineRule="exact"/>
    </w:pPr>
    <w:rPr>
      <w:rFonts w:ascii="黑体" w:eastAsia="黑体"/>
      <w:bCs w:val="0"/>
      <w:sz w:val="24"/>
      <w:szCs w:val="20"/>
    </w:rPr>
  </w:style>
  <w:style w:type="paragraph" w:customStyle="1" w:styleId="307">
    <w:name w:val="正文文本 21"/>
    <w:basedOn w:val="1"/>
    <w:autoRedefine/>
    <w:qFormat/>
    <w:uiPriority w:val="0"/>
    <w:pPr>
      <w:adjustRightInd w:val="0"/>
      <w:spacing w:line="440" w:lineRule="exact"/>
      <w:ind w:firstLine="480"/>
    </w:pPr>
    <w:rPr>
      <w:rFonts w:ascii="Arial" w:hAnsi="Arial"/>
    </w:rPr>
  </w:style>
  <w:style w:type="paragraph" w:customStyle="1" w:styleId="308">
    <w:name w:val="中文报告书样式"/>
    <w:basedOn w:val="1"/>
    <w:autoRedefine/>
    <w:qFormat/>
    <w:uiPriority w:val="0"/>
    <w:pPr>
      <w:adjustRightInd w:val="0"/>
      <w:spacing w:line="360" w:lineRule="auto"/>
      <w:ind w:firstLine="482"/>
      <w:textAlignment w:val="baseline"/>
    </w:pPr>
    <w:rPr>
      <w:kern w:val="24"/>
    </w:rPr>
  </w:style>
  <w:style w:type="paragraph" w:customStyle="1" w:styleId="309">
    <w:name w:val="正文01"/>
    <w:basedOn w:val="1"/>
    <w:autoRedefine/>
    <w:qFormat/>
    <w:uiPriority w:val="0"/>
    <w:pPr>
      <w:spacing w:before="60" w:line="460" w:lineRule="exact"/>
      <w:ind w:firstLine="539"/>
    </w:pPr>
    <w:rPr>
      <w:sz w:val="27"/>
    </w:rPr>
  </w:style>
  <w:style w:type="paragraph" w:customStyle="1" w:styleId="310">
    <w:name w:val="Char Char Char"/>
    <w:basedOn w:val="1"/>
    <w:autoRedefine/>
    <w:qFormat/>
    <w:uiPriority w:val="0"/>
  </w:style>
  <w:style w:type="paragraph" w:customStyle="1" w:styleId="311">
    <w:name w:val="表格正文"/>
    <w:basedOn w:val="1"/>
    <w:next w:val="24"/>
    <w:autoRedefine/>
    <w:qFormat/>
    <w:uiPriority w:val="0"/>
    <w:pPr>
      <w:spacing w:before="60" w:after="60"/>
      <w:jc w:val="center"/>
    </w:pPr>
  </w:style>
  <w:style w:type="paragraph" w:customStyle="1" w:styleId="312">
    <w:name w:val="无悬挂正文5号"/>
    <w:basedOn w:val="1"/>
    <w:autoRedefine/>
    <w:qFormat/>
    <w:uiPriority w:val="0"/>
    <w:pPr>
      <w:jc w:val="center"/>
    </w:pPr>
  </w:style>
  <w:style w:type="paragraph" w:customStyle="1" w:styleId="313">
    <w:name w:val="封面正文"/>
    <w:autoRedefine/>
    <w:qFormat/>
    <w:uiPriority w:val="0"/>
    <w:pPr>
      <w:jc w:val="both"/>
    </w:pPr>
    <w:rPr>
      <w:rFonts w:ascii="Times New Roman" w:hAnsi="Times New Roman" w:eastAsia="宋体" w:cs="Times New Roman"/>
      <w:lang w:val="en-US" w:eastAsia="zh-CN" w:bidi="ar-SA"/>
    </w:rPr>
  </w:style>
  <w:style w:type="paragraph" w:customStyle="1" w:styleId="314">
    <w:name w:val="unnamed2"/>
    <w:basedOn w:val="1"/>
    <w:autoRedefine/>
    <w:qFormat/>
    <w:uiPriority w:val="0"/>
    <w:pPr>
      <w:widowControl/>
      <w:spacing w:before="100" w:beforeAutospacing="1" w:after="100" w:afterAutospacing="1" w:line="375" w:lineRule="atLeast"/>
      <w:jc w:val="left"/>
    </w:pPr>
    <w:rPr>
      <w:rFonts w:hAnsi="宋体" w:cs="宋体"/>
      <w:sz w:val="18"/>
      <w:szCs w:val="18"/>
    </w:rPr>
  </w:style>
  <w:style w:type="paragraph" w:customStyle="1" w:styleId="315">
    <w:name w:val="样式 标题 4 + 行距: 多倍行距 1.25 字行"/>
    <w:basedOn w:val="6"/>
    <w:autoRedefine/>
    <w:qFormat/>
    <w:uiPriority w:val="0"/>
    <w:pPr>
      <w:tabs>
        <w:tab w:val="left" w:pos="0"/>
        <w:tab w:val="left" w:pos="210"/>
        <w:tab w:val="left" w:pos="2160"/>
      </w:tabs>
      <w:spacing w:before="0" w:after="0" w:line="300" w:lineRule="auto"/>
      <w:ind w:left="2160" w:hanging="420"/>
    </w:pPr>
    <w:rPr>
      <w:rFonts w:eastAsia="宋体"/>
      <w:bCs w:val="0"/>
      <w:sz w:val="24"/>
      <w:szCs w:val="20"/>
    </w:rPr>
  </w:style>
  <w:style w:type="paragraph" w:customStyle="1" w:styleId="316">
    <w:name w:val="样式 纯文本 + 小四 Char"/>
    <w:basedOn w:val="32"/>
    <w:autoRedefine/>
    <w:qFormat/>
    <w:uiPriority w:val="0"/>
    <w:pPr>
      <w:snapToGrid w:val="0"/>
      <w:spacing w:line="520" w:lineRule="exact"/>
      <w:ind w:firstLine="560" w:firstLineChars="200"/>
    </w:pPr>
    <w:rPr>
      <w:kern w:val="2"/>
      <w:sz w:val="28"/>
      <w:szCs w:val="28"/>
      <w:lang w:val="en-US"/>
    </w:rPr>
  </w:style>
  <w:style w:type="paragraph" w:customStyle="1" w:styleId="317">
    <w:name w:val="pic-info"/>
    <w:basedOn w:val="1"/>
    <w:autoRedefine/>
    <w:qFormat/>
    <w:uiPriority w:val="0"/>
    <w:pPr>
      <w:widowControl/>
      <w:spacing w:before="100" w:beforeAutospacing="1" w:after="100" w:afterAutospacing="1"/>
      <w:jc w:val="left"/>
    </w:pPr>
    <w:rPr>
      <w:rFonts w:hAnsi="宋体" w:cs="宋体"/>
    </w:rPr>
  </w:style>
  <w:style w:type="paragraph" w:customStyle="1" w:styleId="318">
    <w:name w:val="样式 黑体 小四 加粗 行距: 固定值 20 磅3"/>
    <w:basedOn w:val="1"/>
    <w:autoRedefine/>
    <w:qFormat/>
    <w:uiPriority w:val="0"/>
    <w:pPr>
      <w:spacing w:line="400" w:lineRule="exact"/>
    </w:pPr>
    <w:rPr>
      <w:rFonts w:ascii="黑体" w:eastAsia="黑体"/>
      <w:b/>
      <w:bCs/>
      <w:sz w:val="28"/>
    </w:rPr>
  </w:style>
  <w:style w:type="paragraph" w:customStyle="1" w:styleId="319">
    <w:name w:val="af0dbchaf27cgridlangnp10"/>
    <w:autoRedefine/>
    <w:qFormat/>
    <w:uiPriority w:val="0"/>
    <w:pPr>
      <w:widowControl w:val="0"/>
      <w:tabs>
        <w:tab w:val="left" w:leader="dot" w:pos="8280"/>
        <w:tab w:val="right" w:pos="8640"/>
      </w:tabs>
      <w:autoSpaceDE w:val="0"/>
      <w:autoSpaceDN w:val="0"/>
      <w:adjustRightInd w:val="0"/>
      <w:spacing w:line="315" w:lineRule="atLeast"/>
      <w:ind w:left="3600" w:right="720"/>
    </w:pPr>
    <w:rPr>
      <w:rFonts w:ascii="长城楷体" w:hAnsi="Times New Roman" w:eastAsia="长城楷体" w:cs="Times New Roman"/>
      <w:sz w:val="28"/>
      <w:lang w:val="en-US" w:eastAsia="zh-CN" w:bidi="ar-SA"/>
    </w:rPr>
  </w:style>
  <w:style w:type="paragraph" w:customStyle="1" w:styleId="320">
    <w:name w:val="表标题"/>
    <w:basedOn w:val="1"/>
    <w:autoRedefine/>
    <w:qFormat/>
    <w:uiPriority w:val="0"/>
    <w:pPr>
      <w:adjustRightInd w:val="0"/>
      <w:snapToGrid w:val="0"/>
      <w:spacing w:beforeLines="20" w:afterLines="20" w:line="360" w:lineRule="auto"/>
      <w:jc w:val="center"/>
    </w:pPr>
    <w:rPr>
      <w:rFonts w:eastAsia="黑体"/>
      <w:spacing w:val="12"/>
    </w:rPr>
  </w:style>
  <w:style w:type="paragraph" w:customStyle="1" w:styleId="321">
    <w:name w:val="二级标题"/>
    <w:basedOn w:val="1"/>
    <w:next w:val="1"/>
    <w:autoRedefine/>
    <w:qFormat/>
    <w:uiPriority w:val="0"/>
    <w:pPr>
      <w:keepNext/>
      <w:adjustRightInd w:val="0"/>
      <w:spacing w:before="240" w:after="240" w:line="312" w:lineRule="atLeast"/>
      <w:jc w:val="center"/>
      <w:textAlignment w:val="baseline"/>
    </w:pPr>
    <w:rPr>
      <w:rFonts w:eastAsia="楷体_GB2312"/>
      <w:sz w:val="28"/>
    </w:rPr>
  </w:style>
  <w:style w:type="paragraph" w:customStyle="1" w:styleId="322">
    <w:name w:val="Char Char Char Char1 Char 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323">
    <w:name w:val="附录章标题"/>
    <w:next w:val="1"/>
    <w:autoRedefine/>
    <w:qFormat/>
    <w:uiPriority w:val="0"/>
    <w:pPr>
      <w:tabs>
        <w:tab w:val="left" w:pos="840"/>
      </w:tabs>
      <w:wordWrap w:val="0"/>
      <w:overflowPunct w:val="0"/>
      <w:autoSpaceDE w:val="0"/>
      <w:spacing w:beforeLines="50" w:afterLines="50"/>
      <w:ind w:left="840" w:hanging="420"/>
      <w:jc w:val="both"/>
      <w:textAlignment w:val="baseline"/>
      <w:outlineLvl w:val="1"/>
    </w:pPr>
    <w:rPr>
      <w:rFonts w:ascii="黑体" w:hAnsi="Times New Roman" w:eastAsia="黑体" w:cs="Times New Roman"/>
      <w:kern w:val="21"/>
      <w:sz w:val="21"/>
      <w:lang w:val="en-US" w:eastAsia="zh-CN" w:bidi="ar-SA"/>
    </w:rPr>
  </w:style>
  <w:style w:type="paragraph" w:customStyle="1" w:styleId="324">
    <w:name w:val="样式 样式1 + 首行缩进:  2 字符"/>
    <w:basedOn w:val="70"/>
    <w:autoRedefine/>
    <w:qFormat/>
    <w:uiPriority w:val="0"/>
    <w:pPr>
      <w:keepNext w:val="0"/>
      <w:keepLines w:val="0"/>
      <w:autoSpaceDE/>
      <w:autoSpaceDN/>
      <w:adjustRightInd/>
      <w:spacing w:before="0" w:after="0" w:line="180" w:lineRule="atLeast"/>
      <w:ind w:left="431" w:hanging="431" w:hangingChars="154"/>
      <w:jc w:val="left"/>
    </w:pPr>
    <w:rPr>
      <w:rFonts w:ascii="宋体" w:hAnsi="宋体"/>
      <w:bCs w:val="0"/>
      <w:spacing w:val="-10"/>
      <w:kern w:val="2"/>
      <w:sz w:val="28"/>
      <w:szCs w:val="28"/>
    </w:rPr>
  </w:style>
  <w:style w:type="paragraph" w:customStyle="1" w:styleId="325">
    <w:name w:val="样式8"/>
    <w:basedOn w:val="70"/>
    <w:autoRedefine/>
    <w:qFormat/>
    <w:uiPriority w:val="0"/>
    <w:pPr>
      <w:keepNext w:val="0"/>
      <w:keepLines w:val="0"/>
      <w:tabs>
        <w:tab w:val="right" w:leader="dot" w:pos="9062"/>
      </w:tabs>
      <w:autoSpaceDE/>
      <w:autoSpaceDN/>
      <w:adjustRightInd/>
      <w:spacing w:before="0" w:after="0" w:line="400" w:lineRule="exact"/>
      <w:ind w:left="420" w:firstLine="200" w:firstLineChars="200"/>
      <w:jc w:val="center"/>
    </w:pPr>
    <w:rPr>
      <w:rFonts w:ascii="宋体" w:hAnsi="宋体"/>
      <w:color w:val="000000"/>
      <w:spacing w:val="20"/>
      <w:kern w:val="0"/>
      <w:sz w:val="24"/>
      <w:szCs w:val="24"/>
    </w:rPr>
  </w:style>
  <w:style w:type="paragraph" w:customStyle="1" w:styleId="326">
    <w:name w:val="xl4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rPr>
  </w:style>
  <w:style w:type="paragraph" w:customStyle="1" w:styleId="327">
    <w:name w:val="xl22"/>
    <w:basedOn w:val="1"/>
    <w:autoRedefine/>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color w:val="000000"/>
      <w:szCs w:val="21"/>
    </w:rPr>
  </w:style>
  <w:style w:type="paragraph" w:customStyle="1" w:styleId="328">
    <w:name w:val="Char3"/>
    <w:basedOn w:val="1"/>
    <w:autoRedefine/>
    <w:qFormat/>
    <w:uiPriority w:val="0"/>
    <w:pPr>
      <w:widowControl/>
      <w:spacing w:after="160" w:line="240" w:lineRule="exact"/>
      <w:jc w:val="left"/>
    </w:pPr>
    <w:rPr>
      <w:rFonts w:ascii="Verdana" w:hAnsi="Verdana"/>
      <w:sz w:val="20"/>
      <w:lang w:eastAsia="en-US"/>
    </w:rPr>
  </w:style>
  <w:style w:type="paragraph" w:customStyle="1" w:styleId="329">
    <w:name w:val="line_h20"/>
    <w:basedOn w:val="1"/>
    <w:autoRedefine/>
    <w:qFormat/>
    <w:uiPriority w:val="0"/>
    <w:pPr>
      <w:widowControl/>
      <w:spacing w:before="100" w:beforeAutospacing="1" w:after="100" w:afterAutospacing="1" w:line="300" w:lineRule="atLeast"/>
      <w:jc w:val="left"/>
    </w:pPr>
    <w:rPr>
      <w:rFonts w:hAnsi="宋体" w:cs="宋体"/>
    </w:rPr>
  </w:style>
  <w:style w:type="paragraph" w:customStyle="1" w:styleId="330">
    <w:name w:val="Char Char Char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331">
    <w:name w:val="兴滇正文"/>
    <w:autoRedefine/>
    <w:qFormat/>
    <w:uiPriority w:val="0"/>
    <w:pPr>
      <w:spacing w:line="360" w:lineRule="auto"/>
      <w:ind w:firstLine="200" w:firstLineChars="200"/>
      <w:jc w:val="both"/>
    </w:pPr>
    <w:rPr>
      <w:rFonts w:ascii="Times New Roman" w:hAnsi="Times New Roman" w:eastAsia="宋体" w:cs="Times New Roman"/>
      <w:color w:val="000000"/>
      <w:kern w:val="2"/>
      <w:sz w:val="28"/>
      <w:szCs w:val="30"/>
      <w:lang w:val="en-US" w:eastAsia="zh-CN" w:bidi="ar-SA"/>
    </w:rPr>
  </w:style>
  <w:style w:type="paragraph" w:customStyle="1" w:styleId="332">
    <w:name w:val="Char Char3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333">
    <w:name w:val="样式 样式 样式 小四 首行缩进:  2.25 字符 + 首行缩进:  2.25 字符 + 首行缩进:  2 字符"/>
    <w:basedOn w:val="1"/>
    <w:autoRedefine/>
    <w:qFormat/>
    <w:uiPriority w:val="0"/>
    <w:pPr>
      <w:spacing w:line="440" w:lineRule="exact"/>
      <w:ind w:firstLine="200" w:firstLineChars="200"/>
    </w:pPr>
  </w:style>
  <w:style w:type="paragraph" w:customStyle="1" w:styleId="334">
    <w:name w:val="Char Char Char Char Char Char Char Char Char Char Char Char Char Char Char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335">
    <w:name w:val="1"/>
    <w:basedOn w:val="1"/>
    <w:autoRedefine/>
    <w:qFormat/>
    <w:uiPriority w:val="0"/>
    <w:pPr>
      <w:spacing w:beforeLines="10" w:afterLines="10"/>
      <w:jc w:val="center"/>
    </w:pPr>
  </w:style>
  <w:style w:type="paragraph" w:customStyle="1" w:styleId="336">
    <w:name w:val="样式 标题 2 + 段前: 5 磅 段后: 5 磅"/>
    <w:basedOn w:val="3"/>
    <w:autoRedefine/>
    <w:qFormat/>
    <w:uiPriority w:val="0"/>
    <w:pPr>
      <w:spacing w:before="480" w:after="100" w:line="360" w:lineRule="auto"/>
    </w:pPr>
    <w:rPr>
      <w:rFonts w:ascii="宋体" w:hAnsi="宋体" w:eastAsia="黑体"/>
      <w:sz w:val="28"/>
      <w:szCs w:val="20"/>
    </w:rPr>
  </w:style>
  <w:style w:type="paragraph" w:customStyle="1" w:styleId="337">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rPr>
  </w:style>
  <w:style w:type="paragraph" w:customStyle="1" w:styleId="338">
    <w:name w:val="表1表2"/>
    <w:basedOn w:val="1"/>
    <w:autoRedefine/>
    <w:qFormat/>
    <w:uiPriority w:val="0"/>
    <w:pPr>
      <w:autoSpaceDE w:val="0"/>
      <w:autoSpaceDN w:val="0"/>
      <w:adjustRightInd w:val="0"/>
      <w:spacing w:line="360" w:lineRule="auto"/>
      <w:ind w:firstLine="200" w:firstLineChars="200"/>
      <w:jc w:val="center"/>
      <w:textAlignment w:val="center"/>
    </w:pPr>
    <w:rPr>
      <w:rFonts w:eastAsia="黑体"/>
    </w:rPr>
  </w:style>
  <w:style w:type="paragraph" w:customStyle="1" w:styleId="339">
    <w:name w:val="TxtBox"/>
    <w:basedOn w:val="1"/>
    <w:autoRedefine/>
    <w:qFormat/>
    <w:uiPriority w:val="0"/>
    <w:pPr>
      <w:spacing w:line="280" w:lineRule="exact"/>
      <w:jc w:val="center"/>
    </w:pPr>
  </w:style>
  <w:style w:type="paragraph" w:customStyle="1" w:styleId="340">
    <w:name w:val="表格头"/>
    <w:basedOn w:val="1"/>
    <w:autoRedefine/>
    <w:qFormat/>
    <w:uiPriority w:val="0"/>
    <w:pPr>
      <w:snapToGrid w:val="0"/>
      <w:spacing w:line="360" w:lineRule="auto"/>
      <w:ind w:firstLine="3171" w:firstLineChars="1316"/>
    </w:pPr>
    <w:rPr>
      <w:rFonts w:hAnsi="宋体"/>
      <w:b/>
      <w:color w:val="FF0000"/>
    </w:rPr>
  </w:style>
  <w:style w:type="paragraph" w:customStyle="1" w:styleId="341">
    <w:name w:val="1 Char Char Char Char"/>
    <w:basedOn w:val="1"/>
    <w:autoRedefine/>
    <w:qFormat/>
    <w:uiPriority w:val="0"/>
  </w:style>
  <w:style w:type="paragraph" w:customStyle="1" w:styleId="342">
    <w:name w:val="正文001"/>
    <w:basedOn w:val="1"/>
    <w:autoRedefine/>
    <w:qFormat/>
    <w:uiPriority w:val="0"/>
    <w:pPr>
      <w:spacing w:line="440" w:lineRule="atLeast"/>
      <w:ind w:firstLine="200" w:firstLineChars="200"/>
    </w:pPr>
  </w:style>
  <w:style w:type="paragraph" w:customStyle="1" w:styleId="343">
    <w:name w:val="Char Char Char Char Char Char Char2"/>
    <w:basedOn w:val="1"/>
    <w:autoRedefine/>
    <w:qFormat/>
    <w:uiPriority w:val="0"/>
    <w:pPr>
      <w:widowControl/>
      <w:spacing w:after="160" w:line="240" w:lineRule="exact"/>
      <w:jc w:val="left"/>
    </w:pPr>
    <w:rPr>
      <w:rFonts w:ascii="Verdana" w:hAnsi="Verdana" w:eastAsia="仿宋_GB2312"/>
      <w:lang w:eastAsia="en-US"/>
    </w:rPr>
  </w:style>
  <w:style w:type="paragraph" w:customStyle="1" w:styleId="344">
    <w:name w:val="项目名称"/>
    <w:basedOn w:val="1"/>
    <w:autoRedefine/>
    <w:qFormat/>
    <w:uiPriority w:val="0"/>
    <w:pPr>
      <w:jc w:val="center"/>
    </w:pPr>
    <w:rPr>
      <w:rFonts w:cs="Arial"/>
      <w:b/>
      <w:sz w:val="36"/>
      <w:szCs w:val="36"/>
    </w:rPr>
  </w:style>
  <w:style w:type="paragraph" w:customStyle="1" w:styleId="345">
    <w:name w:val="xl46"/>
    <w:basedOn w:val="1"/>
    <w:autoRedefine/>
    <w:qFormat/>
    <w:uiPriority w:val="0"/>
    <w:pPr>
      <w:widowControl/>
      <w:spacing w:before="100" w:after="100"/>
      <w:textAlignment w:val="top"/>
    </w:pPr>
    <w:rPr>
      <w:rFonts w:hAnsi="宋体"/>
    </w:rPr>
  </w:style>
  <w:style w:type="paragraph" w:customStyle="1" w:styleId="346">
    <w:name w:val="7"/>
    <w:basedOn w:val="1"/>
    <w:next w:val="4"/>
    <w:autoRedefine/>
    <w:qFormat/>
    <w:uiPriority w:val="0"/>
    <w:pPr>
      <w:spacing w:line="440" w:lineRule="exact"/>
      <w:ind w:firstLine="420"/>
    </w:pPr>
  </w:style>
  <w:style w:type="paragraph" w:customStyle="1" w:styleId="34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rPr>
  </w:style>
  <w:style w:type="paragraph" w:customStyle="1" w:styleId="348">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49">
    <w:name w:val="Char Char Char Char Char Char Char Char Char Char Char Char2"/>
    <w:basedOn w:val="1"/>
    <w:autoRedefine/>
    <w:qFormat/>
    <w:uiPriority w:val="0"/>
    <w:pPr>
      <w:widowControl/>
      <w:spacing w:after="160" w:line="240" w:lineRule="exact"/>
      <w:jc w:val="left"/>
    </w:pPr>
    <w:rPr>
      <w:rFonts w:ascii="Verdana" w:hAnsi="Verdana" w:eastAsia="仿宋_GB2312"/>
      <w:lang w:eastAsia="en-US"/>
    </w:rPr>
  </w:style>
  <w:style w:type="paragraph" w:customStyle="1" w:styleId="350">
    <w:name w:val="表头文字"/>
    <w:basedOn w:val="1"/>
    <w:next w:val="1"/>
    <w:autoRedefine/>
    <w:qFormat/>
    <w:uiPriority w:val="0"/>
    <w:pPr>
      <w:jc w:val="center"/>
    </w:pPr>
    <w:rPr>
      <w:rFonts w:ascii="Times New Roman"/>
      <w:b/>
      <w:kern w:val="2"/>
      <w:sz w:val="21"/>
      <w:szCs w:val="22"/>
    </w:rPr>
  </w:style>
  <w:style w:type="paragraph" w:customStyle="1" w:styleId="351">
    <w:name w:val="正文文本 31"/>
    <w:basedOn w:val="1"/>
    <w:autoRedefine/>
    <w:qFormat/>
    <w:uiPriority w:val="0"/>
    <w:pPr>
      <w:adjustRightInd w:val="0"/>
      <w:jc w:val="center"/>
    </w:pPr>
  </w:style>
  <w:style w:type="paragraph" w:customStyle="1" w:styleId="352">
    <w:name w:val="标题5"/>
    <w:basedOn w:val="1"/>
    <w:autoRedefine/>
    <w:qFormat/>
    <w:uiPriority w:val="0"/>
    <w:pPr>
      <w:snapToGrid w:val="0"/>
    </w:pPr>
    <w:rPr>
      <w:szCs w:val="21"/>
    </w:rPr>
  </w:style>
  <w:style w:type="paragraph" w:customStyle="1" w:styleId="353">
    <w:name w:val="Char Char1 Char"/>
    <w:basedOn w:val="1"/>
    <w:autoRedefine/>
    <w:qFormat/>
    <w:uiPriority w:val="0"/>
    <w:pPr>
      <w:widowControl/>
      <w:spacing w:after="160" w:line="240" w:lineRule="exact"/>
      <w:jc w:val="left"/>
    </w:pPr>
    <w:rPr>
      <w:rFonts w:ascii="Verdana" w:hAnsi="Verdana" w:eastAsia="仿宋_GB2312"/>
      <w:lang w:eastAsia="en-US"/>
    </w:rPr>
  </w:style>
  <w:style w:type="paragraph" w:customStyle="1" w:styleId="354">
    <w:name w:val="样式 标题 2节标题 1.11.1标题2h2l22nd levelTitre2Header 2H2节标题b2..."/>
    <w:basedOn w:val="1"/>
    <w:autoRedefine/>
    <w:qFormat/>
    <w:uiPriority w:val="0"/>
    <w:pPr>
      <w:keepNext/>
      <w:keepLines/>
      <w:adjustRightInd w:val="0"/>
      <w:snapToGrid w:val="0"/>
      <w:spacing w:beforeLines="50" w:afterLines="50" w:line="360" w:lineRule="auto"/>
      <w:outlineLvl w:val="1"/>
    </w:pPr>
    <w:rPr>
      <w:b/>
      <w:sz w:val="32"/>
      <w:szCs w:val="32"/>
    </w:rPr>
  </w:style>
  <w:style w:type="paragraph" w:customStyle="1" w:styleId="355">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rPr>
  </w:style>
  <w:style w:type="paragraph" w:customStyle="1" w:styleId="356">
    <w:name w:val="图表脚注"/>
    <w:next w:val="1"/>
    <w:autoRedefine/>
    <w:qFormat/>
    <w:uiPriority w:val="0"/>
    <w:pPr>
      <w:tabs>
        <w:tab w:val="left" w:pos="780"/>
      </w:tabs>
      <w:ind w:left="300" w:leftChars="200" w:hanging="100" w:hangingChars="100"/>
      <w:jc w:val="both"/>
    </w:pPr>
    <w:rPr>
      <w:rFonts w:ascii="宋体" w:hAnsi="Times New Roman" w:eastAsia="宋体" w:cs="Times New Roman"/>
      <w:sz w:val="18"/>
      <w:lang w:val="en-US" w:eastAsia="zh-CN" w:bidi="ar-SA"/>
    </w:rPr>
  </w:style>
  <w:style w:type="paragraph" w:customStyle="1" w:styleId="357">
    <w:name w:val="Char1 Char Char Char2"/>
    <w:basedOn w:val="1"/>
    <w:autoRedefine/>
    <w:qFormat/>
    <w:uiPriority w:val="0"/>
    <w:pPr>
      <w:widowControl/>
      <w:spacing w:after="160" w:line="240" w:lineRule="exact"/>
      <w:jc w:val="left"/>
    </w:pPr>
    <w:rPr>
      <w:rFonts w:ascii="Arial" w:hAnsi="Arial" w:eastAsia="Times New Roman" w:cs="Verdana"/>
      <w:b/>
      <w:lang w:eastAsia="en-US"/>
    </w:rPr>
  </w:style>
  <w:style w:type="paragraph" w:customStyle="1" w:styleId="358">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b/>
      <w:bCs/>
    </w:rPr>
  </w:style>
  <w:style w:type="paragraph" w:customStyle="1" w:styleId="359">
    <w:name w:val="正文 + 首行缩进:  2 字符"/>
    <w:basedOn w:val="1"/>
    <w:autoRedefine/>
    <w:qFormat/>
    <w:uiPriority w:val="0"/>
    <w:pPr>
      <w:spacing w:line="360" w:lineRule="auto"/>
      <w:ind w:firstLine="480" w:firstLineChars="200"/>
    </w:pPr>
  </w:style>
  <w:style w:type="paragraph" w:customStyle="1" w:styleId="360">
    <w:name w:val="TabHead"/>
    <w:basedOn w:val="1"/>
    <w:autoRedefine/>
    <w:qFormat/>
    <w:uiPriority w:val="0"/>
    <w:pPr>
      <w:spacing w:line="360" w:lineRule="auto"/>
      <w:ind w:firstLine="480" w:firstLineChars="200"/>
      <w:jc w:val="center"/>
    </w:pPr>
  </w:style>
  <w:style w:type="paragraph" w:customStyle="1" w:styleId="361">
    <w:name w:val="图文框"/>
    <w:basedOn w:val="1"/>
    <w:autoRedefine/>
    <w:qFormat/>
    <w:uiPriority w:val="0"/>
    <w:pPr>
      <w:spacing w:line="260" w:lineRule="exact"/>
    </w:pPr>
    <w:rPr>
      <w:rFonts w:hAnsi="宋体"/>
      <w:szCs w:val="21"/>
    </w:rPr>
  </w:style>
  <w:style w:type="paragraph" w:customStyle="1" w:styleId="362">
    <w:name w:val="样式5"/>
    <w:basedOn w:val="1"/>
    <w:autoRedefine/>
    <w:qFormat/>
    <w:uiPriority w:val="0"/>
    <w:pPr>
      <w:spacing w:line="420" w:lineRule="exact"/>
      <w:ind w:firstLine="578"/>
    </w:pPr>
    <w:rPr>
      <w:b/>
      <w:sz w:val="28"/>
    </w:rPr>
  </w:style>
  <w:style w:type="paragraph" w:customStyle="1" w:styleId="363">
    <w:name w:val="Char21"/>
    <w:basedOn w:val="1"/>
    <w:autoRedefine/>
    <w:qFormat/>
    <w:uiPriority w:val="0"/>
  </w:style>
  <w:style w:type="paragraph" w:customStyle="1" w:styleId="364">
    <w:name w:val="正文文本 32"/>
    <w:basedOn w:val="1"/>
    <w:autoRedefine/>
    <w:qFormat/>
    <w:uiPriority w:val="0"/>
    <w:pPr>
      <w:adjustRightInd w:val="0"/>
      <w:jc w:val="center"/>
    </w:pPr>
  </w:style>
  <w:style w:type="paragraph" w:customStyle="1" w:styleId="365">
    <w:name w:val="缩进"/>
    <w:basedOn w:val="1"/>
    <w:autoRedefine/>
    <w:qFormat/>
    <w:uiPriority w:val="0"/>
    <w:pPr>
      <w:spacing w:line="360" w:lineRule="auto"/>
      <w:ind w:firstLine="200" w:firstLineChars="200"/>
    </w:pPr>
    <w:rPr>
      <w:rFonts w:hAnsi="宋体"/>
    </w:rPr>
  </w:style>
  <w:style w:type="paragraph" w:customStyle="1" w:styleId="366">
    <w:name w:val="样式 表格1 + 首行缩进:  0.81 厘米"/>
    <w:basedOn w:val="1"/>
    <w:autoRedefine/>
    <w:qFormat/>
    <w:uiPriority w:val="0"/>
  </w:style>
  <w:style w:type="paragraph" w:customStyle="1" w:styleId="367">
    <w:name w:val="xl3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rPr>
  </w:style>
  <w:style w:type="paragraph" w:customStyle="1" w:styleId="368">
    <w:name w:val="正文文本 211"/>
    <w:basedOn w:val="1"/>
    <w:autoRedefine/>
    <w:qFormat/>
    <w:uiPriority w:val="0"/>
    <w:pPr>
      <w:adjustRightInd w:val="0"/>
      <w:spacing w:line="440" w:lineRule="exact"/>
      <w:ind w:firstLine="480"/>
    </w:pPr>
    <w:rPr>
      <w:rFonts w:ascii="Arial" w:hAnsi="Arial"/>
    </w:rPr>
  </w:style>
  <w:style w:type="paragraph" w:customStyle="1" w:styleId="369">
    <w:name w:val="样式 四号 首行缩进:  2 字符"/>
    <w:basedOn w:val="1"/>
    <w:autoRedefine/>
    <w:qFormat/>
    <w:uiPriority w:val="0"/>
    <w:pPr>
      <w:spacing w:line="480" w:lineRule="atLeast"/>
      <w:ind w:firstLine="200" w:firstLineChars="200"/>
    </w:pPr>
  </w:style>
  <w:style w:type="paragraph" w:customStyle="1" w:styleId="370">
    <w:name w:val="正文文本缩进 21"/>
    <w:basedOn w:val="1"/>
    <w:autoRedefine/>
    <w:qFormat/>
    <w:uiPriority w:val="0"/>
    <w:pPr>
      <w:adjustRightInd w:val="0"/>
      <w:ind w:left="718" w:firstLine="720"/>
      <w:textAlignment w:val="baseline"/>
    </w:pPr>
    <w:rPr>
      <w:sz w:val="32"/>
    </w:rPr>
  </w:style>
  <w:style w:type="paragraph" w:customStyle="1" w:styleId="371">
    <w:name w:val="Char Char3 Char Char Char Char Char Char1 Char Char Char Char Char Char2"/>
    <w:basedOn w:val="1"/>
    <w:autoRedefine/>
    <w:qFormat/>
    <w:uiPriority w:val="0"/>
    <w:pPr>
      <w:widowControl/>
      <w:spacing w:after="160" w:line="240" w:lineRule="exact"/>
      <w:jc w:val="left"/>
    </w:pPr>
    <w:rPr>
      <w:rFonts w:ascii="Verdana" w:hAnsi="Verdana" w:eastAsia="仿宋_GB2312"/>
      <w:lang w:eastAsia="en-US"/>
    </w:rPr>
  </w:style>
  <w:style w:type="paragraph" w:customStyle="1" w:styleId="372">
    <w:name w:val="hea"/>
    <w:basedOn w:val="1"/>
    <w:next w:val="1"/>
    <w:autoRedefine/>
    <w:qFormat/>
    <w:uiPriority w:val="0"/>
    <w:pPr>
      <w:keepNext/>
      <w:keepLines/>
      <w:spacing w:line="560" w:lineRule="atLeast"/>
      <w:ind w:firstLine="521" w:firstLineChars="220"/>
    </w:pPr>
    <w:rPr>
      <w:rFonts w:hAnsi="宋体" w:cs="宋体"/>
      <w:b/>
      <w:bCs/>
      <w:spacing w:val="-2"/>
    </w:rPr>
  </w:style>
  <w:style w:type="paragraph" w:customStyle="1" w:styleId="373">
    <w:name w:val="Char Char3 Char Char1"/>
    <w:basedOn w:val="1"/>
    <w:autoRedefine/>
    <w:qFormat/>
    <w:uiPriority w:val="0"/>
  </w:style>
  <w:style w:type="paragraph" w:customStyle="1" w:styleId="374">
    <w:name w:val="p0"/>
    <w:basedOn w:val="1"/>
    <w:autoRedefine/>
    <w:qFormat/>
    <w:uiPriority w:val="0"/>
    <w:pPr>
      <w:widowControl/>
      <w:jc w:val="left"/>
    </w:pPr>
    <w:rPr>
      <w:sz w:val="20"/>
    </w:rPr>
  </w:style>
  <w:style w:type="paragraph" w:customStyle="1" w:styleId="375">
    <w:name w:val="xl45"/>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rPr>
  </w:style>
  <w:style w:type="paragraph" w:customStyle="1" w:styleId="376">
    <w:name w:val="文本框"/>
    <w:basedOn w:val="1"/>
    <w:autoRedefine/>
    <w:qFormat/>
    <w:uiPriority w:val="0"/>
    <w:pPr>
      <w:adjustRightInd w:val="0"/>
      <w:spacing w:before="20" w:after="20"/>
      <w:jc w:val="center"/>
    </w:pPr>
  </w:style>
  <w:style w:type="paragraph" w:customStyle="1" w:styleId="377">
    <w:name w:val="前言、引言标题"/>
    <w:next w:val="1"/>
    <w:autoRedefine/>
    <w:qFormat/>
    <w:uiPriority w:val="0"/>
    <w:pPr>
      <w:shd w:val="clear" w:color="FFFFFF" w:fill="FFFFFF"/>
      <w:tabs>
        <w:tab w:val="left" w:pos="780"/>
      </w:tabs>
      <w:spacing w:before="640" w:after="560"/>
      <w:ind w:left="780" w:leftChars="200" w:hanging="360" w:hangingChars="200"/>
      <w:jc w:val="center"/>
      <w:outlineLvl w:val="0"/>
    </w:pPr>
    <w:rPr>
      <w:rFonts w:ascii="黑体" w:hAnsi="Times New Roman" w:eastAsia="黑体" w:cs="Times New Roman"/>
      <w:sz w:val="32"/>
      <w:lang w:val="en-US" w:eastAsia="zh-CN" w:bidi="ar-SA"/>
    </w:rPr>
  </w:style>
  <w:style w:type="paragraph" w:customStyle="1" w:styleId="378">
    <w:name w:val="dh3"/>
    <w:basedOn w:val="5"/>
    <w:autoRedefine/>
    <w:qFormat/>
    <w:uiPriority w:val="0"/>
    <w:pPr>
      <w:keepNext w:val="0"/>
      <w:keepLines w:val="0"/>
      <w:adjustRightInd w:val="0"/>
      <w:spacing w:before="0" w:after="0" w:line="360" w:lineRule="auto"/>
      <w:jc w:val="left"/>
      <w:textAlignment w:val="baseline"/>
    </w:pPr>
    <w:rPr>
      <w:rFonts w:ascii="Roman" w:hAnsi="Arial"/>
      <w:b w:val="0"/>
      <w:bCs w:val="0"/>
      <w:sz w:val="28"/>
      <w:szCs w:val="20"/>
    </w:rPr>
  </w:style>
  <w:style w:type="paragraph" w:customStyle="1" w:styleId="379">
    <w:name w:val="样式16"/>
    <w:basedOn w:val="1"/>
    <w:autoRedefine/>
    <w:qFormat/>
    <w:uiPriority w:val="0"/>
    <w:pPr>
      <w:spacing w:line="400" w:lineRule="exact"/>
      <w:ind w:firstLine="560" w:firstLineChars="200"/>
    </w:pPr>
    <w:rPr>
      <w:b/>
      <w:spacing w:val="20"/>
    </w:rPr>
  </w:style>
  <w:style w:type="paragraph" w:customStyle="1" w:styleId="380">
    <w:name w:val="Char Char3 Char Char Char Char2"/>
    <w:basedOn w:val="1"/>
    <w:autoRedefine/>
    <w:qFormat/>
    <w:uiPriority w:val="0"/>
    <w:pPr>
      <w:widowControl/>
      <w:spacing w:after="160" w:line="240" w:lineRule="exact"/>
      <w:jc w:val="left"/>
    </w:pPr>
    <w:rPr>
      <w:rFonts w:ascii="Verdana" w:hAnsi="Verdana" w:eastAsia="仿宋_GB2312"/>
      <w:lang w:eastAsia="en-US"/>
    </w:rPr>
  </w:style>
  <w:style w:type="paragraph" w:customStyle="1" w:styleId="381">
    <w:name w:val="样式 正文（首行缩进两字） + 小四"/>
    <w:basedOn w:val="4"/>
    <w:autoRedefine/>
    <w:qFormat/>
    <w:uiPriority w:val="0"/>
    <w:pPr>
      <w:ind w:firstLine="0" w:firstLineChars="0"/>
      <w:jc w:val="left"/>
    </w:pPr>
    <w:rPr>
      <w:spacing w:val="20"/>
      <w:sz w:val="24"/>
      <w:szCs w:val="24"/>
    </w:rPr>
  </w:style>
  <w:style w:type="paragraph" w:customStyle="1" w:styleId="382">
    <w:name w:val="font5"/>
    <w:basedOn w:val="1"/>
    <w:autoRedefine/>
    <w:qFormat/>
    <w:uiPriority w:val="0"/>
    <w:pPr>
      <w:widowControl/>
      <w:spacing w:before="100" w:beforeAutospacing="1" w:after="100" w:afterAutospacing="1"/>
      <w:jc w:val="left"/>
    </w:pPr>
    <w:rPr>
      <w:rFonts w:hint="eastAsia" w:hAnsi="宋体" w:cs="Arial Unicode MS"/>
      <w:sz w:val="18"/>
      <w:szCs w:val="18"/>
    </w:rPr>
  </w:style>
  <w:style w:type="paragraph" w:customStyle="1" w:styleId="383">
    <w:name w:val="Char Char Char Char Char Char Char Char Char Char Char Char Char Char Char Char2"/>
    <w:basedOn w:val="1"/>
    <w:autoRedefine/>
    <w:qFormat/>
    <w:uiPriority w:val="0"/>
    <w:pPr>
      <w:widowControl/>
      <w:spacing w:after="160" w:line="240" w:lineRule="exact"/>
      <w:jc w:val="left"/>
    </w:pPr>
    <w:rPr>
      <w:rFonts w:ascii="Verdana" w:hAnsi="Verdana" w:eastAsia="仿宋_GB2312"/>
      <w:lang w:eastAsia="en-US"/>
    </w:rPr>
  </w:style>
  <w:style w:type="paragraph" w:customStyle="1" w:styleId="384">
    <w:name w:val="标题二"/>
    <w:basedOn w:val="1"/>
    <w:autoRedefine/>
    <w:qFormat/>
    <w:uiPriority w:val="0"/>
    <w:pPr>
      <w:snapToGrid w:val="0"/>
      <w:spacing w:line="480" w:lineRule="atLeast"/>
      <w:ind w:firstLine="567"/>
    </w:pPr>
    <w:rPr>
      <w:rFonts w:eastAsia="黑体"/>
      <w:sz w:val="28"/>
    </w:rPr>
  </w:style>
  <w:style w:type="paragraph" w:customStyle="1" w:styleId="385">
    <w:name w:val="正文段落"/>
    <w:basedOn w:val="1"/>
    <w:autoRedefine/>
    <w:qFormat/>
    <w:uiPriority w:val="0"/>
    <w:pPr>
      <w:spacing w:line="500" w:lineRule="exact"/>
      <w:ind w:firstLine="200" w:firstLineChars="200"/>
    </w:pPr>
  </w:style>
  <w:style w:type="paragraph" w:customStyle="1" w:styleId="386">
    <w:name w:val="font6"/>
    <w:basedOn w:val="1"/>
    <w:autoRedefine/>
    <w:qFormat/>
    <w:uiPriority w:val="0"/>
    <w:pPr>
      <w:widowControl/>
      <w:spacing w:before="100" w:beforeAutospacing="1" w:after="100" w:afterAutospacing="1"/>
      <w:jc w:val="left"/>
    </w:pPr>
    <w:rPr>
      <w:rFonts w:eastAsia="Arial Unicode MS"/>
    </w:rPr>
  </w:style>
  <w:style w:type="paragraph" w:customStyle="1" w:styleId="387">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b/>
      <w:bCs/>
    </w:rPr>
  </w:style>
  <w:style w:type="paragraph" w:customStyle="1" w:styleId="388">
    <w:name w:val="标准称谓"/>
    <w:basedOn w:val="74"/>
    <w:next w:val="74"/>
    <w:autoRedefine/>
    <w:qFormat/>
    <w:uiPriority w:val="0"/>
    <w:rPr>
      <w:rFonts w:ascii="宋体" w:eastAsia="宋体" w:cs="Times New Roman"/>
      <w:color w:val="auto"/>
    </w:rPr>
  </w:style>
  <w:style w:type="paragraph" w:customStyle="1" w:styleId="389">
    <w:name w:val="正文1"/>
    <w:basedOn w:val="1"/>
    <w:autoRedefine/>
    <w:qFormat/>
    <w:uiPriority w:val="0"/>
    <w:pPr>
      <w:tabs>
        <w:tab w:val="left" w:pos="5327"/>
        <w:tab w:val="left" w:pos="6326"/>
        <w:tab w:val="left" w:pos="7230"/>
        <w:tab w:val="left" w:pos="9301"/>
      </w:tabs>
      <w:autoSpaceDE w:val="0"/>
      <w:autoSpaceDN w:val="0"/>
      <w:adjustRightInd w:val="0"/>
      <w:snapToGrid w:val="0"/>
      <w:spacing w:line="560" w:lineRule="exact"/>
      <w:ind w:firstLine="560" w:firstLineChars="200"/>
      <w:jc w:val="left"/>
    </w:pPr>
    <w:rPr>
      <w:rFonts w:ascii="Arial Narrow" w:hAnsi="Arial Narrow"/>
      <w:color w:val="000000"/>
      <w:kern w:val="10"/>
      <w:sz w:val="28"/>
      <w:szCs w:val="28"/>
    </w:rPr>
  </w:style>
  <w:style w:type="paragraph" w:customStyle="1" w:styleId="390">
    <w:name w:val="样式21"/>
    <w:basedOn w:val="315"/>
    <w:autoRedefine/>
    <w:qFormat/>
    <w:uiPriority w:val="0"/>
    <w:rPr>
      <w:rFonts w:eastAsia="黑体"/>
      <w:sz w:val="21"/>
    </w:rPr>
  </w:style>
  <w:style w:type="paragraph" w:customStyle="1" w:styleId="391">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rPr>
  </w:style>
  <w:style w:type="paragraph" w:customStyle="1" w:styleId="392">
    <w:name w:val="样式17"/>
    <w:basedOn w:val="1"/>
    <w:autoRedefine/>
    <w:qFormat/>
    <w:uiPriority w:val="0"/>
    <w:pPr>
      <w:spacing w:line="400" w:lineRule="exact"/>
      <w:ind w:firstLine="200" w:firstLineChars="200"/>
    </w:pPr>
    <w:rPr>
      <w:spacing w:val="20"/>
    </w:rPr>
  </w:style>
  <w:style w:type="paragraph" w:customStyle="1" w:styleId="393">
    <w:name w:val="正文文本缩进 211"/>
    <w:basedOn w:val="1"/>
    <w:autoRedefine/>
    <w:qFormat/>
    <w:uiPriority w:val="0"/>
    <w:pPr>
      <w:adjustRightInd w:val="0"/>
      <w:ind w:left="718" w:firstLine="720"/>
      <w:textAlignment w:val="baseline"/>
    </w:pPr>
    <w:rPr>
      <w:sz w:val="32"/>
    </w:rPr>
  </w:style>
  <w:style w:type="paragraph" w:customStyle="1" w:styleId="394">
    <w:name w:val="四级标题1.1.1.1"/>
    <w:basedOn w:val="1"/>
    <w:next w:val="1"/>
    <w:autoRedefine/>
    <w:qFormat/>
    <w:uiPriority w:val="0"/>
    <w:pPr>
      <w:keepNext/>
      <w:keepLines/>
      <w:widowControl/>
      <w:adjustRightInd w:val="0"/>
      <w:spacing w:before="40" w:after="40" w:line="360" w:lineRule="auto"/>
      <w:ind w:firstLine="200" w:firstLineChars="200"/>
      <w:textAlignment w:val="baseline"/>
      <w:outlineLvl w:val="3"/>
    </w:pPr>
    <w:rPr>
      <w:rFonts w:eastAsia="仿宋_GB2312" w:cs="宋体"/>
      <w:b/>
      <w:szCs w:val="28"/>
    </w:rPr>
  </w:style>
  <w:style w:type="paragraph" w:customStyle="1" w:styleId="395">
    <w:name w:val="xl41"/>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rPr>
  </w:style>
  <w:style w:type="paragraph" w:customStyle="1" w:styleId="396">
    <w:name w:val="正文2"/>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397">
    <w:name w:val="Char Char3 Char Char Char Char Char Char1 Char Char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398">
    <w:name w:val="表"/>
    <w:basedOn w:val="1"/>
    <w:autoRedefine/>
    <w:qFormat/>
    <w:uiPriority w:val="0"/>
    <w:pPr>
      <w:snapToGrid w:val="0"/>
      <w:jc w:val="center"/>
    </w:pPr>
    <w:rPr>
      <w:spacing w:val="2"/>
    </w:rPr>
  </w:style>
  <w:style w:type="paragraph" w:customStyle="1" w:styleId="399">
    <w:name w:val="Char1 Char Char Char1"/>
    <w:basedOn w:val="1"/>
    <w:autoRedefine/>
    <w:qFormat/>
    <w:uiPriority w:val="0"/>
    <w:pPr>
      <w:widowControl/>
      <w:spacing w:after="160" w:line="240" w:lineRule="exact"/>
      <w:jc w:val="left"/>
    </w:pPr>
    <w:rPr>
      <w:rFonts w:ascii="Arial" w:hAnsi="Arial" w:eastAsia="Times New Roman" w:cs="Verdana"/>
      <w:b/>
      <w:lang w:eastAsia="en-US"/>
    </w:rPr>
  </w:style>
  <w:style w:type="paragraph" w:customStyle="1" w:styleId="400">
    <w:name w:val="Char Char1 Char Char Char Char Char Char Char Char Char Char Char Char Char Char Char Char Char Char Char Char Char Char Char Char Char Char Char Char Char Char Char Char"/>
    <w:basedOn w:val="1"/>
    <w:autoRedefine/>
    <w:qFormat/>
    <w:uiPriority w:val="0"/>
    <w:pPr>
      <w:widowControl/>
      <w:spacing w:line="360" w:lineRule="auto"/>
      <w:ind w:left="835" w:firstLine="200" w:firstLineChars="200"/>
      <w:jc w:val="left"/>
    </w:pPr>
    <w:rPr>
      <w:rFonts w:ascii="Arial" w:hAnsi="Arial"/>
      <w:spacing w:val="-5"/>
      <w:sz w:val="20"/>
      <w:lang w:bidi="he-IL"/>
    </w:rPr>
  </w:style>
  <w:style w:type="paragraph" w:customStyle="1" w:styleId="401">
    <w:name w:val="Char Char1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402">
    <w:name w:val="p17"/>
    <w:basedOn w:val="1"/>
    <w:autoRedefine/>
    <w:qFormat/>
    <w:uiPriority w:val="0"/>
    <w:pPr>
      <w:widowControl/>
      <w:spacing w:after="120"/>
    </w:pPr>
    <w:rPr>
      <w:szCs w:val="21"/>
    </w:rPr>
  </w:style>
  <w:style w:type="paragraph" w:customStyle="1" w:styleId="403">
    <w:name w:val="样式 正文 + 居中"/>
    <w:basedOn w:val="4"/>
    <w:autoRedefine/>
    <w:qFormat/>
    <w:uiPriority w:val="0"/>
    <w:pPr>
      <w:widowControl/>
      <w:ind w:firstLine="0" w:firstLineChars="0"/>
      <w:jc w:val="center"/>
    </w:pPr>
    <w:rPr>
      <w:rFonts w:cs="宋体"/>
      <w:spacing w:val="20"/>
      <w:kern w:val="0"/>
      <w:sz w:val="24"/>
    </w:rPr>
  </w:style>
  <w:style w:type="paragraph" w:customStyle="1" w:styleId="404">
    <w:name w:val="表biao"/>
    <w:basedOn w:val="1"/>
    <w:autoRedefine/>
    <w:qFormat/>
    <w:uiPriority w:val="0"/>
    <w:pPr>
      <w:jc w:val="center"/>
    </w:pPr>
    <w:rPr>
      <w:w w:val="90"/>
    </w:rPr>
  </w:style>
  <w:style w:type="paragraph" w:customStyle="1" w:styleId="405">
    <w:name w:val="Char Char Char Char Char Char Char Char Char Char Char Char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406">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rPr>
  </w:style>
  <w:style w:type="paragraph" w:customStyle="1" w:styleId="407">
    <w:name w:val="Char Char Char Char1 Char Char Char Char Char Char Char Char Char Char Char Char Char Char Char Char Char1"/>
    <w:basedOn w:val="1"/>
    <w:autoRedefine/>
    <w:qFormat/>
    <w:uiPriority w:val="0"/>
    <w:pPr>
      <w:widowControl/>
      <w:spacing w:after="160" w:line="240" w:lineRule="exact"/>
      <w:jc w:val="left"/>
    </w:pPr>
    <w:rPr>
      <w:rFonts w:ascii="Verdana" w:hAnsi="Verdana" w:eastAsia="仿宋_GB2312"/>
      <w:lang w:eastAsia="en-US"/>
    </w:rPr>
  </w:style>
  <w:style w:type="paragraph" w:customStyle="1" w:styleId="408">
    <w:name w:val="Char Char Char Char Char Char Char Char Char Char Char Char Char Char Char Char Char Char Char Char Char Char Char Char1 Char Char Char1 Char"/>
    <w:basedOn w:val="1"/>
    <w:autoRedefine/>
    <w:qFormat/>
    <w:uiPriority w:val="0"/>
  </w:style>
  <w:style w:type="paragraph" w:customStyle="1" w:styleId="409">
    <w:name w:val="xl34"/>
    <w:basedOn w:val="1"/>
    <w:autoRedefine/>
    <w:qFormat/>
    <w:uiPriority w:val="0"/>
    <w:pPr>
      <w:widowControl/>
      <w:pBdr>
        <w:bottom w:val="single" w:color="auto" w:sz="4" w:space="0"/>
      </w:pBdr>
      <w:spacing w:before="100" w:beforeAutospacing="1" w:after="100" w:afterAutospacing="1"/>
      <w:jc w:val="left"/>
    </w:pPr>
    <w:rPr>
      <w:rFonts w:ascii="Arial Unicode MS" w:hAnsi="Arial Unicode MS" w:eastAsia="Arial Unicode MS" w:cs="Arial Unicode MS"/>
    </w:rPr>
  </w:style>
  <w:style w:type="paragraph" w:customStyle="1" w:styleId="410">
    <w:name w:val="表格 32"/>
    <w:basedOn w:val="1"/>
    <w:autoRedefine/>
    <w:qFormat/>
    <w:uiPriority w:val="0"/>
    <w:pPr>
      <w:autoSpaceDE w:val="0"/>
      <w:autoSpaceDN w:val="0"/>
      <w:adjustRightInd w:val="0"/>
      <w:jc w:val="center"/>
      <w:textAlignment w:val="baseline"/>
    </w:pPr>
    <w:rPr>
      <w:rFonts w:eastAsia="楷体_GB2312"/>
    </w:rPr>
  </w:style>
  <w:style w:type="paragraph" w:customStyle="1" w:styleId="411">
    <w:name w:val="Char Char Char1"/>
    <w:basedOn w:val="1"/>
    <w:autoRedefine/>
    <w:qFormat/>
    <w:uiPriority w:val="0"/>
  </w:style>
  <w:style w:type="paragraph" w:customStyle="1" w:styleId="412">
    <w:name w:val="Char1"/>
    <w:basedOn w:val="1"/>
    <w:autoRedefine/>
    <w:qFormat/>
    <w:uiPriority w:val="0"/>
    <w:pPr>
      <w:spacing w:line="360" w:lineRule="auto"/>
      <w:ind w:firstLine="200" w:firstLineChars="200"/>
    </w:pPr>
    <w:rPr>
      <w:rFonts w:hAnsi="宋体" w:cs="宋体"/>
      <w:szCs w:val="21"/>
    </w:rPr>
  </w:style>
  <w:style w:type="paragraph" w:customStyle="1" w:styleId="413">
    <w:name w:val="表 头"/>
    <w:basedOn w:val="1"/>
    <w:autoRedefine/>
    <w:qFormat/>
    <w:uiPriority w:val="0"/>
    <w:pPr>
      <w:adjustRightInd w:val="0"/>
      <w:spacing w:before="120" w:after="120" w:line="240" w:lineRule="exact"/>
      <w:jc w:val="center"/>
    </w:pPr>
    <w:rPr>
      <w:rFonts w:hAnsi="宋体"/>
      <w:b/>
      <w:color w:val="000000"/>
    </w:rPr>
  </w:style>
  <w:style w:type="paragraph" w:customStyle="1" w:styleId="414">
    <w:name w:val="修订1"/>
    <w:autoRedefine/>
    <w:qFormat/>
    <w:uiPriority w:val="0"/>
    <w:rPr>
      <w:rFonts w:ascii="Times New Roman" w:hAnsi="Times New Roman" w:eastAsia="宋体" w:cs="Times New Roman"/>
      <w:kern w:val="2"/>
      <w:sz w:val="21"/>
      <w:szCs w:val="24"/>
      <w:lang w:val="en-US" w:eastAsia="zh-CN" w:bidi="ar-SA"/>
    </w:rPr>
  </w:style>
  <w:style w:type="paragraph" w:customStyle="1" w:styleId="415">
    <w:name w:val="xl33"/>
    <w:basedOn w:val="1"/>
    <w:autoRedefine/>
    <w:qFormat/>
    <w:uiPriority w:val="0"/>
    <w:pPr>
      <w:widowControl/>
      <w:pBdr>
        <w:bottom w:val="single" w:color="auto" w:sz="4" w:space="0"/>
      </w:pBdr>
      <w:spacing w:before="100" w:beforeAutospacing="1" w:after="100" w:afterAutospacing="1"/>
      <w:jc w:val="center"/>
    </w:pPr>
    <w:rPr>
      <w:rFonts w:eastAsia="Arial Unicode MS"/>
    </w:rPr>
  </w:style>
  <w:style w:type="paragraph" w:customStyle="1" w:styleId="416">
    <w:name w:val="Char Char Char Char Char Char Char Char Char Char Char Char Char Char Char Char Char Char Char Char Char Char Char Char1 Char Char Char1 Char1"/>
    <w:basedOn w:val="1"/>
    <w:autoRedefine/>
    <w:qFormat/>
    <w:uiPriority w:val="0"/>
  </w:style>
  <w:style w:type="paragraph" w:customStyle="1" w:styleId="417">
    <w:name w:val="表格，内容"/>
    <w:basedOn w:val="1"/>
    <w:autoRedefine/>
    <w:qFormat/>
    <w:uiPriority w:val="0"/>
    <w:pPr>
      <w:jc w:val="center"/>
    </w:pPr>
    <w:rPr>
      <w:spacing w:val="10"/>
      <w:kern w:val="44"/>
    </w:rPr>
  </w:style>
  <w:style w:type="paragraph" w:customStyle="1" w:styleId="418">
    <w:name w:val="标题四"/>
    <w:basedOn w:val="1"/>
    <w:autoRedefine/>
    <w:qFormat/>
    <w:uiPriority w:val="0"/>
    <w:pPr>
      <w:snapToGrid w:val="0"/>
      <w:spacing w:line="376" w:lineRule="atLeast"/>
      <w:ind w:firstLine="567"/>
    </w:pPr>
    <w:rPr>
      <w:rFonts w:eastAsia="黑体"/>
      <w:sz w:val="28"/>
    </w:rPr>
  </w:style>
  <w:style w:type="paragraph" w:customStyle="1" w:styleId="419">
    <w:name w:val="表格式"/>
    <w:basedOn w:val="44"/>
    <w:autoRedefine/>
    <w:qFormat/>
    <w:uiPriority w:val="0"/>
    <w:pPr>
      <w:spacing w:before="0" w:after="0" w:line="400" w:lineRule="exact"/>
      <w:textAlignment w:val="auto"/>
    </w:pPr>
    <w:rPr>
      <w:kern w:val="2"/>
      <w:sz w:val="21"/>
    </w:rPr>
  </w:style>
  <w:style w:type="paragraph" w:customStyle="1" w:styleId="420">
    <w:name w:val="正文3"/>
    <w:autoRedefine/>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421">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rPr>
  </w:style>
  <w:style w:type="paragraph" w:customStyle="1" w:styleId="422">
    <w:name w:val="样式 正文（首行缩进两字） + 左侧:  2 字符1"/>
    <w:basedOn w:val="4"/>
    <w:autoRedefine/>
    <w:qFormat/>
    <w:uiPriority w:val="0"/>
    <w:pPr>
      <w:widowControl/>
      <w:ind w:left="200" w:leftChars="200" w:firstLine="200"/>
    </w:pPr>
    <w:rPr>
      <w:rFonts w:cs="宋体"/>
      <w:spacing w:val="20"/>
      <w:kern w:val="0"/>
      <w:sz w:val="24"/>
    </w:rPr>
  </w:style>
  <w:style w:type="paragraph" w:customStyle="1" w:styleId="423">
    <w:name w:val="样式18"/>
    <w:basedOn w:val="1"/>
    <w:autoRedefine/>
    <w:qFormat/>
    <w:uiPriority w:val="0"/>
    <w:pPr>
      <w:pBdr>
        <w:top w:val="single" w:color="auto" w:sz="4" w:space="1"/>
        <w:left w:val="single" w:color="auto" w:sz="4" w:space="4"/>
        <w:bottom w:val="single" w:color="auto" w:sz="4" w:space="1"/>
        <w:right w:val="single" w:color="auto" w:sz="4" w:space="4"/>
        <w:between w:val="single" w:color="auto" w:sz="4" w:space="1"/>
      </w:pBdr>
    </w:pPr>
  </w:style>
  <w:style w:type="paragraph" w:customStyle="1" w:styleId="424">
    <w:name w:val="样式 加粗 居中 Char"/>
    <w:basedOn w:val="1"/>
    <w:autoRedefine/>
    <w:qFormat/>
    <w:uiPriority w:val="0"/>
    <w:pPr>
      <w:spacing w:line="360" w:lineRule="auto"/>
      <w:jc w:val="center"/>
    </w:pPr>
    <w:rPr>
      <w:rFonts w:eastAsia="黑体"/>
      <w:bCs/>
      <w:sz w:val="28"/>
    </w:rPr>
  </w:style>
  <w:style w:type="paragraph" w:customStyle="1" w:styleId="425">
    <w:name w:val="Char"/>
    <w:basedOn w:val="1"/>
    <w:autoRedefine/>
    <w:qFormat/>
    <w:uiPriority w:val="0"/>
    <w:pPr>
      <w:widowControl/>
      <w:spacing w:after="160" w:line="240" w:lineRule="exact"/>
      <w:jc w:val="left"/>
    </w:pPr>
    <w:rPr>
      <w:rFonts w:ascii="Verdana" w:hAnsi="Verdana"/>
      <w:sz w:val="20"/>
      <w:lang w:eastAsia="en-US"/>
    </w:rPr>
  </w:style>
  <w:style w:type="paragraph" w:customStyle="1" w:styleId="426">
    <w:name w:val="文体框"/>
    <w:basedOn w:val="1"/>
    <w:autoRedefine/>
    <w:qFormat/>
    <w:uiPriority w:val="0"/>
    <w:pPr>
      <w:spacing w:beforeLines="10" w:afterLines="10"/>
      <w:jc w:val="center"/>
    </w:pPr>
  </w:style>
  <w:style w:type="paragraph" w:customStyle="1" w:styleId="427">
    <w:name w:val="样式19"/>
    <w:basedOn w:val="423"/>
    <w:autoRedefine/>
    <w:qFormat/>
    <w:uiPriority w:val="0"/>
  </w:style>
  <w:style w:type="paragraph" w:customStyle="1" w:styleId="428">
    <w:name w:val="正文21"/>
    <w:basedOn w:val="1"/>
    <w:autoRedefine/>
    <w:qFormat/>
    <w:uiPriority w:val="0"/>
    <w:pPr>
      <w:spacing w:line="460" w:lineRule="exact"/>
    </w:pPr>
  </w:style>
  <w:style w:type="paragraph" w:customStyle="1" w:styleId="429">
    <w:name w:val="编号1"/>
    <w:basedOn w:val="4"/>
    <w:autoRedefine/>
    <w:qFormat/>
    <w:uiPriority w:val="0"/>
    <w:pPr>
      <w:widowControl/>
      <w:tabs>
        <w:tab w:val="left" w:pos="360"/>
      </w:tabs>
      <w:ind w:left="360" w:hanging="360" w:firstLineChars="0"/>
    </w:pPr>
    <w:rPr>
      <w:kern w:val="0"/>
      <w:sz w:val="24"/>
    </w:rPr>
  </w:style>
  <w:style w:type="paragraph" w:customStyle="1" w:styleId="430">
    <w:name w:val="二级条标题"/>
    <w:basedOn w:val="1"/>
    <w:next w:val="1"/>
    <w:autoRedefine/>
    <w:qFormat/>
    <w:uiPriority w:val="0"/>
    <w:pPr>
      <w:widowControl/>
      <w:tabs>
        <w:tab w:val="left" w:pos="780"/>
      </w:tabs>
      <w:ind w:left="780" w:leftChars="200" w:hanging="360" w:hangingChars="200"/>
      <w:jc w:val="left"/>
      <w:outlineLvl w:val="3"/>
    </w:pPr>
    <w:rPr>
      <w:rFonts w:eastAsia="黑体"/>
    </w:rPr>
  </w:style>
  <w:style w:type="paragraph" w:customStyle="1" w:styleId="431">
    <w:name w:val="样式20"/>
    <w:basedOn w:val="315"/>
    <w:autoRedefine/>
    <w:qFormat/>
    <w:uiPriority w:val="0"/>
    <w:pPr>
      <w:spacing w:line="480" w:lineRule="exact"/>
      <w:ind w:firstLine="482"/>
    </w:pPr>
    <w:rPr>
      <w:kern w:val="0"/>
    </w:rPr>
  </w:style>
  <w:style w:type="paragraph" w:customStyle="1" w:styleId="432">
    <w:name w:val="首行缩进两字"/>
    <w:basedOn w:val="1"/>
    <w:autoRedefine/>
    <w:qFormat/>
    <w:uiPriority w:val="0"/>
    <w:pPr>
      <w:ind w:firstLine="200" w:firstLineChars="200"/>
      <w:jc w:val="left"/>
    </w:pPr>
    <w:rPr>
      <w:rFonts w:hAnsi="宋体"/>
      <w:color w:val="000000"/>
      <w:sz w:val="28"/>
    </w:rPr>
  </w:style>
  <w:style w:type="paragraph" w:customStyle="1" w:styleId="433">
    <w:name w:val="无间隔1"/>
    <w:basedOn w:val="1"/>
    <w:autoRedefine/>
    <w:qFormat/>
    <w:uiPriority w:val="0"/>
    <w:pPr>
      <w:autoSpaceDE w:val="0"/>
      <w:autoSpaceDN w:val="0"/>
      <w:adjustRightInd w:val="0"/>
      <w:spacing w:line="360" w:lineRule="auto"/>
      <w:jc w:val="center"/>
    </w:pPr>
    <w:rPr>
      <w:rFonts w:cs="宋体"/>
    </w:rPr>
  </w:style>
  <w:style w:type="paragraph" w:customStyle="1" w:styleId="434">
    <w:name w:val="实施日期"/>
    <w:basedOn w:val="1"/>
    <w:autoRedefine/>
    <w:qFormat/>
    <w:uiPriority w:val="0"/>
    <w:pPr>
      <w:widowControl/>
      <w:tabs>
        <w:tab w:val="left" w:pos="780"/>
      </w:tabs>
      <w:ind w:left="780" w:leftChars="200" w:hanging="360" w:hangingChars="200"/>
      <w:jc w:val="right"/>
    </w:pPr>
    <w:rPr>
      <w:rFonts w:eastAsia="黑体"/>
      <w:sz w:val="28"/>
    </w:rPr>
  </w:style>
  <w:style w:type="paragraph" w:customStyle="1" w:styleId="435">
    <w:name w:val="表格体"/>
    <w:basedOn w:val="1"/>
    <w:autoRedefine/>
    <w:qFormat/>
    <w:uiPriority w:val="0"/>
    <w:pPr>
      <w:adjustRightInd w:val="0"/>
      <w:snapToGrid w:val="0"/>
      <w:jc w:val="center"/>
    </w:pPr>
    <w:rPr>
      <w:bCs/>
    </w:rPr>
  </w:style>
  <w:style w:type="paragraph" w:customStyle="1" w:styleId="436">
    <w:name w:val="Char4"/>
    <w:basedOn w:val="1"/>
    <w:autoRedefine/>
    <w:qFormat/>
    <w:uiPriority w:val="0"/>
    <w:pPr>
      <w:widowControl/>
      <w:spacing w:after="160" w:line="240" w:lineRule="exact"/>
      <w:jc w:val="left"/>
    </w:pPr>
    <w:rPr>
      <w:rFonts w:ascii="Verdana" w:hAnsi="Verdana"/>
      <w:sz w:val="20"/>
      <w:lang w:eastAsia="en-US"/>
    </w:rPr>
  </w:style>
  <w:style w:type="paragraph" w:customStyle="1" w:styleId="437">
    <w:name w:val="xl40"/>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rPr>
  </w:style>
  <w:style w:type="paragraph" w:customStyle="1" w:styleId="438">
    <w:name w:val="Char Char Char Char5"/>
    <w:basedOn w:val="1"/>
    <w:autoRedefine/>
    <w:semiHidden/>
    <w:qFormat/>
    <w:uiPriority w:val="0"/>
    <w:pPr>
      <w:tabs>
        <w:tab w:val="left" w:pos="360"/>
      </w:tabs>
    </w:pPr>
    <w:rPr>
      <w:rFonts w:ascii="Times New Roman"/>
      <w:kern w:val="2"/>
      <w:szCs w:val="24"/>
    </w:rPr>
  </w:style>
  <w:style w:type="paragraph" w:customStyle="1" w:styleId="439">
    <w:name w:val="无间隔2"/>
    <w:link w:val="440"/>
    <w:autoRedefine/>
    <w:qFormat/>
    <w:uiPriority w:val="1"/>
    <w:rPr>
      <w:rFonts w:asciiTheme="minorHAnsi" w:hAnsiTheme="minorHAnsi" w:eastAsiaTheme="minorEastAsia" w:cstheme="minorBidi"/>
      <w:sz w:val="22"/>
      <w:szCs w:val="22"/>
      <w:lang w:val="en-US" w:eastAsia="zh-CN" w:bidi="ar-SA"/>
    </w:rPr>
  </w:style>
  <w:style w:type="character" w:customStyle="1" w:styleId="440">
    <w:name w:val="无间隔 Char"/>
    <w:basedOn w:val="60"/>
    <w:link w:val="439"/>
    <w:autoRedefine/>
    <w:qFormat/>
    <w:uiPriority w:val="1"/>
    <w:rPr>
      <w:rFonts w:asciiTheme="minorHAnsi" w:hAnsiTheme="minorHAnsi" w:eastAsiaTheme="minorEastAsia" w:cstheme="minorBidi"/>
      <w:sz w:val="22"/>
      <w:szCs w:val="22"/>
    </w:rPr>
  </w:style>
  <w:style w:type="paragraph" w:customStyle="1" w:styleId="441">
    <w:name w:val="报告正文"/>
    <w:basedOn w:val="1"/>
    <w:autoRedefine/>
    <w:qFormat/>
    <w:uiPriority w:val="0"/>
    <w:pPr>
      <w:adjustRightInd w:val="0"/>
      <w:snapToGrid w:val="0"/>
      <w:spacing w:beforeLines="50" w:afterLines="50"/>
    </w:pPr>
    <w:rPr>
      <w:rFonts w:ascii="Times New Roman"/>
      <w:spacing w:val="4"/>
      <w:kern w:val="2"/>
      <w:szCs w:val="22"/>
    </w:rPr>
  </w:style>
  <w:style w:type="paragraph" w:customStyle="1" w:styleId="442">
    <w:name w:val="表格文本"/>
    <w:basedOn w:val="1"/>
    <w:link w:val="443"/>
    <w:autoRedefine/>
    <w:qFormat/>
    <w:uiPriority w:val="0"/>
    <w:pPr>
      <w:widowControl/>
      <w:spacing w:line="280" w:lineRule="exact"/>
      <w:jc w:val="center"/>
    </w:pPr>
    <w:rPr>
      <w:rFonts w:ascii="Times New Roman" w:eastAsia="仿宋_GB2312"/>
      <w:color w:val="000000"/>
      <w:sz w:val="20"/>
      <w:szCs w:val="28"/>
      <w:lang w:val="zh-CN" w:bidi="en-US"/>
    </w:rPr>
  </w:style>
  <w:style w:type="character" w:customStyle="1" w:styleId="443">
    <w:name w:val="表格文本 Char"/>
    <w:link w:val="442"/>
    <w:autoRedefine/>
    <w:qFormat/>
    <w:uiPriority w:val="0"/>
    <w:rPr>
      <w:rFonts w:eastAsia="仿宋_GB2312"/>
      <w:color w:val="000000"/>
      <w:szCs w:val="28"/>
      <w:lang w:val="zh-CN" w:eastAsia="zh-CN" w:bidi="en-US"/>
    </w:rPr>
  </w:style>
  <w:style w:type="character" w:customStyle="1" w:styleId="444">
    <w:name w:val="题注 Char"/>
    <w:link w:val="16"/>
    <w:autoRedefine/>
    <w:qFormat/>
    <w:uiPriority w:val="0"/>
    <w:rPr>
      <w:rFonts w:ascii="Arial" w:hAnsi="Arial" w:eastAsia="黑体" w:cs="Arial"/>
    </w:rPr>
  </w:style>
  <w:style w:type="character" w:customStyle="1" w:styleId="445">
    <w:name w:val="表格 Char"/>
    <w:link w:val="252"/>
    <w:autoRedefine/>
    <w:qFormat/>
    <w:uiPriority w:val="0"/>
    <w:rPr>
      <w:rFonts w:ascii="宋体"/>
      <w:sz w:val="24"/>
    </w:rPr>
  </w:style>
  <w:style w:type="paragraph" w:customStyle="1" w:styleId="446">
    <w:name w:val="Table Paragraph"/>
    <w:basedOn w:val="1"/>
    <w:autoRedefine/>
    <w:qFormat/>
    <w:uiPriority w:val="1"/>
    <w:pPr>
      <w:jc w:val="center"/>
    </w:pPr>
    <w:rPr>
      <w:rFonts w:ascii="Times New Roman" w:eastAsia="Times New Roman"/>
    </w:rPr>
  </w:style>
  <w:style w:type="paragraph" w:customStyle="1" w:styleId="447">
    <w:name w:val="河南正文"/>
    <w:basedOn w:val="448"/>
    <w:autoRedefine/>
    <w:qFormat/>
    <w:uiPriority w:val="0"/>
    <w:pPr>
      <w:spacing w:beforeLines="0" w:afterLines="0"/>
      <w:ind w:firstLine="200" w:firstLineChars="200"/>
      <w:outlineLvl w:val="9"/>
    </w:pPr>
    <w:rPr>
      <w:rFonts w:eastAsia="宋体"/>
      <w:b w:val="0"/>
      <w:sz w:val="24"/>
    </w:rPr>
  </w:style>
  <w:style w:type="paragraph" w:customStyle="1" w:styleId="448">
    <w:name w:val="河南3级"/>
    <w:basedOn w:val="449"/>
    <w:autoRedefine/>
    <w:qFormat/>
    <w:uiPriority w:val="0"/>
    <w:pPr>
      <w:outlineLvl w:val="2"/>
    </w:pPr>
    <w:rPr>
      <w:rFonts w:eastAsia="楷体"/>
    </w:rPr>
  </w:style>
  <w:style w:type="paragraph" w:customStyle="1" w:styleId="449">
    <w:name w:val="河南2级"/>
    <w:basedOn w:val="450"/>
    <w:autoRedefine/>
    <w:qFormat/>
    <w:uiPriority w:val="0"/>
    <w:pPr>
      <w:jc w:val="both"/>
      <w:outlineLvl w:val="1"/>
    </w:pPr>
    <w:rPr>
      <w:sz w:val="28"/>
    </w:rPr>
  </w:style>
  <w:style w:type="paragraph" w:customStyle="1" w:styleId="450">
    <w:name w:val="河南1级标题"/>
    <w:basedOn w:val="1"/>
    <w:autoRedefine/>
    <w:qFormat/>
    <w:uiPriority w:val="0"/>
    <w:pPr>
      <w:spacing w:beforeLines="50" w:afterLines="50" w:line="520" w:lineRule="exact"/>
      <w:jc w:val="center"/>
      <w:outlineLvl w:val="0"/>
    </w:pPr>
    <w:rPr>
      <w:rFonts w:ascii="Times New Roman" w:eastAsia="黑体"/>
      <w:b/>
      <w:sz w:val="36"/>
    </w:rPr>
  </w:style>
  <w:style w:type="paragraph" w:customStyle="1" w:styleId="451">
    <w:name w:val="河南表内"/>
    <w:basedOn w:val="1"/>
    <w:autoRedefine/>
    <w:qFormat/>
    <w:uiPriority w:val="0"/>
    <w:pPr>
      <w:spacing w:line="360" w:lineRule="exact"/>
      <w:jc w:val="center"/>
    </w:pPr>
    <w:rPr>
      <w:rFonts w:ascii="Times New Roman"/>
      <w:color w:val="000000"/>
      <w:szCs w:val="21"/>
    </w:rPr>
  </w:style>
  <w:style w:type="paragraph" w:customStyle="1" w:styleId="452">
    <w:name w:val="gyy正文"/>
    <w:basedOn w:val="1"/>
    <w:autoRedefine/>
    <w:qFormat/>
    <w:uiPriority w:val="99"/>
    <w:pPr>
      <w:snapToGrid w:val="0"/>
    </w:pPr>
    <w:rPr>
      <w:color w:val="000000"/>
    </w:rPr>
  </w:style>
  <w:style w:type="character" w:customStyle="1" w:styleId="453">
    <w:name w:val="font11"/>
    <w:basedOn w:val="60"/>
    <w:autoRedefine/>
    <w:qFormat/>
    <w:uiPriority w:val="0"/>
    <w:rPr>
      <w:rFonts w:ascii="华文仿宋" w:hAnsi="华文仿宋" w:eastAsia="华文仿宋" w:cs="华文仿宋"/>
      <w:color w:val="000000"/>
      <w:sz w:val="21"/>
      <w:szCs w:val="21"/>
      <w:u w:val="none"/>
      <w:vertAlign w:val="subscript"/>
    </w:rPr>
  </w:style>
  <w:style w:type="character" w:customStyle="1" w:styleId="454">
    <w:name w:val="样式4 Char"/>
    <w:basedOn w:val="60"/>
    <w:autoRedefine/>
    <w:qFormat/>
    <w:uiPriority w:val="0"/>
    <w:rPr>
      <w:rFonts w:ascii="宋体" w:hAnsi="宋体" w:eastAsia="宋体" w:cs="宋体"/>
      <w:kern w:val="2"/>
      <w:sz w:val="24"/>
      <w:szCs w:val="28"/>
      <w:lang w:val="en-US" w:eastAsia="zh-CN" w:bidi="ar-SA"/>
    </w:rPr>
  </w:style>
  <w:style w:type="paragraph" w:customStyle="1" w:styleId="455">
    <w:name w:val="方案正文样式"/>
    <w:basedOn w:val="1"/>
    <w:autoRedefine/>
    <w:qFormat/>
    <w:uiPriority w:val="0"/>
    <w:pPr>
      <w:adjustRightInd w:val="0"/>
      <w:snapToGrid w:val="0"/>
      <w:spacing w:line="360" w:lineRule="auto"/>
      <w:ind w:firstLine="454"/>
      <w:textAlignment w:val="baseline"/>
    </w:pPr>
    <w:rPr>
      <w:snapToGrid w:val="0"/>
    </w:rPr>
  </w:style>
  <w:style w:type="paragraph" w:customStyle="1" w:styleId="456">
    <w:name w:val="标题2"/>
    <w:autoRedefine/>
    <w:unhideWhenUsed/>
    <w:qFormat/>
    <w:uiPriority w:val="2"/>
    <w:pPr>
      <w:outlineLvl w:val="2"/>
    </w:pPr>
    <w:rPr>
      <w:rFonts w:asciiTheme="minorHAnsi" w:hAnsiTheme="minorHAnsi" w:eastAsiaTheme="minorEastAsia" w:cstheme="minorBidi"/>
      <w:kern w:val="2"/>
      <w:sz w:val="21"/>
      <w:szCs w:val="22"/>
      <w:lang w:val="en-US" w:eastAsia="zh-CN" w:bidi="ar-SA"/>
    </w:rPr>
  </w:style>
  <w:style w:type="paragraph" w:customStyle="1" w:styleId="457">
    <w:name w:val="Revision"/>
    <w:autoRedefine/>
    <w:hidden/>
    <w:unhideWhenUsed/>
    <w:qFormat/>
    <w:uiPriority w:val="99"/>
    <w:rPr>
      <w:rFonts w:ascii="宋体" w:hAnsi="Times New Roman" w:eastAsia="宋体" w:cs="Times New Roman"/>
      <w:sz w:val="24"/>
      <w:lang w:val="en-US" w:eastAsia="zh-CN" w:bidi="ar-SA"/>
    </w:rPr>
  </w:style>
  <w:style w:type="paragraph" w:styleId="458">
    <w:name w:val="List Paragraph"/>
    <w:basedOn w:val="1"/>
    <w:autoRedefine/>
    <w:qFormat/>
    <w:uiPriority w:val="34"/>
    <w:pPr>
      <w:ind w:firstLine="420" w:firstLineChars="200"/>
    </w:pPr>
  </w:style>
  <w:style w:type="paragraph" w:customStyle="1" w:styleId="459">
    <w:name w:val="正缩1"/>
    <w:basedOn w:val="1"/>
    <w:autoRedefine/>
    <w:qFormat/>
    <w:uiPriority w:val="0"/>
    <w:pPr>
      <w:adjustRightInd w:val="0"/>
      <w:snapToGrid w:val="0"/>
      <w:spacing w:line="500" w:lineRule="exact"/>
      <w:ind w:firstLine="567"/>
    </w:pPr>
    <w:rPr>
      <w:rFonts w:ascii="Times New Roman" w:eastAsia="仿宋_GB2312"/>
      <w:color w:val="000000"/>
      <w:kern w:val="2"/>
      <w:sz w:val="28"/>
    </w:rPr>
  </w:style>
  <w:style w:type="table" w:customStyle="1" w:styleId="460">
    <w:name w:val="网格型1"/>
    <w:basedOn w:val="58"/>
    <w:autoRedefine/>
    <w:qFormat/>
    <w:uiPriority w:val="0"/>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61">
    <w:name w:val="魏秀珍报告正文"/>
    <w:basedOn w:val="1"/>
    <w:autoRedefine/>
    <w:qFormat/>
    <w:uiPriority w:val="0"/>
    <w:pPr>
      <w:adjustRightInd w:val="0"/>
      <w:snapToGrid w:val="0"/>
      <w:spacing w:line="360" w:lineRule="auto"/>
      <w:ind w:firstLine="480"/>
    </w:pPr>
    <w:rPr>
      <w:rFonts w:ascii="Times New Roman"/>
      <w:kern w:val="2"/>
    </w:rPr>
  </w:style>
  <w:style w:type="paragraph" w:customStyle="1" w:styleId="462">
    <w:name w:val="表格内容"/>
    <w:basedOn w:val="215"/>
    <w:next w:val="1"/>
    <w:autoRedefine/>
    <w:qFormat/>
    <w:uiPriority w:val="0"/>
    <w:pPr>
      <w:spacing w:line="360" w:lineRule="auto"/>
      <w:jc w:val="center"/>
    </w:pPr>
    <w:rPr>
      <w:rFonts w:ascii="宋体" w:hAnsi="Times New Roman" w:eastAsia="宋体" w:cs="Times New Roman"/>
      <w:sz w:val="21"/>
      <w:szCs w:val="22"/>
      <w:lang w:val="en-US" w:eastAsia="zh-CN" w:bidi="ar-SA"/>
    </w:rPr>
  </w:style>
  <w:style w:type="paragraph" w:customStyle="1" w:styleId="463">
    <w:name w:val="自定义2"/>
    <w:basedOn w:val="1"/>
    <w:autoRedefine/>
    <w:qFormat/>
    <w:uiPriority w:val="0"/>
    <w:pPr>
      <w:ind w:firstLine="480" w:firstLineChars="200"/>
    </w:pPr>
    <w:rPr>
      <w:rFonts w:hAnsi="宋体" w:asciiTheme="minorHAnsi" w:cstheme="minorBidi"/>
      <w:sz w:val="24"/>
      <w:szCs w:val="22"/>
    </w:rPr>
  </w:style>
  <w:style w:type="paragraph" w:customStyle="1" w:styleId="464">
    <w:name w:val="正文GT"/>
    <w:basedOn w:val="1"/>
    <w:link w:val="475"/>
    <w:autoRedefine/>
    <w:qFormat/>
    <w:uiPriority w:val="0"/>
    <w:pPr>
      <w:spacing w:line="360" w:lineRule="auto"/>
      <w:ind w:firstLine="643" w:firstLineChars="200"/>
    </w:pPr>
    <w:rPr>
      <w:rFonts w:ascii="Times New Roman" w:hAnsi="Times New Roman" w:eastAsia="宋体"/>
      <w:sz w:val="24"/>
    </w:rPr>
  </w:style>
  <w:style w:type="paragraph" w:customStyle="1" w:styleId="465">
    <w:name w:val="pra"/>
    <w:basedOn w:val="1"/>
    <w:autoRedefine/>
    <w:qFormat/>
    <w:uiPriority w:val="0"/>
    <w:pPr>
      <w:widowControl/>
      <w:spacing w:line="360" w:lineRule="auto"/>
      <w:ind w:firstLine="420"/>
      <w:jc w:val="left"/>
    </w:pPr>
    <w:rPr>
      <w:rFonts w:ascii="宋体" w:hAnsi="宋体" w:cs="宋体"/>
      <w:color w:val="333333"/>
      <w:kern w:val="0"/>
      <w:sz w:val="21"/>
      <w:szCs w:val="21"/>
    </w:rPr>
  </w:style>
  <w:style w:type="character" w:customStyle="1" w:styleId="466">
    <w:name w:val="font21"/>
    <w:basedOn w:val="60"/>
    <w:autoRedefine/>
    <w:qFormat/>
    <w:uiPriority w:val="0"/>
    <w:rPr>
      <w:rFonts w:ascii="仿宋_GB2312" w:eastAsia="仿宋_GB2312" w:cs="仿宋_GB2312"/>
      <w:color w:val="000000"/>
      <w:sz w:val="21"/>
      <w:szCs w:val="21"/>
      <w:u w:val="none"/>
    </w:rPr>
  </w:style>
  <w:style w:type="character" w:customStyle="1" w:styleId="467">
    <w:name w:val="desc"/>
    <w:basedOn w:val="60"/>
    <w:autoRedefine/>
    <w:qFormat/>
    <w:uiPriority w:val="0"/>
    <w:rPr>
      <w:color w:val="FC0606"/>
    </w:rPr>
  </w:style>
  <w:style w:type="character" w:customStyle="1" w:styleId="468">
    <w:name w:val="页眉 字符"/>
    <w:basedOn w:val="60"/>
    <w:link w:val="38"/>
    <w:autoRedefine/>
    <w:qFormat/>
    <w:uiPriority w:val="0"/>
    <w:rPr>
      <w:rFonts w:hint="default" w:ascii="Calibri" w:hAnsi="Calibri" w:cs="Calibri"/>
    </w:rPr>
  </w:style>
  <w:style w:type="character" w:customStyle="1" w:styleId="469">
    <w:name w:val="页脚 字符"/>
    <w:basedOn w:val="60"/>
    <w:link w:val="37"/>
    <w:autoRedefine/>
    <w:qFormat/>
    <w:uiPriority w:val="0"/>
    <w:rPr>
      <w:rFonts w:hint="default" w:ascii="Calibri" w:hAnsi="Calibri" w:cs="Calibri"/>
    </w:rPr>
  </w:style>
  <w:style w:type="character" w:customStyle="1" w:styleId="470">
    <w:name w:val="bszn"/>
    <w:basedOn w:val="60"/>
    <w:autoRedefine/>
    <w:qFormat/>
    <w:uiPriority w:val="0"/>
    <w:rPr>
      <w:vanish/>
    </w:rPr>
  </w:style>
  <w:style w:type="character" w:customStyle="1" w:styleId="471">
    <w:name w:val="bszn1"/>
    <w:basedOn w:val="60"/>
    <w:autoRedefine/>
    <w:qFormat/>
    <w:uiPriority w:val="0"/>
  </w:style>
  <w:style w:type="character" w:customStyle="1" w:styleId="472">
    <w:name w:val="bszn2"/>
    <w:basedOn w:val="60"/>
    <w:autoRedefine/>
    <w:qFormat/>
    <w:uiPriority w:val="0"/>
    <w:rPr>
      <w:vanish/>
    </w:rPr>
  </w:style>
  <w:style w:type="character" w:customStyle="1" w:styleId="473">
    <w:name w:val="bszn3"/>
    <w:basedOn w:val="60"/>
    <w:autoRedefine/>
    <w:qFormat/>
    <w:uiPriority w:val="0"/>
  </w:style>
  <w:style w:type="character" w:customStyle="1" w:styleId="474">
    <w:name w:val="15"/>
    <w:basedOn w:val="60"/>
    <w:autoRedefine/>
    <w:qFormat/>
    <w:uiPriority w:val="0"/>
    <w:rPr>
      <w:rFonts w:hint="default" w:ascii="Times New Roman" w:hAnsi="Times New Roman" w:cs="Times New Roman"/>
    </w:rPr>
  </w:style>
  <w:style w:type="character" w:customStyle="1" w:styleId="475">
    <w:name w:val="正文GT Char"/>
    <w:link w:val="464"/>
    <w:autoRedefine/>
    <w:qFormat/>
    <w:uiPriority w:val="0"/>
    <w:rPr>
      <w:rFonts w:ascii="Times New Roman" w:hAnsi="Times New Roman" w:eastAsia="宋体"/>
      <w:sz w:val="24"/>
    </w:rPr>
  </w:style>
  <w:style w:type="paragraph" w:customStyle="1" w:styleId="476">
    <w:name w:val="魏秀珍   正文"/>
    <w:basedOn w:val="4"/>
    <w:autoRedefine/>
    <w:qFormat/>
    <w:uiPriority w:val="0"/>
    <w:pPr>
      <w:adjustRightInd w:val="0"/>
      <w:snapToGrid w:val="0"/>
      <w:spacing w:line="360" w:lineRule="auto"/>
      <w:ind w:firstLine="200"/>
      <w:jc w:val="left"/>
    </w:pPr>
    <w:rPr>
      <w:kern w:val="0"/>
      <w:sz w:val="20"/>
      <w:lang w:val="en-GB"/>
    </w:rPr>
  </w:style>
  <w:style w:type="paragraph" w:customStyle="1" w:styleId="477">
    <w:name w:val="Body text|1"/>
    <w:basedOn w:val="1"/>
    <w:autoRedefine/>
    <w:qFormat/>
    <w:uiPriority w:val="0"/>
    <w:pPr>
      <w:widowControl w:val="0"/>
      <w:shd w:val="clear" w:color="auto" w:fill="auto"/>
      <w:spacing w:line="401" w:lineRule="auto"/>
      <w:ind w:firstLine="60"/>
    </w:pPr>
    <w:rPr>
      <w:rFonts w:ascii="宋体" w:hAnsi="宋体" w:eastAsia="宋体" w:cs="宋体"/>
      <w:u w:val="none"/>
      <w:shd w:val="clear" w:color="auto" w:fill="auto"/>
      <w:lang w:val="zh-TW" w:eastAsia="zh-TW" w:bidi="zh-TW"/>
    </w:rPr>
  </w:style>
  <w:style w:type="paragraph" w:customStyle="1" w:styleId="478">
    <w:name w:val="正文首行缩进2"/>
    <w:basedOn w:val="1"/>
    <w:autoRedefine/>
    <w:qFormat/>
    <w:uiPriority w:val="99"/>
    <w:pPr>
      <w:spacing w:line="500" w:lineRule="atLeast"/>
      <w:ind w:firstLine="560"/>
      <w:jc w:val="both"/>
    </w:pPr>
  </w:style>
  <w:style w:type="paragraph" w:customStyle="1" w:styleId="479">
    <w:name w:val="ypy正文"/>
    <w:basedOn w:val="1"/>
    <w:autoRedefine/>
    <w:qFormat/>
    <w:uiPriority w:val="0"/>
    <w:pPr>
      <w:spacing w:line="360" w:lineRule="auto"/>
      <w:ind w:firstLine="200" w:firstLineChars="200"/>
    </w:pPr>
    <w:rPr>
      <w:rFonts w:ascii="Times New Roman" w:hAnsi="Times New Roman" w:eastAsia="宋体" w:cs="Times New Roman"/>
      <w:sz w:val="24"/>
    </w:rPr>
  </w:style>
  <w:style w:type="paragraph" w:customStyle="1" w:styleId="480">
    <w:name w:val="GT表格格式"/>
    <w:basedOn w:val="1"/>
    <w:autoRedefine/>
    <w:qFormat/>
    <w:uiPriority w:val="0"/>
    <w:pPr>
      <w:topLinePunct/>
      <w:adjustRightInd w:val="0"/>
      <w:snapToGrid w:val="0"/>
      <w:jc w:val="center"/>
    </w:pPr>
    <w:rPr>
      <w:rFonts w:ascii="Times New Roman" w:hAnsi="Times New Roman" w:eastAsia="宋体" w:cs="Times New Roman"/>
      <w:szCs w:val="21"/>
    </w:rPr>
  </w:style>
  <w:style w:type="paragraph" w:customStyle="1" w:styleId="481">
    <w:name w:val="GT正文"/>
    <w:basedOn w:val="1"/>
    <w:link w:val="484"/>
    <w:autoRedefine/>
    <w:qFormat/>
    <w:uiPriority w:val="0"/>
    <w:pPr>
      <w:topLinePunct/>
      <w:adjustRightInd w:val="0"/>
      <w:snapToGrid w:val="0"/>
      <w:spacing w:line="360" w:lineRule="auto"/>
      <w:ind w:firstLine="480" w:firstLineChars="200"/>
    </w:pPr>
    <w:rPr>
      <w:rFonts w:ascii="Times New Roman" w:hAnsi="Times New Roman" w:eastAsia="宋体" w:cs="Times New Roman"/>
      <w:sz w:val="24"/>
    </w:rPr>
  </w:style>
  <w:style w:type="paragraph" w:customStyle="1" w:styleId="482">
    <w:name w:val="0正文"/>
    <w:basedOn w:val="1"/>
    <w:autoRedefine/>
    <w:qFormat/>
    <w:uiPriority w:val="0"/>
    <w:pPr>
      <w:autoSpaceDE w:val="0"/>
      <w:autoSpaceDN w:val="0"/>
      <w:adjustRightInd w:val="0"/>
      <w:snapToGrid w:val="0"/>
      <w:spacing w:line="360" w:lineRule="auto"/>
      <w:ind w:firstLine="480" w:firstLineChars="200"/>
    </w:pPr>
    <w:rPr>
      <w:rFonts w:ascii="Times New Roman" w:hAnsi="Times New Roman" w:eastAsia="宋体" w:cs="Times New Roman"/>
      <w:kern w:val="0"/>
    </w:rPr>
  </w:style>
  <w:style w:type="table" w:customStyle="1" w:styleId="483">
    <w:name w:val="Table Normal"/>
    <w:autoRedefine/>
    <w:semiHidden/>
    <w:unhideWhenUsed/>
    <w:qFormat/>
    <w:uiPriority w:val="0"/>
    <w:tblPr>
      <w:tblCellMar>
        <w:top w:w="0" w:type="dxa"/>
        <w:left w:w="0" w:type="dxa"/>
        <w:bottom w:w="0" w:type="dxa"/>
        <w:right w:w="0" w:type="dxa"/>
      </w:tblCellMar>
    </w:tblPr>
  </w:style>
  <w:style w:type="character" w:customStyle="1" w:styleId="484">
    <w:name w:val="GT正文 Char"/>
    <w:link w:val="481"/>
    <w:autoRedefine/>
    <w:qFormat/>
    <w:uiPriority w:val="0"/>
    <w:rPr>
      <w:rFonts w:ascii="Times New Roman" w:hAnsi="Times New Roman" w:eastAsia="宋体" w:cs="Times New Roman"/>
      <w:sz w:val="24"/>
    </w:rPr>
  </w:style>
  <w:style w:type="character" w:customStyle="1" w:styleId="485">
    <w:name w:val="00-正文 Char"/>
    <w:autoRedefine/>
    <w:qFormat/>
    <w:uiPriority w:val="0"/>
    <w:rPr>
      <w:kern w:val="2"/>
      <w:sz w:val="24"/>
      <w:szCs w:val="24"/>
    </w:rPr>
  </w:style>
  <w:style w:type="paragraph" w:customStyle="1" w:styleId="486">
    <w:name w:val="博宏正文"/>
    <w:basedOn w:val="1"/>
    <w:autoRedefine/>
    <w:qFormat/>
    <w:uiPriority w:val="0"/>
    <w:pPr>
      <w:snapToGrid w:val="0"/>
      <w:spacing w:line="360" w:lineRule="auto"/>
      <w:ind w:firstLine="480" w:firstLineChars="200"/>
    </w:pPr>
    <w:rPr>
      <w:kern w:val="0"/>
      <w:sz w:val="24"/>
      <w:szCs w:val="24"/>
    </w:rPr>
  </w:style>
  <w:style w:type="paragraph" w:customStyle="1" w:styleId="487">
    <w:name w:val="正文▲"/>
    <w:basedOn w:val="1"/>
    <w:autoRedefine/>
    <w:qFormat/>
    <w:uiPriority w:val="0"/>
    <w:pPr>
      <w:widowControl/>
      <w:spacing w:line="360" w:lineRule="auto"/>
      <w:ind w:firstLine="200" w:firstLineChars="200"/>
      <w:jc w:val="left"/>
    </w:pPr>
    <w:rPr>
      <w:color w:val="000000"/>
      <w:sz w:val="24"/>
    </w:rPr>
  </w:style>
  <w:style w:type="character" w:customStyle="1" w:styleId="488">
    <w:name w:val="font41"/>
    <w:basedOn w:val="60"/>
    <w:qFormat/>
    <w:uiPriority w:val="0"/>
    <w:rPr>
      <w:rFonts w:hint="eastAsia" w:ascii="宋体" w:hAnsi="宋体" w:eastAsia="宋体" w:cs="宋体"/>
      <w:color w:val="000000"/>
      <w:sz w:val="21"/>
      <w:szCs w:val="21"/>
      <w:u w:val="none"/>
    </w:rPr>
  </w:style>
  <w:style w:type="character" w:customStyle="1" w:styleId="489">
    <w:name w:val="font51"/>
    <w:basedOn w:val="60"/>
    <w:qFormat/>
    <w:uiPriority w:val="0"/>
    <w:rPr>
      <w:rFonts w:hint="eastAsia" w:ascii="宋体" w:hAnsi="宋体" w:eastAsia="宋体" w:cs="宋体"/>
      <w:color w:val="000000"/>
      <w:sz w:val="24"/>
      <w:szCs w:val="24"/>
      <w:u w:val="none"/>
    </w:rPr>
  </w:style>
  <w:style w:type="paragraph" w:customStyle="1" w:styleId="490">
    <w:name w:val="表格文字-hao-居中"/>
    <w:qFormat/>
    <w:uiPriority w:val="0"/>
    <w:pPr>
      <w:adjustRightInd w:val="0"/>
      <w:snapToGrid w:val="0"/>
      <w:jc w:val="center"/>
    </w:pPr>
    <w:rPr>
      <w:rFonts w:ascii="Times New Roman" w:hAnsi="Times New Roman" w:eastAsia="宋体" w:cs="Times New Roman"/>
      <w:sz w:val="21"/>
      <w:szCs w:val="24"/>
      <w:lang w:val="en-US" w:eastAsia="zh-CN" w:bidi="ar-SA"/>
    </w:rPr>
  </w:style>
  <w:style w:type="paragraph" w:customStyle="1" w:styleId="491">
    <w:name w:val="样式 HC 正文 + 字距调整小四"/>
    <w:basedOn w:val="492"/>
    <w:next w:val="1"/>
    <w:qFormat/>
    <w:uiPriority w:val="0"/>
    <w:rPr>
      <w:kern w:val="24"/>
    </w:rPr>
  </w:style>
  <w:style w:type="paragraph" w:customStyle="1" w:styleId="492">
    <w:name w:val="HC 正文"/>
    <w:basedOn w:val="1"/>
    <w:qFormat/>
    <w:uiPriority w:val="0"/>
    <w:pPr>
      <w:autoSpaceDE w:val="0"/>
      <w:snapToGrid w:val="0"/>
      <w:ind w:firstLine="480"/>
    </w:pPr>
    <w:rPr>
      <w:color w:val="0000FF"/>
    </w:rPr>
  </w:style>
  <w:style w:type="paragraph" w:customStyle="1" w:styleId="493">
    <w:name w:val="样式 样式 宋体 四号 左 行距: 固定值 25 磅 + 首行缩进:  2 字符"/>
    <w:basedOn w:val="1"/>
    <w:qFormat/>
    <w:uiPriority w:val="0"/>
    <w:pPr>
      <w:adjustRightInd w:val="0"/>
      <w:snapToGrid w:val="0"/>
      <w:spacing w:after="120" w:line="500" w:lineRule="exact"/>
      <w:ind w:firstLine="560" w:firstLineChars="200"/>
      <w:jc w:val="left"/>
    </w:pPr>
    <w:rPr>
      <w:rFonts w:ascii="宋体" w:hAnsi="宋体"/>
      <w:snapToGrid w:val="0"/>
      <w:kern w:val="0"/>
      <w:sz w:val="28"/>
      <w:szCs w:val="28"/>
      <w:lang w:val="zh-CN" w:eastAsia="zh-CN"/>
    </w:rPr>
  </w:style>
  <w:style w:type="paragraph" w:customStyle="1" w:styleId="494">
    <w:name w:val="样式 样式 标题 3 + 四号 首行缩进:  0.5 厘米 + 首行缩进:  0.99 厘米"/>
    <w:basedOn w:val="495"/>
    <w:qFormat/>
    <w:uiPriority w:val="0"/>
  </w:style>
  <w:style w:type="paragraph" w:customStyle="1" w:styleId="495">
    <w:name w:val="样式 标题 3 + 四号 首行缩进:  0.5 厘米"/>
    <w:basedOn w:val="5"/>
    <w:qFormat/>
    <w:uiPriority w:val="0"/>
    <w:pPr>
      <w:spacing w:before="20" w:beforeLines="0" w:after="20" w:afterLines="0"/>
      <w:jc w:val="left"/>
    </w:pPr>
    <w:rPr>
      <w:rFonts w:ascii="Times New Roman" w:hAnsi="Times New Roman" w:cs="宋体"/>
      <w:color w:val="auto"/>
      <w:szCs w:val="20"/>
    </w:rPr>
  </w:style>
  <w:style w:type="paragraph" w:customStyle="1" w:styleId="496">
    <w:name w:val="F正文"/>
    <w:basedOn w:val="1"/>
    <w:qFormat/>
    <w:uiPriority w:val="0"/>
    <w:pPr>
      <w:ind w:firstLineChars="200"/>
    </w:pPr>
    <w:rPr>
      <w:rFonts w:ascii="宋体" w:hAnsi="宋体" w:eastAsia="宋体"/>
      <w:sz w:val="24"/>
      <w:szCs w:val="24"/>
      <w:lang w:val="en-US" w:eastAsia="zh-CN" w:bidi="ar-SA"/>
    </w:rPr>
  </w:style>
  <w:style w:type="paragraph" w:customStyle="1" w:styleId="497">
    <w:name w:val="Table Text"/>
    <w:basedOn w:val="1"/>
    <w:semiHidden/>
    <w:qFormat/>
    <w:uiPriority w:val="0"/>
    <w:rPr>
      <w:rFonts w:ascii="宋体" w:hAnsi="宋体" w:cs="宋体"/>
      <w:sz w:val="20"/>
      <w:szCs w:val="20"/>
      <w:lang w:eastAsia="en-US"/>
    </w:rPr>
  </w:style>
  <w:style w:type="paragraph" w:customStyle="1" w:styleId="498">
    <w:name w:val="俺的正文"/>
    <w:basedOn w:val="1"/>
    <w:qFormat/>
    <w:uiPriority w:val="0"/>
    <w:pPr>
      <w:spacing w:line="460" w:lineRule="exact"/>
      <w:ind w:firstLine="200" w:firstLineChars="200"/>
    </w:pPr>
    <w:rPr>
      <w:szCs w:val="20"/>
    </w:rPr>
  </w:style>
  <w:style w:type="paragraph" w:customStyle="1" w:styleId="499">
    <w:name w:val="正文文本 (12)"/>
    <w:basedOn w:val="1"/>
    <w:qFormat/>
    <w:uiPriority w:val="0"/>
    <w:pPr>
      <w:shd w:val="clear" w:color="auto" w:fill="FFFFFF"/>
      <w:spacing w:line="468" w:lineRule="exact"/>
      <w:jc w:val="left"/>
    </w:pPr>
    <w:rPr>
      <w:rFonts w:ascii="宋体"/>
      <w:kern w:val="0"/>
      <w:sz w:val="22"/>
      <w:szCs w:val="22"/>
    </w:rPr>
  </w:style>
  <w:style w:type="paragraph" w:customStyle="1" w:styleId="500">
    <w:name w:val="_Style 5"/>
    <w:basedOn w:val="1"/>
    <w:next w:val="1"/>
    <w:unhideWhenUsed/>
    <w:qFormat/>
    <w:uiPriority w:val="37"/>
  </w:style>
  <w:style w:type="paragraph" w:customStyle="1" w:styleId="501">
    <w:name w:val=" Char Char Char Char"/>
    <w:basedOn w:val="1"/>
    <w:qFormat/>
    <w:uiPriority w:val="0"/>
    <w:pPr>
      <w:spacing w:line="360" w:lineRule="auto"/>
      <w:ind w:firstLine="200" w:firstLineChars="200"/>
    </w:pPr>
    <w:rPr>
      <w:rFonts w:ascii="宋体" w:hAnsi="宋体"/>
    </w:rPr>
  </w:style>
  <w:style w:type="paragraph" w:customStyle="1" w:styleId="502">
    <w:name w:val="正文A1"/>
    <w:basedOn w:val="1"/>
    <w:qFormat/>
    <w:uiPriority w:val="0"/>
    <w:pPr>
      <w:adjustRightInd w:val="0"/>
      <w:spacing w:line="360" w:lineRule="auto"/>
      <w:ind w:firstLine="482"/>
      <w:textAlignment w:val="baseline"/>
    </w:pPr>
    <w:rPr>
      <w:szCs w:val="20"/>
    </w:rPr>
  </w:style>
  <w:style w:type="paragraph" w:customStyle="1" w:styleId="503">
    <w:name w:val="样式 黑色1"/>
    <w:basedOn w:val="1"/>
    <w:qFormat/>
    <w:uiPriority w:val="0"/>
    <w:pPr>
      <w:ind w:firstLine="420" w:firstLineChars="200"/>
      <w:jc w:val="left"/>
    </w:pPr>
    <w:rPr>
      <w:rFonts w:cs="宋体"/>
      <w:color w:val="000000"/>
      <w:sz w:val="24"/>
      <w:szCs w:val="20"/>
    </w:rPr>
  </w:style>
  <w:style w:type="character" w:customStyle="1" w:styleId="504">
    <w:name w:val="表头 Char"/>
    <w:link w:val="240"/>
    <w:qFormat/>
    <w:uiPriority w:val="0"/>
    <w:rPr>
      <w:rFonts w:ascii="Times New Roman" w:hAnsi="Times New Roman"/>
      <w:b/>
      <w:kern w:val="0"/>
      <w:sz w:val="21"/>
      <w:szCs w:val="24"/>
    </w:rPr>
  </w:style>
  <w:style w:type="paragraph" w:customStyle="1" w:styleId="505">
    <w:name w:val="sb-正文"/>
    <w:basedOn w:val="1"/>
    <w:qFormat/>
    <w:uiPriority w:val="0"/>
    <w:pPr>
      <w:tabs>
        <w:tab w:val="left" w:pos="3120"/>
        <w:tab w:val="left" w:pos="6376"/>
      </w:tabs>
      <w:ind w:firstLine="480" w:firstLineChars="200"/>
    </w:pPr>
    <w:rPr>
      <w:rFonts w:ascii="宋体" w:hAnsi="宋体" w:cs="宋体"/>
      <w:szCs w:val="24"/>
    </w:rPr>
  </w:style>
  <w:style w:type="paragraph" w:customStyle="1" w:styleId="506">
    <w:name w:val="样式 加粗 黑色 居中 首行缩进:  0.37 厘米"/>
    <w:basedOn w:val="1"/>
    <w:qFormat/>
    <w:uiPriority w:val="0"/>
    <w:pPr>
      <w:ind w:left="-120" w:leftChars="-50" w:right="-120" w:rightChars="-50" w:firstLine="211"/>
      <w:jc w:val="center"/>
    </w:pPr>
    <w:rPr>
      <w:rFonts w:ascii="Times New Roman" w:hAnsi="Times New Roman" w:cs="宋体"/>
      <w:b/>
      <w:bCs/>
      <w:color w:val="000000"/>
      <w:szCs w:val="20"/>
    </w:rPr>
  </w:style>
  <w:style w:type="paragraph" w:customStyle="1" w:styleId="507">
    <w:name w:val="ZM"/>
    <w:basedOn w:val="1"/>
    <w:qFormat/>
    <w:uiPriority w:val="0"/>
    <w:pPr>
      <w:adjustRightInd w:val="0"/>
      <w:snapToGrid w:val="0"/>
      <w:spacing w:line="360" w:lineRule="auto"/>
      <w:ind w:firstLine="200" w:firstLineChars="200"/>
    </w:pPr>
    <w:rPr>
      <w:sz w:val="22"/>
      <w:szCs w:val="22"/>
    </w:rPr>
  </w:style>
</w:styles>
</file>

<file path=word/_rels/document.xml.rels><?xml version="1.0" encoding="UTF-8" standalone="yes"?>
<Relationships xmlns="http://schemas.openxmlformats.org/package/2006/relationships"><Relationship Id="rId98" Type="http://schemas.openxmlformats.org/officeDocument/2006/relationships/fontTable" Target="fontTable.xml"/><Relationship Id="rId97" Type="http://schemas.openxmlformats.org/officeDocument/2006/relationships/customXml" Target="../customXml/item3.xml"/><Relationship Id="rId96" Type="http://schemas.openxmlformats.org/officeDocument/2006/relationships/customXml" Target="../customXml/item2.xml"/><Relationship Id="rId95" Type="http://schemas.openxmlformats.org/officeDocument/2006/relationships/numbering" Target="numbering.xml"/><Relationship Id="rId94" Type="http://schemas.openxmlformats.org/officeDocument/2006/relationships/customXml" Target="../customXml/item1.xml"/><Relationship Id="rId93" Type="http://schemas.openxmlformats.org/officeDocument/2006/relationships/image" Target="media/image67.png"/><Relationship Id="rId92" Type="http://schemas.openxmlformats.org/officeDocument/2006/relationships/image" Target="media/image66.png"/><Relationship Id="rId91" Type="http://schemas.openxmlformats.org/officeDocument/2006/relationships/image" Target="media/image65.png"/><Relationship Id="rId90" Type="http://schemas.openxmlformats.org/officeDocument/2006/relationships/image" Target="media/image64.png"/><Relationship Id="rId9" Type="http://schemas.openxmlformats.org/officeDocument/2006/relationships/footer" Target="footer3.xml"/><Relationship Id="rId89" Type="http://schemas.openxmlformats.org/officeDocument/2006/relationships/image" Target="media/image63.png"/><Relationship Id="rId88" Type="http://schemas.openxmlformats.org/officeDocument/2006/relationships/image" Target="media/image62.png"/><Relationship Id="rId87" Type="http://schemas.openxmlformats.org/officeDocument/2006/relationships/image" Target="media/image61.png"/><Relationship Id="rId86" Type="http://schemas.openxmlformats.org/officeDocument/2006/relationships/image" Target="media/image60.png"/><Relationship Id="rId85" Type="http://schemas.openxmlformats.org/officeDocument/2006/relationships/image" Target="media/image59.png"/><Relationship Id="rId84" Type="http://schemas.openxmlformats.org/officeDocument/2006/relationships/image" Target="media/image58.png"/><Relationship Id="rId83" Type="http://schemas.openxmlformats.org/officeDocument/2006/relationships/image" Target="media/image57.png"/><Relationship Id="rId82" Type="http://schemas.openxmlformats.org/officeDocument/2006/relationships/image" Target="media/image56.png"/><Relationship Id="rId81" Type="http://schemas.openxmlformats.org/officeDocument/2006/relationships/image" Target="media/image55.png"/><Relationship Id="rId80" Type="http://schemas.openxmlformats.org/officeDocument/2006/relationships/image" Target="media/image54.png"/><Relationship Id="rId8" Type="http://schemas.openxmlformats.org/officeDocument/2006/relationships/header" Target="header2.xml"/><Relationship Id="rId79" Type="http://schemas.openxmlformats.org/officeDocument/2006/relationships/image" Target="media/image53.png"/><Relationship Id="rId78" Type="http://schemas.openxmlformats.org/officeDocument/2006/relationships/image" Target="media/image52.png"/><Relationship Id="rId77" Type="http://schemas.openxmlformats.org/officeDocument/2006/relationships/image" Target="media/image51.png"/><Relationship Id="rId76" Type="http://schemas.openxmlformats.org/officeDocument/2006/relationships/image" Target="media/image50.png"/><Relationship Id="rId75" Type="http://schemas.openxmlformats.org/officeDocument/2006/relationships/image" Target="media/image49.png"/><Relationship Id="rId74" Type="http://schemas.openxmlformats.org/officeDocument/2006/relationships/image" Target="media/image48.png"/><Relationship Id="rId73" Type="http://schemas.openxmlformats.org/officeDocument/2006/relationships/image" Target="media/image47.png"/><Relationship Id="rId72" Type="http://schemas.openxmlformats.org/officeDocument/2006/relationships/image" Target="media/image46.wmf"/><Relationship Id="rId71" Type="http://schemas.openxmlformats.org/officeDocument/2006/relationships/oleObject" Target="embeddings/oleObject7.bin"/><Relationship Id="rId70" Type="http://schemas.openxmlformats.org/officeDocument/2006/relationships/image" Target="media/image45.png"/><Relationship Id="rId7" Type="http://schemas.openxmlformats.org/officeDocument/2006/relationships/footer" Target="footer2.xml"/><Relationship Id="rId69" Type="http://schemas.openxmlformats.org/officeDocument/2006/relationships/image" Target="media/image44.wmf"/><Relationship Id="rId68" Type="http://schemas.openxmlformats.org/officeDocument/2006/relationships/oleObject" Target="embeddings/oleObject6.bin"/><Relationship Id="rId67" Type="http://schemas.openxmlformats.org/officeDocument/2006/relationships/image" Target="media/image43.wmf"/><Relationship Id="rId66" Type="http://schemas.openxmlformats.org/officeDocument/2006/relationships/oleObject" Target="embeddings/oleObject5.bin"/><Relationship Id="rId65" Type="http://schemas.openxmlformats.org/officeDocument/2006/relationships/image" Target="media/image42.png"/><Relationship Id="rId64" Type="http://schemas.openxmlformats.org/officeDocument/2006/relationships/image" Target="media/image41.jpeg"/><Relationship Id="rId63" Type="http://schemas.openxmlformats.org/officeDocument/2006/relationships/image" Target="media/image40.jpeg"/><Relationship Id="rId62" Type="http://schemas.openxmlformats.org/officeDocument/2006/relationships/image" Target="media/image39.jpeg"/><Relationship Id="rId61" Type="http://schemas.openxmlformats.org/officeDocument/2006/relationships/image" Target="media/image38.jpeg"/><Relationship Id="rId60" Type="http://schemas.openxmlformats.org/officeDocument/2006/relationships/image" Target="media/image37.jpeg"/><Relationship Id="rId6" Type="http://schemas.openxmlformats.org/officeDocument/2006/relationships/header" Target="header1.xml"/><Relationship Id="rId59" Type="http://schemas.openxmlformats.org/officeDocument/2006/relationships/image" Target="media/image36.jpeg"/><Relationship Id="rId58" Type="http://schemas.openxmlformats.org/officeDocument/2006/relationships/image" Target="media/image35.png"/><Relationship Id="rId57" Type="http://schemas.openxmlformats.org/officeDocument/2006/relationships/image" Target="media/image34.png"/><Relationship Id="rId56" Type="http://schemas.openxmlformats.org/officeDocument/2006/relationships/image" Target="media/image33.png"/><Relationship Id="rId55" Type="http://schemas.openxmlformats.org/officeDocument/2006/relationships/image" Target="media/image32.png"/><Relationship Id="rId54" Type="http://schemas.openxmlformats.org/officeDocument/2006/relationships/image" Target="media/image31.png"/><Relationship Id="rId53" Type="http://schemas.openxmlformats.org/officeDocument/2006/relationships/image" Target="media/image30.png"/><Relationship Id="rId52" Type="http://schemas.openxmlformats.org/officeDocument/2006/relationships/image" Target="media/image29.png"/><Relationship Id="rId51" Type="http://schemas.openxmlformats.org/officeDocument/2006/relationships/image" Target="media/image28.png"/><Relationship Id="rId50" Type="http://schemas.openxmlformats.org/officeDocument/2006/relationships/image" Target="media/image27.wmf"/><Relationship Id="rId5" Type="http://schemas.openxmlformats.org/officeDocument/2006/relationships/footer" Target="footer1.xml"/><Relationship Id="rId49" Type="http://schemas.openxmlformats.org/officeDocument/2006/relationships/image" Target="media/image26.png"/><Relationship Id="rId48" Type="http://schemas.openxmlformats.org/officeDocument/2006/relationships/image" Target="media/image25.png"/><Relationship Id="rId47" Type="http://schemas.openxmlformats.org/officeDocument/2006/relationships/image" Target="media/image24.wmf"/><Relationship Id="rId46" Type="http://schemas.openxmlformats.org/officeDocument/2006/relationships/oleObject" Target="embeddings/oleObject4.bin"/><Relationship Id="rId45" Type="http://schemas.openxmlformats.org/officeDocument/2006/relationships/image" Target="media/image23.wmf"/><Relationship Id="rId44" Type="http://schemas.openxmlformats.org/officeDocument/2006/relationships/oleObject" Target="embeddings/oleObject3.bin"/><Relationship Id="rId43" Type="http://schemas.openxmlformats.org/officeDocument/2006/relationships/image" Target="media/image22.png"/><Relationship Id="rId42" Type="http://schemas.openxmlformats.org/officeDocument/2006/relationships/image" Target="media/image21.emf"/><Relationship Id="rId41" Type="http://schemas.openxmlformats.org/officeDocument/2006/relationships/oleObject" Target="embeddings/oleObject2.bin"/><Relationship Id="rId40" Type="http://schemas.openxmlformats.org/officeDocument/2006/relationships/image" Target="media/image20.png"/><Relationship Id="rId4" Type="http://schemas.openxmlformats.org/officeDocument/2006/relationships/endnotes" Target="endnotes.xml"/><Relationship Id="rId39" Type="http://schemas.openxmlformats.org/officeDocument/2006/relationships/image" Target="media/image19.png"/><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jpe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jpeg"/><Relationship Id="rId28" Type="http://schemas.openxmlformats.org/officeDocument/2006/relationships/image" Target="media/image8.png"/><Relationship Id="rId27" Type="http://schemas.openxmlformats.org/officeDocument/2006/relationships/image" Target="media/image7.jpe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emf"/><Relationship Id="rId21" Type="http://schemas.openxmlformats.org/officeDocument/2006/relationships/oleObject" Target="embeddings/oleObject1.bin"/><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header" Target="header5.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35a8caf2-046e-473a-b6f5-7a2c60d64517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43B23EDE</paraID>
      <start>0</start>
      <end>3</end>
      <status>unmodified</status>
      <modifiedWord/>
      <trackRevisions>false</trackRevisions>
    </reviewItem>
    <reviewItem>
      <errorID>e4e2aded-f34c-4db5-ba0c-771276800631</errorID>
      <errorWord>货源站</errorWord>
      <group>L1_Word</group>
      <groupName>字词问题</groupName>
      <ability>L2_Typo</ability>
      <abilityName>字词错误</abilityName>
      <candidateList>
        <item>货运站</item>
      </candidateList>
      <explain>存在发音相近字词的误用。</explain>
      <paraID> 5A48C61</paraID>
      <start>232</start>
      <end>235</end>
      <status>unmodified</status>
      <modifiedWord/>
      <trackRevisions>false</trackRevisions>
    </reviewItem>
    <reviewItem>
      <errorID>5bc4f888-75c1-4482-9eda-9670854ebf1f</errorID>
      <errorWord>县的</errorWord>
      <group>L1_Word</group>
      <groupName>字词问题</groupName>
      <ability>L2_Typo</ability>
      <abilityName>字词错误</abilityName>
      <candidateList>
        <item>县</item>
      </candidateList>
      <explain/>
      <paraID> 5A48C61</paraID>
      <start>338</start>
      <end>340</end>
      <status>unmodified</status>
      <modifiedWord/>
      <trackRevisions>false</trackRevisions>
    </reviewItem>
    <reviewItem>
      <errorID>da4c42e3-8a00-47e5-a271-3693dc1bdcd6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732EACC0</paraID>
      <start>16</start>
      <end>19</end>
      <status>ignored</status>
      <modifiedWord/>
      <trackRevisions>false</trackRevisions>
    </reviewItem>
    <reviewItem>
      <errorID>2ca38dbb-100c-4c4a-8839-dd2a51e695e3</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481597DD</paraID>
      <start>75</start>
      <end>78</end>
      <status>ignored</status>
      <modifiedWord/>
      <trackRevisions>false</trackRevisions>
    </reviewItem>
    <reviewItem>
      <errorID>e0e16e50-ca1a-4af1-8404-7d36713c9ba1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31D19B79</paraID>
      <start>406</start>
      <end>407</end>
      <status>unmodified</status>
      <modifiedWord/>
      <trackRevisions>false</trackRevisions>
    </reviewItem>
    <reviewItem>
      <errorID>974afba8-ca93-41b1-875b-86656dafc835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19C3FB27</paraID>
      <start>64</start>
      <end>67</end>
      <status>ignored</status>
      <modifiedWord/>
      <trackRevisions>false</trackRevisions>
    </reviewItem>
    <reviewItem>
      <errorID>2b3b1898-62d2-4877-b17f-0c1b1883d61e</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19C3FB27</paraID>
      <start>138</start>
      <end>141</end>
      <status>ignored</status>
      <modifiedWord/>
      <trackRevisions>false</trackRevisions>
    </reviewItem>
    <reviewItem>
      <errorID>2f4f864b-5576-4f0d-91c9-6142dd4cd9e1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3C92690</paraID>
      <start>49</start>
      <end>52</end>
      <status>ignored</status>
      <modifiedWord/>
      <trackRevisions>false</trackRevisions>
    </reviewItem>
    <reviewItem>
      <errorID>8d26b18d-b65b-458e-a682-a2260ebe4f00</errorID>
      <errorWord>进</errorWord>
      <group>L1_Word</group>
      <groupName>字词问题</groupName>
      <ability>L2_Typo</ability>
      <abilityName>字词错误</abilityName>
      <candidateList>
        <item>进了</item>
      </candidateList>
      <explain/>
      <paraID> 3C92690</paraID>
      <start>115</start>
      <end>116</end>
      <status>unmodified</status>
      <modifiedWord/>
      <trackRevisions>false</trackRevisions>
    </reviewItem>
    <reviewItem>
      <errorID>e0c393e7-3c6b-4d7c-9f45-20b692b6b835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3C92690</paraID>
      <start>116</start>
      <end>119</end>
      <status>ignored</status>
      <modifiedWord/>
      <trackRevisions>false</trackRevisions>
    </reviewItem>
    <reviewItem>
      <errorID>d37748fb-12a4-48b9-8e28-282ca9ba5170</errorID>
      <errorWord>属于属于</errorWord>
      <group>L1_Word</group>
      <groupName>字词问题</groupName>
      <ability>L2_Typo</ability>
      <abilityName>字词错误</abilityName>
      <candidateList>
        <item>属于</item>
      </candidateList>
      <explain/>
      <paraID>79D0A708</paraID>
      <start>25</start>
      <end>29</end>
      <status>unmodified</status>
      <modifiedWord/>
      <trackRevisions>false</trackRevisions>
    </reviewItem>
    <reviewItem>
      <errorID>026e9683-75f1-4e37-94c5-769a50586dbf</errorID>
      <errorWord>II</errorWord>
      <group>L1_Knowledge</group>
      <groupName>知识性问题</groupName>
      <ability>L2_Knowledge</ability>
      <abilityName>其他知识</abilityName>
      <candidateList>
        <item>Ⅱ</item>
      </candidateList>
      <explain>中文环境下罗马数字格式错误。</explain>
      <paraID>5E3553D8</paraID>
      <start>0</start>
      <end>2</end>
      <status>unmodified</status>
      <modifiedWord/>
      <trackRevisions>false</trackRevisions>
    </reviewItem>
    <reviewItem>
      <errorID>cb8bd5c2-ffc3-418e-a99e-5bb2bfac7b49</errorID>
      <errorWord>II</errorWord>
      <group>L1_Knowledge</group>
      <groupName>知识性问题</groupName>
      <ability>L2_Knowledge</ability>
      <abilityName>其他知识</abilityName>
      <candidateList>
        <item>Ⅱ</item>
      </candidateList>
      <explain>中文环境下罗马数字格式错误。</explain>
      <paraID>51CE2A10</paraID>
      <start>0</start>
      <end>2</end>
      <status>unmodified</status>
      <modifiedWord/>
      <trackRevisions>false</trackRevisions>
    </reviewItem>
    <reviewItem>
      <errorID>45fa23a4-cb26-4c0a-aa54-2e45c609692f</errorID>
      <errorWord>II</errorWord>
      <group>L1_Knowledge</group>
      <groupName>知识性问题</groupName>
      <ability>L2_Knowledge</ability>
      <abilityName>其他知识</abilityName>
      <candidateList>
        <item>Ⅱ</item>
      </candidateList>
      <explain>中文环境下罗马数字格式错误。</explain>
      <paraID>7841CF99</paraID>
      <start>0</start>
      <end>2</end>
      <status>unmodified</status>
      <modifiedWord/>
      <trackRevisions>false</trackRevisions>
    </reviewItem>
    <reviewItem>
      <errorID>166f6d15-c4f0-4f08-8b39-29a76efb35b2</errorID>
      <errorWord>分部</errorWord>
      <group>L1_Word</group>
      <groupName>字词问题</groupName>
      <ability>L2_Typo</ability>
      <abilityName>字词错误</abilityName>
      <candidateList>
        <item>分布</item>
      </candidateList>
      <explain>〈动〉散布（在一定的地区内）：人口～图｜商业网点～得不均匀。</explain>
      <paraID>2C54DA19</paraID>
      <start>55</start>
      <end>57</end>
      <status>unmodified</status>
      <modifiedWord/>
      <trackRevisions>false</trackRevisions>
    </reviewItem>
    <reviewItem>
      <errorID>560abf40-2bde-4a31-8d92-e9c1391dab90</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274F08B9</paraID>
      <start>95</start>
      <end>98</end>
      <status>ignored</status>
      <modifiedWord/>
      <trackRevisions>false</trackRevisions>
    </reviewItem>
    <reviewItem>
      <errorID>4943d36d-6474-4247-be13-b28f15a40c9c</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2138F597</paraID>
      <start>7</start>
      <end>10</end>
      <status>ignored</status>
      <modifiedWord/>
      <trackRevisions>false</trackRevisions>
    </reviewItem>
    <reviewItem>
      <errorID>9ee4e137-1db5-4032-954e-4ec66eba8081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2138F597</paraID>
      <start>48</start>
      <end>51</end>
      <status>ignored</status>
      <modifiedWord/>
      <trackRevisions>false</trackRevisions>
    </reviewItem>
    <reviewItem>
      <errorID>df28e563-3e14-4138-8102-04d603614932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2138F597</paraID>
      <start>73</start>
      <end>76</end>
      <status>ignored</status>
      <modifiedWord/>
      <trackRevisions>false</trackRevisions>
    </reviewItem>
    <reviewItem>
      <errorID>9b4341a4-8015-47f7-86d6-007e5c01fb12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7824DE5A</paraID>
      <start>5</start>
      <end>8</end>
      <status>ignored</status>
      <modifiedWord/>
      <trackRevisions>false</trackRevisions>
    </reviewItem>
    <reviewItem>
      <errorID>9b0f92f6-e335-4249-9500-a049bdb88e58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7824DE5A</paraID>
      <start>73</start>
      <end>76</end>
      <status>ignored</status>
      <modifiedWord/>
      <trackRevisions>false</trackRevisions>
    </reviewItem>
    <reviewItem>
      <errorID>a7028533-4c34-4f38-afd2-b53a6fe938b6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3C0E225C</paraID>
      <start>23</start>
      <end>26</end>
      <status>ignored</status>
      <modifiedWord/>
      <trackRevisions>false</trackRevisions>
    </reviewItem>
    <reviewItem>
      <errorID>26c536ec-52a4-4615-b2d7-15d6769cd208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3C0E225C</paraID>
      <start>39</start>
      <end>42</end>
      <status>ignored</status>
      <modifiedWord/>
      <trackRevisions>false</trackRevisions>
    </reviewItem>
    <reviewItem>
      <errorID>4b5058fa-6590-4ad9-88a6-497288d26dd9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41A0C2D3</paraID>
      <start>0</start>
      <end>2</end>
      <status>unmodified</status>
      <modifiedWord/>
      <trackRevisions>false</trackRevisions>
    </reviewItem>
    <reviewItem>
      <errorID>b2ca751a-ee75-44bb-b706-e0f9a2fd173c</errorID>
      <errorWord>，</errorWord>
      <group>L1_Word</group>
      <groupName>字词问题</groupName>
      <ability>L2_Typo</ability>
      <abilityName>字词错误</abilityName>
      <candidateList>
        <item>，在</item>
      </candidateList>
      <explain/>
      <paraID>3F6E0A54</paraID>
      <start>97</start>
      <end>98</end>
      <status>unmodified</status>
      <modifiedWord/>
      <trackRevisions>false</trackRevisions>
    </reviewItem>
    <reviewItem>
      <errorID>e522cc62-7e28-4e83-9272-54f6c797e15e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4E22BB64</paraID>
      <start>0</start>
      <end>2</end>
      <status>unmodified</status>
      <modifiedWord/>
      <trackRevisions>false</trackRevisions>
    </reviewItem>
    <reviewItem>
      <errorID>b3900718-9052-4b98-b5aa-69029313880e</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34293687</paraID>
      <start>2</start>
      <end>5</end>
      <status>ignored</status>
      <modifiedWord/>
      <trackRevisions>false</trackRevisions>
    </reviewItem>
    <reviewItem>
      <errorID>3797cc34-80dc-46cb-bedf-4468c4028096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58C6CF93</paraID>
      <start>2</start>
      <end>5</end>
      <status>ignored</status>
      <modifiedWord/>
      <trackRevisions>false</trackRevisions>
    </reviewItem>
    <reviewItem>
      <errorID>aefbedcb-8da4-4866-b716-893e3e4dbebe</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72CB376B</paraID>
      <start>87</start>
      <end>90</end>
      <status>ignored</status>
      <modifiedWord/>
      <trackRevisions>false</trackRevisions>
    </reviewItem>
    <reviewItem>
      <errorID>81d056c9-9d06-4b5a-935b-c67fe25a7a0f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65869E70</paraID>
      <start>20</start>
      <end>21</end>
      <status>unmodified</status>
      <modifiedWord/>
      <trackRevisions>false</trackRevisions>
    </reviewItem>
    <reviewItem>
      <errorID>dfd6bce9-9080-4db4-ad1c-9568f34aab81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17086051</paraID>
      <start>86</start>
      <end>87</end>
      <status>unmodified</status>
      <modifiedWord/>
      <trackRevisions>false</trackRevisions>
    </reviewItem>
    <reviewItem>
      <errorID>37a6b70c-a4c5-4b58-96b9-b6fca91f67cd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30AF4A74</paraID>
      <start>23</start>
      <end>24</end>
      <status>unmodified</status>
      <modifiedWord/>
      <trackRevisions>false</trackRevisions>
    </reviewItem>
    <reviewItem>
      <errorID>a4e6dcf6-c009-422e-9904-a5777be08dd7</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35614701</paraID>
      <start>80</start>
      <end>83</end>
      <status>ignored</status>
      <modifiedWord/>
      <trackRevisions>false</trackRevisions>
    </reviewItem>
    <reviewItem>
      <errorID>eef79393-6bdb-447f-9f95-ff3e30ce10cc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74ACF5E4</paraID>
      <start>24</start>
      <end>25</end>
      <status>unmodified</status>
      <modifiedWord/>
      <trackRevisions>false</trackRevisions>
    </reviewItem>
    <reviewItem>
      <errorID>67fc8fe2-7d76-4bcb-83e2-f435e855c817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1A008BE3</paraID>
      <start>23</start>
      <end>24</end>
      <status>unmodified</status>
      <modifiedWord/>
      <trackRevisions>false</trackRevisions>
    </reviewItem>
    <reviewItem>
      <errorID>a71043dd-9d38-4d97-af02-dd6d9b1a03a3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506CF0CD</paraID>
      <start>33</start>
      <end>34</end>
      <status>unmodified</status>
      <modifiedWord/>
      <trackRevisions>false</trackRevisions>
    </reviewItem>
    <reviewItem>
      <errorID>9cb6fe36-40aa-4fa8-a5ca-9227e75770a7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5926814A</paraID>
      <start>24</start>
      <end>25</end>
      <status>unmodified</status>
      <modifiedWord/>
      <trackRevisions>false</trackRevisions>
    </reviewItem>
    <reviewItem>
      <errorID>0d92d51f-58fc-4a99-8785-ebafc63b8918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57D99F54</paraID>
      <start>24</start>
      <end>27</end>
      <status>ignored</status>
      <modifiedWord/>
      <trackRevisions>false</trackRevisions>
    </reviewItem>
    <reviewItem>
      <errorID>9c1d889a-f39a-40ba-8b93-8f29b4a0e22e</errorID>
      <errorWord>本</errorWord>
      <group>L1_Word</group>
      <groupName>字词问题</groupName>
      <ability>L2_Typo</ability>
      <abilityName>字词错误</abilityName>
      <candidateList>
        <item>本次</item>
      </candidateList>
      <explain/>
      <paraID>12A42D08</paraID>
      <start>120</start>
      <end>121</end>
      <status>unmodified</status>
      <modifiedWord/>
      <trackRevisions>false</trackRevisions>
    </reviewItem>
    <reviewItem>
      <errorID>26031b34-725a-42e2-aa73-04f09afea061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55E8541F</paraID>
      <start>27</start>
      <end>28</end>
      <status>unmodified</status>
      <modifiedWord/>
      <trackRevisions>false</trackRevisions>
    </reviewItem>
    <reviewItem>
      <errorID>ff93cb2c-98ef-4e1f-b2a3-6cd606c1695f</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2B69B9AE</paraID>
      <start>4</start>
      <end>7</end>
      <status>ignored</status>
      <modifiedWord/>
      <trackRevisions>false</trackRevisions>
    </reviewItem>
    <reviewItem>
      <errorID>764a6750-95ac-4de3-aab4-408a150adb71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57D06036</paraID>
      <start>4</start>
      <end>7</end>
      <status>ignored</status>
      <modifiedWord/>
      <trackRevisions>false</trackRevisions>
    </reviewItem>
    <reviewItem>
      <errorID>39bde35c-08b3-46a8-a425-da04a5058cda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1B73501A</paraID>
      <start>105</start>
      <end>108</end>
      <status>ignored</status>
      <modifiedWord/>
      <trackRevisions>false</trackRevisions>
    </reviewItem>
    <reviewItem>
      <errorID>4e38c05c-6c3e-4c4d-8a58-99f7dc1fcfb0</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27D50CDF</paraID>
      <start>12</start>
      <end>15</end>
      <status>ignored</status>
      <modifiedWord/>
      <trackRevisions>false</trackRevisions>
    </reviewItem>
    <reviewItem>
      <errorID>b20e3feb-6e42-4031-aa42-200cf94accfb</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27D50CDF</paraID>
      <start>139</start>
      <end>142</end>
      <status>ignored</status>
      <modifiedWord/>
      <trackRevisions>false</trackRevisions>
    </reviewItem>
    <reviewItem>
      <errorID>b19e717d-e60c-4d2b-b422-9c9cc82ac829</errorID>
      <errorWord>)</errorWord>
      <group>L1_Format</group>
      <groupName>格式问题</groupName>
      <ability>L2_HalfPunc_CN</ability>
      <abilityName>全半角问题</abilityName>
      <candidateList>
        <item>）</item>
      </candidateList>
      <explain>文本全半角错误。</explain>
      <paraID>578C9DF6</paraID>
      <start>19</start>
      <end>20</end>
      <status>unmodified</status>
      <modifiedWord/>
      <trackRevisions>false</trackRevisions>
    </reviewItem>
    <reviewItem>
      <errorID>9a00b3b1-9adb-4d1e-98b1-37286fa50bee</errorID>
      <errorWord>(</errorWord>
      <group>L1_Format</group>
      <groupName>格式问题</groupName>
      <ability>L2_HalfPunc_CN</ability>
      <abilityName>全半角问题</abilityName>
      <candidateList>
        <item>（</item>
      </candidateList>
      <explain>文本全半角错误。</explain>
      <paraID>578C9DF6</paraID>
      <start>20</start>
      <end>21</end>
      <status>unmodified</status>
      <modifiedWord/>
      <trackRevisions>false</trackRevisions>
    </reviewItem>
    <reviewItem>
      <errorID>1bc93790-66b3-41f0-9951-bf6192021086</errorID>
      <errorWord>货源站</errorWord>
      <group>L1_Word</group>
      <groupName>字词问题</groupName>
      <ability>L2_Typo</ability>
      <abilityName>字词错误</abilityName>
      <candidateList>
        <item>货运站</item>
      </candidateList>
      <explain>存在发音相近字词的误用。</explain>
      <paraID>56A8E8AA</paraID>
      <start>342</start>
      <end>345</end>
      <status>unmodified</status>
      <modifiedWord/>
      <trackRevisions>false</trackRevisions>
    </reviewItem>
    <reviewItem>
      <errorID>e7eb05d8-8e17-42c7-bb4e-b8eeed86b3da</errorID>
      <errorWord>县的</errorWord>
      <group>L1_Word</group>
      <groupName>字词问题</groupName>
      <ability>L2_Typo</ability>
      <abilityName>字词错误</abilityName>
      <candidateList>
        <item>县</item>
      </candidateList>
      <explain/>
      <paraID>56A8E8AA</paraID>
      <start>448</start>
      <end>450</end>
      <status>unmodified</status>
      <modifiedWord/>
      <trackRevisions>false</trackRevisions>
    </reviewItem>
    <reviewItem>
      <errorID>ad02ef38-2871-4347-8e17-34c1453d968d</errorID>
      <errorWord>拌合站</errorWord>
      <group>L1_Word</group>
      <groupName>字词问题</groupName>
      <ability>L2_Typo</ability>
      <abilityName>字词错误</abilityName>
      <candidateList>
        <item>拌和站</item>
      </candidateList>
      <explain>存在发音相同字词的误用。</explain>
      <paraID>7CFD5D6A</paraID>
      <start>37</start>
      <end>40</end>
      <status>unmodified</status>
      <modifiedWord/>
      <trackRevisions>false</trackRevisions>
    </reviewItem>
    <reviewItem>
      <errorID>639ba5fa-8ffc-46cb-8504-63358e3f0c51</errorID>
      <errorWord>拌合站</errorWord>
      <group>L1_Word</group>
      <groupName>字词问题</groupName>
      <ability>L2_Typo</ability>
      <abilityName>字词错误</abilityName>
      <candidateList>
        <item>拌和站</item>
      </candidateList>
      <explain>存在发音相同字词的误用。</explain>
      <paraID>532F2219</paraID>
      <start>157</start>
      <end>160</end>
      <status>unmodified</status>
      <modifiedWord/>
      <trackRevisions>false</trackRevisions>
    </reviewItem>
    <reviewItem>
      <errorID>e9b61000-26bc-461d-b030-5a0158b4bd86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36CF040B</paraID>
      <start>129</start>
      <end>130</end>
      <status>unmodified</status>
      <modifiedWord/>
      <trackRevisions>false</trackRevisions>
    </reviewItem>
    <reviewItem>
      <errorID>6c0f0cdd-d2ae-42c6-9f21-5d98cd8a66f6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2DCD375E</paraID>
      <start>7</start>
      <end>10</end>
      <status>ignored</status>
      <modifiedWord/>
      <trackRevisions>false</trackRevisions>
    </reviewItem>
    <reviewItem>
      <errorID>7573cf0e-9329-48ef-990d-6111df877ba2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2DCD375E</paraID>
      <start>29</start>
      <end>32</end>
      <status>ignored</status>
      <modifiedWord/>
      <trackRevisions>false</trackRevisions>
    </reviewItem>
    <reviewItem>
      <errorID>e195c1f8-97f7-4ce0-8ece-bf57b682402d</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2DCD375E</paraID>
      <start>39</start>
      <end>42</end>
      <status>ignored</status>
      <modifiedWord/>
      <trackRevisions>false</trackRevisions>
    </reviewItem>
    <reviewItem>
      <errorID>026007da-ff0e-46bd-a04a-daf8822e46f7</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2DCD375E</paraID>
      <start>46</start>
      <end>49</end>
      <status>ignored</status>
      <modifiedWord/>
      <trackRevisions>false</trackRevisions>
    </reviewItem>
    <reviewItem>
      <errorID>c37a8c7e-0926-4862-ad7a-66ecbd07833a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2DCD375E</paraID>
      <start>55</start>
      <end>58</end>
      <status>ignored</status>
      <modifiedWord/>
      <trackRevisions>false</trackRevisions>
    </reviewItem>
    <reviewItem>
      <errorID>185305a8-f79a-4fcd-af02-42b290131737</errorID>
      <errorWord>法律、法规</errorWord>
      <group>L1_Word</group>
      <groupName>字词问题</groupName>
      <ability>L2_Typo</ability>
      <abilityName>字词错误</abilityName>
      <candidateList>
        <item>法律法规</item>
      </candidateList>
      <explain/>
      <paraID>513DA0AD</paraID>
      <start>9</start>
      <end>14</end>
      <status>unmodified</status>
      <modifiedWord/>
      <trackRevisions>false</trackRevisions>
    </reviewItem>
    <reviewItem>
      <errorID>27ef48c4-2f12-4c93-8c30-799fe629c163</errorID>
      <errorWord>月1日施行</errorWord>
      <group>L1_Word</group>
      <groupName>字词问题</groupName>
      <ability>L2_Typo</ability>
      <abilityName>字词错误</abilityName>
      <candidateList>
        <item>月1日起施行</item>
      </candidateList>
      <explain/>
      <paraID>217C2B8F</paraID>
      <start>23</start>
      <end>28</end>
      <status>unmodified</status>
      <modifiedWord/>
      <trackRevisions>false</trackRevisions>
    </reviewItem>
    <reviewItem>
      <errorID>8cf5c8fe-6e0a-4ba3-b4cf-f3904afb856b</errorID>
      <errorWord>云南省林地管理办法</errorWord>
      <group>L1_Knowledge</group>
      <groupName>知识性问题</groupName>
      <ability>L2_Knowledge</ability>
      <abilityName>其他知识</abilityName>
      <candidateList>
        <item>云南省林地管理条例</item>
      </candidateList>
      <explain>当前法律法规未收录或尚未生效，注意核查是否正确。</explain>
      <paraID> 83A8A7F</paraID>
      <start>5</start>
      <end>14</end>
      <status>unmodified</status>
      <modifiedWord/>
      <trackRevisions>false</trackRevisions>
    </reviewItem>
    <reviewItem>
      <errorID>9e238f86-506f-41a7-9a0e-41b0f5af7506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5EE33E4B</paraID>
      <start>3</start>
      <end>6</end>
      <status>ignored</status>
      <modifiedWord/>
      <trackRevisions>false</trackRevisions>
    </reviewItem>
    <reviewItem>
      <errorID>7bafa965-e8d9-4b66-91da-3443a8961508</errorID>
      <errorWord>（</errorWord>
      <group>L1_Punc</group>
      <groupName>标点问题</groupName>
      <ability>L2_Punc_CN</ability>
      <abilityName>标点符号问题</abilityName>
      <candidateList/>
      <explain>同一形式括号套用。</explain>
      <paraID>3AD86060</paraID>
      <start>70</start>
      <end>71</end>
      <status>unmodified</status>
      <modifiedWord/>
      <trackRevisions>false</trackRevisions>
    </reviewItem>
    <reviewItem>
      <errorID>bac3c2f3-1f35-4a19-a609-7336b46400ca</errorID>
      <errorWord>）</errorWord>
      <group>L1_Punc</group>
      <groupName>标点问题</groupName>
      <ability>L2_Punc_CN</ability>
      <abilityName>标点符号问题</abilityName>
      <candidateList/>
      <explain>同一形式括号套用。</explain>
      <paraID>3AD86060</paraID>
      <start>72</start>
      <end>73</end>
      <status>unmodified</status>
      <modifiedWord/>
      <trackRevisions>false</trackRevisions>
    </reviewItem>
    <reviewItem>
      <errorID>ea8a6088-7027-45cd-965e-d3a34d7add5b</errorID>
      <errorWord>》</errorWord>
      <group>L1_Word</group>
      <groupName>字词问题</groupName>
      <ability>L2_Typo</ability>
      <abilityName>字词错误</abilityName>
      <candidateList>
        <item>》和</item>
      </candidateList>
      <explain/>
      <paraID>766E6C25</paraID>
      <start>18</start>
      <end>19</end>
      <status>unmodified</status>
      <modifiedWord/>
      <trackRevisions>false</trackRevisions>
    </reviewItem>
    <reviewItem>
      <errorID>4a21311b-6d52-4e4b-a42d-339a9de60a94</errorID>
      <errorWord>）</errorWord>
      <group>L1_Word</group>
      <groupName>字词问题</groupName>
      <ability>L2_Typo</ability>
      <abilityName>字词错误</abilityName>
      <candidateList>
        <item>）对</item>
      </candidateList>
      <explain/>
      <paraID>3BCED3E5</paraID>
      <start>2</start>
      <end>3</end>
      <status>unmodified</status>
      <modifiedWord/>
      <trackRevisions>false</trackRevisions>
    </reviewItem>
    <reviewItem>
      <errorID>c9fcd6dd-8e49-41be-9041-6a3891f693ea</errorID>
      <errorWord>式</errorWord>
      <group>L1_Word</group>
      <groupName>字词问题</groupName>
      <ability>L2_Typo</ability>
      <abilityName>字词错误</abilityName>
      <candidateList>
        <item>式和</item>
      </candidateList>
      <explain/>
      <paraID>3BCED3E5</paraID>
      <start>134</start>
      <end>135</end>
      <status>unmodified</status>
      <modifiedWord/>
      <trackRevisions>false</trackRevisions>
    </reviewItem>
    <reviewItem>
      <errorID>749c4697-13a1-4c93-8573-04224b2ae11e</errorID>
      <errorWord>，</errorWord>
      <group>L1_Word</group>
      <groupName>字词问题</groupName>
      <ability>L2_Typo</ability>
      <abilityName>字词错误</abilityName>
      <candidateList>
        <item>，以</item>
      </candidateList>
      <explain/>
      <paraID> F01A906</paraID>
      <start>34</start>
      <end>35</end>
      <status>unmodified</status>
      <modifiedWord/>
      <trackRevisions>false</trackRevisions>
    </reviewItem>
    <reviewItem>
      <errorID>9426d05d-e168-4bf6-b5a8-6e42b174bc2b</errorID>
      <errorWord>III类</errorWord>
      <group>L1_Knowledge</group>
      <groupName>知识性问题</groupName>
      <ability>L2_Knowledge</ability>
      <abilityName>其他知识</abilityName>
      <candidateList>
        <item>Ⅲ类</item>
      </candidateList>
      <explain>中文环境下罗马数字格式错误。</explain>
      <paraID>2BF8496E</paraID>
      <start>88</start>
      <end>92</end>
      <status>unmodified</status>
      <modifiedWord/>
      <trackRevisions>false</trackRevisions>
    </reviewItem>
    <reviewItem>
      <errorID>ca422f28-395b-4d97-9e5c-32dc35a45ac2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1A427043</paraID>
      <start>70</start>
      <end>73</end>
      <status>ignored</status>
      <modifiedWord/>
      <trackRevisions>false</trackRevisions>
    </reviewItem>
    <reviewItem>
      <errorID>74c744d9-ff70-408d-b06b-0011bd9428d9</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2076B500</paraID>
      <start>0</start>
      <end>3</end>
      <status>ignored</status>
      <modifiedWord/>
      <trackRevisions>false</trackRevisions>
    </reviewItem>
    <reviewItem>
      <errorID>c4087b4a-a834-49f4-97b8-7699e68e80d2</errorID>
      <errorWord>施工期</errorWord>
      <group>L1_Word</group>
      <groupName>字词问题</groupName>
      <ability>L2_Typo</ability>
      <abilityName>字词错误</abilityName>
      <candidateList>
        <item>施工</item>
      </candidateList>
      <explain>〈动〉按照设计的规格和要求建筑房屋、桥梁、道路、水利工程等。</explain>
      <paraID>7BD16C66</paraID>
      <start>4</start>
      <end>7</end>
      <status>unmodified</status>
      <modifiedWord/>
      <trackRevisions>false</trackRevisions>
    </reviewItem>
    <reviewItem>
      <errorID>547ab738-9c09-4b6f-860c-aecfd679b35a</errorID>
      <errorWord>（</errorWord>
      <group>L1_Format</group>
      <groupName>格式问题</groupName>
      <ability>L2_HalfPunc_CN</ability>
      <abilityName>全半角问题</abilityName>
      <candidateList>
        <item>(</item>
      </candidateList>
      <explain>文本全半角错误。</explain>
      <paraID>6CC9B370</paraID>
      <start>0</start>
      <end>1</end>
      <status>unmodified</status>
      <modifiedWord/>
      <trackRevisions>false</trackRevisions>
    </reviewItem>
    <reviewItem>
      <errorID>4b3dba0d-37d7-4ce0-9da0-fc8539f81152</errorID>
      <errorWord>）。</errorWord>
      <group>L1_Format</group>
      <groupName>格式问题</groupName>
      <ability>L2_HalfPunc_CN</ability>
      <abilityName>全半角问题</abilityName>
      <candidateList>
        <item>).</item>
      </candidateList>
      <explain>文本全半角错误。</explain>
      <paraID>6CC9B370</paraID>
      <start>13</start>
      <end>15</end>
      <status>unmodified</status>
      <modifiedWord/>
      <trackRevisions>false</trackRevisions>
    </reviewItem>
    <reviewItem>
      <errorID>58848ef5-1a2e-418a-9ef5-c58954b9f741</errorID>
      <errorWord>（</errorWord>
      <group>L1_Format</group>
      <groupName>格式问题</groupName>
      <ability>L2_HalfPunc_CN</ability>
      <abilityName>全半角问题</abilityName>
      <candidateList>
        <item>(</item>
      </candidateList>
      <explain>文本全半角错误。</explain>
      <paraID>6FA2795F</paraID>
      <start>0</start>
      <end>1</end>
      <status>unmodified</status>
      <modifiedWord/>
      <trackRevisions>false</trackRevisions>
    </reviewItem>
    <reviewItem>
      <errorID>7688526f-e69e-4aff-84ff-6ac4ab5dead7</errorID>
      <errorWord>）</errorWord>
      <group>L1_Format</group>
      <groupName>格式问题</groupName>
      <ability>L2_HalfPunc_CN</ability>
      <abilityName>全半角问题</abilityName>
      <candidateList>
        <item>)</item>
      </candidateList>
      <explain>文本全半角错误。</explain>
      <paraID>6FA2795F</paraID>
      <start>2</start>
      <end>3</end>
      <status>unmodified</status>
      <modifiedWord/>
      <trackRevisions>false</trackRevisions>
    </reviewItem>
    <reviewItem>
      <errorID>1f318f13-96ce-4d42-a1e3-506ccfbdb593</errorID>
      <errorWord>（</errorWord>
      <group>L1_Format</group>
      <groupName>格式问题</groupName>
      <ability>L2_HalfPunc_CN</ability>
      <abilityName>全半角问题</abilityName>
      <candidateList>
        <item>(</item>
      </candidateList>
      <explain>文本全半角错误。</explain>
      <paraID> B3D851F</paraID>
      <start>0</start>
      <end>1</end>
      <status>unmodified</status>
      <modifiedWord/>
      <trackRevisions>false</trackRevisions>
    </reviewItem>
    <reviewItem>
      <errorID>2fb49ac6-21e8-40fe-9177-3dde90bd4215</errorID>
      <errorWord>）</errorWord>
      <group>L1_Format</group>
      <groupName>格式问题</groupName>
      <ability>L2_HalfPunc_CN</ability>
      <abilityName>全半角问题</abilityName>
      <candidateList>
        <item>)</item>
      </candidateList>
      <explain>文本全半角错误。</explain>
      <paraID> B3D851F</paraID>
      <start>2</start>
      <end>3</end>
      <status>unmodified</status>
      <modifiedWord/>
      <trackRevisions>false</trackRevisions>
    </reviewItem>
    <reviewItem>
      <errorID>c678cd63-f32b-4863-9040-e27fa5ab8084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418409EA</paraID>
      <start>0</start>
      <end>3</end>
      <status>ignored</status>
      <modifiedWord/>
      <trackRevisions>false</trackRevisions>
    </reviewItem>
    <reviewItem>
      <errorID>91260114-131f-485b-8f41-ba537d80bfa4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1DF5A5BD</paraID>
      <start>0</start>
      <end>3</end>
      <status>ignored</status>
      <modifiedWord/>
      <trackRevisions>false</trackRevisions>
    </reviewItem>
    <reviewItem>
      <errorID>364828fb-3da2-4938-856a-01039e6a6e98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5D17C746</paraID>
      <start>0</start>
      <end>3</end>
      <status>ignored</status>
      <modifiedWord/>
      <trackRevisions>false</trackRevisions>
    </reviewItem>
    <reviewItem>
      <errorID>b3076e69-15e4-437f-8f66-7c6ee114f128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F3B27</paraID>
      <start>0</start>
      <end>3</end>
      <status>ignored</status>
      <modifiedWord/>
      <trackRevisions>false</trackRevisions>
    </reviewItem>
    <reviewItem>
      <errorID>c3fd5181-22aa-442d-9c38-7d91cebd1a8a</errorID>
      <errorWord>建表</errorWord>
      <group>L1_Word</group>
      <groupName>字词问题</groupName>
      <ability>L2_Typo</ability>
      <abilityName>字词错误</abilityName>
      <candidateList>
        <item>简表</item>
      </candidateList>
      <explain/>
      <paraID>2B9C773E</paraID>
      <start>14</start>
      <end>16</end>
      <status>unmodified</status>
      <modifiedWord/>
      <trackRevisions>false</trackRevisions>
    </reviewItem>
    <reviewItem>
      <errorID>a567de86-7b7b-4042-8413-a105df9777a6</errorID>
      <errorWord>其</errorWord>
      <group>L1_Word</group>
      <groupName>字词问题</groupName>
      <ability>L2_Typo</ability>
      <abilityName>字词错误</abilityName>
      <candidateList>
        <item>中</item>
      </candidateList>
      <explain>〈动〉❶正对上；恰好合上：～选｜猜～了｜三枪都打～了目标。❷受到；遭受：～毒｜～暑｜胳膊上～了一枪。</explain>
      <paraID>69358067</paraID>
      <start>5</start>
      <end>6</end>
      <status>unmodified</status>
      <modifiedWord/>
      <trackRevisions>false</trackRevisions>
    </reviewItem>
    <reviewItem>
      <errorID>9f46d920-625b-423e-abe0-0823add1d90b</errorID>
      <errorWord>表表</errorWord>
      <group>L1_Word</group>
      <groupName>字词问题</groupName>
      <ability>L2_Typo</ability>
      <abilityName>字词错误</abilityName>
      <candidateList>
        <item>表</item>
      </candidateList>
      <explain/>
      <paraID>1ECEDD66</paraID>
      <start>10</start>
      <end>12</end>
      <status>unmodified</status>
      <modifiedWord/>
      <trackRevisions>false</trackRevisions>
    </reviewItem>
    <reviewItem>
      <errorID>b0407770-2d2f-4d34-b860-57d0938f391b</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57B634C5</paraID>
      <start>13</start>
      <end>16</end>
      <status>ignored</status>
      <modifiedWord/>
      <trackRevisions>false</trackRevisions>
    </reviewItem>
    <reviewItem>
      <errorID>55546d51-2c31-454a-9c58-ec198ea03de4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6EC334C</paraID>
      <start>21</start>
      <end>24</end>
      <status>ignored</status>
      <modifiedWord/>
      <trackRevisions>false</trackRevisions>
    </reviewItem>
    <reviewItem>
      <errorID>1befbf50-60b8-4dbf-993a-1361139cbadd</errorID>
      <errorWord>之同</errorWord>
      <group>L1_Word</group>
      <groupName>字词问题</groupName>
      <ability>L2_Typo</ability>
      <abilityName>字词错误</abilityName>
      <candidateList>
        <item>之间</item>
      </candidateList>
      <explain/>
      <paraID>51E18E8F</paraID>
      <start>104</start>
      <end>106</end>
      <status>unmodified</status>
      <modifiedWord/>
      <trackRevisions>false</trackRevisions>
    </reviewItem>
    <reviewItem>
      <errorID>aad5fb26-d536-420d-baa1-07b11721ab41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7A0019A2</paraID>
      <start>4</start>
      <end>7</end>
      <status>ignored</status>
      <modifiedWord/>
      <trackRevisions>false</trackRevisions>
    </reviewItem>
    <reviewItem>
      <errorID>e20afc0f-16cd-4d5b-84a0-dfa104c8051b</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7A0019A2</paraID>
      <start>17</start>
      <end>20</end>
      <status>ignored</status>
      <modifiedWord/>
      <trackRevisions>false</trackRevisions>
    </reviewItem>
    <reviewItem>
      <errorID>ae23c02a-f117-4e49-8e8b-74bc564c344e</errorID>
      <errorWord>拌合站</errorWord>
      <group>L1_Word</group>
      <groupName>字词问题</groupName>
      <ability>L2_Typo</ability>
      <abilityName>字词错误</abilityName>
      <candidateList>
        <item>拌和站</item>
      </candidateList>
      <explain>存在发音相同字词的误用。</explain>
      <paraID> 580FB92</paraID>
      <start>0</start>
      <end>3</end>
      <status>unmodified</status>
      <modifiedWord/>
      <trackRevisions>false</trackRevisions>
    </reviewItem>
    <reviewItem>
      <errorID>39dc02e3-0e93-4b83-b4b8-93102546ff1f</errorID>
      <errorWord>拌合站</errorWord>
      <group>L1_Word</group>
      <groupName>字词问题</groupName>
      <ability>L2_Typo</ability>
      <abilityName>字词错误</abilityName>
      <candidateList>
        <item>拌和站</item>
      </candidateList>
      <explain>存在发音相同字词的误用。</explain>
      <paraID>56C4DA0D</paraID>
      <start>12</start>
      <end>15</end>
      <status>unmodified</status>
      <modifiedWord/>
      <trackRevisions>false</trackRevisions>
    </reviewItem>
    <reviewItem>
      <errorID>a36bc9c8-727a-47b8-b769-c19bbc46a930</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20F30F9B</paraID>
      <start>24</start>
      <end>26</end>
      <status>unmodified</status>
      <modifiedWord/>
      <trackRevisions>false</trackRevisions>
    </reviewItem>
    <reviewItem>
      <errorID>bfee97f2-766f-45ec-bae0-ead3e2c29c71</errorID>
      <errorWord>必须座浆</errorWord>
      <group>L1_Word</group>
      <groupName>字词问题</groupName>
      <ability>L2_Typo</ability>
      <abilityName>字词错误</abilityName>
      <candidateList>
        <item>必须坐浆</item>
      </candidateList>
      <explain/>
      <paraID>5B2C47D5</paraID>
      <start>59</start>
      <end>63</end>
      <status>unmodified</status>
      <modifiedWord/>
      <trackRevisions>false</trackRevisions>
    </reviewItem>
    <reviewItem>
      <errorID>684c68ee-444a-4477-aafc-ddbc7c631c4d</errorID>
      <errorWord>-</errorWord>
      <group>L1_Format</group>
      <groupName>格式问题</groupName>
      <ability>L2_HalfPunc_CN</ability>
      <abilityName>全半角问题</abilityName>
      <candidateList>
        <item>－</item>
      </candidateList>
      <explain>文本全半角错误。</explain>
      <paraID>2A018DD6</paraID>
      <start>2</start>
      <end>3</end>
      <status>unmodified</status>
      <modifiedWord/>
      <trackRevisions>false</trackRevisions>
    </reviewItem>
    <reviewItem>
      <errorID>f8c83edf-164e-4957-a750-8b045eb7d991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6FE3A927</paraID>
      <start>58</start>
      <end>59</end>
      <status>unmodified</status>
      <modifiedWord/>
      <trackRevisions>false</trackRevisions>
    </reviewItem>
    <reviewItem>
      <errorID>a81680cf-56f4-48f0-a033-52bb1e32cd60</errorID>
      <errorWord>矩型</errorWord>
      <group>L1_Word</group>
      <groupName>字词问题</groupName>
      <ability>L2_Typo</ability>
      <abilityName>字词错误</abilityName>
      <candidateList>
        <item>矩形</item>
      </candidateList>
      <explain>存在发音相同字词的误用。</explain>
      <paraID>58B47C62</paraID>
      <start>5</start>
      <end>7</end>
      <status>ignored</status>
      <modifiedWord/>
      <trackRevisions>false</trackRevisions>
    </reviewItem>
    <reviewItem>
      <errorID>6cdc5bb9-a8c1-41d1-bbe0-ff74cccf25fa</errorID>
      <errorWord>矩型</errorWord>
      <group>L1_Word</group>
      <groupName>字词问题</groupName>
      <ability>L2_Typo</ability>
      <abilityName>字词错误</abilityName>
      <candidateList>
        <item>矩形</item>
      </candidateList>
      <explain/>
      <paraID>5C36D35D</paraID>
      <start>5</start>
      <end>7</end>
      <status>ignored</status>
      <modifiedWord/>
      <trackRevisions>false</trackRevisions>
    </reviewItem>
    <reviewItem>
      <errorID>d1523ae3-d776-4a52-b9fa-5b9c8076deda</errorID>
      <errorWord>矩型</errorWord>
      <group>L1_Word</group>
      <groupName>字词问题</groupName>
      <ability>L2_Typo</ability>
      <abilityName>字词错误</abilityName>
      <candidateList>
        <item>矩形</item>
      </candidateList>
      <explain/>
      <paraID>1D515F72</paraID>
      <start>5</start>
      <end>7</end>
      <status>ignored</status>
      <modifiedWord/>
      <trackRevisions>false</trackRevisions>
    </reviewItem>
    <reviewItem>
      <errorID>fd8099e8-7b8a-4109-985a-efd26ba866c2</errorID>
      <errorWord>矩型</errorWord>
      <group>L1_Word</group>
      <groupName>字词问题</groupName>
      <ability>L2_Typo</ability>
      <abilityName>字词错误</abilityName>
      <candidateList>
        <item>矩形</item>
      </candidateList>
      <explain/>
      <paraID>1DCF7EEC</paraID>
      <start>5</start>
      <end>7</end>
      <status>ignored</status>
      <modifiedWord/>
      <trackRevisions>false</trackRevisions>
    </reviewItem>
    <reviewItem>
      <errorID>e37f2e98-5fd3-46dc-98db-2c8f74b7ffdd</errorID>
      <errorWord>矩型</errorWord>
      <group>L1_Word</group>
      <groupName>字词问题</groupName>
      <ability>L2_Typo</ability>
      <abilityName>字词错误</abilityName>
      <candidateList>
        <item>矩形</item>
      </candidateList>
      <explain/>
      <paraID> 2ADECAE</paraID>
      <start>5</start>
      <end>7</end>
      <status>ignored</status>
      <modifiedWord/>
      <trackRevisions>false</trackRevisions>
    </reviewItem>
    <reviewItem>
      <errorID>c81ba16b-f45d-4bf6-a407-6bd722dc71b2</errorID>
      <errorWord>矩型</errorWord>
      <group>L1_Word</group>
      <groupName>字词问题</groupName>
      <ability>L2_Typo</ability>
      <abilityName>字词错误</abilityName>
      <candidateList>
        <item>矩形</item>
      </candidateList>
      <explain/>
      <paraID>49F837F1</paraID>
      <start>5</start>
      <end>7</end>
      <status>ignored</status>
      <modifiedWord/>
      <trackRevisions>false</trackRevisions>
    </reviewItem>
    <reviewItem>
      <errorID>22ed9592-1e15-419b-b74e-79d144a42372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56CF681F</paraID>
      <start>4</start>
      <end>5</end>
      <status>unmodified</status>
      <modifiedWord/>
      <trackRevisions>false</trackRevisions>
    </reviewItem>
    <reviewItem>
      <errorID>3b4e472b-51b4-4249-a801-2c2ef2d32588</errorID>
      <errorWord>砌砌</errorWord>
      <group>L1_Word</group>
      <groupName>字词问题</groupName>
      <ability>L2_Typo</ability>
      <abilityName>字词错误</abilityName>
      <candidateList>
        <item>砌筑</item>
      </candidateList>
      <explain/>
      <paraID>38731B65</paraID>
      <start>21</start>
      <end>23</end>
      <status>unmodified</status>
      <modifiedWord/>
      <trackRevisions>false</trackRevisions>
    </reviewItem>
    <reviewItem>
      <errorID>9f257906-b53a-44d4-834e-2aac56e7c782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1B3F3137</paraID>
      <start>0</start>
      <end>2</end>
      <status>unmodified</status>
      <modifiedWord/>
      <trackRevisions>false</trackRevisions>
    </reviewItem>
    <reviewItem>
      <errorID>a0b997f4-032c-47c7-a487-ff3c3ca53d95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312A50E9</paraID>
      <start>0</start>
      <end>2</end>
      <status>unmodified</status>
      <modifiedWord/>
      <trackRevisions>false</trackRevisions>
    </reviewItem>
    <reviewItem>
      <errorID>12a29afb-7abe-4eb8-b455-3d49ff6b4fac</errorID>
      <errorWord>（</errorWord>
      <group>L1_Format</group>
      <groupName>格式问题</groupName>
      <ability>L2_HalfPunc_CN</ability>
      <abilityName>全半角问题</abilityName>
      <candidateList>
        <item>(</item>
      </candidateList>
      <explain>文本全半角错误。</explain>
      <paraID> DD59E81</paraID>
      <start>6</start>
      <end>7</end>
      <status>unmodified</status>
      <modifiedWord/>
      <trackRevisions>false</trackRevisions>
    </reviewItem>
    <reviewItem>
      <errorID>96d205ce-6c8a-466b-9953-2044ca3c0007</errorID>
      <errorWord>）</errorWord>
      <group>L1_Format</group>
      <groupName>格式问题</groupName>
      <ability>L2_HalfPunc_CN</ability>
      <abilityName>全半角问题</abilityName>
      <candidateList>
        <item>)</item>
      </candidateList>
      <explain>文本全半角错误。</explain>
      <paraID> DD59E81</paraID>
      <start>13</start>
      <end>14</end>
      <status>unmodified</status>
      <modifiedWord/>
      <trackRevisions>false</trackRevisions>
    </reviewItem>
    <reviewItem>
      <errorID>c9c626f4-83fd-4031-b993-e97eb5e09b02</errorID>
      <errorWord>（</errorWord>
      <group>L1_Format</group>
      <groupName>格式问题</groupName>
      <ability>L2_HalfPunc_CN</ability>
      <abilityName>全半角问题</abilityName>
      <candidateList>
        <item>(</item>
      </candidateList>
      <explain>文本全半角错误。</explain>
      <paraID>4DD82AE2</paraID>
      <start>5</start>
      <end>6</end>
      <status>unmodified</status>
      <modifiedWord/>
      <trackRevisions>false</trackRevisions>
    </reviewItem>
    <reviewItem>
      <errorID>6723d4f9-e4f1-4e82-b1dc-4846f489865c</errorID>
      <errorWord>）</errorWord>
      <group>L1_Format</group>
      <groupName>格式问题</groupName>
      <ability>L2_HalfPunc_CN</ability>
      <abilityName>全半角问题</abilityName>
      <candidateList>
        <item>)</item>
      </candidateList>
      <explain>文本全半角错误。</explain>
      <paraID>4DD82AE2</paraID>
      <start>12</start>
      <end>13</end>
      <status>unmodified</status>
      <modifiedWord/>
      <trackRevisions>false</trackRevisions>
    </reviewItem>
    <reviewItem>
      <errorID>23c8ddcc-5f57-435d-8fe9-2635fbcf27ac</errorID>
      <errorWord>（</errorWord>
      <group>L1_Format</group>
      <groupName>格式问题</groupName>
      <ability>L2_HalfPunc_CN</ability>
      <abilityName>全半角问题</abilityName>
      <candidateList>
        <item>(</item>
      </candidateList>
      <explain>文本全半角错误。</explain>
      <paraID>37D57639</paraID>
      <start>6</start>
      <end>7</end>
      <status>unmodified</status>
      <modifiedWord/>
      <trackRevisions>false</trackRevisions>
    </reviewItem>
    <reviewItem>
      <errorID>08a93a14-3851-4784-8724-649e09f00df6</errorID>
      <errorWord>）</errorWord>
      <group>L1_Format</group>
      <groupName>格式问题</groupName>
      <ability>L2_HalfPunc_CN</ability>
      <abilityName>全半角问题</abilityName>
      <candidateList>
        <item>)</item>
      </candidateList>
      <explain>文本全半角错误。</explain>
      <paraID>37D57639</paraID>
      <start>13</start>
      <end>14</end>
      <status>unmodified</status>
      <modifiedWord/>
      <trackRevisions>false</trackRevisions>
    </reviewItem>
    <reviewItem>
      <errorID>02bc2474-7f72-4d75-a19d-3173d390d469</errorID>
      <errorWord>（</errorWord>
      <group>L1_Format</group>
      <groupName>格式问题</groupName>
      <ability>L2_HalfPunc_CN</ability>
      <abilityName>全半角问题</abilityName>
      <candidateList>
        <item>(</item>
      </candidateList>
      <explain>文本全半角错误。</explain>
      <paraID> 76257B0</paraID>
      <start>6</start>
      <end>7</end>
      <status>unmodified</status>
      <modifiedWord/>
      <trackRevisions>false</trackRevisions>
    </reviewItem>
    <reviewItem>
      <errorID>077a2da7-f803-4398-bd09-ca66454c5395</errorID>
      <errorWord>）</errorWord>
      <group>L1_Format</group>
      <groupName>格式问题</groupName>
      <ability>L2_HalfPunc_CN</ability>
      <abilityName>全半角问题</abilityName>
      <candidateList>
        <item>)</item>
      </candidateList>
      <explain>文本全半角错误。</explain>
      <paraID> 76257B0</paraID>
      <start>13</start>
      <end>14</end>
      <status>unmodified</status>
      <modifiedWord/>
      <trackRevisions>false</trackRevisions>
    </reviewItem>
    <reviewItem>
      <errorID>ca7988db-b310-44f1-98a5-630ae72e63f0</errorID>
      <errorWord>不需</errorWord>
      <group>L1_Word</group>
      <groupName>字词问题</groupName>
      <ability>L2_Typo</ability>
      <abilityName>字词错误</abilityName>
      <candidateList>
        <item>不须</item>
      </candidateList>
      <explain/>
      <paraID>3C342D3F</paraID>
      <start>55</start>
      <end>57</end>
      <status>unmodified</status>
      <modifiedWord/>
      <trackRevisions>false</trackRevisions>
    </reviewItem>
    <reviewItem>
      <errorID>39469066-4c9a-4166-b278-9098341dc6bb</errorID>
      <errorWord>减小</errorWord>
      <group>L1_Word</group>
      <groupName>字词问题</groupName>
      <ability>L2_Typo</ability>
      <abilityName>字词错误</abilityName>
      <candidateList>
        <item>减少</item>
      </candidateList>
      <explain>〈动〉减去一部分：～人员｜～麻烦｜工作中的缺点～了。</explain>
      <paraID>3C342D3F</paraID>
      <start>107</start>
      <end>109</end>
      <status>unmodified</status>
      <modifiedWord/>
      <trackRevisions>false</trackRevisions>
    </reviewItem>
    <reviewItem>
      <errorID>5cdade42-bc1f-4988-b485-cb08e01fa607</errorID>
      <errorWord>（</errorWord>
      <group>L1_Format</group>
      <groupName>格式问题</groupName>
      <ability>L2_HalfPunc_CN</ability>
      <abilityName>全半角问题</abilityName>
      <candidateList>
        <item>(</item>
      </candidateList>
      <explain>文本全半角错误。</explain>
      <paraID>63F0D545</paraID>
      <start>0</start>
      <end>1</end>
      <status>unmodified</status>
      <modifiedWord/>
      <trackRevisions>false</trackRevisions>
    </reviewItem>
    <reviewItem>
      <errorID>7c91afe7-1c43-46dd-acb4-8bba3a8b308a</errorID>
      <errorWord>）</errorWord>
      <group>L1_Format</group>
      <groupName>格式问题</groupName>
      <ability>L2_HalfPunc_CN</ability>
      <abilityName>全半角问题</abilityName>
      <candidateList>
        <item>)</item>
      </candidateList>
      <explain>文本全半角错误。</explain>
      <paraID>63F0D545</paraID>
      <start>2</start>
      <end>3</end>
      <status>unmodified</status>
      <modifiedWord/>
      <trackRevisions>false</trackRevisions>
    </reviewItem>
    <reviewItem>
      <errorID>7e44eefb-20bb-4393-b610-88d52f7da891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32E70A4C</paraID>
      <start>26</start>
      <end>27</end>
      <status>unmodified</status>
      <modifiedWord/>
      <trackRevisions>false</trackRevisions>
    </reviewItem>
    <reviewItem>
      <errorID>bcc98f19-7e38-4d45-afb4-d83a590f30a1</errorID>
      <errorWord>：</errorWord>
      <group>L1_Format</group>
      <groupName>格式问题</groupName>
      <ability>L2_HalfPunc_CN</ability>
      <abilityName>全半角问题</abilityName>
      <candidateList>
        <item>:</item>
      </candidateList>
      <explain>文本全半角错误。</explain>
      <paraID>7352210E</paraID>
      <start>51</start>
      <end>52</end>
      <status>unmodified</status>
      <modifiedWord/>
      <trackRevisions>false</trackRevisions>
    </reviewItem>
    <reviewItem>
      <errorID>87c8c896-1f18-4d2c-aa5f-34d039aa6283</errorID>
      <errorWord>：</errorWord>
      <group>L1_Format</group>
      <groupName>格式问题</groupName>
      <ability>L2_HalfPunc_CN</ability>
      <abilityName>全半角问题</abilityName>
      <candidateList>
        <item>:</item>
      </candidateList>
      <explain>文本全半角错误。</explain>
      <paraID>7352210E</paraID>
      <start>57</start>
      <end>58</end>
      <status>unmodified</status>
      <modifiedWord/>
      <trackRevisions>false</trackRevisions>
    </reviewItem>
    <reviewItem>
      <errorID>26d886a0-acd8-4c39-b3f2-6a2e992dba31</errorID>
      <errorWord>：</errorWord>
      <group>L1_Format</group>
      <groupName>格式问题</groupName>
      <ability>L2_HalfPunc_CN</ability>
      <abilityName>全半角问题</abilityName>
      <candidateList>
        <item>:</item>
      </candidateList>
      <explain>文本全半角错误。</explain>
      <paraID>7352210E</paraID>
      <start>77</start>
      <end>78</end>
      <status>unmodified</status>
      <modifiedWord/>
      <trackRevisions>false</trackRevisions>
    </reviewItem>
    <reviewItem>
      <errorID>ef386375-0ccc-479f-ad1c-6f8bc97e7666</errorID>
      <errorWord>：</errorWord>
      <group>L1_Format</group>
      <groupName>格式问题</groupName>
      <ability>L2_HalfPunc_CN</ability>
      <abilityName>全半角问题</abilityName>
      <candidateList>
        <item>:</item>
      </candidateList>
      <explain>文本全半角错误。</explain>
      <paraID>7352210E</paraID>
      <start>82</start>
      <end>83</end>
      <status>unmodified</status>
      <modifiedWord/>
      <trackRevisions>false</trackRevisions>
    </reviewItem>
    <reviewItem>
      <errorID>2bb91f01-2af6-4170-9fbd-b563d384600b</errorID>
      <errorWord>货</errorWord>
      <group>L1_Word</group>
      <groupName>字词问题</groupName>
      <ability>L2_Typo</ability>
      <abilityName>字词错误</abilityName>
      <candidateList>
        <item>货车</item>
      </candidateList>
      <explain/>
      <paraID>7B29ACCC</paraID>
      <start>70</start>
      <end>71</end>
      <status>unmodified</status>
      <modifiedWord/>
      <trackRevisions>false</trackRevisions>
    </reviewItem>
    <reviewItem>
      <errorID>e253cd7d-cce8-44c0-b321-2f136b86b810</errorID>
      <errorWord>挡护</errorWord>
      <group>L1_Word</group>
      <groupName>字词问题</groupName>
      <ability>L2_Typo</ability>
      <abilityName>字词错误</abilityName>
      <candidateList>
        <item>防护</item>
      </candidateList>
      <explain/>
      <paraID>795F9F2A</paraID>
      <start>6</start>
      <end>8</end>
      <status>unmodified</status>
      <modifiedWord/>
      <trackRevisions>false</trackRevisions>
    </reviewItem>
    <reviewItem>
      <errorID>0e254fc8-7cca-4cac-8126-321d774c7ee6</errorID>
      <errorWord>变杂</errorWord>
      <group>L1_Word</group>
      <groupName>字词问题</groupName>
      <ability>L2_Typo</ability>
      <abilityName>字词错误</abilityName>
      <candidateList>
        <item>复杂</item>
      </candidateList>
      <explain/>
      <paraID>6DE755E8</paraID>
      <start>19</start>
      <end>21</end>
      <status>unmodified</status>
      <modifiedWord/>
      <trackRevisions>false</trackRevisions>
    </reviewItem>
    <reviewItem>
      <errorID>2277fd50-fb59-4320-ad8b-2b509098dbed</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6A6EE6B5</paraID>
      <start>5</start>
      <end>8</end>
      <status>ignored</status>
      <modifiedWord/>
      <trackRevisions>false</trackRevisions>
    </reviewItem>
    <reviewItem>
      <errorID>e672e9dd-9e63-46e3-8b77-3babf9e5ce56</errorID>
      <errorWord>拌合站</errorWord>
      <group>L1_Word</group>
      <groupName>字词问题</groupName>
      <ability>L2_Typo</ability>
      <abilityName>字词错误</abilityName>
      <candidateList>
        <item>拌和站</item>
      </candidateList>
      <explain>存在发音相同字词的误用。</explain>
      <paraID>318CC0AA</paraID>
      <start>8</start>
      <end>11</end>
      <status>unmodified</status>
      <modifiedWord/>
      <trackRevisions>false</trackRevisions>
    </reviewItem>
    <reviewItem>
      <errorID>9e6cd0b8-76d0-49d2-8ac9-976423a90018</errorID>
      <errorWord>拌合站</errorWord>
      <group>L1_Word</group>
      <groupName>字词问题</groupName>
      <ability>L2_Typo</ability>
      <abilityName>字词错误</abilityName>
      <candidateList>
        <item>拌和站</item>
      </candidateList>
      <explain>存在发音相同字词的误用。</explain>
      <paraID>6BE63692</paraID>
      <start>12</start>
      <end>15</end>
      <status>unmodified</status>
      <modifiedWord/>
      <trackRevisions>false</trackRevisions>
    </reviewItem>
    <reviewItem>
      <errorID>b3f60940-25b5-414f-b077-8be110619993</errorID>
      <errorWord>，。</errorWord>
      <group>L1_Punc</group>
      <groupName>标点问题</groupName>
      <ability>L2_Punc_CN</ability>
      <abilityName>标点符号问题</abilityName>
      <candidateList>
        <item>，</item>
      </candidateList>
      <explain/>
      <paraID>6BE63692</paraID>
      <start>59</start>
      <end>62</end>
      <status>unmodified</status>
      <modifiedWord/>
      <trackRevisions>false</trackRevisions>
    </reviewItem>
    <reviewItem>
      <errorID>f62f9c7a-81b6-4677-a6b3-f76eade61ed1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239DAB77</paraID>
      <start>7</start>
      <end>10</end>
      <status>ignored</status>
      <modifiedWord/>
      <trackRevisions>false</trackRevisions>
    </reviewItem>
    <reviewItem>
      <errorID>f62bb21b-3559-40e1-b63c-710f1c290d1a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239DAB77</paraID>
      <start>29</start>
      <end>32</end>
      <status>ignored</status>
      <modifiedWord/>
      <trackRevisions>false</trackRevisions>
    </reviewItem>
    <reviewItem>
      <errorID>f8cb9289-e84a-4611-81e6-31a9361046e5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239DAB77</paraID>
      <start>39</start>
      <end>42</end>
      <status>ignored</status>
      <modifiedWord/>
      <trackRevisions>false</trackRevisions>
    </reviewItem>
    <reviewItem>
      <errorID>2905bcfe-3b4c-4bb2-b9d0-c07ed96e166e</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239DAB77</paraID>
      <start>46</start>
      <end>49</end>
      <status>ignored</status>
      <modifiedWord/>
      <trackRevisions>false</trackRevisions>
    </reviewItem>
    <reviewItem>
      <errorID>3b6dc2a5-4cd4-4ef8-bf51-cdb611234391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239DAB77</paraID>
      <start>55</start>
      <end>58</end>
      <status>ignored</status>
      <modifiedWord/>
      <trackRevisions>false</trackRevisions>
    </reviewItem>
    <reviewItem>
      <errorID>753a47e3-42e0-40c2-843e-431f5dc598f4</errorID>
      <errorWord>（</errorWord>
      <group>L1_Format</group>
      <groupName>格式问题</groupName>
      <ability>L2_HalfPunc_CN</ability>
      <abilityName>全半角问题</abilityName>
      <candidateList>
        <item>(</item>
      </candidateList>
      <explain>文本全半角错误。</explain>
      <paraID>1C92E392</paraID>
      <start>0</start>
      <end>1</end>
      <status>unmodified</status>
      <modifiedWord/>
      <trackRevisions>false</trackRevisions>
    </reviewItem>
    <reviewItem>
      <errorID>059f1f97-f9db-4bef-84ac-4d34fbb232b9</errorID>
      <errorWord>）</errorWord>
      <group>L1_Format</group>
      <groupName>格式问题</groupName>
      <ability>L2_HalfPunc_CN</ability>
      <abilityName>全半角问题</abilityName>
      <candidateList>
        <item>)</item>
      </candidateList>
      <explain>文本全半角错误。</explain>
      <paraID>1C92E392</paraID>
      <start>5</start>
      <end>6</end>
      <status>unmodified</status>
      <modifiedWord/>
      <trackRevisions>false</trackRevisions>
    </reviewItem>
    <reviewItem>
      <errorID>116e0688-00b6-489b-81a0-ead03d5a7181</errorID>
      <errorWord>（</errorWord>
      <group>L1_Format</group>
      <groupName>格式问题</groupName>
      <ability>L2_HalfPunc_CN</ability>
      <abilityName>全半角问题</abilityName>
      <candidateList>
        <item>(</item>
      </candidateList>
      <explain>文本全半角错误。</explain>
      <paraID>1CB2A4F4</paraID>
      <start>0</start>
      <end>1</end>
      <status>unmodified</status>
      <modifiedWord/>
      <trackRevisions>false</trackRevisions>
    </reviewItem>
    <reviewItem>
      <errorID>76642c34-ea64-4798-950a-db5a0e2d5a48</errorID>
      <errorWord>）</errorWord>
      <group>L1_Format</group>
      <groupName>格式问题</groupName>
      <ability>L2_HalfPunc_CN</ability>
      <abilityName>全半角问题</abilityName>
      <candidateList>
        <item>)</item>
      </candidateList>
      <explain>文本全半角错误。</explain>
      <paraID>1CB2A4F4</paraID>
      <start>5</start>
      <end>6</end>
      <status>unmodified</status>
      <modifiedWord/>
      <trackRevisions>false</trackRevisions>
    </reviewItem>
    <reviewItem>
      <errorID>2843987f-ce6a-44dd-baf9-84a4af611410</errorID>
      <errorWord>目</errorWord>
      <group>L1_Word</group>
      <groupName>字词问题</groupName>
      <ability>L2_Typo</ability>
      <abilityName>字词错误</abilityName>
      <candidateList>
        <item>目前</item>
      </candidateList>
      <explain/>
      <paraID>5B3D6FCE</paraID>
      <start>0</start>
      <end>1</end>
      <status>unmodified</status>
      <modifiedWord/>
      <trackRevisions>false</trackRevisions>
    </reviewItem>
    <reviewItem>
      <errorID>a771f6a7-ca2f-444c-8be6-7cba98c0cbb6</errorID>
      <errorWord>时经</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212E7C34</paraID>
      <start>159</start>
      <end>161</end>
      <status>unmodified</status>
      <modifiedWord/>
      <trackRevisions>false</trackRevisions>
    </reviewItem>
    <reviewItem>
      <errorID>f1addd7a-8dd1-4964-a61a-f35337338972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C4D01EC</paraID>
      <start>34</start>
      <end>37</end>
      <status>ignored</status>
      <modifiedWord/>
      <trackRevisions>false</trackRevisions>
    </reviewItem>
    <reviewItem>
      <errorID>ab4b3829-6383-44e9-a663-3c124fc538d9</errorID>
      <errorWord>(</errorWord>
      <group>L1_Format</group>
      <groupName>格式问题</groupName>
      <ability>L2_HalfPunc_CN</ability>
      <abilityName>全半角问题</abilityName>
      <candidateList>
        <item>（</item>
      </candidateList>
      <explain>文本全半角错误。</explain>
      <paraID>760C7037</paraID>
      <start>23</start>
      <end>24</end>
      <status>unmodified</status>
      <modifiedWord/>
      <trackRevisions>false</trackRevisions>
    </reviewItem>
    <reviewItem>
      <errorID>9bc322e7-b845-4d3e-83ad-214593104904</errorID>
      <errorWord>，在</errorWord>
      <group>L1_Word</group>
      <groupName>字词问题</groupName>
      <ability>L2_Typo</ability>
      <abilityName>字词错误</abilityName>
      <candidateList>
        <item>，</item>
      </candidateList>
      <explain/>
      <paraID>53DAAB39</paraID>
      <start>38</start>
      <end>40</end>
      <status>unmodified</status>
      <modifiedWord/>
      <trackRevisions>false</trackRevisions>
    </reviewItem>
    <reviewItem>
      <errorID>4eb880dd-019f-45f5-ab6f-2f90976b7c19</errorID>
      <errorWord>拌合站</errorWord>
      <group>L1_Word</group>
      <groupName>字词问题</groupName>
      <ability>L2_Typo</ability>
      <abilityName>字词错误</abilityName>
      <candidateList>
        <item>拌和站</item>
      </candidateList>
      <explain/>
      <paraID>5A5F6236</paraID>
      <start>5</start>
      <end>8</end>
      <status>unmodified</status>
      <modifiedWord/>
      <trackRevisions>false</trackRevisions>
    </reviewItem>
    <reviewItem>
      <errorID>2fc99912-5bc7-48e6-8e62-4314c121ee03</errorID>
      <errorWord>拌合站</errorWord>
      <group>L1_Word</group>
      <groupName>字词问题</groupName>
      <ability>L2_Typo</ability>
      <abilityName>字词错误</abilityName>
      <candidateList>
        <item>拌和站</item>
      </candidateList>
      <explain/>
      <paraID> 8FDF6A0</paraID>
      <start>8</start>
      <end>11</end>
      <status>unmodified</status>
      <modifiedWord/>
      <trackRevisions>false</trackRevisions>
    </reviewItem>
    <reviewItem>
      <errorID>5e8a3d3a-3f6e-4912-9332-90542d80073f</errorID>
      <errorWord>拌合站</errorWord>
      <group>L1_Word</group>
      <groupName>字词问题</groupName>
      <ability>L2_Typo</ability>
      <abilityName>字词错误</abilityName>
      <candidateList>
        <item>拌和站</item>
      </candidateList>
      <explain>存在发音相同字词的误用。</explain>
      <paraID> 8FDF6A0</paraID>
      <start>122</start>
      <end>125</end>
      <status>unmodified</status>
      <modifiedWord/>
      <trackRevisions>false</trackRevisions>
    </reviewItem>
    <reviewItem>
      <errorID>a16c1dcf-7073-489c-8a57-9906dd63ac61</errorID>
      <errorWord>拌和</errorWord>
      <group>L1_Word</group>
      <groupName>字词问题</groupName>
      <ability>L2_Typo</ability>
      <abilityName>字词错误</abilityName>
      <candidateList>
        <item>拌合</item>
      </candidateList>
      <explain/>
      <paraID> 3D45F77</paraID>
      <start>22</start>
      <end>24</end>
      <status>unmodified</status>
      <modifiedWord/>
      <trackRevisions>false</trackRevisions>
    </reviewItem>
    <reviewItem>
      <errorID>e56f96bf-880f-48e6-bb53-e499d72f7b7b</errorID>
      <errorWord>拌合站</errorWord>
      <group>L1_Word</group>
      <groupName>字词问题</groupName>
      <ability>L2_Typo</ability>
      <abilityName>字词错误</abilityName>
      <candidateList>
        <item>拌和站</item>
      </candidateList>
      <explain>存在发音相同字词的误用。</explain>
      <paraID> 3D45F77</paraID>
      <start>35</start>
      <end>38</end>
      <status>unmodified</status>
      <modifiedWord/>
      <trackRevisions>false</trackRevisions>
    </reviewItem>
    <reviewItem>
      <errorID>03ab8332-e631-4a08-af56-9c0a415e7d55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381DE807</paraID>
      <start>13</start>
      <end>16</end>
      <status>ignored</status>
      <modifiedWord/>
      <trackRevisions>false</trackRevisions>
    </reviewItem>
    <reviewItem>
      <errorID>47222b75-dbcb-4dcb-81cb-930dc75d5fb8</errorID>
      <errorWord>期</errorWord>
      <group>L1_Word</group>
      <groupName>字词问题</groupName>
      <ability>L2_Typo</ability>
      <abilityName>字词错误</abilityName>
      <candidateList>
        <item>期间</item>
      </candidateList>
      <explain>〈名〉某个时期里面：农忙～｜春节～｜抗战～。</explain>
      <paraID>412167F6</paraID>
      <start>4</start>
      <end>5</end>
      <status>unmodified</status>
      <modifiedWord/>
      <trackRevisions>false</trackRevisions>
    </reviewItem>
    <reviewItem>
      <errorID>deb71e69-fa2e-4598-b5f6-9bdec4d1adcd</errorID>
      <errorWord>墨江县</errorWord>
      <group>L1_Knowledge</group>
      <groupName>知识性问题</groupName>
      <ability>L2_Location</ability>
      <abilityName>地名检查</abilityName>
      <candidateList>
        <item>墨江哈尼族自治县</item>
      </candidateList>
      <explain>自治区州县缩写不规范。《地名管理条例》第十八条规定，标识牌、公共平台发布的信息、各类公文证件、学习类公开出版物、地图、法律法规规定等场景范围内必须使用标准地名。</explain>
      <paraID>1AC4CDC6</paraID>
      <start>78</start>
      <end>81</end>
      <status>unmodified</status>
      <modifiedWord/>
      <trackRevisions>false</trackRevisions>
    </reviewItem>
    <reviewItem>
      <errorID>e9bcfc76-1969-4b7c-bdcd-25af1a2f7a59</errorID>
      <errorWord>新平县</errorWord>
      <group>L1_Knowledge</group>
      <groupName>知识性问题</groupName>
      <ability>L2_Location</ability>
      <abilityName>地名检查</abilityName>
      <candidateList>
        <item>新平彝族傣族自治县</item>
      </candidateList>
      <explain>自治区州县缩写不规范。《地名管理条例》第十八条规定，标识牌、公共平台发布的信息、各类公文证件、学习类公开出版物、地图、法律法规规定等场景范围内必须使用标准地名。</explain>
      <paraID>1AC4CDC6</paraID>
      <start>86</start>
      <end>89</end>
      <status>unmodified</status>
      <modifiedWord/>
      <trackRevisions>false</trackRevisions>
    </reviewItem>
    <reviewItem>
      <errorID>4baf676e-0707-458f-b979-443138a3687f</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3D62A306</paraID>
      <start>5</start>
      <end>8</end>
      <status>ignored</status>
      <modifiedWord/>
      <trackRevisions>false</trackRevisions>
    </reviewItem>
    <reviewItem>
      <errorID>901cc4db-35f9-4d6d-bdd1-c83071029886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46423ADF</paraID>
      <start>0</start>
      <end>3</end>
      <status>ignored</status>
      <modifiedWord/>
      <trackRevisions>false</trackRevisions>
    </reviewItem>
    <reviewItem>
      <errorID>2e2b03e8-6cff-4bfb-a9af-f543896306aa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46423ADF</paraID>
      <start>95</start>
      <end>98</end>
      <status>ignored</status>
      <modifiedWord/>
      <trackRevisions>false</trackRevisions>
    </reviewItem>
    <reviewItem>
      <errorID>4002ae5c-903b-4cb3-8fb4-d33443bf3911</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63DC31BD</paraID>
      <start>6</start>
      <end>9</end>
      <status>ignored</status>
      <modifiedWord/>
      <trackRevisions>false</trackRevisions>
    </reviewItem>
    <reviewItem>
      <errorID>8927725d-b508-4e77-85b6-b6d86ff8dada</errorID>
      <errorWord>岩芯采取率</errorWord>
      <group>L1_Knowledge</group>
      <groupName>知识性问题</groupName>
      <ability>L2_Term</ability>
      <abilityName>专业术语</abilityName>
      <candidateList>
        <item>岩心采取率</item>
      </candidateList>
      <explain/>
      <paraID>3893C5F5</paraID>
      <start>125</start>
      <end>130</end>
      <status>unmodified</status>
      <modifiedWord/>
      <trackRevisions>false</trackRevisions>
    </reviewItem>
    <reviewItem>
      <errorID>c84bf288-2cc6-4528-8e8a-814f8295886d</errorID>
      <errorWord>VII</errorWord>
      <group>L1_Knowledge</group>
      <groupName>知识性问题</groupName>
      <ability>L2_Knowledge</ability>
      <abilityName>其他知识</abilityName>
      <candidateList>
        <item>Ⅶ</item>
      </candidateList>
      <explain>中文环境下罗马数字格式错误。</explain>
      <paraID>2187E700</paraID>
      <start>81</start>
      <end>84</end>
      <status>unmodified</status>
      <modifiedWord/>
      <trackRevisions>false</trackRevisions>
    </reviewItem>
    <reviewItem>
      <errorID>53188353-f96a-46fa-844e-66cf330bbb1a</errorID>
      <errorWord>样</errorWord>
      <group>L1_Word</group>
      <groupName>字词问题</groupName>
      <ability>L2_Typo</ability>
      <abilityName>字词错误</abilityName>
      <candidateList>
        <item>样地</item>
      </candidateList>
      <explain/>
      <paraID>4B6BAD0C</paraID>
      <start>122</start>
      <end>123</end>
      <status>unmodified</status>
      <modifiedWord/>
      <trackRevisions>false</trackRevisions>
    </reviewItem>
    <reviewItem>
      <errorID>6940e788-e3df-47f2-8c64-8949e6cfc312</errorID>
      <errorWord>II</errorWord>
      <group>L1_Knowledge</group>
      <groupName>知识性问题</groupName>
      <ability>L2_Knowledge</ability>
      <abilityName>其他知识</abilityName>
      <candidateList>
        <item>Ⅱ</item>
      </candidateList>
      <explain>中文环境下罗马数字格式错误。</explain>
      <paraID>6F3B5E55</paraID>
      <start>16</start>
      <end>18</end>
      <status>unmodified</status>
      <modifiedWord/>
      <trackRevisions>false</trackRevisions>
    </reviewItem>
    <reviewItem>
      <errorID>ae33f2f6-3011-4f73-af82-09983db08927</errorID>
      <errorWord>II</errorWord>
      <group>L1_Knowledge</group>
      <groupName>知识性问题</groupName>
      <ability>L2_Knowledge</ability>
      <abilityName>其他知识</abilityName>
      <candidateList>
        <item>Ⅱ</item>
      </candidateList>
      <explain>中文环境下罗马数字格式错误。</explain>
      <paraID>6F3B5E55</paraID>
      <start>93</start>
      <end>95</end>
      <status>unmodified</status>
      <modifiedWord/>
      <trackRevisions>false</trackRevisions>
    </reviewItem>
    <reviewItem>
      <errorID>2e9413ef-7eb2-4624-800f-0f075f952c9e</errorID>
      <errorWord>~</errorWord>
      <group>L1_Format</group>
      <groupName>格式问题</groupName>
      <ability>L2_HalfPunc_CN</ability>
      <abilityName>全半角问题</abilityName>
      <candidateList>
        <item>～</item>
      </candidateList>
      <explain>文本全半角错误。</explain>
      <paraID>6BC08FD8</paraID>
      <start>12</start>
      <end>13</end>
      <status>unmodified</status>
      <modifiedWord/>
      <trackRevisions>false</trackRevisions>
    </reviewItem>
    <reviewItem>
      <errorID>ab8c6cd8-381a-4cca-b585-98cc07a0bd06</errorID>
      <errorWord>-</errorWord>
      <group>L1_Format</group>
      <groupName>格式问题</groupName>
      <ability>L2_HalfPunc_CN</ability>
      <abilityName>全半角问题</abilityName>
      <candidateList>
        <item>－</item>
      </candidateList>
      <explain>文本全半角错误。</explain>
      <paraID>6BC08FD8</paraID>
      <start>77</start>
      <end>78</end>
      <status>unmodified</status>
      <modifiedWord/>
      <trackRevisions>false</trackRevisions>
    </reviewItem>
    <reviewItem>
      <errorID>09189a90-857f-46e3-a26e-7f032d74ba70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27FA1213</paraID>
      <start>0</start>
      <end>2</end>
      <status>unmodified</status>
      <modifiedWord/>
      <trackRevisions>false</trackRevisions>
    </reviewItem>
    <reviewItem>
      <errorID>f4e13684-a0ee-4219-9f02-5c76466f72b6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1B311529</paraID>
      <start>0</start>
      <end>2</end>
      <status>unmodified</status>
      <modifiedWord/>
      <trackRevisions>false</trackRevisions>
    </reviewItem>
    <reviewItem>
      <errorID>fab84215-6735-43a8-8b88-15efd2c172c9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1B235A27</paraID>
      <start>0</start>
      <end>2</end>
      <status>unmodified</status>
      <modifiedWord/>
      <trackRevisions>false</trackRevisions>
    </reviewItem>
    <reviewItem>
      <errorID>58fe60b4-9c1e-4561-9a70-e4ac4a0ef124</errorID>
      <errorWord>(</errorWord>
      <group>L1_Format</group>
      <groupName>格式问题</groupName>
      <ability>L2_HalfPunc_CN</ability>
      <abilityName>全半角问题</abilityName>
      <candidateList>
        <item>（</item>
      </candidateList>
      <explain>文本全半角错误。</explain>
      <paraID>52EED6BB</paraID>
      <start>17</start>
      <end>18</end>
      <status>unmodified</status>
      <modifiedWord/>
      <trackRevisions>false</trackRevisions>
    </reviewItem>
    <reviewItem>
      <errorID>15b1ff07-1abd-44e3-9b91-af1b00e6a6de</errorID>
      <errorWord>)</errorWord>
      <group>L1_Format</group>
      <groupName>格式问题</groupName>
      <ability>L2_HalfPunc_CN</ability>
      <abilityName>全半角问题</abilityName>
      <candidateList>
        <item>）</item>
      </candidateList>
      <explain>文本全半角错误。</explain>
      <paraID>52EED6BB</paraID>
      <start>19</start>
      <end>20</end>
      <status>unmodified</status>
      <modifiedWord/>
      <trackRevisions>false</trackRevisions>
    </reviewItem>
    <reviewItem>
      <errorID>d37122f8-47c1-4ac5-a8c6-c1fef31ce9d5</errorID>
      <errorWord>(</errorWord>
      <group>L1_Format</group>
      <groupName>格式问题</groupName>
      <ability>L2_HalfPunc_CN</ability>
      <abilityName>全半角问题</abilityName>
      <candidateList>
        <item>（</item>
      </candidateList>
      <explain>文本全半角错误。</explain>
      <paraID>52EED6BB</paraID>
      <start>21</start>
      <end>22</end>
      <status>unmodified</status>
      <modifiedWord/>
      <trackRevisions>false</trackRevisions>
    </reviewItem>
    <reviewItem>
      <errorID>2f071546-4d58-44c2-8391-94ff4fbdac1c</errorID>
      <errorWord>)</errorWord>
      <group>L1_Format</group>
      <groupName>格式问题</groupName>
      <ability>L2_HalfPunc_CN</ability>
      <abilityName>全半角问题</abilityName>
      <candidateList>
        <item>）</item>
      </candidateList>
      <explain>文本全半角错误。</explain>
      <paraID>52EED6BB</paraID>
      <start>23</start>
      <end>24</end>
      <status>unmodified</status>
      <modifiedWord/>
      <trackRevisions>false</trackRevisions>
    </reviewItem>
    <reviewItem>
      <errorID>d343b2e7-3aa2-418a-bda7-3bc6915ceb4a</errorID>
      <errorWord>(</errorWord>
      <group>L1_Format</group>
      <groupName>格式问题</groupName>
      <ability>L2_HalfPunc_CN</ability>
      <abilityName>全半角问题</abilityName>
      <candidateList>
        <item>（</item>
      </candidateList>
      <explain>文本全半角错误。</explain>
      <paraID>52EED6BB</paraID>
      <start>25</start>
      <end>26</end>
      <status>unmodified</status>
      <modifiedWord/>
      <trackRevisions>false</trackRevisions>
    </reviewItem>
    <reviewItem>
      <errorID>15d3a13c-cead-481c-9cfe-2d3958e1c136</errorID>
      <errorWord>)</errorWord>
      <group>L1_Format</group>
      <groupName>格式问题</groupName>
      <ability>L2_HalfPunc_CN</ability>
      <abilityName>全半角问题</abilityName>
      <candidateList>
        <item>）</item>
      </candidateList>
      <explain>文本全半角错误。</explain>
      <paraID>52EED6BB</paraID>
      <start>27</start>
      <end>28</end>
      <status>unmodified</status>
      <modifiedWord/>
      <trackRevisions>false</trackRevisions>
    </reviewItem>
    <reviewItem>
      <errorID>1d284bb1-5506-4f55-bde1-51f00be2da84</errorID>
      <errorWord>椎</errorWord>
      <group>L1_Word</group>
      <groupName>字词问题</groupName>
      <ability>L2_Typo</ability>
      <abilityName>字词错误</abilityName>
      <candidateList>
        <item>锥</item>
      </candidateList>
      <explain/>
      <paraID>425EA65A</paraID>
      <start>119</start>
      <end>120</end>
      <status>unmodified</status>
      <modifiedWord/>
      <trackRevisions>false</trackRevisions>
    </reviewItem>
    <reviewItem>
      <errorID>47e4791f-8025-4893-8774-8f99c6432536</errorID>
      <errorWord>rufesens</errorWord>
      <group>L1_English</group>
      <groupName>英文问题</groupName>
      <ability>L2_Spell</ability>
      <abilityName>拼写问题</abilityName>
      <candidateList>
        <item>rufescens</item>
      </candidateList>
      <explain>疑似单词拼写有误，建议将rufesens修改为rufescens</explain>
      <paraID>1E710C9F</paraID>
      <start>111</start>
      <end>119</end>
      <status>unmodified</status>
      <modifiedWord/>
      <trackRevisions>false</trackRevisions>
    </reviewItem>
    <reviewItem>
      <errorID>6ac3875b-ddea-4d38-9fc9-1c60cab31289</errorID>
      <errorWord>《全国极小种群野生植物拯救保护工程计划》（2011—2015年）</errorWord>
      <group>L1_Knowledge</group>
      <groupName>知识性问题</groupName>
      <ability>L2_Knowledge</ability>
      <abilityName>其他知识</abilityName>
      <candidateList>
        <item>《全国极小种群野生植物拯救保护工程计划（2011—2015年）》</item>
      </candidateList>
      <explain>疑似政策文件、法律法规名称等书写不规范，请注意检查。</explain>
      <paraID>1A071B9F</paraID>
      <start>18</start>
      <end>50</end>
      <status>unmodified</status>
      <modifiedWord/>
      <trackRevisions>false</trackRevisions>
    </reviewItem>
    <reviewItem>
      <errorID>6c86135f-f8ca-4d4f-8438-e3e3ed98fe01</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121484BC</paraID>
      <start>10</start>
      <end>15</end>
      <status>unmodified</status>
      <modifiedWord/>
      <trackRevisions>false</trackRevisions>
    </reviewItem>
    <reviewItem>
      <errorID>4983e952-b7bb-43b3-89bd-06ba8688c275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551C6A5F</paraID>
      <start>55</start>
      <end>58</end>
      <status>ignored</status>
      <modifiedWord/>
      <trackRevisions>false</trackRevisions>
    </reviewItem>
    <reviewItem>
      <errorID>5040955f-e485-4550-b016-276467addb3e</errorID>
      <errorWord>掌握到</errorWord>
      <group>L1_Word</group>
      <groupName>字词问题</groupName>
      <ability>L2_Typo</ability>
      <abilityName>字词错误</abilityName>
      <candidateList>
        <item>掌握</item>
      </candidateList>
      <explain>〈动〉❶了解事物，因而能充分支配或运用：～技术｜～理论｜～原则｜～规律◇～自己的命运。❷主持；控制：～会议｜～政权。</explain>
      <paraID>4CD2A3E1</paraID>
      <start>95</start>
      <end>98</end>
      <status>unmodified</status>
      <modifiedWord/>
      <trackRevisions>false</trackRevisions>
    </reviewItem>
    <reviewItem>
      <errorID>11e1f47c-5c22-4e8d-b8da-bfc3468eb802</errorID>
      <errorWord>南</errorWord>
      <group>L1_Word</group>
      <groupName>字词问题</groupName>
      <ability>L2_Typo</ability>
      <abilityName>字词错误</abilityName>
      <candidateList>
        <item>南省</item>
      </candidateList>
      <explain/>
      <paraID>661CACA3</paraID>
      <start>11</start>
      <end>12</end>
      <status>unmodified</status>
      <modifiedWord/>
      <trackRevisions>false</trackRevisions>
    </reviewItem>
    <reviewItem>
      <errorID>29b2930c-3581-407a-909d-d59f1e8ddee8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661CACA3</paraID>
      <start>15</start>
      <end>18</end>
      <status>ignored</status>
      <modifiedWord/>
      <trackRevisions>false</trackRevisions>
    </reviewItem>
    <reviewItem>
      <errorID>5cb6d67e-4453-4adf-8a41-e64f49810b3f</errorID>
      <errorWord>主要与评价区的生境以灌丛和农耕生境为主</errorWord>
      <group>L1_Grammar</group>
      <groupName>语法问题</groupName>
      <ability>L2_Grammar</ability>
      <abilityName>语法错误</abilityName>
      <candidateList>
        <item>与评价区的生境以灌丛和农耕生境为主</item>
      </candidateList>
      <explain>该表达中的“主要与评价区的生境以灌丛和农耕生境为主”存在语义重复。</explain>
      <paraID>23DA6C24</paraID>
      <start>58</start>
      <end>77</end>
      <status>unmodified</status>
      <modifiedWord/>
      <trackRevisions>false</trackRevisions>
    </reviewItem>
    <reviewItem>
      <errorID>dca1c2e0-e450-497a-adc1-bf55832ef7e2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68FD3A17</paraID>
      <start>7</start>
      <end>10</end>
      <status>ignored</status>
      <modifiedWord/>
      <trackRevisions>false</trackRevisions>
    </reviewItem>
    <reviewItem>
      <errorID>2b2c370a-198f-4f7b-9dbd-c390196f128c</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68FD3A17</paraID>
      <start>33</start>
      <end>36</end>
      <status>ignored</status>
      <modifiedWord/>
      <trackRevisions>false</trackRevisions>
    </reviewItem>
    <reviewItem>
      <errorID>278e6524-7c29-4854-a912-9f1f79754677</errorID>
      <errorWord>5）、</errorWord>
      <group>L1_Punc</group>
      <groupName>标点问题</groupName>
      <ability>L2_Punc_CN</ability>
      <abilityName>标点符号问题</abilityName>
      <candidateList>
        <item>5）</item>
      </candidateList>
      <explain>根据国标GB/T 15834-2011《标点符号用法》中的4.5.3.3节，带括号的汉字数字或阿拉伯数字表次序时，后面通常不加顿号。如“（一）指导思想”“（二）行动指南”。</explain>
      <paraID>68FD3A17</paraID>
      <start>69</start>
      <end>72</end>
      <status>unmodified</status>
      <modifiedWord/>
      <trackRevisions>false</trackRevisions>
    </reviewItem>
    <reviewItem>
      <errorID>bbf9cbec-4884-4ebf-ae7f-8db4ab7a6c15</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68FD3A17</paraID>
      <start>154</start>
      <end>157</end>
      <status>ignored</status>
      <modifiedWord/>
      <trackRevisions>false</trackRevisions>
    </reviewItem>
    <reviewItem>
      <errorID>15c39de6-9762-42b9-ad45-de6a22783a69</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6C2D177A</paraID>
      <start>14</start>
      <end>17</end>
      <status>ignored</status>
      <modifiedWord/>
      <trackRevisions>false</trackRevisions>
    </reviewItem>
    <reviewItem>
      <errorID>6f188b9a-6dce-4af3-b542-8194935921db</errorID>
      <errorWord>（</errorWord>
      <group>L1_Format</group>
      <groupName>格式问题</groupName>
      <ability>L2_HalfPunc_CN</ability>
      <abilityName>全半角问题</abilityName>
      <candidateList>
        <item>(</item>
      </candidateList>
      <explain>文本全半角错误。</explain>
      <paraID>61000904</paraID>
      <start>0</start>
      <end>1</end>
      <status>unmodified</status>
      <modifiedWord/>
      <trackRevisions>false</trackRevisions>
    </reviewItem>
    <reviewItem>
      <errorID>d1708615-18ea-4828-8e53-b01f63c59d5c</errorID>
      <errorWord>）</errorWord>
      <group>L1_Format</group>
      <groupName>格式问题</groupName>
      <ability>L2_HalfPunc_CN</ability>
      <abilityName>全半角问题</abilityName>
      <candidateList>
        <item>)</item>
      </candidateList>
      <explain>文本全半角错误。</explain>
      <paraID>61000904</paraID>
      <start>6</start>
      <end>7</end>
      <status>unmodified</status>
      <modifiedWord/>
      <trackRevisions>false</trackRevisions>
    </reviewItem>
    <reviewItem>
      <errorID>ed40e4ed-81ab-487c-b20c-5efd7a71529c</errorID>
      <errorWord>（</errorWord>
      <group>L1_Format</group>
      <groupName>格式问题</groupName>
      <ability>L2_HalfPunc_CN</ability>
      <abilityName>全半角问题</abilityName>
      <candidateList>
        <item>(</item>
      </candidateList>
      <explain>文本全半角错误。</explain>
      <paraID>53571D2F</paraID>
      <start>0</start>
      <end>1</end>
      <status>unmodified</status>
      <modifiedWord/>
      <trackRevisions>false</trackRevisions>
    </reviewItem>
    <reviewItem>
      <errorID>77c0c373-8e80-4210-b1c6-4dd385b97873</errorID>
      <errorWord>）</errorWord>
      <group>L1_Format</group>
      <groupName>格式问题</groupName>
      <ability>L2_HalfPunc_CN</ability>
      <abilityName>全半角问题</abilityName>
      <candidateList>
        <item>)</item>
      </candidateList>
      <explain>文本全半角错误。</explain>
      <paraID>53571D2F</paraID>
      <start>6</start>
      <end>7</end>
      <status>unmodified</status>
      <modifiedWord/>
      <trackRevisions>false</trackRevisions>
    </reviewItem>
    <reviewItem>
      <errorID>76f2a7fa-2244-4338-a7e8-7ca57df92478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C4FB19A</paraID>
      <start>12</start>
      <end>15</end>
      <status>ignored</status>
      <modifiedWord/>
      <trackRevisions>false</trackRevisions>
    </reviewItem>
    <reviewItem>
      <errorID>222421fe-7453-4d79-8518-2497bd850bd8</errorID>
      <errorWord>（</errorWord>
      <group>L1_Format</group>
      <groupName>格式问题</groupName>
      <ability>L2_HalfPunc_CN</ability>
      <abilityName>全半角问题</abilityName>
      <candidateList>
        <item>(</item>
      </candidateList>
      <explain>文本全半角错误。</explain>
      <paraID>7CC452FF</paraID>
      <start>3</start>
      <end>4</end>
      <status>unmodified</status>
      <modifiedWord/>
      <trackRevisions>false</trackRevisions>
    </reviewItem>
    <reviewItem>
      <errorID>56e3f85c-be4f-4727-a2d5-13e2c0508af7</errorID>
      <errorWord>）</errorWord>
      <group>L1_Format</group>
      <groupName>格式问题</groupName>
      <ability>L2_HalfPunc_CN</ability>
      <abilityName>全半角问题</abilityName>
      <candidateList>
        <item>)</item>
      </candidateList>
      <explain>文本全半角错误。</explain>
      <paraID>7CC452FF</paraID>
      <start>9</start>
      <end>10</end>
      <status>unmodified</status>
      <modifiedWord/>
      <trackRevisions>false</trackRevisions>
    </reviewItem>
    <reviewItem>
      <errorID>a62991d6-c487-4301-83ea-8145b89c34b3</errorID>
      <errorWord>项目项目区</errorWord>
      <group>L1_Word</group>
      <groupName>字词问题</groupName>
      <ability>L2_Typo</ability>
      <abilityName>字词错误</abilityName>
      <candidateList>
        <item>项目区</item>
      </candidateList>
      <explain/>
      <paraID>3090DCE0</paraID>
      <start>28</start>
      <end>33</end>
      <status>unmodified</status>
      <modifiedWord/>
      <trackRevisions>false</trackRevisions>
    </reviewItem>
    <reviewItem>
      <errorID>e37b9746-314a-41f5-b61f-d7a13d5dcce3</errorID>
      <errorWord>III类</errorWord>
      <group>L1_Knowledge</group>
      <groupName>知识性问题</groupName>
      <ability>L2_Knowledge</ability>
      <abilityName>其他知识</abilityName>
      <candidateList>
        <item>Ⅲ类</item>
      </candidateList>
      <explain>中文环境下罗马数字格式错误。</explain>
      <paraID>4A0DD3C9</paraID>
      <start>81</start>
      <end>85</end>
      <status>unmodified</status>
      <modifiedWord/>
      <trackRevisions>false</trackRevisions>
    </reviewItem>
    <reviewItem>
      <errorID>94590159-9e9b-479b-8004-e72b55a1b2f7</errorID>
      <errorWord>与</errorWord>
      <group>L1_Word</group>
      <groupName>字词问题</groupName>
      <ability>L2_Typo</ability>
      <abilityName>字词错误</abilityName>
      <candidateList>
        <item>月</item>
      </candidateList>
      <explain/>
      <paraID> D1D4485</paraID>
      <start>42</start>
      <end>43</end>
      <status>unmodified</status>
      <modifiedWord/>
      <trackRevisions>false</trackRevisions>
    </reviewItem>
    <reviewItem>
      <errorID>d138cf5a-1f6e-49ad-8ba1-9accb8a7ff1d</errorID>
      <errorWord>（</errorWord>
      <group>L1_Format</group>
      <groupName>格式问题</groupName>
      <ability>L2_HalfPunc_CN</ability>
      <abilityName>全半角问题</abilityName>
      <candidateList>
        <item>(</item>
      </candidateList>
      <explain>文本全半角错误。</explain>
      <paraID>550F221B</paraID>
      <start>0</start>
      <end>1</end>
      <status>unmodified</status>
      <modifiedWord/>
      <trackRevisions>false</trackRevisions>
    </reviewItem>
    <reviewItem>
      <errorID>78a94279-c0e7-4840-ac48-ba01c99c4cc0</errorID>
      <errorWord>）</errorWord>
      <group>L1_Format</group>
      <groupName>格式问题</groupName>
      <ability>L2_HalfPunc_CN</ability>
      <abilityName>全半角问题</abilityName>
      <candidateList>
        <item>)</item>
      </candidateList>
      <explain>文本全半角错误。</explain>
      <paraID>550F221B</paraID>
      <start>6</start>
      <end>7</end>
      <status>unmodified</status>
      <modifiedWord/>
      <trackRevisions>false</trackRevisions>
    </reviewItem>
    <reviewItem>
      <errorID>6d2dd738-835f-4fec-97bf-ab28843650c0</errorID>
      <errorWord>（</errorWord>
      <group>L1_Format</group>
      <groupName>格式问题</groupName>
      <ability>L2_HalfPunc_CN</ability>
      <abilityName>全半角问题</abilityName>
      <candidateList>
        <item>(</item>
      </candidateList>
      <explain>文本全半角错误。</explain>
      <paraID>62CB2D05</paraID>
      <start>3</start>
      <end>4</end>
      <status>unmodified</status>
      <modifiedWord/>
      <trackRevisions>false</trackRevisions>
    </reviewItem>
    <reviewItem>
      <errorID>7366d748-4922-4070-ae2d-328bd8570c17</errorID>
      <errorWord>）</errorWord>
      <group>L1_Format</group>
      <groupName>格式问题</groupName>
      <ability>L2_HalfPunc_CN</ability>
      <abilityName>全半角问题</abilityName>
      <candidateList>
        <item>)</item>
      </candidateList>
      <explain>文本全半角错误。</explain>
      <paraID>62CB2D05</paraID>
      <start>9</start>
      <end>10</end>
      <status>unmodified</status>
      <modifiedWord/>
      <trackRevisions>false</trackRevisions>
    </reviewItem>
    <reviewItem>
      <errorID>45b26473-9fc3-4379-bec9-b456d8e9ac86</errorID>
      <errorWord>距路</errorWord>
      <group>L1_Word</group>
      <groupName>字词问题</groupName>
      <ability>L2_Typo</ability>
      <abilityName>字词错误</abilityName>
      <candidateList>
        <item>距离</item>
      </candidateList>
      <explain>❶〈动〉在空间或时间上相隔：天津～北京约有一百二十公里｜现在～唐代已经有一千多年。❷〈名〉相隔的长度：等～｜拉开一定的～◇他的看法和你有～。</explain>
      <paraID> B8FD546</paraID>
      <start>24</start>
      <end>26</end>
      <status>unmodified</status>
      <modifiedWord/>
      <trackRevisions>false</trackRevisions>
    </reviewItem>
    <reviewItem>
      <errorID>6f089ef9-9837-4149-abe5-ee40d1d24a79</errorID>
      <errorWord>临近</errorWord>
      <group>L1_Word</group>
      <groupName>字词问题</groupName>
      <ability>L2_Typo</ability>
      <abilityName>字词错误</abilityName>
      <candidateList>
        <item>邻近</item>
      </candidateList>
      <explain>存在发音相同字词的误用。</explain>
      <paraID>7ACC6777</paraID>
      <start>28</start>
      <end>30</end>
      <status>unmodified</status>
      <modifiedWord/>
      <trackRevisions>false</trackRevisions>
    </reviewItem>
    <reviewItem>
      <errorID>175e7d7e-d954-4d66-bff7-47e749fc9ad6</errorID>
      <errorWord>期</errorWord>
      <group>L1_Word</group>
      <groupName>字词问题</groupName>
      <ability>L2_Typo</ability>
      <abilityName>字词错误</abilityName>
      <candidateList>
        <item>期间</item>
      </candidateList>
      <explain>〈名〉某个时期里面：农忙～｜春节～｜抗战～。</explain>
      <paraID>2A476207</paraID>
      <start>139</start>
      <end>140</end>
      <status>unmodified</status>
      <modifiedWord/>
      <trackRevisions>false</trackRevisions>
    </reviewItem>
    <reviewItem>
      <errorID>66cf3e1b-0220-4fc6-8df9-1c7ad904b499</errorID>
      <errorWord>设</errorWord>
      <group>L1_Word</group>
      <groupName>字词问题</groupName>
      <ability>L2_Typo</ability>
      <abilityName>字词错误</abilityName>
      <candidateList>
        <item>设置</item>
      </candidateList>
      <explain>〈动〉❶设立：这座剧院是为儿童～的。❷安放；安装：～障碍。</explain>
      <paraID>7E82077E</paraID>
      <start>203</start>
      <end>204</end>
      <status>unmodified</status>
      <modifiedWord/>
      <trackRevisions>false</trackRevisions>
    </reviewItem>
    <reviewItem>
      <errorID>48db5a0d-c65b-462a-873b-f1bb3fba9ea5</errorID>
      <errorWord>拌合</errorWord>
      <group>L1_Word</group>
      <groupName>字词问题</groupName>
      <ability>L2_Typo</ability>
      <abilityName>字词错误</abilityName>
      <candidateList>
        <item>拌和</item>
      </candidateList>
      <explain/>
      <paraID>3936777D</paraID>
      <start>69</start>
      <end>71</end>
      <status>unmodified</status>
      <modifiedWord/>
      <trackRevisions>false</trackRevisions>
    </reviewItem>
    <reviewItem>
      <errorID>695875fc-f329-4734-9521-ebbc94c11031</errorID>
      <errorWord>拌合站</errorWord>
      <group>L1_Word</group>
      <groupName>字词问题</groupName>
      <ability>L2_Typo</ability>
      <abilityName>字词错误</abilityName>
      <candidateList>
        <item>拌和站</item>
      </candidateList>
      <explain>存在发音相同字词的误用。</explain>
      <paraID>3936777D</paraID>
      <start>101</start>
      <end>104</end>
      <status>unmodified</status>
      <modifiedWord/>
      <trackRevisions>false</trackRevisions>
    </reviewItem>
    <reviewItem>
      <errorID>72465abf-dd16-43c5-8019-74ff9a21bb51</errorID>
      <errorWord>n：</errorWord>
      <group>L1_Format</group>
      <groupName>格式问题</groupName>
      <ability>L2_Ordinal</ability>
      <abilityName>序号格式</abilityName>
      <candidateList>
        <item>n.</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358DD6C0</paraID>
      <start>0</start>
      <end>2</end>
      <status>unmodified</status>
      <modifiedWord/>
      <trackRevisions>false</trackRevisions>
    </reviewItem>
    <reviewItem>
      <errorID>5619db47-ffa6-4a6b-a269-0bd42e95ca1d</errorID>
      <errorWord>)</errorWord>
      <group>L1_Format</group>
      <groupName>格式问题</groupName>
      <ability>L2_HalfPunc_CN</ability>
      <abilityName>全半角问题</abilityName>
      <candidateList>
        <item>）</item>
      </candidateList>
      <explain>文本全半角错误。</explain>
      <paraID>6366C38C</paraID>
      <start>21</start>
      <end>22</end>
      <status>unmodified</status>
      <modifiedWord/>
      <trackRevisions>false</trackRevisions>
    </reviewItem>
    <reviewItem>
      <errorID>0e1c1f41-8840-4e7f-b40a-1b293cc98005</errorID>
      <errorWord>(</errorWord>
      <group>L1_Format</group>
      <groupName>格式问题</groupName>
      <ability>L2_HalfPunc_CN</ability>
      <abilityName>全半角问题</abilityName>
      <candidateList>
        <item>（</item>
      </candidateList>
      <explain>文本全半角错误。</explain>
      <paraID> E18DC3C</paraID>
      <start>2</start>
      <end>3</end>
      <status>unmodified</status>
      <modifiedWord/>
      <trackRevisions>false</trackRevisions>
    </reviewItem>
    <reviewItem>
      <errorID>1ccfe379-3416-4caf-9d2e-146425db1f0d</errorID>
      <errorWord>)</errorWord>
      <group>L1_Format</group>
      <groupName>格式问题</groupName>
      <ability>L2_HalfPunc_CN</ability>
      <abilityName>全半角问题</abilityName>
      <candidateList>
        <item>）</item>
      </candidateList>
      <explain>文本全半角错误。</explain>
      <paraID> E18DC3C</paraID>
      <start>4</start>
      <end>5</end>
      <status>unmodified</status>
      <modifiedWord/>
      <trackRevisions>false</trackRevisions>
    </reviewItem>
    <reviewItem>
      <errorID>22adca79-572c-4483-ab12-6d5bf0170e19</errorID>
      <errorWord>（</errorWord>
      <group>L1_Format</group>
      <groupName>格式问题</groupName>
      <ability>L2_HalfPunc_CN</ability>
      <abilityName>全半角问题</abilityName>
      <candidateList>
        <item>(</item>
      </candidateList>
      <explain>文本全半角错误。</explain>
      <paraID>10AD3079</paraID>
      <start>7</start>
      <end>8</end>
      <status>unmodified</status>
      <modifiedWord/>
      <trackRevisions>false</trackRevisions>
    </reviewItem>
    <reviewItem>
      <errorID>4a0ad15b-a065-4f3c-a4a9-ab805afaad57</errorID>
      <errorWord>）</errorWord>
      <group>L1_Format</group>
      <groupName>格式问题</groupName>
      <ability>L2_HalfPunc_CN</ability>
      <abilityName>全半角问题</abilityName>
      <candidateList>
        <item>)</item>
      </candidateList>
      <explain>文本全半角错误。</explain>
      <paraID>10AD3079</paraID>
      <start>9</start>
      <end>10</end>
      <status>unmodified</status>
      <modifiedWord/>
      <trackRevisions>false</trackRevisions>
    </reviewItem>
    <reviewItem>
      <errorID>93934023-9496-40d2-971a-e759b9dbe615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8FC7395</paraID>
      <start>0</start>
      <end>2</end>
      <status>unmodified</status>
      <modifiedWord/>
      <trackRevisions>false</trackRevisions>
    </reviewItem>
    <reviewItem>
      <errorID>71946287-5416-4081-bef1-a95bf2b96631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3C02D866</paraID>
      <start>0</start>
      <end>2</end>
      <status>unmodified</status>
      <modifiedWord/>
      <trackRevisions>false</trackRevisions>
    </reviewItem>
    <reviewItem>
      <errorID>c806b982-866a-4364-b1bb-5f417818f56e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972370F</paraID>
      <start>0</start>
      <end>2</end>
      <status>unmodified</status>
      <modifiedWord/>
      <trackRevisions>false</trackRevisions>
    </reviewItem>
    <reviewItem>
      <errorID>0572a206-dab4-4c82-8861-a160c63c1ad5</errorID>
      <errorWord>采用以</errorWord>
      <group>L1_Word</group>
      <groupName>字词问题</groupName>
      <ability>L2_Typo</ability>
      <abilityName>字词错误</abilityName>
      <candidateList>
        <item>采用</item>
      </candidateList>
      <explain>〈动〉认为合适而使用：～新工艺｜～举手表决方式｜那篇稿子已被编辑部～。</explain>
      <paraID>4F6B5833</paraID>
      <start>9</start>
      <end>12</end>
      <status>unmodified</status>
      <modifiedWord/>
      <trackRevisions>false</trackRevisions>
    </reviewItem>
    <reviewItem>
      <errorID>721cc146-d05f-4205-994f-a57c88c43e9e</errorID>
      <errorWord>，</errorWord>
      <group>L1_Format</group>
      <groupName>格式问题</groupName>
      <ability>L2_HalfPunc_CN</ability>
      <abilityName>全半角问题</abilityName>
      <candidateList>
        <item>, </item>
      </candidateList>
      <explain>文本全半角错误。</explain>
      <paraID>6995A6A3</paraID>
      <start>5</start>
      <end>6</end>
      <status>unmodified</status>
      <modifiedWord/>
      <trackRevisions>false</trackRevisions>
    </reviewItem>
    <reviewItem>
      <errorID>148238a8-e3ec-4a2b-bdc2-352d9bbac05d</errorID>
      <errorWord>，</errorWord>
      <group>L1_Format</group>
      <groupName>格式问题</groupName>
      <ability>L2_HalfPunc_CN</ability>
      <abilityName>全半角问题</abilityName>
      <candidateList>
        <item>, </item>
      </candidateList>
      <explain>文本全半角错误。</explain>
      <paraID>6995A6A3</paraID>
      <start>8</start>
      <end>9</end>
      <status>unmodified</status>
      <modifiedWord/>
      <trackRevisions>false</trackRevisions>
    </reviewItem>
    <reviewItem>
      <errorID>d91ce468-dae5-4ba5-830c-2db6d722814d</errorID>
      <errorWord>，</errorWord>
      <group>L1_Format</group>
      <groupName>格式问题</groupName>
      <ability>L2_HalfPunc_CN</ability>
      <abilityName>全半角问题</abilityName>
      <candidateList>
        <item>, </item>
      </candidateList>
      <explain>文本全半角错误。</explain>
      <paraID>6995A6A3</paraID>
      <start>11</start>
      <end>12</end>
      <status>unmodified</status>
      <modifiedWord/>
      <trackRevisions>false</trackRevisions>
    </reviewItem>
    <reviewItem>
      <errorID>3853d114-cf28-494b-af42-fcca3c81db01</errorID>
      <errorWord>，</errorWord>
      <group>L1_Format</group>
      <groupName>格式问题</groupName>
      <ability>L2_HalfPunc_CN</ability>
      <abilityName>全半角问题</abilityName>
      <candidateList>
        <item>, </item>
      </candidateList>
      <explain>文本全半角错误。</explain>
      <paraID>3F5FBF36</paraID>
      <start>8</start>
      <end>9</end>
      <status>unmodified</status>
      <modifiedWord/>
      <trackRevisions>false</trackRevisions>
    </reviewItem>
    <reviewItem>
      <errorID>fc2961d5-acde-4f96-a89c-5c39a3787156</errorID>
      <errorWord>，</errorWord>
      <group>L1_Format</group>
      <groupName>格式问题</groupName>
      <ability>L2_HalfPunc_CN</ability>
      <abilityName>全半角问题</abilityName>
      <candidateList>
        <item>, </item>
      </candidateList>
      <explain>文本全半角错误。</explain>
      <paraID>3F5FBF36</paraID>
      <start>11</start>
      <end>12</end>
      <status>unmodified</status>
      <modifiedWord/>
      <trackRevisions>false</trackRevisions>
    </reviewItem>
    <reviewItem>
      <errorID>ad6a2b92-6eab-43cc-a450-bf83c289c86f</errorID>
      <errorWord>，</errorWord>
      <group>L1_Format</group>
      <groupName>格式问题</groupName>
      <ability>L2_HalfPunc_CN</ability>
      <abilityName>全半角问题</abilityName>
      <candidateList>
        <item>, </item>
      </candidateList>
      <explain>文本全半角错误。</explain>
      <paraID>3F5FBF36</paraID>
      <start>14</start>
      <end>15</end>
      <status>unmodified</status>
      <modifiedWord/>
      <trackRevisions>false</trackRevisions>
    </reviewItem>
    <reviewItem>
      <errorID>41c56160-bedd-427a-a167-999e2c5d37ab</errorID>
      <errorWord>)</errorWord>
      <group>L1_Format</group>
      <groupName>格式问题</groupName>
      <ability>L2_HalfPunc_CN</ability>
      <abilityName>全半角问题</abilityName>
      <candidateList>
        <item>）</item>
      </candidateList>
      <explain>文本全半角错误。</explain>
      <paraID>49DA1FA3</paraID>
      <start>26</start>
      <end>27</end>
      <status>unmodified</status>
      <modifiedWord/>
      <trackRevisions>false</trackRevisions>
    </reviewItem>
    <reviewItem>
      <errorID>4e04e380-8240-476e-b00a-876697459048</errorID>
      <errorWord>)</errorWord>
      <group>L1_Format</group>
      <groupName>格式问题</groupName>
      <ability>L2_HalfPunc_CN</ability>
      <abilityName>全半角问题</abilityName>
      <candidateList>
        <item>）</item>
      </candidateList>
      <explain>文本全半角错误。</explain>
      <paraID>1573FD5A</paraID>
      <start>52</start>
      <end>53</end>
      <status>unmodified</status>
      <modifiedWord/>
      <trackRevisions>false</trackRevisions>
    </reviewItem>
    <reviewItem>
      <errorID>197f0eb6-fac8-430c-b213-b30a1bcf7665</errorID>
      <errorWord>)</errorWord>
      <group>L1_Format</group>
      <groupName>格式问题</groupName>
      <ability>L2_HalfPunc_CN</ability>
      <abilityName>全半角问题</abilityName>
      <candidateList>
        <item>）</item>
      </candidateList>
      <explain>文本全半角错误。</explain>
      <paraID>6F5E48FA</paraID>
      <start>16</start>
      <end>17</end>
      <status>unmodified</status>
      <modifiedWord/>
      <trackRevisions>false</trackRevisions>
    </reviewItem>
    <reviewItem>
      <errorID>8ff9e72e-c3a3-4e9c-997b-6c3e147069f3</errorID>
      <errorWord>)</errorWord>
      <group>L1_Format</group>
      <groupName>格式问题</groupName>
      <ability>L2_HalfPunc_CN</ability>
      <abilityName>全半角问题</abilityName>
      <candidateList>
        <item>）</item>
      </candidateList>
      <explain>文本全半角错误。</explain>
      <paraID>3B510DEA</paraID>
      <start>20</start>
      <end>21</end>
      <status>unmodified</status>
      <modifiedWord/>
      <trackRevisions>false</trackRevisions>
    </reviewItem>
    <reviewItem>
      <errorID>e3230dfa-1de3-40fd-9d01-4bd70fd7ef34</errorID>
      <errorWord>)</errorWord>
      <group>L1_Format</group>
      <groupName>格式问题</groupName>
      <ability>L2_HalfPunc_CN</ability>
      <abilityName>全半角问题</abilityName>
      <candidateList>
        <item>）</item>
      </candidateList>
      <explain>文本全半角错误。</explain>
      <paraID>5B681C36</paraID>
      <start>19</start>
      <end>20</end>
      <status>unmodified</status>
      <modifiedWord/>
      <trackRevisions>false</trackRevisions>
    </reviewItem>
    <reviewItem>
      <errorID>b68e04fb-6aae-43ec-bc4d-fe5e7185d55b</errorID>
      <errorWord>)</errorWord>
      <group>L1_Format</group>
      <groupName>格式问题</groupName>
      <ability>L2_HalfPunc_CN</ability>
      <abilityName>全半角问题</abilityName>
      <candidateList>
        <item>）</item>
      </candidateList>
      <explain>文本全半角错误。</explain>
      <paraID>6A31E67A</paraID>
      <start>23</start>
      <end>24</end>
      <status>unmodified</status>
      <modifiedWord/>
      <trackRevisions>false</trackRevisions>
    </reviewItem>
    <reviewItem>
      <errorID>41e171d4-a22a-45c2-b6c7-1061ea1a9117</errorID>
      <errorWord>)</errorWord>
      <group>L1_Format</group>
      <groupName>格式问题</groupName>
      <ability>L2_HalfPunc_CN</ability>
      <abilityName>全半角问题</abilityName>
      <candidateList>
        <item>）</item>
      </candidateList>
      <explain>文本全半角错误。</explain>
      <paraID>6F23BE1B</paraID>
      <start>20</start>
      <end>21</end>
      <status>unmodified</status>
      <modifiedWord/>
      <trackRevisions>false</trackRevisions>
    </reviewItem>
    <reviewItem>
      <errorID>7ef6d728-edea-4e69-8f31-ce671fe70243</errorID>
      <errorWord>)</errorWord>
      <group>L1_Format</group>
      <groupName>格式问题</groupName>
      <ability>L2_HalfPunc_CN</ability>
      <abilityName>全半角问题</abilityName>
      <candidateList>
        <item>）</item>
      </candidateList>
      <explain>文本全半角错误。</explain>
      <paraID>165BB828</paraID>
      <start>23</start>
      <end>24</end>
      <status>unmodified</status>
      <modifiedWord/>
      <trackRevisions>false</trackRevisions>
    </reviewItem>
    <reviewItem>
      <errorID>6fcaa76f-c844-442d-9320-62e4002b635f</errorID>
      <errorWord>)</errorWord>
      <group>L1_Format</group>
      <groupName>格式问题</groupName>
      <ability>L2_HalfPunc_CN</ability>
      <abilityName>全半角问题</abilityName>
      <candidateList>
        <item>）</item>
      </candidateList>
      <explain>文本全半角错误。</explain>
      <paraID>70AFCF4C</paraID>
      <start>21</start>
      <end>22</end>
      <status>unmodified</status>
      <modifiedWord/>
      <trackRevisions>false</trackRevisions>
    </reviewItem>
    <reviewItem>
      <errorID>153b28f7-3f33-4c9e-9bf5-1d1926bfd59d</errorID>
      <errorWord>)</errorWord>
      <group>L1_Format</group>
      <groupName>格式问题</groupName>
      <ability>L2_HalfPunc_CN</ability>
      <abilityName>全半角问题</abilityName>
      <candidateList>
        <item>）</item>
      </candidateList>
      <explain>文本全半角错误。</explain>
      <paraID>4C35AE1D</paraID>
      <start>23</start>
      <end>24</end>
      <status>unmodified</status>
      <modifiedWord/>
      <trackRevisions>false</trackRevisions>
    </reviewItem>
    <reviewItem>
      <errorID>4bd3110f-df77-49f9-b7af-84711d47a7ff</errorID>
      <errorWord>)</errorWord>
      <group>L1_Format</group>
      <groupName>格式问题</groupName>
      <ability>L2_HalfPunc_CN</ability>
      <abilityName>全半角问题</abilityName>
      <candidateList>
        <item>）</item>
      </candidateList>
      <explain>文本全半角错误。</explain>
      <paraID>3647F773</paraID>
      <start>23</start>
      <end>24</end>
      <status>unmodified</status>
      <modifiedWord/>
      <trackRevisions>false</trackRevisions>
    </reviewItem>
    <reviewItem>
      <errorID>12e5cf0f-5aaa-4c8b-96cc-d7412095658a</errorID>
      <errorWord>)</errorWord>
      <group>L1_Format</group>
      <groupName>格式问题</groupName>
      <ability>L2_HalfPunc_CN</ability>
      <abilityName>全半角问题</abilityName>
      <candidateList>
        <item>）</item>
      </candidateList>
      <explain>文本全半角错误。</explain>
      <paraID>21986EC8</paraID>
      <start>26</start>
      <end>27</end>
      <status>unmodified</status>
      <modifiedWord/>
      <trackRevisions>false</trackRevisions>
    </reviewItem>
    <reviewItem>
      <errorID>9b38d63e-5b26-40b6-be94-db0523531b5d</errorID>
      <errorWord>)</errorWord>
      <group>L1_Format</group>
      <groupName>格式问题</groupName>
      <ability>L2_HalfPunc_CN</ability>
      <abilityName>全半角问题</abilityName>
      <candidateList>
        <item>）</item>
      </candidateList>
      <explain>文本全半角错误。</explain>
      <paraID>374F4C53</paraID>
      <start>20</start>
      <end>21</end>
      <status>unmodified</status>
      <modifiedWord/>
      <trackRevisions>false</trackRevisions>
    </reviewItem>
    <reviewItem>
      <errorID>6e1b2ff1-f1b5-4b23-8455-e7e2173bf9f6</errorID>
      <errorWord>)</errorWord>
      <group>L1_Format</group>
      <groupName>格式问题</groupName>
      <ability>L2_HalfPunc_CN</ability>
      <abilityName>全半角问题</abilityName>
      <candidateList>
        <item>）</item>
      </candidateList>
      <explain>文本全半角错误。</explain>
      <paraID>3845DDD5</paraID>
      <start>20</start>
      <end>21</end>
      <status>unmodified</status>
      <modifiedWord/>
      <trackRevisions>false</trackRevisions>
    </reviewItem>
    <reviewItem>
      <errorID>6a0992f4-4003-40d6-99db-5a4b3787f1fa</errorID>
      <errorWord>)</errorWord>
      <group>L1_Format</group>
      <groupName>格式问题</groupName>
      <ability>L2_HalfPunc_CN</ability>
      <abilityName>全半角问题</abilityName>
      <candidateList>
        <item>）</item>
      </candidateList>
      <explain>文本全半角错误。</explain>
      <paraID>29C7722F</paraID>
      <start>21</start>
      <end>22</end>
      <status>unmodified</status>
      <modifiedWord/>
      <trackRevisions>false</trackRevisions>
    </reviewItem>
    <reviewItem>
      <errorID>3d42dba9-1640-4f7e-9032-5d434019fb9a</errorID>
      <errorWord>)</errorWord>
      <group>L1_Format</group>
      <groupName>格式问题</groupName>
      <ability>L2_HalfPunc_CN</ability>
      <abilityName>全半角问题</abilityName>
      <candidateList>
        <item>）</item>
      </candidateList>
      <explain>文本全半角错误。</explain>
      <paraID>2E02E354</paraID>
      <start>21</start>
      <end>22</end>
      <status>unmodified</status>
      <modifiedWord/>
      <trackRevisions>false</trackRevisions>
    </reviewItem>
    <reviewItem>
      <errorID>d4c8161d-f6ad-470f-825d-db6e02195de1</errorID>
      <errorWord>)</errorWord>
      <group>L1_Format</group>
      <groupName>格式问题</groupName>
      <ability>L2_HalfPunc_CN</ability>
      <abilityName>全半角问题</abilityName>
      <candidateList>
        <item>）</item>
      </candidateList>
      <explain>文本全半角错误。</explain>
      <paraID>20C318D4</paraID>
      <start>35</start>
      <end>36</end>
      <status>unmodified</status>
      <modifiedWord/>
      <trackRevisions>false</trackRevisions>
    </reviewItem>
    <reviewItem>
      <errorID>05a65e35-4a93-42c6-bd97-c26e7f5da312</errorID>
      <errorWord>)</errorWord>
      <group>L1_Format</group>
      <groupName>格式问题</groupName>
      <ability>L2_HalfPunc_CN</ability>
      <abilityName>全半角问题</abilityName>
      <candidateList>
        <item>）</item>
      </candidateList>
      <explain>文本全半角错误。</explain>
      <paraID>746C0A09</paraID>
      <start>21</start>
      <end>22</end>
      <status>unmodified</status>
      <modifiedWord/>
      <trackRevisions>false</trackRevisions>
    </reviewItem>
    <reviewItem>
      <errorID>7a8f06e8-6ad8-4bda-b775-f1b3035e1190</errorID>
      <errorWord>)</errorWord>
      <group>L1_Format</group>
      <groupName>格式问题</groupName>
      <ability>L2_HalfPunc_CN</ability>
      <abilityName>全半角问题</abilityName>
      <candidateList>
        <item>）</item>
      </candidateList>
      <explain>文本全半角错误。</explain>
      <paraID> 3392B5D</paraID>
      <start>21</start>
      <end>22</end>
      <status>unmodified</status>
      <modifiedWord/>
      <trackRevisions>false</trackRevisions>
    </reviewItem>
    <reviewItem>
      <errorID>741f29f7-87ca-4451-b9e7-6d6540b26b4c</errorID>
      <errorWord>)</errorWord>
      <group>L1_Format</group>
      <groupName>格式问题</groupName>
      <ability>L2_HalfPunc_CN</ability>
      <abilityName>全半角问题</abilityName>
      <candidateList>
        <item>）</item>
      </candidateList>
      <explain>文本全半角错误。</explain>
      <paraID>4E588156</paraID>
      <start>21</start>
      <end>22</end>
      <status>unmodified</status>
      <modifiedWord/>
      <trackRevisions>false</trackRevisions>
    </reviewItem>
    <reviewItem>
      <errorID>9beaa5e0-ad53-422d-924c-622b5a3830aa</errorID>
      <errorWord>)</errorWord>
      <group>L1_Format</group>
      <groupName>格式问题</groupName>
      <ability>L2_HalfPunc_CN</ability>
      <abilityName>全半角问题</abilityName>
      <candidateList>
        <item>）</item>
      </candidateList>
      <explain>文本全半角错误。</explain>
      <paraID>4510F9EA</paraID>
      <start>23</start>
      <end>24</end>
      <status>unmodified</status>
      <modifiedWord/>
      <trackRevisions>false</trackRevisions>
    </reviewItem>
    <reviewItem>
      <errorID>b55db27d-9850-400d-b9ed-305b99ff69e3</errorID>
      <errorWord>)</errorWord>
      <group>L1_Format</group>
      <groupName>格式问题</groupName>
      <ability>L2_HalfPunc_CN</ability>
      <abilityName>全半角问题</abilityName>
      <candidateList>
        <item>）</item>
      </candidateList>
      <explain>文本全半角错误。</explain>
      <paraID>4A88460A</paraID>
      <start>21</start>
      <end>22</end>
      <status>unmodified</status>
      <modifiedWord/>
      <trackRevisions>false</trackRevisions>
    </reviewItem>
    <reviewItem>
      <errorID>82a6dab0-88b6-48ad-b486-842c1336f2fa</errorID>
      <errorWord>)</errorWord>
      <group>L1_Format</group>
      <groupName>格式问题</groupName>
      <ability>L2_HalfPunc_CN</ability>
      <abilityName>全半角问题</abilityName>
      <candidateList>
        <item>）</item>
      </candidateList>
      <explain>文本全半角错误。</explain>
      <paraID>681D997C</paraID>
      <start>21</start>
      <end>22</end>
      <status>unmodified</status>
      <modifiedWord/>
      <trackRevisions>false</trackRevisions>
    </reviewItem>
    <reviewItem>
      <errorID>d230c88d-ecf5-4513-99df-e1856f777f08</errorID>
      <errorWord>)</errorWord>
      <group>L1_Format</group>
      <groupName>格式问题</groupName>
      <ability>L2_HalfPunc_CN</ability>
      <abilityName>全半角问题</abilityName>
      <candidateList>
        <item>）</item>
      </candidateList>
      <explain>文本全半角错误。</explain>
      <paraID>7B9BFFB7</paraID>
      <start>9</start>
      <end>10</end>
      <status>unmodified</status>
      <modifiedWord/>
      <trackRevisions>false</trackRevisions>
    </reviewItem>
    <reviewItem>
      <errorID>1775cbab-2b92-4648-9a1a-0e1d9aef4414</errorID>
      <errorWord>)</errorWord>
      <group>L1_Format</group>
      <groupName>格式问题</groupName>
      <ability>L2_HalfPunc_CN</ability>
      <abilityName>全半角问题</abilityName>
      <candidateList>
        <item>）</item>
      </candidateList>
      <explain>文本全半角错误。</explain>
      <paraID>1A4C56B0</paraID>
      <start>45</start>
      <end>46</end>
      <status>unmodified</status>
      <modifiedWord/>
      <trackRevisions>false</trackRevisions>
    </reviewItem>
    <reviewItem>
      <errorID>ae3f16a0-589b-4ee0-9f47-f6eb662b353c</errorID>
      <errorWord>)</errorWord>
      <group>L1_Format</group>
      <groupName>格式问题</groupName>
      <ability>L2_HalfPunc_CN</ability>
      <abilityName>全半角问题</abilityName>
      <candidateList>
        <item>）</item>
      </candidateList>
      <explain>文本全半角错误。</explain>
      <paraID>254DB1E5</paraID>
      <start>24</start>
      <end>25</end>
      <status>unmodified</status>
      <modifiedWord/>
      <trackRevisions>false</trackRevisions>
    </reviewItem>
    <reviewItem>
      <errorID>49664b89-f580-4dcb-9af1-2a8f9d8beaf9</errorID>
      <errorWord>(</errorWord>
      <group>L1_Format</group>
      <groupName>格式问题</groupName>
      <ability>L2_HalfPunc_CN</ability>
      <abilityName>全半角问题</abilityName>
      <candidateList>
        <item>（</item>
      </candidateList>
      <explain>文本全半角错误。</explain>
      <paraID>35E187BE</paraID>
      <start>10</start>
      <end>11</end>
      <status>unmodified</status>
      <modifiedWord/>
      <trackRevisions>false</trackRevisions>
    </reviewItem>
    <reviewItem>
      <errorID>541af695-b69f-4fd3-b8fb-006dfe21ae6c</errorID>
      <errorWord>)</errorWord>
      <group>L1_Format</group>
      <groupName>格式问题</groupName>
      <ability>L2_HalfPunc_CN</ability>
      <abilityName>全半角问题</abilityName>
      <candidateList>
        <item>）</item>
      </candidateList>
      <explain>文本全半角错误。</explain>
      <paraID>55E506E9</paraID>
      <start>23</start>
      <end>24</end>
      <status>unmodified</status>
      <modifiedWord/>
      <trackRevisions>false</trackRevisions>
    </reviewItem>
    <reviewItem>
      <errorID>f29d6299-4b16-485c-b478-09ef97969430</errorID>
      <errorWord>)</errorWord>
      <group>L1_Format</group>
      <groupName>格式问题</groupName>
      <ability>L2_HalfPunc_CN</ability>
      <abilityName>全半角问题</abilityName>
      <candidateList>
        <item>）</item>
      </candidateList>
      <explain>文本全半角错误。</explain>
      <paraID>571D45EF</paraID>
      <start>23</start>
      <end>24</end>
      <status>unmodified</status>
      <modifiedWord/>
      <trackRevisions>false</trackRevisions>
    </reviewItem>
    <reviewItem>
      <errorID>80e1768a-7a20-4ca8-9d64-323f3bed4e10</errorID>
      <errorWord>)</errorWord>
      <group>L1_Format</group>
      <groupName>格式问题</groupName>
      <ability>L2_HalfPunc_CN</ability>
      <abilityName>全半角问题</abilityName>
      <candidateList>
        <item>）</item>
      </candidateList>
      <explain>文本全半角错误。</explain>
      <paraID> 7EF7FEE</paraID>
      <start>21</start>
      <end>22</end>
      <status>unmodified</status>
      <modifiedWord/>
      <trackRevisions>false</trackRevisions>
    </reviewItem>
    <reviewItem>
      <errorID>d4be8b28-5862-470a-b732-a0db2023379e</errorID>
      <errorWord>)</errorWord>
      <group>L1_Format</group>
      <groupName>格式问题</groupName>
      <ability>L2_HalfPunc_CN</ability>
      <abilityName>全半角问题</abilityName>
      <candidateList>
        <item>）</item>
      </candidateList>
      <explain>文本全半角错误。</explain>
      <paraID>45773733</paraID>
      <start>23</start>
      <end>24</end>
      <status>unmodified</status>
      <modifiedWord/>
      <trackRevisions>false</trackRevisions>
    </reviewItem>
    <reviewItem>
      <errorID>ba952dcc-79e3-4aec-a1f8-69691d6ba2f7</errorID>
      <errorWord>40%~60%</errorWord>
      <group>L1_Knowledge</group>
      <groupName>知识性问题</groupName>
      <ability>L2_Knowledge</ability>
      <abilityName>其他知识</abilityName>
      <candidateList>
        <item>40%～60%</item>
      </candidateList>
      <explain>1. “40%~60%”中的单位“%”仅出现在后一个数字上，容易引起歧义；根据《现代汉语标点符号数字用法规范手册》，数字表示范围两边需要使用统一的格式。2. 根据标点国标 4.13 中的规则，数字、时间或地域连接符应使用（视觉上更长的）“—”或“～”。</explain>
      <paraID>33382003</paraID>
      <start>0</start>
      <end>7</end>
      <status>unmodified</status>
      <modifiedWord/>
      <trackRevisions>false</trackRevisions>
    </reviewItem>
    <reviewItem>
      <errorID>593d9d6e-8fe0-4696-9771-5cd087c15827</errorID>
      <errorWord>70%~90%</errorWord>
      <group>L1_Knowledge</group>
      <groupName>知识性问题</groupName>
      <ability>L2_Knowledge</ability>
      <abilityName>其他知识</abilityName>
      <candidateList>
        <item>70%～90%</item>
      </candidateList>
      <explain>1. “70%~90%”中的单位“%”仅出现在后一个数字上，容易引起歧义；根据《现代汉语标点符号数字用法规范手册》，数字表示范围两边需要使用统一的格式。2. 根据标点国标 4.13 中的规则，数字、时间或地域连接符应使用（视觉上更长的）“—”或“～”。</explain>
      <paraID>600B0C0D</paraID>
      <start>0</start>
      <end>7</end>
      <status>unmodified</status>
      <modifiedWord/>
      <trackRevisions>false</trackRevisions>
    </reviewItem>
    <reviewItem>
      <errorID>05ce82b4-a6ca-4a7e-bb7b-616ec189467e</errorID>
      <errorWord>(</errorWord>
      <group>L1_Format</group>
      <groupName>格式问题</groupName>
      <ability>L2_HalfPunc_CN</ability>
      <abilityName>全半角问题</abilityName>
      <candidateList>
        <item>（</item>
      </candidateList>
      <explain>文本全半角错误。</explain>
      <paraID>22C1D8DA</paraID>
      <start>13</start>
      <end>14</end>
      <status>unmodified</status>
      <modifiedWord/>
      <trackRevisions>false</trackRevisions>
    </reviewItem>
    <reviewItem>
      <errorID>07010c29-e6c2-498a-b423-300e635cc5e8</errorID>
      <errorWord>)</errorWord>
      <group>L1_Format</group>
      <groupName>格式问题</groupName>
      <ability>L2_HalfPunc_CN</ability>
      <abilityName>全半角问题</abilityName>
      <candidateList>
        <item>）</item>
      </candidateList>
      <explain>文本全半角错误。</explain>
      <paraID>22C1D8DA</paraID>
      <start>19</start>
      <end>20</end>
      <status>unmodified</status>
      <modifiedWord/>
      <trackRevisions>false</trackRevisions>
    </reviewItem>
    <reviewItem>
      <errorID>782624b3-3a6f-4dc8-858c-505efa29072f</errorID>
      <errorWord>（</errorWord>
      <group>L1_Punc</group>
      <groupName>标点问题</groupName>
      <ability>L2_Punc_CN</ability>
      <abilityName>标点符号问题</abilityName>
      <candidateList/>
      <explain>同一形式括号套用。</explain>
      <paraID>2A786E61</paraID>
      <start>46</start>
      <end>47</end>
      <status>unmodified</status>
      <modifiedWord/>
      <trackRevisions>false</trackRevisions>
    </reviewItem>
    <reviewItem>
      <errorID>a21fe7a7-351f-43cf-9e93-8cb88d57cf57</errorID>
      <errorWord>（</errorWord>
      <group>L1_Punc</group>
      <groupName>标点问题</groupName>
      <ability>L2_Punc_CN</ability>
      <abilityName>标点符号问题</abilityName>
      <candidateList/>
      <explain>同一形式括号套用。</explain>
      <paraID>2A786E61</paraID>
      <start>71</start>
      <end>72</end>
      <status>unmodified</status>
      <modifiedWord/>
      <trackRevisions>false</trackRevisions>
    </reviewItem>
    <reviewItem>
      <errorID>79fcd315-20b3-4474-ab71-f5fd0b285d28</errorID>
      <errorWord>）</errorWord>
      <group>L1_Punc</group>
      <groupName>标点问题</groupName>
      <ability>L2_Punc_CN</ability>
      <abilityName>标点符号问题</abilityName>
      <candidateList/>
      <explain>同一形式括号套用。</explain>
      <paraID>2A786E61</paraID>
      <start>75</start>
      <end>76</end>
      <status>unmodified</status>
      <modifiedWord/>
      <trackRevisions>false</trackRevisions>
    </reviewItem>
    <reviewItem>
      <errorID>841dc212-11d1-45b3-91cb-add8c7d8c713</errorID>
      <errorWord>(</errorWord>
      <group>L1_Punc</group>
      <groupName>标点问题</groupName>
      <ability>L2_Punc_CN</ability>
      <abilityName>标点符号问题</abilityName>
      <candidateList/>
      <explain>同一形式括号套用。</explain>
      <paraID>2A786E61</paraID>
      <start>92</start>
      <end>93</end>
      <status>unmodified</status>
      <modifiedWord/>
      <trackRevisions>false</trackRevisions>
    </reviewItem>
    <reviewItem>
      <errorID>c22387b7-cb14-444e-a11a-81df1774b707</errorID>
      <errorWord>)</errorWord>
      <group>L1_Punc</group>
      <groupName>标点问题</groupName>
      <ability>L2_Punc_CN</ability>
      <abilityName>标点符号问题</abilityName>
      <candidateList/>
      <explain>同一形式括号套用。</explain>
      <paraID>2A786E61</paraID>
      <start>96</start>
      <end>97</end>
      <status>unmodified</status>
      <modifiedWord/>
      <trackRevisions>false</trackRevisions>
    </reviewItem>
    <reviewItem>
      <errorID>caa85d59-1291-42ec-826f-5219b3d5fc9b</errorID>
      <errorWord>）</errorWord>
      <group>L1_Punc</group>
      <groupName>标点问题</groupName>
      <ability>L2_Punc_CN</ability>
      <abilityName>标点符号问题</abilityName>
      <candidateList/>
      <explain>同一形式括号套用。</explain>
      <paraID>2A786E61</paraID>
      <start>147</start>
      <end>148</end>
      <status>unmodified</status>
      <modifiedWord/>
      <trackRevisions>false</trackRevisions>
    </reviewItem>
    <reviewItem>
      <errorID>703be4a7-4d9a-42a0-ae9f-6923299264fc</errorID>
      <errorWord>昼夜间</errorWord>
      <group>L1_Word</group>
      <groupName>字词问题</groupName>
      <ability>L2_Typo</ability>
      <abilityName>字词错误</abilityName>
      <candidateList>
        <item>昼夜</item>
      </candidateList>
      <explain/>
      <paraID>1304B9F1</paraID>
      <start>6</start>
      <end>9</end>
      <status>unmodified</status>
      <modifiedWord/>
      <trackRevisions>false</trackRevisions>
    </reviewItem>
    <reviewItem>
      <errorID>de09f289-a7ab-4422-841f-a6efa64dbab8</errorID>
      <errorWord>（2034）</errorWord>
      <group>L1_Punc</group>
      <groupName>标点问题</groupName>
      <ability>L2_Punc_CN</ability>
      <abilityName>标点符号问题</abilityName>
      <candidateList>
        <item>〔2034〕</item>
      </candidateList>
      <explain/>
      <paraID>77532D94</paraID>
      <start>11</start>
      <end>17</end>
      <status>unmodified</status>
      <modifiedWord/>
      <trackRevisions>false</trackRevisions>
    </reviewItem>
    <reviewItem>
      <errorID>fe55c221-6294-46da-8fb5-5f4c577183ab</errorID>
      <errorWord>（2034）</errorWord>
      <group>L1_Punc</group>
      <groupName>标点问题</groupName>
      <ability>L2_Punc_CN</ability>
      <abilityName>标点符号问题</abilityName>
      <candidateList>
        <item>〔2034〕</item>
      </candidateList>
      <explain/>
      <paraID>22D27695</paraID>
      <start>11</start>
      <end>17</end>
      <status>unmodified</status>
      <modifiedWord/>
      <trackRevisions>false</trackRevisions>
    </reviewItem>
    <reviewItem>
      <errorID>45c66a4a-a218-46a4-94af-c66de05c16f4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61932F70</paraID>
      <start>0</start>
      <end>3</end>
      <status>ignored</status>
      <modifiedWord/>
      <trackRevisions>false</trackRevisions>
    </reviewItem>
    <reviewItem>
      <errorID>f60aeb97-b090-4d82-9b4e-209e141dda06</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2D99E071</paraID>
      <start>16</start>
      <end>19</end>
      <status>ignored</status>
      <modifiedWord/>
      <trackRevisions>false</trackRevisions>
    </reviewItem>
    <reviewItem>
      <errorID>faa2e220-0868-4094-9fff-9dee35d3ee66</errorID>
      <errorWord>临近</errorWord>
      <group>L1_Word</group>
      <groupName>字词问题</groupName>
      <ability>L2_Typo</ability>
      <abilityName>字词错误</abilityName>
      <candidateList>
        <item>邻近</item>
      </candidateList>
      <explain>存在发音相同字词的误用。</explain>
      <paraID>116BBBDF</paraID>
      <start>118</start>
      <end>120</end>
      <status>unmodified</status>
      <modifiedWord/>
      <trackRevisions>false</trackRevisions>
    </reviewItem>
    <reviewItem>
      <errorID>e7d67f9d-128b-4771-8fa7-08bd7070ab61</errorID>
      <errorWord>噪音</errorWord>
      <group>L1_Word</group>
      <groupName>字词问题</groupName>
      <ability>L2_Alias</ability>
      <abilityName>也作/曾用词</abilityName>
      <candidateList>
        <item>噪声</item>
      </candidateList>
      <explain>词汇[噪音]为不规范表述或旧称，其规范书面表述为[噪声]。</explain>
      <paraID>2F50EEE9</paraID>
      <start>17</start>
      <end>19</end>
      <status>unmodified</status>
      <modifiedWord/>
      <trackRevisions>false</trackRevisions>
    </reviewItem>
    <reviewItem>
      <errorID>f9c4df4f-68c7-43e2-8220-80ba42519596</errorID>
      <errorWord>对而</errorWord>
      <group>L1_Word</group>
      <groupName>字词问题</groupName>
      <ability>L2_Typo</ability>
      <abilityName>字词错误</abilityName>
      <candidateList>
        <item>反而</item>
      </candidateList>
      <explain/>
      <paraID>2F50EEE9</paraID>
      <start>221</start>
      <end>223</end>
      <status>unmodified</status>
      <modifiedWord/>
      <trackRevisions>false</trackRevisions>
    </reviewItem>
    <reviewItem>
      <errorID>16f21755-812e-48b9-bd44-c8d3a32c578c</errorID>
      <errorWord>距路</errorWord>
      <group>L1_Word</group>
      <groupName>字词问题</groupName>
      <ability>L2_Typo</ability>
      <abilityName>字词错误</abilityName>
      <candidateList>
        <item>距离</item>
      </candidateList>
      <explain>❶〈动〉在空间或时间上相隔：天津～北京约有一百二十公里｜现在～唐代已经有一千多年。❷〈名〉相隔的长度：等～｜拉开一定的～◇他的看法和你有～。</explain>
      <paraID>2F50EEE9</paraID>
      <start>225</start>
      <end>227</end>
      <status>unmodified</status>
      <modifiedWord/>
      <trackRevisions>false</trackRevisions>
    </reviewItem>
    <reviewItem>
      <errorID>c8951de7-d31b-4540-a697-03d03b588eb2</errorID>
      <errorWord>III类</errorWord>
      <group>L1_Knowledge</group>
      <groupName>知识性问题</groupName>
      <ability>L2_Knowledge</ability>
      <abilityName>其他知识</abilityName>
      <candidateList>
        <item>Ⅲ类</item>
      </candidateList>
      <explain>中文环境下罗马数字格式错误。</explain>
      <paraID>1216E2C0</paraID>
      <start>74</start>
      <end>78</end>
      <status>unmodified</status>
      <modifiedWord/>
      <trackRevisions>false</trackRevisions>
    </reviewItem>
    <reviewItem>
      <errorID>3c68e21c-f44c-45f8-8bbb-c41d6732eb8a</errorID>
      <errorWord>(</errorWord>
      <group>L1_Format</group>
      <groupName>格式问题</groupName>
      <ability>L2_HalfPunc_CN</ability>
      <abilityName>全半角问题</abilityName>
      <candidateList>
        <item>（</item>
      </candidateList>
      <explain>文本全半角错误。</explain>
      <paraID>615C180E</paraID>
      <start>15</start>
      <end>16</end>
      <status>unmodified</status>
      <modifiedWord/>
      <trackRevisions>false</trackRevisions>
    </reviewItem>
    <reviewItem>
      <errorID>53ffc7d8-f3b2-4df1-94ce-af878a3717b2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6362CB7B</paraID>
      <start>18</start>
      <end>20</end>
      <status>unmodified</status>
      <modifiedWord/>
      <trackRevisions>false</trackRevisions>
    </reviewItem>
    <reviewItem>
      <errorID>323d1a46-2a39-44f1-b09d-ea8bee52ca57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781B4F67</paraID>
      <start>5</start>
      <end>6</end>
      <status>unmodified</status>
      <modifiedWord/>
      <trackRevisions>false</trackRevisions>
    </reviewItem>
    <reviewItem>
      <errorID>9158fb7a-39c9-4592-a82e-f4461b83a25a</errorID>
      <errorWord>达</errorWord>
      <group>L1_Word</group>
      <groupName>字词问题</groupName>
      <ability>L2_Typo</ability>
      <abilityName>字词错误</abilityName>
      <candidateList>
        <item>达到</item>
      </candidateList>
      <explain>〈动〉到（多指抽象事物或程度）：达得到｜达不到｜目的没有～｜～国际水平。</explain>
      <paraID>1B7662F7</paraID>
      <start>14</start>
      <end>15</end>
      <status>unmodified</status>
      <modifiedWord/>
      <trackRevisions>false</trackRevisions>
    </reviewItem>
    <reviewItem>
      <errorID>9872fdc0-1df3-4246-9bd9-17c2838c34bf</errorID>
      <errorWord>其它</errorWord>
      <group>L1_Word</group>
      <groupName>字词问题</groupName>
      <ability>L2_Alias</ability>
      <abilityName>也作/曾用词</abilityName>
      <candidateList>
        <item>其他</item>
      </candidateList>
      <explain>词汇[其它]为不规范表述或旧称，其规范书面表述为[其他]。</explain>
      <paraID>789AF301</paraID>
      <start>0</start>
      <end>2</end>
      <status>unmodified</status>
      <modifiedWord/>
      <trackRevisions>false</trackRevisions>
    </reviewItem>
    <reviewItem>
      <errorID>0d6ce08a-b0c6-4e03-9d81-63d10e8268cb</errorID>
      <errorWord>：</errorWord>
      <group>L1_Format</group>
      <groupName>格式问题</groupName>
      <ability>L2_HalfPunc_CN</ability>
      <abilityName>全半角问题</abilityName>
      <candidateList>
        <item>:</item>
      </candidateList>
      <explain>文本全半角错误。</explain>
      <paraID>3FB0312F</paraID>
      <start>4</start>
      <end>5</end>
      <status>unmodified</status>
      <modifiedWord/>
      <trackRevisions>false</trackRevisions>
    </reviewItem>
    <reviewItem>
      <errorID>c0576f52-77d6-4edb-9071-e31a1ff93042</errorID>
      <errorWord>：</errorWord>
      <group>L1_Format</group>
      <groupName>格式问题</groupName>
      <ability>L2_HalfPunc_CN</ability>
      <abilityName>全半角问题</abilityName>
      <candidateList>
        <item>:</item>
      </candidateList>
      <explain>文本全半角错误。</explain>
      <paraID>3FB0312F</paraID>
      <start>26</start>
      <end>27</end>
      <status>unmodified</status>
      <modifiedWord/>
      <trackRevisions>false</trackRevisions>
    </reviewItem>
    <reviewItem>
      <errorID>f0d9a237-0371-4b08-ad0f-d46759185f88</errorID>
      <errorWord>。</errorWord>
      <group>L1_Punc</group>
      <groupName>标点问题</groupName>
      <ability>L2_Punc_CN</ability>
      <abilityName>标点符号问题</abilityName>
      <candidateList/>
      <explain/>
      <paraID>53F75635</paraID>
      <start>0</start>
      <end>1</end>
      <status>unmodified</status>
      <modifiedWord/>
      <trackRevisions>false</trackRevisions>
    </reviewItem>
    <reviewItem>
      <errorID>9d221ae7-d727-4852-83b3-7d5ec0c0f039</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53F75635</paraID>
      <start>50</start>
      <end>54</end>
      <status>unmodified</status>
      <modifiedWord/>
      <trackRevisions>false</trackRevisions>
    </reviewItem>
    <reviewItem>
      <errorID>cb855a92-4349-4973-b3a3-86e3dbb42ee1</errorID>
      <errorWord>(</errorWord>
      <group>L1_Format</group>
      <groupName>格式问题</groupName>
      <ability>L2_HalfPunc_CN</ability>
      <abilityName>全半角问题</abilityName>
      <candidateList>
        <item>（</item>
      </candidateList>
      <explain>文本全半角错误。</explain>
      <paraID>42788666</paraID>
      <start>4</start>
      <end>5</end>
      <status>unmodified</status>
      <modifiedWord/>
      <trackRevisions>false</trackRevisions>
    </reviewItem>
    <reviewItem>
      <errorID>928b03c1-43c3-41e0-bf5e-e5fcfbc51f4f</errorID>
      <errorWord>)</errorWord>
      <group>L1_Format</group>
      <groupName>格式问题</groupName>
      <ability>L2_HalfPunc_CN</ability>
      <abilityName>全半角问题</abilityName>
      <candidateList>
        <item>）</item>
      </candidateList>
      <explain>文本全半角错误。</explain>
      <paraID>42788666</paraID>
      <start>7</start>
      <end>8</end>
      <status>unmodified</status>
      <modifiedWord/>
      <trackRevisions>false</trackRevisions>
    </reviewItem>
    <reviewItem>
      <errorID>fa6b62d6-6fed-4c57-8c9d-92fdb2bbf350</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440CD161</paraID>
      <start>1</start>
      <end>5</end>
      <status>unmodified</status>
      <modifiedWord/>
      <trackRevisions>false</trackRevisions>
    </reviewItem>
    <reviewItem>
      <errorID>fbd93a32-7a02-4422-9e0f-5873f9100c30</errorID>
      <errorWord>：</errorWord>
      <group>L1_Format</group>
      <groupName>格式问题</groupName>
      <ability>L2_HalfPunc_CN</ability>
      <abilityName>全半角问题</abilityName>
      <candidateList>
        <item>:</item>
      </candidateList>
      <explain>文本全半角错误。</explain>
      <paraID> 45862BB</paraID>
      <start>4</start>
      <end>5</end>
      <status>unmodified</status>
      <modifiedWord/>
      <trackRevisions>false</trackRevisions>
    </reviewItem>
    <reviewItem>
      <errorID>2cd2e07b-c463-4658-9a5c-28c8fc206ae4</errorID>
      <errorWord>：</errorWord>
      <group>L1_Format</group>
      <groupName>格式问题</groupName>
      <ability>L2_HalfPunc_CN</ability>
      <abilityName>全半角问题</abilityName>
      <candidateList>
        <item>:</item>
      </candidateList>
      <explain>文本全半角错误。</explain>
      <paraID>661D6FCE</paraID>
      <start>4</start>
      <end>5</end>
      <status>unmodified</status>
      <modifiedWord/>
      <trackRevisions>false</trackRevisions>
    </reviewItem>
    <reviewItem>
      <errorID>c94e9c93-a4d4-4c2e-8cc3-359cb2871164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4D98A5D</paraID>
      <start>52</start>
      <end>55</end>
      <status>unmodified</status>
      <modifiedWord/>
      <trackRevisions>false</trackRevisions>
    </reviewItem>
    <reviewItem>
      <errorID>2e8150c2-72b8-4f6f-8fa6-fcff757c10b3</errorID>
      <errorWord>(</errorWord>
      <group>L1_Format</group>
      <groupName>格式问题</groupName>
      <ability>L2_HalfPunc_CN</ability>
      <abilityName>全半角问题</abilityName>
      <candidateList>
        <item>（</item>
      </candidateList>
      <explain>文本全半角错误。</explain>
      <paraID> EE8210B</paraID>
      <start>4</start>
      <end>5</end>
      <status>unmodified</status>
      <modifiedWord/>
      <trackRevisions>false</trackRevisions>
    </reviewItem>
    <reviewItem>
      <errorID>930468b0-0801-4fd5-a9ab-5efb9d0d2237</errorID>
      <errorWord>)</errorWord>
      <group>L1_Format</group>
      <groupName>格式问题</groupName>
      <ability>L2_HalfPunc_CN</ability>
      <abilityName>全半角问题</abilityName>
      <candidateList>
        <item>）</item>
      </candidateList>
      <explain>文本全半角错误。</explain>
      <paraID> EE8210B</paraID>
      <start>7</start>
      <end>8</end>
      <status>unmodified</status>
      <modifiedWord/>
      <trackRevisions>false</trackRevisions>
    </reviewItem>
    <reviewItem>
      <errorID>08c73e56-da82-4765-a772-e94e8a6b0aed</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 A8C0741</paraID>
      <start>6</start>
      <end>9</end>
      <status>ignored</status>
      <modifiedWord/>
      <trackRevisions>false</trackRevisions>
    </reviewItem>
    <reviewItem>
      <errorID>028070e2-2961-492d-b71a-436aab472a6a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C361679</paraID>
      <start>0</start>
      <end>2</end>
      <status>unmodified</status>
      <modifiedWord/>
      <trackRevisions>false</trackRevisions>
    </reviewItem>
    <reviewItem>
      <errorID>9c53cc59-5a88-44ce-868c-b6e3e4fedba6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26988E57</paraID>
      <start>0</start>
      <end>2</end>
      <status>unmodified</status>
      <modifiedWord/>
      <trackRevisions>false</trackRevisions>
    </reviewItem>
    <reviewItem>
      <errorID>58334dc3-c344-417e-bfe6-909394c4c1ca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73E26BE4</paraID>
      <start>0</start>
      <end>2</end>
      <status>unmodified</status>
      <modifiedWord/>
      <trackRevisions>false</trackRevisions>
    </reviewItem>
    <reviewItem>
      <errorID>df62019d-c9c5-4aff-ac04-201e2a4c468e</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6B4584E6</paraID>
      <start>10</start>
      <end>13</end>
      <status>ignored</status>
      <modifiedWord/>
      <trackRevisions>false</trackRevisions>
    </reviewItem>
    <reviewItem>
      <errorID>f8e33e7b-ca15-4bbb-939d-b61dee7ac438</errorID>
      <errorWord>货源站</errorWord>
      <group>L1_Word</group>
      <groupName>字词问题</groupName>
      <ability>L2_Typo</ability>
      <abilityName>字词错误</abilityName>
      <candidateList>
        <item>货运站</item>
      </candidateList>
      <explain>存在发音相近字词的误用。</explain>
      <paraID>54039A3B</paraID>
      <start>68</start>
      <end>71</end>
      <status>unmodified</status>
      <modifiedWord/>
      <trackRevisions>false</trackRevisions>
    </reviewItem>
    <reviewItem>
      <errorID>9e2306d7-279f-400d-b5b0-4a800b11129e</errorID>
      <errorWord>和</errorWord>
      <group>L1_Word</group>
      <groupName>字词问题</groupName>
      <ability>L2_Typo</ability>
      <abilityName>字词错误</abilityName>
      <candidateList>
        <item>和第</item>
      </candidateList>
      <explain/>
      <paraID>13E2FCC1</paraID>
      <start>97</start>
      <end>98</end>
      <status>unmodified</status>
      <modifiedWord/>
      <trackRevisions>false</trackRevisions>
    </reviewItem>
    <reviewItem>
      <errorID>c5e27a13-5056-4a68-98c6-33c9c72ed152</errorID>
      <errorWord>日</errorWord>
      <group>L1_Word</group>
      <groupName>字词问题</groupName>
      <ability>L2_Typo</ability>
      <abilityName>字词错误</abilityName>
      <candidateList>
        <item>日内</item>
      </candidateList>
      <explain/>
      <paraID>1063B1B8</paraID>
      <start>17</start>
      <end>18</end>
      <status>unmodified</status>
      <modifiedWord/>
      <trackRevisions>false</trackRevisions>
    </reviewItem>
    <reviewItem>
      <errorID>7169610c-c32d-4c6d-9112-f077e0cac913</errorID>
      <errorWord>，</errorWord>
      <group>L1_Word</group>
      <groupName>字词问题</groupName>
      <ability>L2_Typo</ability>
      <abilityName>字词错误</abilityName>
      <candidateList>
        <item>，在</item>
      </candidateList>
      <explain/>
      <paraID>319095D3</paraID>
      <start>41</start>
      <end>42</end>
      <status>unmodified</status>
      <modifiedWord/>
      <trackRevisions>false</trackRevisions>
    </reviewItem>
    <reviewItem>
      <errorID>58b4db1b-b5a7-4ed2-9259-ca11863c6874</errorID>
      <errorWord>拌和</errorWord>
      <group>L1_Word</group>
      <groupName>字词问题</groupName>
      <ability>L2_Typo</ability>
      <abilityName>字词错误</abilityName>
      <candidateList>
        <item>拌合</item>
      </candidateList>
      <explain/>
      <paraID>1F12F3FD</paraID>
      <start>12</start>
      <end>14</end>
      <status>unmodified</status>
      <modifiedWord/>
      <trackRevisions>false</trackRevisions>
    </reviewItem>
    <reviewItem>
      <errorID>70c68788-c2a6-4ad1-abee-8704109416c2</errorID>
      <errorWord>抛撒</errorWord>
      <group>L1_Word</group>
      <groupName>字词问题</groupName>
      <ability>L2_Typo</ability>
      <abilityName>字词错误</abilityName>
      <candidateList>
        <item>抛洒</item>
      </candidateList>
      <explain>存在发音相同字词的误用。</explain>
      <paraID>2286F199</paraID>
      <start>60</start>
      <end>62</end>
      <status>unmodified</status>
      <modifiedWord/>
      <trackRevisions>false</trackRevisions>
    </reviewItem>
    <reviewItem>
      <errorID>acb8ce6c-adbe-41f3-967d-4aba7d00ec36</errorID>
      <errorWord>、</errorWord>
      <group>L1_Punc</group>
      <groupName>标点问题</groupName>
      <ability>L2_Punc_CN</ability>
      <abilityName>标点符号问题</abilityName>
      <candidateList>
        <item>.</item>
      </candidateList>
      <explain/>
      <paraID> 87A64AB</paraID>
      <start>1</start>
      <end>2</end>
      <status>unmodified</status>
      <modifiedWord/>
      <trackRevisions>false</trackRevisions>
    </reviewItem>
    <reviewItem>
      <errorID>e0a1e742-1fc2-41fc-beb2-ac2c213e3e5f</errorID>
      <errorWord>、</errorWord>
      <group>L1_Punc</group>
      <groupName>标点问题</groupName>
      <ability>L2_Punc_CN</ability>
      <abilityName>标点符号问题</abilityName>
      <candidateList>
        <item>.</item>
      </candidateList>
      <explain/>
      <paraID>11BCC519</paraID>
      <start>1</start>
      <end>2</end>
      <status>unmodified</status>
      <modifiedWord/>
      <trackRevisions>false</trackRevisions>
    </reviewItem>
    <reviewItem>
      <errorID>6812f507-ae39-4d18-b8e8-784a498428fe</errorID>
      <errorWord>、</errorWord>
      <group>L1_Punc</group>
      <groupName>标点问题</groupName>
      <ability>L2_Punc_CN</ability>
      <abilityName>标点符号问题</abilityName>
      <candidateList>
        <item>.</item>
      </candidateList>
      <explain/>
      <paraID>2E6C16A9</paraID>
      <start>1</start>
      <end>2</end>
      <status>unmodified</status>
      <modifiedWord/>
      <trackRevisions>false</trackRevisions>
    </reviewItem>
    <reviewItem>
      <errorID>f4115280-ee3a-47a2-86d4-8076fd82f282</errorID>
      <errorWord>、</errorWord>
      <group>L1_Punc</group>
      <groupName>标点问题</groupName>
      <ability>L2_Punc_CN</ability>
      <abilityName>标点符号问题</abilityName>
      <candidateList>
        <item>.</item>
      </candidateList>
      <explain/>
      <paraID>12EB5997</paraID>
      <start>1</start>
      <end>2</end>
      <status>unmodified</status>
      <modifiedWord/>
      <trackRevisions>false</trackRevisions>
    </reviewItem>
    <reviewItem>
      <errorID>c4d8c7bd-b89b-48fb-9912-a3fd59e1407f</errorID>
      <errorWord>、</errorWord>
      <group>L1_Punc</group>
      <groupName>标点问题</groupName>
      <ability>L2_Punc_CN</ability>
      <abilityName>标点符号问题</abilityName>
      <candidateList>
        <item>.</item>
      </candidateList>
      <explain/>
      <paraID>2F7357EF</paraID>
      <start>1</start>
      <end>2</end>
      <status>unmodified</status>
      <modifiedWord/>
      <trackRevisions>false</trackRevisions>
    </reviewItem>
    <reviewItem>
      <errorID>3d6700d1-9783-4973-b6fa-233d4984ddb1</errorID>
      <errorWord>人</errorWord>
      <group>L1_Word</group>
      <groupName>字词问题</groupName>
      <ability>L2_Typo</ability>
      <abilityName>字词错误</abilityName>
      <candidateList>
        <item>人员</item>
      </candidateList>
      <explain>〈名〉担任某种职务的人：机关工作～｜值班～｜～配备。</explain>
      <paraID>148D291A</paraID>
      <start>16</start>
      <end>17</end>
      <status>unmodified</status>
      <modifiedWord/>
      <trackRevisions>false</trackRevisions>
    </reviewItem>
    <reviewItem>
      <errorID>22e20799-fc86-415b-bd40-f4cfe0c65556</errorID>
      <errorWord>或其它通讯</errorWord>
      <group>L1_Word</group>
      <groupName>字词问题</groupName>
      <ability>L2_Alias</ability>
      <abilityName>也作/曾用词</abilityName>
      <candidateList>
        <item>或其他通讯</item>
      </candidateList>
      <explain>词汇[或其它通讯]为不规范表述或旧称，其规范书面表述为[或其他通讯]。</explain>
      <paraID>148D291A</paraID>
      <start>41</start>
      <end>46</end>
      <status>unmodified</status>
      <modifiedWord/>
      <trackRevisions>false</trackRevisions>
    </reviewItem>
    <reviewItem>
      <errorID>714421b4-da31-4ec8-9422-c62c728c7ace</errorID>
      <errorWord>应</errorWord>
      <group>L1_Word</group>
      <groupName>字词问题</groupName>
      <ability>L2_Typo</ability>
      <abilityName>字词错误</abilityName>
      <candidateList>
        <item>应当</item>
      </candidateList>
      <explain/>
      <paraID>2414A2B9</paraID>
      <start>16</start>
      <end>17</end>
      <status>unmodified</status>
      <modifiedWord/>
      <trackRevisions>false</trackRevisions>
    </reviewItem>
    <reviewItem>
      <errorID>d5b483e5-0af9-4878-8a00-b9427ec5a20b</errorID>
      <errorWord>突发公共卫生事件应急条例</errorWord>
      <group>L1_Knowledge</group>
      <groupName>知识性问题</groupName>
      <ability>L2_Knowledge</ability>
      <abilityName>其他知识</abilityName>
      <candidateList>
        <item>《突发公共卫生事件应急条例》</item>
      </candidateList>
      <explain>完整法律法规名称需要加书名号，请注意检查。</explain>
      <paraID>2414A2B9</paraID>
      <start>50</start>
      <end>62</end>
      <status>unmodified</status>
      <modifiedWord/>
      <trackRevisions>false</trackRevisions>
    </reviewItem>
    <reviewItem>
      <errorID>bc9bd460-75b4-4669-b234-9dd7599756ee</errorID>
      <errorWord>、</errorWord>
      <group>L1_Punc</group>
      <groupName>标点问题</groupName>
      <ability>L2_Punc_CN</ability>
      <abilityName>标点符号问题</abilityName>
      <candidateList>
        <item>.</item>
      </candidateList>
      <explain/>
      <paraID>7BAA13F9</paraID>
      <start>1</start>
      <end>2</end>
      <status>unmodified</status>
      <modifiedWord/>
      <trackRevisions>false</trackRevisions>
    </reviewItem>
    <reviewItem>
      <errorID>86505fe4-9745-4559-a5ef-96d8c394160f</errorID>
      <errorWord>主要是</errorWord>
      <group>L1_Word</group>
      <groupName>字词问题</groupName>
      <ability>L2_Typo</ability>
      <abilityName>字词错误</abilityName>
      <candidateList>
        <item>主要</item>
      </candidateList>
      <explain>〈形〉属性词。有关事物中最重要的；起决定作用的：～原因｜～目的｜～人物。</explain>
      <paraID>7BAA13F9</paraID>
      <start>9</start>
      <end>12</end>
      <status>unmodified</status>
      <modifiedWord/>
      <trackRevisions>false</trackRevisions>
    </reviewItem>
    <reviewItem>
      <errorID>29783532-caa8-49cb-9830-078caa2ca5bb</errorID>
      <errorWord>、</errorWord>
      <group>L1_Punc</group>
      <groupName>标点问题</groupName>
      <ability>L2_Punc_CN</ability>
      <abilityName>标点符号问题</abilityName>
      <candidateList>
        <item>.</item>
      </candidateList>
      <explain/>
      <paraID>6D0DADFA</paraID>
      <start>1</start>
      <end>2</end>
      <status>unmodified</status>
      <modifiedWord/>
      <trackRevisions>false</trackRevisions>
    </reviewItem>
    <reviewItem>
      <errorID>923d7126-1fef-4ff6-86d9-f915960ed71e</errorID>
      <errorWord>、</errorWord>
      <group>L1_Punc</group>
      <groupName>标点问题</groupName>
      <ability>L2_Punc_CN</ability>
      <abilityName>标点符号问题</abilityName>
      <candidateList>
        <item>.</item>
      </candidateList>
      <explain/>
      <paraID>6B245C3A</paraID>
      <start>1</start>
      <end>2</end>
      <status>unmodified</status>
      <modifiedWord/>
      <trackRevisions>false</trackRevisions>
    </reviewItem>
    <reviewItem>
      <errorID>d7fe7da2-7dc5-43d6-a5bd-b0f0ac84b895</errorID>
      <errorWord>、</errorWord>
      <group>L1_Punc</group>
      <groupName>标点问题</groupName>
      <ability>L2_Punc_CN</ability>
      <abilityName>标点符号问题</abilityName>
      <candidateList>
        <item>.</item>
      </candidateList>
      <explain/>
      <paraID>6EBEE675</paraID>
      <start>1</start>
      <end>2</end>
      <status>unmodified</status>
      <modifiedWord/>
      <trackRevisions>false</trackRevisions>
    </reviewItem>
    <reviewItem>
      <errorID>9bd2fc5c-320d-497e-aaa8-ba1790a9b0e1</errorID>
      <errorWord>、</errorWord>
      <group>L1_Punc</group>
      <groupName>标点问题</groupName>
      <ability>L2_Punc_CN</ability>
      <abilityName>标点符号问题</abilityName>
      <candidateList>
        <item>.</item>
      </candidateList>
      <explain/>
      <paraID>6FF1DCC3</paraID>
      <start>1</start>
      <end>2</end>
      <status>unmodified</status>
      <modifiedWord/>
      <trackRevisions>false</trackRevisions>
    </reviewItem>
    <reviewItem>
      <errorID>60098de8-5a33-4bde-a0df-46201e5946ad</errorID>
      <errorWord>、</errorWord>
      <group>L1_Punc</group>
      <groupName>标点问题</groupName>
      <ability>L2_Punc_CN</ability>
      <abilityName>标点符号问题</abilityName>
      <candidateList>
        <item>.</item>
      </candidateList>
      <explain/>
      <paraID>3D24284C</paraID>
      <start>1</start>
      <end>2</end>
      <status>unmodified</status>
      <modifiedWord/>
      <trackRevisions>false</trackRevisions>
    </reviewItem>
    <reviewItem>
      <errorID>97279ba9-7379-4825-87c0-d0b18a5b1f64</errorID>
      <errorWord>、</errorWord>
      <group>L1_Punc</group>
      <groupName>标点问题</groupName>
      <ability>L2_Punc_CN</ability>
      <abilityName>标点符号问题</abilityName>
      <candidateList>
        <item>.</item>
      </candidateList>
      <explain/>
      <paraID> D1BAEE5</paraID>
      <start>1</start>
      <end>2</end>
      <status>unmodified</status>
      <modifiedWord/>
      <trackRevisions>false</trackRevisions>
    </reviewItem>
    <reviewItem>
      <errorID>14c48a23-9572-42f0-9fcd-30e4c806b034</errorID>
      <errorWord>、</errorWord>
      <group>L1_Punc</group>
      <groupName>标点问题</groupName>
      <ability>L2_Punc_CN</ability>
      <abilityName>标点符号问题</abilityName>
      <candidateList>
        <item>.</item>
      </candidateList>
      <explain/>
      <paraID>2F06A4AA</paraID>
      <start>1</start>
      <end>2</end>
      <status>unmodified</status>
      <modifiedWord/>
      <trackRevisions>false</trackRevisions>
    </reviewItem>
    <reviewItem>
      <errorID>b371f9d9-0775-452f-bd96-953d851a749d</errorID>
      <errorWord>、</errorWord>
      <group>L1_Punc</group>
      <groupName>标点问题</groupName>
      <ability>L2_Punc_CN</ability>
      <abilityName>标点符号问题</abilityName>
      <candidateList>
        <item>.</item>
      </candidateList>
      <explain/>
      <paraID>53E28613</paraID>
      <start>1</start>
      <end>2</end>
      <status>unmodified</status>
      <modifiedWord/>
      <trackRevisions>false</trackRevisions>
    </reviewItem>
    <reviewItem>
      <errorID>d719b3fe-cc5e-4787-872f-abddd61cd599</errorID>
      <errorWord>物质</errorWord>
      <group>L1_Word</group>
      <groupName>字词问题</groupName>
      <ability>L2_Typo</ability>
      <abilityName>字词错误</abilityName>
      <candidateList>
        <item>物资</item>
      </candidateList>
      <explain/>
      <paraID>18B33543</paraID>
      <start>8</start>
      <end>10</end>
      <status>unmodified</status>
      <modifiedWord/>
      <trackRevisions>false</trackRevisions>
    </reviewItem>
    <reviewItem>
      <errorID>b8f93d3c-a22f-4c9b-bc1a-a6559fedc94a</errorID>
      <errorWord>物质</errorWord>
      <group>L1_Word</group>
      <groupName>字词问题</groupName>
      <ability>L2_Typo</ability>
      <abilityName>字词错误</abilityName>
      <candidateList>
        <item>物资</item>
      </candidateList>
      <explain/>
      <paraID>2932148C</paraID>
      <start>4</start>
      <end>6</end>
      <status>unmodified</status>
      <modifiedWord/>
      <trackRevisions>false</trackRevisions>
    </reviewItem>
    <reviewItem>
      <errorID>8ee124a4-d279-4b7a-9800-09d7bafd61a0</errorID>
      <errorWord>期</errorWord>
      <group>L1_Word</group>
      <groupName>字词问题</groupName>
      <ability>L2_Typo</ability>
      <abilityName>字词错误</abilityName>
      <candidateList>
        <item>期间</item>
      </candidateList>
      <explain>〈名〉某个时期里面：农忙～｜春节～｜抗战～。</explain>
      <paraID>2EC52C51</paraID>
      <start>8</start>
      <end>9</end>
      <status>unmodified</status>
      <modifiedWord/>
      <trackRevisions>false</trackRevisions>
    </reviewItem>
    <reviewItem>
      <errorID>4ed32789-4197-49d3-9827-180a122e70da</errorID>
      <errorWord>万</errorWord>
      <group>L1_Word</group>
      <groupName>字词问题</groupName>
      <ability>L2_Typo</ability>
      <abilityName>字词错误</abilityName>
      <candidateList>
        <item>万元</item>
      </candidateList>
      <explain/>
      <paraID>6A9F2966</paraID>
      <start>29</start>
      <end>30</end>
      <status>unmodified</status>
      <modifiedWord/>
      <trackRevisions>false</trackRevisions>
    </reviewItem>
    <reviewItem>
      <errorID>ad52dbdb-e8b6-41b2-8158-7aa7ae93b9b2</errorID>
      <errorWord>作</errorWord>
      <group>L1_Word</group>
      <groupName>字词问题</groupName>
      <ability>L2_Typo</ability>
      <abilityName>字词错误</abilityName>
      <candidateList>
        <item>做</item>
      </candidateList>
      <explain>存在发音相同字词的误用。</explain>
      <paraID>3F32A860</paraID>
      <start>29</start>
      <end>30</end>
      <status>unmodified</status>
      <modifiedWord/>
      <trackRevisions>false</trackRevisions>
    </reviewItem>
    <reviewItem>
      <errorID>c7479871-0b7e-4243-82ea-1b2660f65c62</errorID>
      <errorWord>生产环境质量</errorWord>
      <group>L1_Political</group>
      <groupName>政治性问题</groupName>
      <ability>L2_Keyword</ability>
      <abilityName>固定表述</abilityName>
      <candidateList>
        <item>生态环境质量</item>
      </candidateList>
      <explain>词汇“生态环境质量”在特定场景下为固定表述形式，请确认此处的“生产环境质量”是否存在不当。</explain>
      <paraID>6AFB1051</paraID>
      <start>7</start>
      <end>13</end>
      <status>unmodified</status>
      <modifiedWord/>
      <trackRevisions>false</trackRevisions>
    </reviewItem>
    <reviewItem>
      <errorID>cae7d60e-ed1e-454c-8082-cfe80fc0f9fe</errorID>
      <errorWord>，</errorWord>
      <group>L1_Word</group>
      <groupName>字词问题</groupName>
      <ability>L2_Typo</ability>
      <abilityName>字词错误</abilityName>
      <candidateList>
        <item>，在</item>
      </candidateList>
      <explain/>
      <paraID>7AFF9CD1</paraID>
      <start>42</start>
      <end>43</end>
      <status>unmodified</status>
      <modifiedWord/>
      <trackRevisions>false</trackRevisions>
    </reviewItem>
    <reviewItem>
      <errorID>12a05534-0276-423f-83a6-f0def3732a0a</errorID>
      <errorWord>日</errorWord>
      <group>L1_Word</group>
      <groupName>字词问题</groupName>
      <ability>L2_Typo</ability>
      <abilityName>字词错误</abilityName>
      <candidateList>
        <item>日内</item>
      </candidateList>
      <explain/>
      <paraID>269232E1</paraID>
      <start>17</start>
      <end>18</end>
      <status>unmodified</status>
      <modifiedWord/>
      <trackRevisions>false</trackRevisions>
    </reviewItem>
    <reviewItem>
      <errorID>fe723004-52f6-42b3-98c4-a86f563e16df</errorID>
      <errorWord>和</errorWord>
      <group>L1_Word</group>
      <groupName>字词问题</groupName>
      <ability>L2_Typo</ability>
      <abilityName>字词错误</abilityName>
      <candidateList>
        <item>和第</item>
      </candidateList>
      <explain/>
      <paraID>2FF099F1</paraID>
      <start>97</start>
      <end>98</end>
      <status>unmodified</status>
      <modifiedWord/>
      <trackRevisions>false</trackRevisions>
    </reviewItem>
    <reviewItem>
      <errorID>70c68788-c2a6-4ad1-abee-8704109416c2</errorID>
      <errorWord>抛撒</errorWord>
      <group>L1_Word</group>
      <groupName>字词问题</groupName>
      <ability>L2_Typo</ability>
      <abilityName>字词错误</abilityName>
      <candidateList>
        <item>抛洒</item>
      </candidateList>
      <explain>存在发音相同字词的误用。</explain>
      <paraID>721461F2</paraID>
      <start>60</start>
      <end>62</end>
      <status>unmodified</status>
      <modifiedWord/>
      <trackRevisions>false</trackRevisions>
    </reviewItem>
    <reviewItem>
      <errorID>c8712764-59d5-41ad-9dcc-2fb56c3ebece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7B27ADA0</paraID>
      <start>39</start>
      <end>40</end>
      <status>unmodified</status>
      <modifiedWord/>
      <trackRevisions>false</trackRevisions>
    </reviewItem>
    <reviewItem>
      <errorID>99a364bb-ad27-4abb-9ced-5430cdd33a2b</errorID>
      <errorWord>测</errorWord>
      <group>L1_Word</group>
      <groupName>字词问题</groupName>
      <ability>L2_Typo</ability>
      <abilityName>字词错误</abilityName>
      <candidateList>
        <item>的</item>
      </candidateList>
      <explain>“的”常用于连接修饰语与名词性中心语，表示属性、所属或描述。</explain>
      <paraID>108FB380</paraID>
      <start>0</start>
      <end>1</end>
      <status>unmodified</status>
      <modifiedWord/>
      <trackRevisions>false</trackRevisions>
    </reviewItem>
    <reviewItem>
      <errorID>99a364bb-ad27-4abb-9ced-5430cdd33a2b</errorID>
      <errorWord>测</errorWord>
      <group>L1_Word</group>
      <groupName>字词问题</groupName>
      <ability>L2_Typo</ability>
      <abilityName>字词错误</abilityName>
      <candidateList>
        <item>的</item>
      </candidateList>
      <explain>“的”常用于连接修饰语与名词性中心语，表示属性、所属或描述。</explain>
      <paraID>6A284E19</paraID>
      <start>0</start>
      <end>1</end>
      <status>unmodified</status>
      <modifiedWord/>
      <trackRevisions>false</trackRevisions>
    </reviewItem>
    <reviewItem>
      <errorID>4dd4a215-6225-4ce2-ad1e-145543a32ef9</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3037F635</paraID>
      <start>0</start>
      <end>3</end>
      <status>ignored</status>
      <modifiedWord/>
      <trackRevisions>false</trackRevisions>
    </reviewItem>
    <reviewItem>
      <errorID>d634e17f-54d6-4de9-81f0-3a6948565b81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4DE404A</paraID>
      <start>0</start>
      <end>2</end>
      <status>unmodified</status>
      <modifiedWord/>
      <trackRevisions>false</trackRevisions>
    </reviewItem>
    <reviewItem>
      <errorID>dd98ae27-189f-4664-b357-eae63352d8c6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76ED2324</paraID>
      <start>0</start>
      <end>2</end>
      <status>unmodified</status>
      <modifiedWord/>
      <trackRevisions>false</trackRevisions>
    </reviewItem>
    <reviewItem>
      <errorID>699e1974-933f-4afb-b952-e92a427fa161</errorID>
      <errorWord>签定</errorWord>
      <group>L1_Word</group>
      <groupName>字词问题</groupName>
      <ability>L2_Typo</ability>
      <abilityName>字词错误</abilityName>
      <candidateList>
        <item>签订</item>
      </candidateList>
      <explain>〈动〉订立条约或合同并签字：两国～了贸易议定书和支付协定。</explain>
      <paraID>76ED2324</paraID>
      <start>31</start>
      <end>33</end>
      <status>unmodified</status>
      <modifiedWord/>
      <trackRevisions>false</trackRevisions>
    </reviewItem>
    <reviewItem>
      <errorID>236102cd-69cc-415d-9189-64f7eca299e1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3BD65740</paraID>
      <start>0</start>
      <end>2</end>
      <status>unmodified</status>
      <modifiedWord/>
      <trackRevisions>false</trackRevisions>
    </reviewItem>
    <reviewItem>
      <errorID>1ec775bf-d524-40f6-a248-5732f2d23db8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393A3FE</paraID>
      <start>0</start>
      <end>2</end>
      <status>unmodified</status>
      <modifiedWord/>
      <trackRevisions>false</trackRevisions>
    </reviewItem>
    <reviewItem>
      <errorID>80c15eea-e82a-454c-877f-f55a790e2a67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464B328B</paraID>
      <start>0</start>
      <end>2</end>
      <status>unmodified</status>
      <modifiedWord/>
      <trackRevisions>false</trackRevisions>
    </reviewItem>
    <reviewItem>
      <errorID>c4884a6f-b634-44ef-b91d-851d6418bdae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797E86F4</paraID>
      <start>0</start>
      <end>2</end>
      <status>unmodified</status>
      <modifiedWord/>
      <trackRevisions>false</trackRevisions>
    </reviewItem>
    <reviewItem>
      <errorID>a703bfcd-ea29-4adb-aa95-e0df80ca27a4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248E646E</paraID>
      <start>62</start>
      <end>65</end>
      <status>ignored</status>
      <modifiedWord/>
      <trackRevisions>false</trackRevisions>
    </reviewItem>
    <reviewItem>
      <errorID>89b54b3d-e5e5-4bdf-b1ba-d06b3ba17968</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248E646E</paraID>
      <start>219</start>
      <end>222</end>
      <status>ignored</status>
      <modifiedWord/>
      <trackRevisions>false</trackRevisions>
    </reviewItem>
    <reviewItem>
      <errorID>889031b9-e81b-4793-8211-1ed0108ae2ba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45EFCCBF</paraID>
      <start>7</start>
      <end>10</end>
      <status>ignored</status>
      <modifiedWord/>
      <trackRevisions>false</trackRevisions>
    </reviewItem>
    <reviewItem>
      <errorID>987cb951-e0ce-473d-a2ef-55a162eabf4a</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45EFCCBF</paraID>
      <start>23</start>
      <end>26</end>
      <status>ignored</status>
      <modifiedWord/>
      <trackRevisions>false</trackRevisions>
    </reviewItem>
    <reviewItem>
      <errorID>76180382-7673-4d9f-bfc4-637bebb607f6</errorID>
      <errorWord>，</errorWord>
      <group>L1_Word</group>
      <groupName>字词问题</groupName>
      <ability>L2_Typo</ability>
      <abilityName>字词错误</abilityName>
      <candidateList>
        <item>，对</item>
      </candidateList>
      <explain/>
      <paraID>35B8F069</paraID>
      <start>90</start>
      <end>91</end>
      <status>unmodified</status>
      <modifiedWord/>
      <trackRevisions>false</trackRevisions>
    </reviewItem>
    <reviewItem>
      <errorID>6bb49cdb-cafc-4ede-a7f4-95d097c30777</errorID>
      <errorWord>拌和</errorWord>
      <group>L1_Word</group>
      <groupName>字词问题</groupName>
      <ability>L2_Typo</ability>
      <abilityName>字词错误</abilityName>
      <candidateList>
        <item>拌合</item>
      </candidateList>
      <explain/>
      <paraID> EA3E47A</paraID>
      <start>12</start>
      <end>14</end>
      <status>unmodified</status>
      <modifiedWord/>
      <trackRevisions>false</trackRevisions>
    </reviewItem>
    <reviewItem>
      <errorID>eec8616d-3378-4ac1-892f-e259bd63be5d</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2844A1FF</paraID>
      <start>24</start>
      <end>27</end>
      <status>ignored</status>
      <modifiedWord/>
      <trackRevisions>false</trackRevisions>
    </reviewItem>
    <reviewItem>
      <errorID>91f17780-bdec-49d1-bdb8-d2c50fcc64f7</errorID>
      <errorWord>货源站</errorWord>
      <group>L1_Word</group>
      <groupName>字词问题</groupName>
      <ability>L2_Typo</ability>
      <abilityName>字词错误</abilityName>
      <candidateList>
        <item>货运站</item>
      </candidateList>
      <explain>存在发音相近字词的误用。</explain>
      <paraID>2844A1FF</paraID>
      <start>96</start>
      <end>99</end>
      <status>unmodified</status>
      <modifiedWord/>
      <trackRevisions>false</trackRevisions>
    </reviewItem>
    <reviewItem>
      <errorID>2fb3f633-1a3c-409f-93e2-9b6d436ad434</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76D14DC5</paraID>
      <start>0</start>
      <end>3</end>
      <status>ignored</status>
      <modifiedWord/>
      <trackRevisions>false</trackRevisions>
    </reviewItem>
    <reviewItem>
      <errorID>726f39fd-0f0f-4040-ae32-a895f2e75e52</errorID>
      <errorWord>元江县</errorWord>
      <group>L1_Knowledge</group>
      <groupName>知识性问题</groupName>
      <ability>L2_Location</ability>
      <abilityName>地名检查</abilityName>
      <candidateList>
        <item>元江哈尼族彝族傣族自治县</item>
      </candidateList>
      <explain>自治区州县缩写不规范。《地名管理条例》第十八条规定，标识牌、公共平台发布的信息、各类公文证件、学习类公开出版物、地图、法律法规规定等场景范围内必须使用标准地名。</explain>
      <paraID>76D14DC5</paraID>
      <start>157</start>
      <end>160</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59806d-e357-4617-b2c8-63376ffbb9dd}">
  <ds:schemaRefs/>
</ds:datastoreItem>
</file>

<file path=customXml/itemProps3.xml><?xml version="1.0" encoding="utf-8"?>
<ds:datastoreItem xmlns:ds="http://schemas.openxmlformats.org/officeDocument/2006/customXml" ds:itemID="{092FAE46-8C68-4EB0-AB5A-19329D6043A7}">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202</Pages>
  <Words>124982</Words>
  <Characters>142878</Characters>
  <Lines>1144</Lines>
  <Paragraphs>322</Paragraphs>
  <TotalTime>22</TotalTime>
  <ScaleCrop>false</ScaleCrop>
  <LinksUpToDate>false</LinksUpToDate>
  <CharactersWithSpaces>145403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2018-12-21T04:03:00Z</dcterms:created>
  <dc:creator>微软用户</dc:creator>
  <cp:lastModifiedBy>llas</cp:lastModifiedBy>
  <cp:lastPrinted>2024-04-23T04:02:00Z</cp:lastPrinted>
  <dcterms:modified xsi:type="dcterms:W3CDTF">2026-07-22T02:44:04Z</dcterms:modified>
  <dc:title>玉溪市维和维生堂保健食品有限公司</dc:title>
  <cp:revision>582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02A8AAD81FBC4DD88A52FCC6F99147C5_13</vt:lpwstr>
  </property>
  <property fmtid="{D5CDD505-2E9C-101B-9397-08002B2CF9AE}" pid="4" name="KSOSaveFontToCloudKey">
    <vt:lpwstr>249762791_cloud</vt:lpwstr>
  </property>
  <property fmtid="{D5CDD505-2E9C-101B-9397-08002B2CF9AE}" pid="5" name="KSOTemplateDocerSaveRecord">
    <vt:lpwstr>eyJoZGlkIjoiMzNhZDUzNTE1ODhlYjViNmJkNjlkYjBhNTk5ODYzMDYiLCJ1c2VySWQiOiI1MDAyMDI2MDMifQ==</vt:lpwstr>
  </property>
</Properties>
</file>